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D7726C0">
      <w:pPr>
        <w:pStyle w:val="2"/>
        <w:jc w:val="center"/>
        <w:rPr>
          <w:rFonts w:hint="eastAsia"/>
          <w:lang w:eastAsia="zh-CN"/>
        </w:rPr>
      </w:pPr>
      <w:r>
        <w:rPr>
          <w:rFonts w:hint="eastAsia"/>
        </w:rPr>
        <w:t>南雄年鉴</w:t>
      </w:r>
      <w:r>
        <w:rPr>
          <w:rFonts w:hint="eastAsia"/>
          <w:lang w:eastAsia="zh-CN"/>
        </w:rPr>
        <w:t>（</w:t>
      </w:r>
      <w:r>
        <w:rPr>
          <w:rFonts w:hint="eastAsia"/>
        </w:rPr>
        <w:t>2012</w:t>
      </w:r>
      <w:r>
        <w:rPr>
          <w:rFonts w:hint="eastAsia"/>
          <w:lang w:eastAsia="zh-CN"/>
        </w:rPr>
        <w:t>）</w:t>
      </w:r>
    </w:p>
    <w:p w14:paraId="5EC3F0E3">
      <w:pPr>
        <w:pStyle w:val="2"/>
        <w:jc w:val="center"/>
        <w:rPr>
          <w:rFonts w:hint="default"/>
          <w:lang w:val="en-US" w:eastAsia="zh-CN"/>
        </w:rPr>
      </w:pPr>
      <w:r>
        <w:rPr>
          <w:rFonts w:hint="eastAsia"/>
          <w:lang w:val="en-US" w:eastAsia="zh-CN"/>
        </w:rPr>
        <w:t>南雄市行政区划图</w:t>
      </w:r>
    </w:p>
    <w:tbl>
      <w:tblPr>
        <w:tblStyle w:val="1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6E898B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Pr>
          <w:p w14:paraId="6EF35AD2">
            <w:pPr>
              <w:pStyle w:val="2"/>
              <w:jc w:val="both"/>
            </w:pPr>
            <w:r>
              <w:drawing>
                <wp:inline distT="0" distB="0" distL="114300" distR="114300">
                  <wp:extent cx="6172200" cy="4305300"/>
                  <wp:effectExtent l="0" t="0" r="0" b="0"/>
                  <wp:docPr id="84" name="图片 25" descr="南雄年鉴地图-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25" descr="南雄年鉴地图-1"/>
                          <pic:cNvPicPr>
                            <a:picLocks noChangeAspect="1"/>
                          </pic:cNvPicPr>
                        </pic:nvPicPr>
                        <pic:blipFill>
                          <a:blip r:embed="rId12"/>
                          <a:stretch>
                            <a:fillRect/>
                          </a:stretch>
                        </pic:blipFill>
                        <pic:spPr>
                          <a:xfrm>
                            <a:off x="0" y="0"/>
                            <a:ext cx="6172200" cy="4305300"/>
                          </a:xfrm>
                          <a:prstGeom prst="rect">
                            <a:avLst/>
                          </a:prstGeom>
                          <a:noFill/>
                          <a:ln>
                            <a:noFill/>
                          </a:ln>
                        </pic:spPr>
                      </pic:pic>
                    </a:graphicData>
                  </a:graphic>
                </wp:inline>
              </w:drawing>
            </w:r>
          </w:p>
        </w:tc>
      </w:tr>
    </w:tbl>
    <w:p w14:paraId="26D579E0">
      <w:pPr>
        <w:pStyle w:val="2"/>
      </w:pPr>
      <w:r>
        <w:rPr>
          <w:rFonts w:hint="eastAsia"/>
        </w:rPr>
        <w:t>编辑说明</w:t>
      </w:r>
    </w:p>
    <w:p w14:paraId="27FFA471">
      <w:pPr>
        <w:ind w:firstLine="420"/>
      </w:pPr>
      <w:r>
        <w:rPr>
          <w:rFonts w:hint="eastAsia"/>
        </w:rPr>
        <w:t>一、《南雄年鉴》是由中共南雄市委、市政府主持，市史志办公室组织实施，各承编单位共同参与编纂的地方综合性年鉴。它全面、系统载录本行政区域年度内自然、政治、经济、文化、社会等方面的情况，为全市年度资料性文献。从2011年起每年</w:t>
      </w:r>
      <w:r>
        <w:rPr>
          <w:rFonts w:hint="eastAsia"/>
          <w:lang w:eastAsia="zh-CN"/>
        </w:rPr>
        <w:t>编纂</w:t>
      </w:r>
      <w:r>
        <w:rPr>
          <w:rFonts w:hint="eastAsia"/>
        </w:rPr>
        <w:t>出版一卷。</w:t>
      </w:r>
    </w:p>
    <w:p w14:paraId="78559282">
      <w:pPr>
        <w:ind w:firstLine="420"/>
      </w:pPr>
      <w:r>
        <w:rPr>
          <w:rFonts w:hint="eastAsia"/>
        </w:rPr>
        <w:t>二、《南雄年鉴》（2012）主要反映2011年南雄市各项事业发展基本情况。年鉴分正文和彩页两大部分，正文内容由特载、大事记、行业专文以及社会经济统计资料等组成，彩页主要收集全市重要政务活动、行业成就、城乡新貌。专文内容按类目、分目、条目结构层次，条目标题以黑体字加【】表示，全书约计600千字。</w:t>
      </w:r>
    </w:p>
    <w:p w14:paraId="495C91F8">
      <w:pPr>
        <w:ind w:firstLine="420"/>
      </w:pPr>
      <w:r>
        <w:rPr>
          <w:rFonts w:hint="eastAsia"/>
        </w:rPr>
        <w:t>三、本卷年鉴编目设计在去年的基础上，对个别栏目的编排进行适当调整、使其更加科学合理。</w:t>
      </w:r>
    </w:p>
    <w:p w14:paraId="2712029E">
      <w:pPr>
        <w:ind w:firstLine="420"/>
      </w:pPr>
      <w:r>
        <w:rPr>
          <w:rFonts w:hint="eastAsia"/>
        </w:rPr>
        <w:t>四、本卷年鉴收录了2011年市四套班子及市直机关、镇（街道）班子成员名单。</w:t>
      </w:r>
    </w:p>
    <w:p w14:paraId="6714DB5E">
      <w:pPr>
        <w:ind w:firstLine="420"/>
      </w:pPr>
      <w:r>
        <w:rPr>
          <w:rFonts w:hint="eastAsia"/>
        </w:rPr>
        <w:t>五、本年鉴所录用资料大部分由市直各部门、各单位、各镇（街道）及有关单位提供，《南雄年鉴》编辑部撰写了部分稿件并统</w:t>
      </w:r>
      <w:r>
        <w:rPr>
          <w:rFonts w:hint="eastAsia"/>
          <w:lang w:eastAsia="zh-CN"/>
        </w:rPr>
        <w:t>纂</w:t>
      </w:r>
      <w:r>
        <w:rPr>
          <w:rFonts w:hint="eastAsia"/>
        </w:rPr>
        <w:t>全书。所提供的稿件资料均经供稿单位领导审阅，撰稿人署名于各相应条目文末。公共版彩图部分由李子亮提供，部分选自南雄人民政府网。因统计时间、口径不同等原因，个别数据在不同稿件中可能不尽一致，反映全市国民经济和社会发展情况数据，以南雄市统计局资料为准，由于个别单位未按要求提供资料，以致缺载，请予见谅。</w:t>
      </w:r>
    </w:p>
    <w:p w14:paraId="276FEC63">
      <w:pPr>
        <w:ind w:firstLine="420"/>
      </w:pPr>
      <w:r>
        <w:rPr>
          <w:rFonts w:hint="eastAsia"/>
        </w:rPr>
        <w:t>六、本年鉴的编辑出版得到了全市各级部门和有关单位领导的大力支持，广大撰稿人员为此付出了辛勤的劳动，在此一并致以诚挚的谢意。由于</w:t>
      </w:r>
      <w:r>
        <w:rPr>
          <w:rFonts w:hint="eastAsia"/>
          <w:lang w:eastAsia="zh-CN"/>
        </w:rPr>
        <w:t>编纂</w:t>
      </w:r>
      <w:r>
        <w:rPr>
          <w:rFonts w:hint="eastAsia"/>
        </w:rPr>
        <w:t>时间紧，水平有限，且篇幅较大，虽经多次审核、校对，仍难免有差错和疏漏之处，敬请读者予以指正。</w:t>
      </w:r>
    </w:p>
    <w:p w14:paraId="182F4A79">
      <w:pPr>
        <w:pStyle w:val="2"/>
        <w:ind w:firstLine="883"/>
      </w:pPr>
      <w:r>
        <w:rPr>
          <w:rFonts w:hint="eastAsia"/>
        </w:rPr>
        <w:t>《南雄年鉴》（2012）</w:t>
      </w:r>
      <w:r>
        <w:rPr>
          <w:rFonts w:hint="eastAsia"/>
          <w:lang w:val="en-US" w:eastAsia="zh-CN"/>
        </w:rPr>
        <w:t>编纂</w:t>
      </w:r>
      <w:r>
        <w:rPr>
          <w:rFonts w:hint="eastAsia"/>
        </w:rPr>
        <w:t>委员会</w:t>
      </w:r>
    </w:p>
    <w:p w14:paraId="0FAE33EA">
      <w:pPr>
        <w:ind w:firstLine="422"/>
      </w:pPr>
      <w:r>
        <w:rPr>
          <w:rFonts w:hint="eastAsia"/>
          <w:b/>
          <w:bCs/>
        </w:rPr>
        <w:t>名誉主任：</w:t>
      </w:r>
      <w:r>
        <w:rPr>
          <w:rFonts w:hint="eastAsia"/>
        </w:rPr>
        <w:t>许志新（市委书记、市人大常委会主任）</w:t>
      </w:r>
    </w:p>
    <w:p w14:paraId="2898F710">
      <w:pPr>
        <w:ind w:firstLine="422"/>
      </w:pPr>
      <w:r>
        <w:rPr>
          <w:rFonts w:hint="eastAsia"/>
          <w:b/>
          <w:bCs/>
        </w:rPr>
        <w:t>主    任</w:t>
      </w:r>
      <w:r>
        <w:rPr>
          <w:rFonts w:hint="eastAsia"/>
        </w:rPr>
        <w:t>：刘清生（市委副书记、市长）</w:t>
      </w:r>
    </w:p>
    <w:p w14:paraId="581370F6">
      <w:pPr>
        <w:ind w:firstLine="422"/>
      </w:pPr>
      <w:r>
        <w:rPr>
          <w:rFonts w:hint="eastAsia"/>
          <w:b/>
          <w:bCs/>
        </w:rPr>
        <w:t>副 主 任</w:t>
      </w:r>
      <w:r>
        <w:rPr>
          <w:rFonts w:hint="eastAsia"/>
        </w:rPr>
        <w:t>：黄德群（市委常委、市委办主任）</w:t>
      </w:r>
    </w:p>
    <w:p w14:paraId="3653116C">
      <w:pPr>
        <w:ind w:left="1050" w:leftChars="500" w:firstLine="420"/>
      </w:pPr>
      <w:r>
        <w:rPr>
          <w:rFonts w:hint="eastAsia"/>
        </w:rPr>
        <w:t>何光明（副市长）</w:t>
      </w:r>
    </w:p>
    <w:p w14:paraId="22C9061D">
      <w:pPr>
        <w:ind w:left="1050" w:leftChars="500" w:firstLine="420"/>
      </w:pPr>
      <w:r>
        <w:rPr>
          <w:rFonts w:hint="eastAsia"/>
        </w:rPr>
        <w:t>马细妹（副市长）</w:t>
      </w:r>
    </w:p>
    <w:p w14:paraId="3FBBE41A">
      <w:pPr>
        <w:ind w:firstLine="422"/>
      </w:pPr>
      <w:r>
        <w:rPr>
          <w:rFonts w:hint="eastAsia"/>
          <w:b/>
          <w:bCs/>
        </w:rPr>
        <w:t>成    员</w:t>
      </w:r>
      <w:r>
        <w:rPr>
          <w:rFonts w:hint="eastAsia"/>
        </w:rPr>
        <w:t>：（排名不分先后）</w:t>
      </w:r>
    </w:p>
    <w:p w14:paraId="78028994">
      <w:pPr>
        <w:ind w:left="1050" w:leftChars="500" w:firstLine="420"/>
      </w:pPr>
      <w:r>
        <w:rPr>
          <w:rFonts w:hint="eastAsia"/>
        </w:rPr>
        <w:t>何文忠  张堂耀  张  新  周宏忠  朱定球  王婉霞</w:t>
      </w:r>
    </w:p>
    <w:p w14:paraId="1345F602">
      <w:pPr>
        <w:ind w:left="1050" w:leftChars="500" w:firstLine="420"/>
      </w:pPr>
      <w:r>
        <w:rPr>
          <w:rFonts w:hint="eastAsia"/>
        </w:rPr>
        <w:t>孔令平  陈景泰  王友华  田文斌  李应军  董圣国</w:t>
      </w:r>
    </w:p>
    <w:p w14:paraId="76F64F27">
      <w:pPr>
        <w:ind w:left="1050" w:leftChars="500" w:firstLine="420"/>
      </w:pPr>
      <w:r>
        <w:rPr>
          <w:rFonts w:hint="eastAsia"/>
        </w:rPr>
        <w:t>廖声华  李传忠  张政平  林绍发  袁元桃  陈仁麟</w:t>
      </w:r>
    </w:p>
    <w:p w14:paraId="5EBEC263">
      <w:pPr>
        <w:ind w:left="1050" w:leftChars="500" w:firstLine="420"/>
      </w:pPr>
      <w:r>
        <w:rPr>
          <w:rFonts w:hint="eastAsia"/>
        </w:rPr>
        <w:t>肖梅山  丁春晖  张英宏  何启林  尹本善  邓朝东</w:t>
      </w:r>
    </w:p>
    <w:p w14:paraId="22BF0ED3">
      <w:pPr>
        <w:ind w:left="1050" w:leftChars="500" w:firstLine="420"/>
      </w:pPr>
      <w:r>
        <w:rPr>
          <w:rFonts w:hint="eastAsia"/>
        </w:rPr>
        <w:t>沈步亮  肖丽琼  卢德政</w:t>
      </w:r>
    </w:p>
    <w:p w14:paraId="40FBBC26">
      <w:pPr>
        <w:pStyle w:val="2"/>
        <w:ind w:firstLine="883"/>
      </w:pPr>
      <w:r>
        <w:rPr>
          <w:rFonts w:hint="eastAsia"/>
        </w:rPr>
        <w:t>《南雄年鉴》（2012）编辑部</w:t>
      </w:r>
    </w:p>
    <w:p w14:paraId="55AD0CE3">
      <w:pPr>
        <w:ind w:firstLine="422"/>
      </w:pPr>
      <w:r>
        <w:rPr>
          <w:rFonts w:hint="eastAsia"/>
          <w:b/>
          <w:bCs/>
        </w:rPr>
        <w:t>主      编</w:t>
      </w:r>
      <w:r>
        <w:rPr>
          <w:rFonts w:hint="eastAsia"/>
        </w:rPr>
        <w:t>：陈景泰</w:t>
      </w:r>
    </w:p>
    <w:p w14:paraId="2A2664E3">
      <w:pPr>
        <w:ind w:firstLine="422"/>
      </w:pPr>
      <w:r>
        <w:rPr>
          <w:rFonts w:hint="eastAsia"/>
          <w:b/>
          <w:bCs/>
        </w:rPr>
        <w:t>执行副主编</w:t>
      </w:r>
      <w:r>
        <w:rPr>
          <w:rFonts w:hint="eastAsia"/>
        </w:rPr>
        <w:t>：谢平</w:t>
      </w:r>
    </w:p>
    <w:p w14:paraId="4042C1DA">
      <w:pPr>
        <w:ind w:firstLine="422"/>
      </w:pPr>
      <w:r>
        <w:rPr>
          <w:rFonts w:hint="eastAsia"/>
          <w:b/>
          <w:bCs/>
        </w:rPr>
        <w:t>副  主  编</w:t>
      </w:r>
      <w:r>
        <w:rPr>
          <w:rFonts w:hint="eastAsia"/>
        </w:rPr>
        <w:t>：李君祥</w:t>
      </w:r>
    </w:p>
    <w:p w14:paraId="5D49D576">
      <w:pPr>
        <w:ind w:firstLine="422"/>
        <w:rPr>
          <w:rFonts w:hint="eastAsia"/>
        </w:rPr>
      </w:pPr>
      <w:r>
        <w:rPr>
          <w:rFonts w:hint="eastAsia"/>
          <w:b/>
          <w:bCs/>
        </w:rPr>
        <w:t>编      辑</w:t>
      </w:r>
      <w:r>
        <w:rPr>
          <w:rFonts w:hint="eastAsia"/>
        </w:rPr>
        <w:t>：陈景泰  李君祥  谢平  陈如永  刘球凤  杨洪标</w:t>
      </w:r>
    </w:p>
    <w:p w14:paraId="3F40DA2A">
      <w:pPr>
        <w:pStyle w:val="2"/>
        <w:bidi w:val="0"/>
        <w:rPr>
          <w:rFonts w:hint="default"/>
          <w:lang w:val="en-US" w:eastAsia="zh-CN"/>
        </w:rPr>
      </w:pPr>
      <w:r>
        <w:rPr>
          <w:rFonts w:hint="eastAsia"/>
          <w:lang w:val="en-US" w:eastAsia="zh-CN"/>
        </w:rPr>
        <w:t>数字南雄</w:t>
      </w:r>
    </w:p>
    <w:tbl>
      <w:tblPr>
        <w:tblStyle w:val="15"/>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5F8BBA1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6597352C">
            <w:pPr>
              <w:ind w:firstLine="0" w:firstLineChars="0"/>
              <w:jc w:val="center"/>
            </w:pPr>
            <w:r>
              <w:rPr>
                <w:rFonts w:hint="eastAsia"/>
              </w:rPr>
              <w:drawing>
                <wp:inline distT="0" distB="0" distL="114300" distR="114300">
                  <wp:extent cx="5879465" cy="8100060"/>
                  <wp:effectExtent l="0" t="0" r="6985" b="15240"/>
                  <wp:docPr id="9" name="图片 9" descr="南雄年鉴2012_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南雄年鉴2012_0009"/>
                          <pic:cNvPicPr>
                            <a:picLocks noChangeAspect="1"/>
                          </pic:cNvPicPr>
                        </pic:nvPicPr>
                        <pic:blipFill>
                          <a:blip r:embed="rId13" cstate="print"/>
                          <a:stretch>
                            <a:fillRect/>
                          </a:stretch>
                        </pic:blipFill>
                        <pic:spPr>
                          <a:xfrm>
                            <a:off x="0" y="0"/>
                            <a:ext cx="5879465" cy="8100060"/>
                          </a:xfrm>
                          <a:prstGeom prst="rect">
                            <a:avLst/>
                          </a:prstGeom>
                        </pic:spPr>
                      </pic:pic>
                    </a:graphicData>
                  </a:graphic>
                </wp:inline>
              </w:drawing>
            </w:r>
          </w:p>
        </w:tc>
      </w:tr>
    </w:tbl>
    <w:p w14:paraId="255969B7">
      <w:pPr>
        <w:ind w:firstLine="420"/>
      </w:pPr>
    </w:p>
    <w:tbl>
      <w:tblPr>
        <w:tblStyle w:val="15"/>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2FCE5EE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0F4165E8">
            <w:pPr>
              <w:ind w:firstLine="0" w:firstLineChars="0"/>
            </w:pPr>
            <w:r>
              <w:rPr>
                <w:rFonts w:hint="eastAsia"/>
              </w:rPr>
              <w:drawing>
                <wp:inline distT="0" distB="0" distL="114300" distR="114300">
                  <wp:extent cx="6179820" cy="8512175"/>
                  <wp:effectExtent l="0" t="0" r="11430" b="3175"/>
                  <wp:docPr id="55" name="图片 55" descr="南雄年鉴2012_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南雄年鉴2012_0010"/>
                          <pic:cNvPicPr>
                            <a:picLocks noChangeAspect="1"/>
                          </pic:cNvPicPr>
                        </pic:nvPicPr>
                        <pic:blipFill>
                          <a:blip r:embed="rId14" cstate="print"/>
                          <a:stretch>
                            <a:fillRect/>
                          </a:stretch>
                        </pic:blipFill>
                        <pic:spPr>
                          <a:xfrm>
                            <a:off x="0" y="0"/>
                            <a:ext cx="6179820" cy="8512175"/>
                          </a:xfrm>
                          <a:prstGeom prst="rect">
                            <a:avLst/>
                          </a:prstGeom>
                        </pic:spPr>
                      </pic:pic>
                    </a:graphicData>
                  </a:graphic>
                </wp:inline>
              </w:drawing>
            </w:r>
          </w:p>
        </w:tc>
      </w:tr>
    </w:tbl>
    <w:p w14:paraId="496E6803">
      <w:pPr>
        <w:ind w:firstLine="420"/>
      </w:pPr>
    </w:p>
    <w:tbl>
      <w:tblPr>
        <w:tblStyle w:val="15"/>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73BFA46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14C8B56F">
            <w:pPr>
              <w:ind w:firstLine="0" w:firstLineChars="0"/>
            </w:pPr>
            <w:r>
              <w:rPr>
                <w:rFonts w:hint="eastAsia"/>
              </w:rPr>
              <w:drawing>
                <wp:inline distT="0" distB="0" distL="114300" distR="114300">
                  <wp:extent cx="6179820" cy="8512175"/>
                  <wp:effectExtent l="0" t="0" r="11430" b="3175"/>
                  <wp:docPr id="82" name="图片 82" descr="南雄年鉴2012_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南雄年鉴2012_0011"/>
                          <pic:cNvPicPr>
                            <a:picLocks noChangeAspect="1"/>
                          </pic:cNvPicPr>
                        </pic:nvPicPr>
                        <pic:blipFill>
                          <a:blip r:embed="rId15" cstate="print"/>
                          <a:stretch>
                            <a:fillRect/>
                          </a:stretch>
                        </pic:blipFill>
                        <pic:spPr>
                          <a:xfrm>
                            <a:off x="0" y="0"/>
                            <a:ext cx="6179820" cy="8512175"/>
                          </a:xfrm>
                          <a:prstGeom prst="rect">
                            <a:avLst/>
                          </a:prstGeom>
                        </pic:spPr>
                      </pic:pic>
                    </a:graphicData>
                  </a:graphic>
                </wp:inline>
              </w:drawing>
            </w:r>
          </w:p>
        </w:tc>
      </w:tr>
    </w:tbl>
    <w:p w14:paraId="215E55B4">
      <w:pPr>
        <w:ind w:firstLine="0" w:firstLineChars="0"/>
      </w:pPr>
    </w:p>
    <w:tbl>
      <w:tblPr>
        <w:tblStyle w:val="1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382B8A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74D4FE80">
            <w:pPr>
              <w:ind w:firstLine="0" w:firstLineChars="0"/>
            </w:pPr>
            <w:r>
              <w:rPr>
                <w:rFonts w:hint="eastAsia"/>
              </w:rPr>
              <w:drawing>
                <wp:inline distT="0" distB="0" distL="114300" distR="114300">
                  <wp:extent cx="6187440" cy="4120515"/>
                  <wp:effectExtent l="0" t="0" r="3810" b="13335"/>
                  <wp:docPr id="13" name="图片 13" descr="南雄年鉴20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南雄年鉴2012-1"/>
                          <pic:cNvPicPr>
                            <a:picLocks noChangeAspect="1"/>
                          </pic:cNvPicPr>
                        </pic:nvPicPr>
                        <pic:blipFill>
                          <a:blip r:embed="rId16" cstate="print"/>
                          <a:stretch>
                            <a:fillRect/>
                          </a:stretch>
                        </pic:blipFill>
                        <pic:spPr>
                          <a:xfrm>
                            <a:off x="0" y="0"/>
                            <a:ext cx="6187440" cy="4120515"/>
                          </a:xfrm>
                          <a:prstGeom prst="rect">
                            <a:avLst/>
                          </a:prstGeom>
                        </pic:spPr>
                      </pic:pic>
                    </a:graphicData>
                  </a:graphic>
                </wp:inline>
              </w:drawing>
            </w:r>
          </w:p>
        </w:tc>
      </w:tr>
      <w:tr w14:paraId="06F744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vAlign w:val="center"/>
          </w:tcPr>
          <w:p w14:paraId="6FE4B538">
            <w:pPr>
              <w:ind w:firstLine="420"/>
              <w:rPr>
                <w:rFonts w:ascii="宋体" w:hAnsi="宋体"/>
                <w:kern w:val="0"/>
                <w:szCs w:val="21"/>
              </w:rPr>
            </w:pPr>
            <w:r>
              <w:rPr>
                <w:rFonts w:ascii="宋体" w:hAnsi="宋体"/>
                <w:kern w:val="0"/>
                <w:szCs w:val="21"/>
              </w:rPr>
              <w:t>2011</w:t>
            </w:r>
            <w:r>
              <w:rPr>
                <w:rFonts w:hint="eastAsia" w:ascii="宋体" w:hAnsi="宋体"/>
                <w:kern w:val="0"/>
                <w:szCs w:val="21"/>
              </w:rPr>
              <w:t>年</w:t>
            </w:r>
            <w:r>
              <w:rPr>
                <w:rFonts w:ascii="宋体" w:hAnsi="宋体"/>
                <w:kern w:val="0"/>
                <w:szCs w:val="21"/>
              </w:rPr>
              <w:t>4</w:t>
            </w:r>
            <w:r>
              <w:rPr>
                <w:rFonts w:hint="eastAsia" w:ascii="宋体" w:hAnsi="宋体"/>
                <w:kern w:val="0"/>
                <w:szCs w:val="21"/>
              </w:rPr>
              <w:t>月</w:t>
            </w:r>
            <w:r>
              <w:rPr>
                <w:rFonts w:ascii="宋体" w:hAnsi="宋体"/>
                <w:kern w:val="0"/>
                <w:szCs w:val="21"/>
              </w:rPr>
              <w:t>11</w:t>
            </w:r>
            <w:r>
              <w:rPr>
                <w:rFonts w:hint="eastAsia" w:ascii="宋体" w:hAnsi="宋体"/>
                <w:kern w:val="0"/>
                <w:szCs w:val="21"/>
              </w:rPr>
              <w:t>日，广</w:t>
            </w:r>
            <w:r>
              <w:rPr>
                <w:rFonts w:hint="eastAsia" w:ascii="宋体" w:hAnsi="宋体" w:cs="宋体"/>
                <w:kern w:val="0"/>
                <w:szCs w:val="21"/>
              </w:rPr>
              <w:t>东</w:t>
            </w:r>
            <w:r>
              <w:rPr>
                <w:rFonts w:hint="eastAsia" w:ascii="宋体" w:hAnsi="宋体" w:cs="MS Gothic"/>
                <w:kern w:val="0"/>
                <w:szCs w:val="21"/>
              </w:rPr>
              <w:t>省委常委、宣</w:t>
            </w:r>
            <w:r>
              <w:rPr>
                <w:rFonts w:hint="eastAsia" w:ascii="宋体" w:hAnsi="宋体" w:cs="宋体"/>
                <w:kern w:val="0"/>
                <w:szCs w:val="21"/>
              </w:rPr>
              <w:t>传</w:t>
            </w:r>
            <w:r>
              <w:rPr>
                <w:rFonts w:hint="eastAsia" w:ascii="宋体" w:hAnsi="宋体" w:cs="MS Gothic"/>
                <w:kern w:val="0"/>
                <w:szCs w:val="21"/>
              </w:rPr>
              <w:t>部</w:t>
            </w:r>
            <w:r>
              <w:rPr>
                <w:rFonts w:hint="eastAsia" w:ascii="宋体" w:hAnsi="宋体" w:cs="宋体"/>
                <w:kern w:val="0"/>
                <w:szCs w:val="21"/>
              </w:rPr>
              <w:t>长</w:t>
            </w:r>
            <w:r>
              <w:rPr>
                <w:rFonts w:hint="eastAsia" w:ascii="宋体" w:hAnsi="宋体" w:cs="MS Gothic"/>
                <w:kern w:val="0"/>
                <w:szCs w:val="21"/>
              </w:rPr>
              <w:t>林雄（左二）在南雄市委</w:t>
            </w:r>
            <w:r>
              <w:rPr>
                <w:rFonts w:hint="eastAsia" w:ascii="宋体" w:hAnsi="宋体" w:cs="宋体"/>
                <w:kern w:val="0"/>
                <w:szCs w:val="21"/>
              </w:rPr>
              <w:t>书记许</w:t>
            </w:r>
            <w:r>
              <w:rPr>
                <w:rFonts w:hint="eastAsia" w:ascii="宋体" w:hAnsi="宋体" w:cs="MS Gothic"/>
                <w:kern w:val="0"/>
                <w:szCs w:val="21"/>
              </w:rPr>
              <w:t>志新（左</w:t>
            </w:r>
            <w:r>
              <w:rPr>
                <w:rFonts w:hint="eastAsia" w:ascii="宋体" w:hAnsi="宋体"/>
                <w:kern w:val="0"/>
                <w:szCs w:val="21"/>
              </w:rPr>
              <w:t>一）和市</w:t>
            </w:r>
            <w:r>
              <w:rPr>
                <w:rFonts w:hint="eastAsia" w:ascii="宋体" w:hAnsi="宋体" w:cs="宋体"/>
                <w:kern w:val="0"/>
                <w:szCs w:val="21"/>
              </w:rPr>
              <w:t>长</w:t>
            </w:r>
            <w:r>
              <w:rPr>
                <w:rFonts w:hint="eastAsia" w:ascii="宋体" w:hAnsi="宋体" w:cs="MS Gothic"/>
                <w:kern w:val="0"/>
                <w:szCs w:val="21"/>
              </w:rPr>
              <w:t>刘清生（右四）陪同</w:t>
            </w:r>
            <w:r>
              <w:rPr>
                <w:rFonts w:hint="eastAsia" w:ascii="宋体" w:hAnsi="宋体" w:cs="宋体"/>
                <w:kern w:val="0"/>
                <w:szCs w:val="21"/>
              </w:rPr>
              <w:t>调</w:t>
            </w:r>
            <w:r>
              <w:rPr>
                <w:rFonts w:hint="eastAsia" w:ascii="宋体" w:hAnsi="宋体" w:cs="MS Gothic"/>
                <w:kern w:val="0"/>
                <w:szCs w:val="21"/>
              </w:rPr>
              <w:t>研南雄文化</w:t>
            </w:r>
            <w:r>
              <w:rPr>
                <w:rFonts w:hint="eastAsia" w:ascii="宋体" w:hAnsi="宋体" w:cs="宋体"/>
                <w:kern w:val="0"/>
                <w:szCs w:val="21"/>
              </w:rPr>
              <w:t>产业</w:t>
            </w:r>
          </w:p>
        </w:tc>
      </w:tr>
    </w:tbl>
    <w:p w14:paraId="33AFD2C5">
      <w:pPr>
        <w:ind w:firstLine="420"/>
      </w:pPr>
    </w:p>
    <w:tbl>
      <w:tblPr>
        <w:tblStyle w:val="1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0A67A6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1F8A29B6">
            <w:pPr>
              <w:ind w:firstLine="0" w:firstLineChars="0"/>
            </w:pPr>
            <w:r>
              <w:rPr>
                <w:rFonts w:hint="eastAsia"/>
              </w:rPr>
              <w:drawing>
                <wp:inline distT="0" distB="0" distL="114300" distR="114300">
                  <wp:extent cx="6187440" cy="4120515"/>
                  <wp:effectExtent l="0" t="0" r="3810" b="13335"/>
                  <wp:docPr id="14" name="图片 14" descr="南雄年鉴20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南雄年鉴2012-2"/>
                          <pic:cNvPicPr>
                            <a:picLocks noChangeAspect="1"/>
                          </pic:cNvPicPr>
                        </pic:nvPicPr>
                        <pic:blipFill>
                          <a:blip r:embed="rId17" cstate="print"/>
                          <a:stretch>
                            <a:fillRect/>
                          </a:stretch>
                        </pic:blipFill>
                        <pic:spPr>
                          <a:xfrm>
                            <a:off x="0" y="0"/>
                            <a:ext cx="6187440" cy="4120515"/>
                          </a:xfrm>
                          <a:prstGeom prst="rect">
                            <a:avLst/>
                          </a:prstGeom>
                        </pic:spPr>
                      </pic:pic>
                    </a:graphicData>
                  </a:graphic>
                </wp:inline>
              </w:drawing>
            </w:r>
          </w:p>
        </w:tc>
      </w:tr>
      <w:tr w14:paraId="209D0E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vAlign w:val="center"/>
          </w:tcPr>
          <w:p w14:paraId="24B28C29">
            <w:pPr>
              <w:ind w:firstLine="420"/>
              <w:rPr>
                <w:rFonts w:ascii="宋体" w:hAnsi="宋体"/>
                <w:szCs w:val="21"/>
              </w:rPr>
            </w:pPr>
            <w:r>
              <w:rPr>
                <w:rFonts w:ascii="宋体" w:hAnsi="宋体"/>
                <w:kern w:val="0"/>
                <w:szCs w:val="21"/>
              </w:rPr>
              <w:t>2011</w:t>
            </w:r>
            <w:r>
              <w:rPr>
                <w:rFonts w:hint="eastAsia" w:ascii="宋体" w:hAnsi="宋体"/>
                <w:kern w:val="0"/>
                <w:szCs w:val="21"/>
              </w:rPr>
              <w:t>年</w:t>
            </w:r>
            <w:r>
              <w:rPr>
                <w:rFonts w:ascii="宋体" w:hAnsi="宋体"/>
                <w:kern w:val="0"/>
                <w:szCs w:val="21"/>
              </w:rPr>
              <w:t>6</w:t>
            </w:r>
            <w:r>
              <w:rPr>
                <w:rFonts w:hint="eastAsia" w:ascii="宋体" w:hAnsi="宋体"/>
                <w:kern w:val="0"/>
                <w:szCs w:val="21"/>
              </w:rPr>
              <w:t>月</w:t>
            </w:r>
            <w:r>
              <w:rPr>
                <w:rFonts w:ascii="宋体" w:hAnsi="宋体"/>
                <w:kern w:val="0"/>
                <w:szCs w:val="21"/>
              </w:rPr>
              <w:t>15</w:t>
            </w:r>
            <w:r>
              <w:rPr>
                <w:rFonts w:hint="eastAsia" w:ascii="宋体" w:hAnsi="宋体"/>
                <w:kern w:val="0"/>
                <w:szCs w:val="21"/>
              </w:rPr>
              <w:t>日，广</w:t>
            </w:r>
            <w:r>
              <w:rPr>
                <w:rFonts w:hint="eastAsia" w:ascii="宋体" w:hAnsi="宋体" w:cs="宋体"/>
                <w:kern w:val="0"/>
                <w:szCs w:val="21"/>
              </w:rPr>
              <w:t>东</w:t>
            </w:r>
            <w:r>
              <w:rPr>
                <w:rFonts w:hint="eastAsia" w:ascii="宋体" w:hAnsi="宋体" w:cs="MS Gothic"/>
                <w:kern w:val="0"/>
                <w:szCs w:val="21"/>
              </w:rPr>
              <w:t>省委常委</w:t>
            </w:r>
            <w:r>
              <w:rPr>
                <w:rFonts w:hint="eastAsia" w:ascii="宋体" w:hAnsi="宋体"/>
                <w:color w:val="585656"/>
                <w:kern w:val="0"/>
                <w:szCs w:val="21"/>
              </w:rPr>
              <w:t>、</w:t>
            </w:r>
            <w:r>
              <w:rPr>
                <w:rFonts w:hint="eastAsia" w:ascii="宋体" w:hAnsi="宋体"/>
                <w:kern w:val="0"/>
                <w:szCs w:val="21"/>
              </w:rPr>
              <w:t>政法委</w:t>
            </w:r>
            <w:r>
              <w:rPr>
                <w:rFonts w:hint="eastAsia" w:ascii="宋体" w:hAnsi="宋体" w:cs="宋体"/>
                <w:kern w:val="0"/>
                <w:szCs w:val="21"/>
              </w:rPr>
              <w:t>书记</w:t>
            </w:r>
            <w:r>
              <w:rPr>
                <w:rFonts w:hint="eastAsia" w:ascii="宋体" w:hAnsi="宋体" w:cs="MS Gothic"/>
                <w:kern w:val="0"/>
                <w:szCs w:val="21"/>
              </w:rPr>
              <w:t>梁</w:t>
            </w:r>
            <w:r>
              <w:rPr>
                <w:rFonts w:hint="eastAsia" w:ascii="宋体" w:hAnsi="宋体" w:cs="宋体"/>
                <w:kern w:val="0"/>
                <w:szCs w:val="21"/>
              </w:rPr>
              <w:t>伟发</w:t>
            </w:r>
            <w:r>
              <w:rPr>
                <w:rFonts w:hint="eastAsia" w:ascii="宋体" w:hAnsi="宋体" w:cs="MS Gothic"/>
                <w:kern w:val="0"/>
                <w:szCs w:val="21"/>
              </w:rPr>
              <w:t>（左三）在南雄珠</w:t>
            </w:r>
            <w:r>
              <w:rPr>
                <w:rFonts w:hint="eastAsia" w:ascii="宋体" w:hAnsi="宋体" w:cs="宋体"/>
                <w:kern w:val="0"/>
                <w:szCs w:val="21"/>
              </w:rPr>
              <w:t>矶镇调</w:t>
            </w:r>
            <w:r>
              <w:rPr>
                <w:rFonts w:hint="eastAsia" w:ascii="宋体" w:hAnsi="宋体"/>
                <w:kern w:val="0"/>
                <w:szCs w:val="21"/>
              </w:rPr>
              <w:t>研</w:t>
            </w:r>
          </w:p>
        </w:tc>
      </w:tr>
    </w:tbl>
    <w:p w14:paraId="5C60EE49">
      <w:pPr>
        <w:ind w:firstLine="420"/>
      </w:pPr>
    </w:p>
    <w:tbl>
      <w:tblPr>
        <w:tblStyle w:val="1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2067C4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62" w:type="dxa"/>
            <w:tcBorders>
              <w:top w:val="nil"/>
              <w:left w:val="nil"/>
              <w:bottom w:val="nil"/>
              <w:right w:val="nil"/>
            </w:tcBorders>
          </w:tcPr>
          <w:p w14:paraId="441D17EC">
            <w:pPr>
              <w:ind w:firstLine="0" w:firstLineChars="0"/>
            </w:pPr>
            <w:r>
              <w:rPr>
                <w:rFonts w:hint="eastAsia"/>
              </w:rPr>
              <w:drawing>
                <wp:inline distT="0" distB="0" distL="114300" distR="114300">
                  <wp:extent cx="6184900" cy="4069080"/>
                  <wp:effectExtent l="0" t="0" r="6350" b="7620"/>
                  <wp:docPr id="15" name="图片 15" descr="南雄年鉴20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南雄年鉴2012-3"/>
                          <pic:cNvPicPr>
                            <a:picLocks noChangeAspect="1"/>
                          </pic:cNvPicPr>
                        </pic:nvPicPr>
                        <pic:blipFill>
                          <a:blip r:embed="rId18" cstate="print"/>
                          <a:stretch>
                            <a:fillRect/>
                          </a:stretch>
                        </pic:blipFill>
                        <pic:spPr>
                          <a:xfrm>
                            <a:off x="0" y="0"/>
                            <a:ext cx="6184900" cy="4069080"/>
                          </a:xfrm>
                          <a:prstGeom prst="rect">
                            <a:avLst/>
                          </a:prstGeom>
                        </pic:spPr>
                      </pic:pic>
                    </a:graphicData>
                  </a:graphic>
                </wp:inline>
              </w:drawing>
            </w:r>
          </w:p>
        </w:tc>
      </w:tr>
      <w:tr w14:paraId="2935D3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vAlign w:val="center"/>
          </w:tcPr>
          <w:p w14:paraId="5ECFB00E">
            <w:pPr>
              <w:autoSpaceDE w:val="0"/>
              <w:autoSpaceDN w:val="0"/>
              <w:adjustRightInd w:val="0"/>
              <w:ind w:firstLine="420"/>
              <w:jc w:val="left"/>
              <w:rPr>
                <w:rFonts w:ascii="宋体" w:hAnsi="宋体"/>
                <w:szCs w:val="21"/>
              </w:rPr>
            </w:pPr>
            <w:r>
              <w:rPr>
                <w:rFonts w:ascii="宋体" w:hAnsi="宋体" w:cs="HiddenHorzOCR"/>
                <w:color w:val="272526"/>
                <w:kern w:val="0"/>
                <w:szCs w:val="21"/>
              </w:rPr>
              <w:t>2011</w:t>
            </w:r>
            <w:r>
              <w:rPr>
                <w:rFonts w:hint="eastAsia" w:ascii="宋体" w:hAnsi="宋体" w:cs="HiddenHorzOCR"/>
                <w:color w:val="272526"/>
                <w:kern w:val="0"/>
                <w:szCs w:val="21"/>
              </w:rPr>
              <w:t>年</w:t>
            </w:r>
            <w:r>
              <w:rPr>
                <w:rFonts w:ascii="宋体" w:hAnsi="宋体" w:cs="HiddenHorzOCR"/>
                <w:color w:val="272526"/>
                <w:kern w:val="0"/>
                <w:szCs w:val="21"/>
              </w:rPr>
              <w:t>11</w:t>
            </w:r>
            <w:r>
              <w:rPr>
                <w:rFonts w:hint="eastAsia" w:ascii="宋体" w:hAnsi="宋体" w:cs="HiddenHorzOCR"/>
                <w:color w:val="272526"/>
                <w:kern w:val="0"/>
                <w:szCs w:val="21"/>
              </w:rPr>
              <w:t>月</w:t>
            </w:r>
            <w:r>
              <w:rPr>
                <w:rFonts w:ascii="宋体" w:hAnsi="宋体" w:cs="HiddenHorzOCR"/>
                <w:color w:val="272526"/>
                <w:kern w:val="0"/>
                <w:szCs w:val="21"/>
              </w:rPr>
              <w:t>23</w:t>
            </w:r>
            <w:r>
              <w:rPr>
                <w:rFonts w:hint="eastAsia" w:ascii="宋体" w:hAnsi="宋体" w:cs="HiddenHorzOCR"/>
                <w:color w:val="272526"/>
                <w:kern w:val="0"/>
                <w:szCs w:val="21"/>
              </w:rPr>
              <w:t>日，广</w:t>
            </w:r>
            <w:r>
              <w:rPr>
                <w:rFonts w:hint="eastAsia" w:ascii="宋体" w:hAnsi="宋体" w:cs="宋体"/>
                <w:color w:val="272526"/>
                <w:kern w:val="0"/>
                <w:szCs w:val="21"/>
              </w:rPr>
              <w:t>东</w:t>
            </w:r>
            <w:r>
              <w:rPr>
                <w:rFonts w:hint="eastAsia" w:ascii="宋体" w:hAnsi="宋体" w:cs="MS Gothic"/>
                <w:color w:val="272526"/>
                <w:kern w:val="0"/>
                <w:szCs w:val="21"/>
              </w:rPr>
              <w:t>省副省</w:t>
            </w:r>
            <w:r>
              <w:rPr>
                <w:rFonts w:hint="eastAsia" w:ascii="宋体" w:hAnsi="宋体" w:cs="宋体"/>
                <w:color w:val="272526"/>
                <w:kern w:val="0"/>
                <w:szCs w:val="21"/>
              </w:rPr>
              <w:t>长陈</w:t>
            </w:r>
            <w:r>
              <w:rPr>
                <w:rFonts w:hint="eastAsia" w:ascii="宋体" w:hAnsi="宋体" w:cs="MS Gothic"/>
                <w:color w:val="272526"/>
                <w:kern w:val="0"/>
                <w:szCs w:val="21"/>
              </w:rPr>
              <w:t>云</w:t>
            </w:r>
            <w:r>
              <w:rPr>
                <w:rFonts w:hint="eastAsia" w:ascii="宋体" w:hAnsi="宋体" w:cs="宋体"/>
                <w:color w:val="272526"/>
                <w:kern w:val="0"/>
                <w:szCs w:val="21"/>
              </w:rPr>
              <w:t>贤</w:t>
            </w:r>
            <w:r>
              <w:rPr>
                <w:rFonts w:hint="eastAsia" w:ascii="宋体" w:hAnsi="宋体" w:cs="HiddenHorzOCR"/>
                <w:color w:val="727272"/>
                <w:kern w:val="0"/>
                <w:szCs w:val="21"/>
              </w:rPr>
              <w:t>（</w:t>
            </w:r>
            <w:r>
              <w:rPr>
                <w:rFonts w:hint="eastAsia" w:ascii="宋体" w:hAnsi="宋体" w:cs="HiddenHorzOCR"/>
                <w:color w:val="373535"/>
                <w:kern w:val="0"/>
                <w:szCs w:val="21"/>
              </w:rPr>
              <w:t>右三</w:t>
            </w:r>
            <w:r>
              <w:rPr>
                <w:rFonts w:hint="eastAsia" w:ascii="宋体" w:hAnsi="宋体" w:cs="HiddenHorzOCR"/>
                <w:color w:val="727272"/>
                <w:kern w:val="0"/>
                <w:szCs w:val="21"/>
              </w:rPr>
              <w:t>）</w:t>
            </w:r>
            <w:r>
              <w:rPr>
                <w:rFonts w:hint="eastAsia" w:ascii="宋体" w:hAnsi="宋体" w:cs="HiddenHorzOCR"/>
                <w:color w:val="373535"/>
                <w:kern w:val="0"/>
                <w:szCs w:val="21"/>
              </w:rPr>
              <w:t>在韶关市委</w:t>
            </w:r>
            <w:r>
              <w:rPr>
                <w:rFonts w:hint="eastAsia" w:ascii="宋体" w:hAnsi="宋体" w:cs="宋体"/>
                <w:color w:val="373535"/>
                <w:kern w:val="0"/>
                <w:szCs w:val="21"/>
              </w:rPr>
              <w:t>书记郑</w:t>
            </w:r>
            <w:r>
              <w:rPr>
                <w:rFonts w:hint="eastAsia" w:ascii="宋体" w:hAnsi="宋体" w:cs="MS Gothic"/>
                <w:color w:val="373535"/>
                <w:kern w:val="0"/>
                <w:szCs w:val="21"/>
              </w:rPr>
              <w:t>振涛</w:t>
            </w:r>
            <w:r>
              <w:rPr>
                <w:rFonts w:hint="eastAsia" w:ascii="宋体" w:hAnsi="宋体" w:cs="HiddenHorzOCR"/>
                <w:color w:val="727272"/>
                <w:kern w:val="0"/>
                <w:szCs w:val="21"/>
              </w:rPr>
              <w:t>（</w:t>
            </w:r>
            <w:r>
              <w:rPr>
                <w:rFonts w:hint="eastAsia" w:ascii="宋体" w:hAnsi="宋体" w:cs="HiddenHorzOCR"/>
                <w:color w:val="272526"/>
                <w:kern w:val="0"/>
                <w:szCs w:val="21"/>
              </w:rPr>
              <w:t>右二</w:t>
            </w:r>
            <w:r>
              <w:rPr>
                <w:rFonts w:hint="eastAsia" w:ascii="宋体" w:hAnsi="宋体" w:cs="HiddenHorzOCR"/>
                <w:color w:val="636363"/>
                <w:kern w:val="0"/>
                <w:szCs w:val="21"/>
              </w:rPr>
              <w:t>）、</w:t>
            </w:r>
            <w:r>
              <w:rPr>
                <w:rFonts w:hint="eastAsia" w:ascii="宋体" w:hAnsi="宋体" w:cs="HiddenHorzOCR"/>
                <w:color w:val="272526"/>
                <w:kern w:val="0"/>
                <w:szCs w:val="21"/>
              </w:rPr>
              <w:t>南雄市委</w:t>
            </w:r>
            <w:r>
              <w:rPr>
                <w:rFonts w:hint="eastAsia" w:ascii="宋体" w:hAnsi="宋体" w:cs="宋体"/>
                <w:color w:val="272526"/>
                <w:kern w:val="0"/>
                <w:szCs w:val="21"/>
              </w:rPr>
              <w:t>书记许</w:t>
            </w:r>
            <w:r>
              <w:rPr>
                <w:rFonts w:hint="eastAsia" w:ascii="宋体" w:hAnsi="宋体" w:cs="MS Gothic"/>
                <w:color w:val="272526"/>
                <w:kern w:val="0"/>
                <w:szCs w:val="21"/>
              </w:rPr>
              <w:t>志新</w:t>
            </w:r>
            <w:r>
              <w:rPr>
                <w:rFonts w:hint="eastAsia" w:ascii="宋体" w:hAnsi="宋体" w:cs="HiddenHorzOCR"/>
                <w:color w:val="727272"/>
                <w:kern w:val="0"/>
                <w:szCs w:val="21"/>
              </w:rPr>
              <w:t>（</w:t>
            </w:r>
            <w:r>
              <w:rPr>
                <w:rFonts w:hint="eastAsia" w:ascii="宋体" w:hAnsi="宋体" w:cs="HiddenHorzOCR"/>
                <w:color w:val="373535"/>
                <w:kern w:val="0"/>
                <w:szCs w:val="21"/>
              </w:rPr>
              <w:t>右四</w:t>
            </w:r>
            <w:r>
              <w:rPr>
                <w:rFonts w:hint="eastAsia" w:ascii="宋体" w:hAnsi="宋体" w:cs="HiddenHorzOCR"/>
                <w:color w:val="727272"/>
                <w:kern w:val="0"/>
                <w:szCs w:val="21"/>
              </w:rPr>
              <w:t>〉</w:t>
            </w:r>
            <w:r>
              <w:rPr>
                <w:rFonts w:hint="eastAsia" w:ascii="宋体" w:hAnsi="宋体" w:cs="HiddenHorzOCR"/>
                <w:color w:val="545454"/>
                <w:kern w:val="0"/>
                <w:szCs w:val="21"/>
              </w:rPr>
              <w:t>、</w:t>
            </w:r>
            <w:r>
              <w:rPr>
                <w:rFonts w:hint="eastAsia" w:ascii="宋体" w:hAnsi="宋体" w:cs="HiddenHorzOCR"/>
                <w:color w:val="373535"/>
                <w:kern w:val="0"/>
                <w:szCs w:val="21"/>
              </w:rPr>
              <w:t>市</w:t>
            </w:r>
            <w:r>
              <w:rPr>
                <w:rFonts w:hint="eastAsia" w:ascii="宋体" w:hAnsi="宋体" w:cs="宋体"/>
                <w:color w:val="373535"/>
                <w:kern w:val="0"/>
                <w:szCs w:val="21"/>
              </w:rPr>
              <w:t>长</w:t>
            </w:r>
            <w:r>
              <w:rPr>
                <w:rFonts w:hint="eastAsia" w:ascii="宋体" w:hAnsi="宋体" w:cs="MS Gothic"/>
                <w:color w:val="373535"/>
                <w:kern w:val="0"/>
                <w:szCs w:val="21"/>
              </w:rPr>
              <w:t>刘清生</w:t>
            </w:r>
            <w:r>
              <w:rPr>
                <w:rFonts w:hint="eastAsia" w:ascii="宋体" w:hAnsi="宋体" w:cs="HiddenHorzOCR"/>
                <w:color w:val="727272"/>
                <w:kern w:val="0"/>
                <w:szCs w:val="21"/>
              </w:rPr>
              <w:t>（</w:t>
            </w:r>
            <w:r>
              <w:rPr>
                <w:rFonts w:hint="eastAsia" w:ascii="宋体" w:hAnsi="宋体" w:cs="HiddenHorzOCR"/>
                <w:color w:val="373535"/>
                <w:kern w:val="0"/>
                <w:szCs w:val="21"/>
              </w:rPr>
              <w:t>右一</w:t>
            </w:r>
            <w:r>
              <w:rPr>
                <w:rFonts w:hint="eastAsia" w:ascii="宋体" w:hAnsi="宋体" w:cs="HiddenHorzOCR"/>
                <w:color w:val="727272"/>
                <w:kern w:val="0"/>
                <w:szCs w:val="21"/>
              </w:rPr>
              <w:t>）</w:t>
            </w:r>
            <w:r>
              <w:rPr>
                <w:rFonts w:hint="eastAsia" w:ascii="宋体" w:hAnsi="宋体" w:cs="HiddenHorzOCR"/>
                <w:color w:val="373535"/>
                <w:kern w:val="0"/>
                <w:szCs w:val="21"/>
              </w:rPr>
              <w:t>陪同</w:t>
            </w:r>
            <w:r>
              <w:rPr>
                <w:rFonts w:hint="eastAsia" w:ascii="宋体" w:hAnsi="宋体" w:cs="宋体"/>
                <w:color w:val="373535"/>
                <w:kern w:val="0"/>
                <w:szCs w:val="21"/>
              </w:rPr>
              <w:t>视</w:t>
            </w:r>
            <w:r>
              <w:rPr>
                <w:rFonts w:hint="eastAsia" w:ascii="宋体" w:hAnsi="宋体" w:cs="MS Gothic"/>
                <w:color w:val="373535"/>
                <w:kern w:val="0"/>
                <w:szCs w:val="21"/>
              </w:rPr>
              <w:t>察南雄精</w:t>
            </w:r>
            <w:r>
              <w:rPr>
                <w:rFonts w:hint="eastAsia" w:ascii="宋体" w:hAnsi="宋体" w:cs="宋体"/>
                <w:color w:val="373535"/>
                <w:kern w:val="0"/>
                <w:szCs w:val="21"/>
              </w:rPr>
              <w:t>细</w:t>
            </w:r>
            <w:r>
              <w:rPr>
                <w:rFonts w:hint="eastAsia" w:ascii="宋体" w:hAnsi="宋体" w:cs="MS Gothic"/>
                <w:color w:val="373535"/>
                <w:kern w:val="0"/>
                <w:szCs w:val="21"/>
              </w:rPr>
              <w:t>化工园</w:t>
            </w:r>
            <w:r>
              <w:rPr>
                <w:rFonts w:hint="eastAsia" w:ascii="宋体" w:hAnsi="宋体" w:cs="HiddenHorzOCR"/>
                <w:color w:val="373535"/>
                <w:kern w:val="0"/>
                <w:szCs w:val="21"/>
              </w:rPr>
              <w:t>区</w:t>
            </w:r>
          </w:p>
        </w:tc>
      </w:tr>
    </w:tbl>
    <w:p w14:paraId="5D5EA2E8">
      <w:pPr>
        <w:ind w:firstLine="420"/>
      </w:pPr>
    </w:p>
    <w:tbl>
      <w:tblPr>
        <w:tblStyle w:val="1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0BC03E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34E108DC">
            <w:pPr>
              <w:ind w:firstLine="0" w:firstLineChars="0"/>
            </w:pPr>
            <w:r>
              <w:rPr>
                <w:rFonts w:hint="eastAsia"/>
              </w:rPr>
              <w:drawing>
                <wp:inline distT="0" distB="0" distL="114300" distR="114300">
                  <wp:extent cx="6186170" cy="4114800"/>
                  <wp:effectExtent l="0" t="0" r="5080" b="0"/>
                  <wp:docPr id="16" name="图片 16" descr="南雄年鉴20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南雄年鉴2012-4"/>
                          <pic:cNvPicPr>
                            <a:picLocks noChangeAspect="1"/>
                          </pic:cNvPicPr>
                        </pic:nvPicPr>
                        <pic:blipFill>
                          <a:blip r:embed="rId19" cstate="print"/>
                          <a:stretch>
                            <a:fillRect/>
                          </a:stretch>
                        </pic:blipFill>
                        <pic:spPr>
                          <a:xfrm>
                            <a:off x="0" y="0"/>
                            <a:ext cx="6186170" cy="4114800"/>
                          </a:xfrm>
                          <a:prstGeom prst="rect">
                            <a:avLst/>
                          </a:prstGeom>
                        </pic:spPr>
                      </pic:pic>
                    </a:graphicData>
                  </a:graphic>
                </wp:inline>
              </w:drawing>
            </w:r>
          </w:p>
        </w:tc>
      </w:tr>
      <w:tr w14:paraId="27773F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vAlign w:val="center"/>
          </w:tcPr>
          <w:p w14:paraId="0C65B0A0">
            <w:pPr>
              <w:autoSpaceDE w:val="0"/>
              <w:autoSpaceDN w:val="0"/>
              <w:adjustRightInd w:val="0"/>
              <w:ind w:firstLine="420"/>
              <w:jc w:val="left"/>
              <w:rPr>
                <w:rFonts w:ascii="宋体" w:hAnsi="宋体" w:cs="HiddenHorzOCR"/>
                <w:color w:val="373535"/>
                <w:kern w:val="0"/>
                <w:szCs w:val="21"/>
              </w:rPr>
            </w:pPr>
            <w:r>
              <w:rPr>
                <w:rFonts w:ascii="宋体" w:hAnsi="宋体" w:cs="HiddenHorzOCR"/>
                <w:color w:val="272526"/>
                <w:kern w:val="0"/>
                <w:szCs w:val="21"/>
              </w:rPr>
              <w:t>2011</w:t>
            </w:r>
            <w:r>
              <w:rPr>
                <w:rFonts w:hint="eastAsia" w:ascii="宋体" w:hAnsi="宋体" w:cs="HiddenHorzOCR"/>
                <w:color w:val="272526"/>
                <w:kern w:val="0"/>
                <w:szCs w:val="21"/>
              </w:rPr>
              <w:t>年</w:t>
            </w:r>
            <w:r>
              <w:rPr>
                <w:rFonts w:ascii="宋体" w:hAnsi="宋体" w:cs="HiddenHorzOCR"/>
                <w:color w:val="272526"/>
                <w:kern w:val="0"/>
                <w:szCs w:val="21"/>
              </w:rPr>
              <w:t>3</w:t>
            </w:r>
            <w:r>
              <w:rPr>
                <w:rFonts w:hint="eastAsia" w:ascii="宋体" w:hAnsi="宋体" w:cs="HiddenHorzOCR"/>
                <w:color w:val="272526"/>
                <w:kern w:val="0"/>
                <w:szCs w:val="21"/>
              </w:rPr>
              <w:t>月</w:t>
            </w:r>
            <w:r>
              <w:rPr>
                <w:rFonts w:ascii="宋体" w:hAnsi="宋体" w:cs="HiddenHorzOCR"/>
                <w:color w:val="272526"/>
                <w:kern w:val="0"/>
                <w:szCs w:val="21"/>
              </w:rPr>
              <w:t>2</w:t>
            </w:r>
            <w:r>
              <w:rPr>
                <w:rFonts w:hint="eastAsia" w:ascii="宋体" w:hAnsi="宋体" w:cs="HiddenHorzOCR"/>
                <w:color w:val="272526"/>
                <w:kern w:val="0"/>
                <w:szCs w:val="21"/>
              </w:rPr>
              <w:t>日</w:t>
            </w:r>
            <w:r>
              <w:rPr>
                <w:rFonts w:hint="eastAsia" w:ascii="宋体" w:hAnsi="宋体" w:cs="HiddenHorzOCR"/>
                <w:color w:val="545454"/>
                <w:kern w:val="0"/>
                <w:szCs w:val="21"/>
              </w:rPr>
              <w:t>，</w:t>
            </w:r>
            <w:r>
              <w:rPr>
                <w:rFonts w:hint="eastAsia" w:ascii="宋体" w:hAnsi="宋体" w:cs="HiddenHorzOCR"/>
                <w:color w:val="373535"/>
                <w:kern w:val="0"/>
                <w:szCs w:val="21"/>
              </w:rPr>
              <w:t>广</w:t>
            </w:r>
            <w:r>
              <w:rPr>
                <w:rFonts w:hint="eastAsia" w:ascii="宋体" w:hAnsi="宋体" w:cs="宋体"/>
                <w:color w:val="373535"/>
                <w:kern w:val="0"/>
                <w:szCs w:val="21"/>
              </w:rPr>
              <w:t>东</w:t>
            </w:r>
            <w:r>
              <w:rPr>
                <w:rFonts w:hint="eastAsia" w:ascii="宋体" w:hAnsi="宋体" w:cs="MS Gothic"/>
                <w:color w:val="373535"/>
                <w:kern w:val="0"/>
                <w:szCs w:val="21"/>
              </w:rPr>
              <w:t>省副省</w:t>
            </w:r>
            <w:r>
              <w:rPr>
                <w:rFonts w:hint="eastAsia" w:ascii="宋体" w:hAnsi="宋体" w:cs="宋体"/>
                <w:color w:val="373535"/>
                <w:kern w:val="0"/>
                <w:szCs w:val="21"/>
              </w:rPr>
              <w:t>长</w:t>
            </w:r>
            <w:r>
              <w:rPr>
                <w:rFonts w:hint="eastAsia" w:ascii="宋体" w:hAnsi="宋体" w:cs="MS Gothic"/>
                <w:color w:val="373535"/>
                <w:kern w:val="0"/>
                <w:szCs w:val="21"/>
              </w:rPr>
              <w:t>佟星</w:t>
            </w:r>
            <w:r>
              <w:rPr>
                <w:rFonts w:hint="eastAsia" w:ascii="宋体" w:hAnsi="宋体" w:cs="HiddenHorzOCR"/>
                <w:color w:val="727272"/>
                <w:kern w:val="0"/>
                <w:szCs w:val="21"/>
              </w:rPr>
              <w:t>（</w:t>
            </w:r>
            <w:r>
              <w:rPr>
                <w:rFonts w:hint="eastAsia" w:ascii="宋体" w:hAnsi="宋体" w:cs="HiddenHorzOCR"/>
                <w:color w:val="373535"/>
                <w:kern w:val="0"/>
                <w:szCs w:val="21"/>
              </w:rPr>
              <w:t>右前一</w:t>
            </w:r>
            <w:r>
              <w:rPr>
                <w:rFonts w:hint="eastAsia" w:ascii="宋体" w:hAnsi="宋体" w:cs="HiddenHorzOCR"/>
                <w:color w:val="727272"/>
                <w:kern w:val="0"/>
                <w:szCs w:val="21"/>
              </w:rPr>
              <w:t>）</w:t>
            </w:r>
            <w:r>
              <w:rPr>
                <w:rFonts w:hint="eastAsia" w:ascii="宋体" w:hAnsi="宋体" w:cs="HiddenHorzOCR"/>
                <w:color w:val="373535"/>
                <w:kern w:val="0"/>
                <w:szCs w:val="21"/>
              </w:rPr>
              <w:t>在韶关市市</w:t>
            </w:r>
            <w:r>
              <w:rPr>
                <w:rFonts w:hint="eastAsia" w:ascii="宋体" w:hAnsi="宋体" w:cs="宋体"/>
                <w:color w:val="373535"/>
                <w:kern w:val="0"/>
                <w:szCs w:val="21"/>
              </w:rPr>
              <w:t>长</w:t>
            </w:r>
            <w:r>
              <w:rPr>
                <w:rFonts w:hint="eastAsia" w:ascii="宋体" w:hAnsi="宋体" w:cs="MS Gothic"/>
                <w:color w:val="373535"/>
                <w:kern w:val="0"/>
                <w:szCs w:val="21"/>
              </w:rPr>
              <w:t>艾学峰</w:t>
            </w:r>
            <w:r>
              <w:rPr>
                <w:rFonts w:hint="eastAsia" w:ascii="宋体" w:hAnsi="宋体" w:cs="HiddenHorzOCR"/>
                <w:color w:val="727272"/>
                <w:kern w:val="0"/>
                <w:szCs w:val="21"/>
              </w:rPr>
              <w:t>（</w:t>
            </w:r>
            <w:r>
              <w:rPr>
                <w:rFonts w:hint="eastAsia" w:ascii="宋体" w:hAnsi="宋体" w:cs="HiddenHorzOCR"/>
                <w:color w:val="272526"/>
                <w:kern w:val="0"/>
                <w:szCs w:val="21"/>
              </w:rPr>
              <w:t>左一</w:t>
            </w:r>
            <w:r>
              <w:rPr>
                <w:rFonts w:hint="eastAsia" w:ascii="宋体" w:hAnsi="宋体" w:cs="HiddenHorzOCR"/>
                <w:color w:val="636363"/>
                <w:kern w:val="0"/>
                <w:szCs w:val="21"/>
              </w:rPr>
              <w:t>）</w:t>
            </w:r>
            <w:r>
              <w:rPr>
                <w:rFonts w:hint="eastAsia" w:ascii="宋体" w:hAnsi="宋体" w:cs="HiddenHorzOCR"/>
                <w:color w:val="373535"/>
                <w:kern w:val="0"/>
                <w:szCs w:val="21"/>
              </w:rPr>
              <w:t>、南雄</w:t>
            </w:r>
            <w:r>
              <w:rPr>
                <w:rFonts w:hint="eastAsia" w:ascii="宋体" w:hAnsi="宋体" w:cs="HiddenHorzOCR"/>
                <w:color w:val="272526"/>
                <w:kern w:val="0"/>
                <w:szCs w:val="21"/>
              </w:rPr>
              <w:t>市委</w:t>
            </w:r>
            <w:r>
              <w:rPr>
                <w:rFonts w:hint="eastAsia" w:ascii="宋体" w:hAnsi="宋体" w:cs="宋体"/>
                <w:color w:val="272526"/>
                <w:kern w:val="0"/>
                <w:szCs w:val="21"/>
              </w:rPr>
              <w:t>书记许</w:t>
            </w:r>
            <w:r>
              <w:rPr>
                <w:rFonts w:hint="eastAsia" w:ascii="宋体" w:hAnsi="宋体" w:cs="MS Gothic"/>
                <w:color w:val="272526"/>
                <w:kern w:val="0"/>
                <w:szCs w:val="21"/>
              </w:rPr>
              <w:t>志新</w:t>
            </w:r>
            <w:r>
              <w:rPr>
                <w:rFonts w:hint="eastAsia" w:ascii="宋体" w:hAnsi="宋体" w:cs="HiddenHorzOCR"/>
                <w:color w:val="727272"/>
                <w:kern w:val="0"/>
                <w:szCs w:val="21"/>
              </w:rPr>
              <w:t>（</w:t>
            </w:r>
            <w:r>
              <w:rPr>
                <w:rFonts w:hint="eastAsia" w:ascii="宋体" w:hAnsi="宋体" w:cs="HiddenHorzOCR"/>
                <w:color w:val="373535"/>
                <w:kern w:val="0"/>
                <w:szCs w:val="21"/>
              </w:rPr>
              <w:t>左三</w:t>
            </w:r>
            <w:r>
              <w:rPr>
                <w:rFonts w:hint="eastAsia" w:ascii="宋体" w:hAnsi="宋体" w:cs="HiddenHorzOCR"/>
                <w:color w:val="636363"/>
                <w:kern w:val="0"/>
                <w:szCs w:val="21"/>
              </w:rPr>
              <w:t>）、</w:t>
            </w:r>
            <w:r>
              <w:rPr>
                <w:rFonts w:hint="eastAsia" w:ascii="宋体" w:hAnsi="宋体" w:cs="HiddenHorzOCR"/>
                <w:color w:val="373535"/>
                <w:kern w:val="0"/>
                <w:szCs w:val="21"/>
              </w:rPr>
              <w:t>市</w:t>
            </w:r>
            <w:r>
              <w:rPr>
                <w:rFonts w:hint="eastAsia" w:ascii="宋体" w:hAnsi="宋体" w:cs="宋体"/>
                <w:color w:val="373535"/>
                <w:kern w:val="0"/>
                <w:szCs w:val="21"/>
              </w:rPr>
              <w:t>长</w:t>
            </w:r>
            <w:r>
              <w:rPr>
                <w:rFonts w:hint="eastAsia" w:ascii="宋体" w:hAnsi="宋体" w:cs="MS Gothic"/>
                <w:color w:val="373535"/>
                <w:kern w:val="0"/>
                <w:szCs w:val="21"/>
              </w:rPr>
              <w:t>刘</w:t>
            </w:r>
            <w:r>
              <w:rPr>
                <w:rFonts w:hint="eastAsia" w:ascii="宋体" w:hAnsi="宋体" w:cs="HiddenHorzOCR"/>
                <w:color w:val="373535"/>
                <w:kern w:val="0"/>
                <w:szCs w:val="21"/>
              </w:rPr>
              <w:t>清生</w:t>
            </w:r>
            <w:r>
              <w:rPr>
                <w:rFonts w:hint="eastAsia" w:ascii="宋体" w:hAnsi="宋体" w:cs="HiddenHorzOCR"/>
                <w:color w:val="727272"/>
                <w:kern w:val="0"/>
                <w:szCs w:val="21"/>
              </w:rPr>
              <w:t>（</w:t>
            </w:r>
            <w:r>
              <w:rPr>
                <w:rFonts w:hint="eastAsia" w:ascii="宋体" w:hAnsi="宋体" w:cs="HiddenHorzOCR"/>
                <w:color w:val="373535"/>
                <w:kern w:val="0"/>
                <w:szCs w:val="21"/>
              </w:rPr>
              <w:t>左二</w:t>
            </w:r>
            <w:r>
              <w:rPr>
                <w:rFonts w:hint="eastAsia" w:ascii="宋体" w:hAnsi="宋体" w:cs="HiddenHorzOCR"/>
                <w:color w:val="727272"/>
                <w:kern w:val="0"/>
                <w:szCs w:val="21"/>
              </w:rPr>
              <w:t>〉</w:t>
            </w:r>
            <w:r>
              <w:rPr>
                <w:rFonts w:hint="eastAsia" w:ascii="宋体" w:hAnsi="宋体" w:cs="HiddenHorzOCR"/>
                <w:color w:val="373535"/>
                <w:kern w:val="0"/>
                <w:szCs w:val="21"/>
              </w:rPr>
              <w:t>陪同参</w:t>
            </w:r>
            <w:r>
              <w:rPr>
                <w:rFonts w:hint="eastAsia" w:ascii="宋体" w:hAnsi="宋体" w:cs="宋体"/>
                <w:color w:val="373535"/>
                <w:kern w:val="0"/>
                <w:szCs w:val="21"/>
              </w:rPr>
              <w:t>观</w:t>
            </w:r>
            <w:r>
              <w:rPr>
                <w:rFonts w:hint="eastAsia" w:ascii="宋体" w:hAnsi="宋体" w:cs="MS Gothic"/>
                <w:color w:val="373535"/>
                <w:kern w:val="0"/>
                <w:szCs w:val="21"/>
              </w:rPr>
              <w:t>南雄精</w:t>
            </w:r>
            <w:r>
              <w:rPr>
                <w:rFonts w:hint="eastAsia" w:ascii="宋体" w:hAnsi="宋体" w:cs="宋体"/>
                <w:color w:val="373535"/>
                <w:kern w:val="0"/>
                <w:szCs w:val="21"/>
              </w:rPr>
              <w:t>细</w:t>
            </w:r>
            <w:r>
              <w:rPr>
                <w:rFonts w:hint="eastAsia" w:ascii="宋体" w:hAnsi="宋体" w:cs="MS Gothic"/>
                <w:color w:val="373535"/>
                <w:kern w:val="0"/>
                <w:szCs w:val="21"/>
              </w:rPr>
              <w:t>化工园区展示</w:t>
            </w:r>
            <w:r>
              <w:rPr>
                <w:rFonts w:hint="eastAsia" w:ascii="宋体" w:hAnsi="宋体" w:cs="宋体"/>
                <w:color w:val="373535"/>
                <w:kern w:val="0"/>
                <w:szCs w:val="21"/>
              </w:rPr>
              <w:t>厅</w:t>
            </w:r>
          </w:p>
        </w:tc>
      </w:tr>
    </w:tbl>
    <w:p w14:paraId="476D2B22">
      <w:pPr>
        <w:ind w:firstLine="420"/>
      </w:pPr>
    </w:p>
    <w:tbl>
      <w:tblPr>
        <w:tblStyle w:val="1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0D288B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3DC8680B">
            <w:pPr>
              <w:ind w:firstLine="0" w:firstLineChars="0"/>
            </w:pPr>
            <w:r>
              <w:rPr>
                <w:rFonts w:hint="eastAsia"/>
              </w:rPr>
              <w:drawing>
                <wp:inline distT="0" distB="0" distL="114300" distR="114300">
                  <wp:extent cx="6180455" cy="4143375"/>
                  <wp:effectExtent l="0" t="0" r="10795" b="9525"/>
                  <wp:docPr id="17" name="图片 17" descr="南雄年鉴20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南雄年鉴2012-5"/>
                          <pic:cNvPicPr>
                            <a:picLocks noChangeAspect="1"/>
                          </pic:cNvPicPr>
                        </pic:nvPicPr>
                        <pic:blipFill>
                          <a:blip r:embed="rId20" cstate="print"/>
                          <a:stretch>
                            <a:fillRect/>
                          </a:stretch>
                        </pic:blipFill>
                        <pic:spPr>
                          <a:xfrm>
                            <a:off x="0" y="0"/>
                            <a:ext cx="6180455" cy="4143375"/>
                          </a:xfrm>
                          <a:prstGeom prst="rect">
                            <a:avLst/>
                          </a:prstGeom>
                        </pic:spPr>
                      </pic:pic>
                    </a:graphicData>
                  </a:graphic>
                </wp:inline>
              </w:drawing>
            </w:r>
          </w:p>
        </w:tc>
      </w:tr>
      <w:tr w14:paraId="59FF2D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vAlign w:val="center"/>
          </w:tcPr>
          <w:p w14:paraId="3E7AA073">
            <w:pPr>
              <w:autoSpaceDE w:val="0"/>
              <w:autoSpaceDN w:val="0"/>
              <w:adjustRightInd w:val="0"/>
              <w:ind w:firstLine="420"/>
              <w:jc w:val="left"/>
              <w:rPr>
                <w:rFonts w:ascii="宋体" w:hAnsi="宋体" w:cs="HiddenHorzOCR"/>
                <w:color w:val="363434"/>
                <w:kern w:val="0"/>
                <w:szCs w:val="21"/>
              </w:rPr>
            </w:pPr>
            <w:r>
              <w:rPr>
                <w:rFonts w:hint="eastAsia" w:ascii="宋体" w:hAnsi="宋体" w:cs="HiddenHorzOCR"/>
                <w:color w:val="363434"/>
                <w:kern w:val="0"/>
                <w:szCs w:val="21"/>
              </w:rPr>
              <w:t>广</w:t>
            </w:r>
            <w:r>
              <w:rPr>
                <w:rFonts w:hint="eastAsia" w:ascii="宋体" w:hAnsi="宋体" w:cs="宋体"/>
                <w:color w:val="363434"/>
                <w:kern w:val="0"/>
                <w:szCs w:val="21"/>
              </w:rPr>
              <w:t>东</w:t>
            </w:r>
            <w:r>
              <w:rPr>
                <w:rFonts w:hint="eastAsia" w:ascii="宋体" w:hAnsi="宋体" w:cs="MS Gothic"/>
                <w:color w:val="363434"/>
                <w:kern w:val="0"/>
                <w:szCs w:val="21"/>
              </w:rPr>
              <w:t>省政</w:t>
            </w:r>
            <w:r>
              <w:rPr>
                <w:rFonts w:hint="eastAsia" w:ascii="宋体" w:hAnsi="宋体" w:cs="宋体"/>
                <w:color w:val="363434"/>
                <w:kern w:val="0"/>
                <w:szCs w:val="21"/>
              </w:rPr>
              <w:t>协</w:t>
            </w:r>
            <w:r>
              <w:rPr>
                <w:rFonts w:hint="eastAsia" w:ascii="宋体" w:hAnsi="宋体" w:cs="MS Gothic"/>
                <w:color w:val="363434"/>
                <w:kern w:val="0"/>
                <w:szCs w:val="21"/>
              </w:rPr>
              <w:t>副主席覃</w:t>
            </w:r>
            <w:r>
              <w:rPr>
                <w:rFonts w:hint="eastAsia" w:ascii="宋体" w:hAnsi="宋体" w:cs="宋体"/>
                <w:color w:val="363434"/>
                <w:kern w:val="0"/>
                <w:szCs w:val="21"/>
              </w:rPr>
              <w:t>卫东</w:t>
            </w:r>
            <w:r>
              <w:rPr>
                <w:rFonts w:hint="eastAsia" w:ascii="宋体" w:hAnsi="宋体" w:cs="HiddenHorzOCR"/>
                <w:color w:val="5F5F5F"/>
                <w:kern w:val="0"/>
                <w:szCs w:val="21"/>
              </w:rPr>
              <w:t>（</w:t>
            </w:r>
            <w:r>
              <w:rPr>
                <w:rFonts w:hint="eastAsia" w:ascii="宋体" w:hAnsi="宋体" w:cs="HiddenHorzOCR"/>
                <w:color w:val="363434"/>
                <w:kern w:val="0"/>
                <w:szCs w:val="21"/>
              </w:rPr>
              <w:t>右前二</w:t>
            </w:r>
            <w:r>
              <w:rPr>
                <w:rFonts w:hint="eastAsia" w:ascii="宋体" w:hAnsi="宋体" w:cs="HiddenHorzOCR"/>
                <w:color w:val="5F5F5F"/>
                <w:kern w:val="0"/>
                <w:szCs w:val="21"/>
              </w:rPr>
              <w:t>）</w:t>
            </w:r>
            <w:r>
              <w:rPr>
                <w:rFonts w:hint="eastAsia" w:ascii="宋体" w:hAnsi="宋体" w:cs="宋体"/>
                <w:color w:val="363434"/>
                <w:kern w:val="0"/>
                <w:szCs w:val="21"/>
              </w:rPr>
              <w:t>视</w:t>
            </w:r>
            <w:r>
              <w:rPr>
                <w:rFonts w:hint="eastAsia" w:ascii="宋体" w:hAnsi="宋体" w:cs="MS Gothic"/>
                <w:color w:val="363434"/>
                <w:kern w:val="0"/>
                <w:szCs w:val="21"/>
              </w:rPr>
              <w:t>察南雄珠</w:t>
            </w:r>
            <w:r>
              <w:rPr>
                <w:rFonts w:hint="eastAsia" w:ascii="宋体" w:hAnsi="宋体" w:cs="宋体"/>
                <w:color w:val="363434"/>
                <w:kern w:val="0"/>
                <w:szCs w:val="21"/>
              </w:rPr>
              <w:t>矶</w:t>
            </w:r>
            <w:r>
              <w:rPr>
                <w:rFonts w:hint="eastAsia" w:ascii="宋体" w:hAnsi="宋体" w:cs="MS Gothic"/>
                <w:color w:val="363434"/>
                <w:kern w:val="0"/>
                <w:szCs w:val="21"/>
              </w:rPr>
              <w:t>新</w:t>
            </w:r>
            <w:r>
              <w:rPr>
                <w:rFonts w:hint="eastAsia" w:ascii="宋体" w:hAnsi="宋体" w:cs="HiddenHorzOCR"/>
                <w:color w:val="363434"/>
                <w:kern w:val="0"/>
                <w:szCs w:val="21"/>
              </w:rPr>
              <w:t>村</w:t>
            </w:r>
          </w:p>
        </w:tc>
      </w:tr>
    </w:tbl>
    <w:p w14:paraId="565D01A2">
      <w:pPr>
        <w:ind w:firstLine="420"/>
      </w:pPr>
    </w:p>
    <w:tbl>
      <w:tblPr>
        <w:tblStyle w:val="1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01EB53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2E460B11">
            <w:pPr>
              <w:ind w:firstLine="0" w:firstLineChars="0"/>
            </w:pPr>
            <w:r>
              <w:rPr>
                <w:rFonts w:hint="eastAsia"/>
              </w:rPr>
              <w:drawing>
                <wp:inline distT="0" distB="0" distL="114300" distR="114300">
                  <wp:extent cx="6187440" cy="4617720"/>
                  <wp:effectExtent l="0" t="0" r="3810" b="11430"/>
                  <wp:docPr id="18" name="图片 18" descr="南雄年鉴20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南雄年鉴2012-6"/>
                          <pic:cNvPicPr>
                            <a:picLocks noChangeAspect="1"/>
                          </pic:cNvPicPr>
                        </pic:nvPicPr>
                        <pic:blipFill>
                          <a:blip r:embed="rId21" cstate="print"/>
                          <a:stretch>
                            <a:fillRect/>
                          </a:stretch>
                        </pic:blipFill>
                        <pic:spPr>
                          <a:xfrm>
                            <a:off x="0" y="0"/>
                            <a:ext cx="6187440" cy="4617720"/>
                          </a:xfrm>
                          <a:prstGeom prst="rect">
                            <a:avLst/>
                          </a:prstGeom>
                        </pic:spPr>
                      </pic:pic>
                    </a:graphicData>
                  </a:graphic>
                </wp:inline>
              </w:drawing>
            </w:r>
          </w:p>
        </w:tc>
      </w:tr>
      <w:tr w14:paraId="63F585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62" w:type="dxa"/>
            <w:tcBorders>
              <w:top w:val="nil"/>
              <w:left w:val="nil"/>
              <w:bottom w:val="nil"/>
              <w:right w:val="nil"/>
            </w:tcBorders>
            <w:vAlign w:val="center"/>
          </w:tcPr>
          <w:p w14:paraId="5E0F0A31">
            <w:pPr>
              <w:autoSpaceDE w:val="0"/>
              <w:autoSpaceDN w:val="0"/>
              <w:adjustRightInd w:val="0"/>
              <w:ind w:firstLine="420"/>
              <w:jc w:val="left"/>
              <w:rPr>
                <w:rFonts w:ascii="宋体" w:hAnsi="宋体" w:cs="HiddenHorzOCR"/>
                <w:color w:val="363434"/>
                <w:kern w:val="0"/>
                <w:szCs w:val="21"/>
              </w:rPr>
            </w:pPr>
            <w:r>
              <w:rPr>
                <w:rFonts w:hint="eastAsia" w:ascii="宋体" w:hAnsi="宋体" w:cs="HiddenHorzOCR"/>
                <w:color w:val="363434"/>
                <w:kern w:val="0"/>
                <w:szCs w:val="21"/>
              </w:rPr>
              <w:t>广</w:t>
            </w:r>
            <w:r>
              <w:rPr>
                <w:rFonts w:hint="eastAsia" w:ascii="宋体" w:hAnsi="宋体" w:cs="宋体"/>
                <w:color w:val="363434"/>
                <w:kern w:val="0"/>
                <w:szCs w:val="21"/>
              </w:rPr>
              <w:t>东</w:t>
            </w:r>
            <w:r>
              <w:rPr>
                <w:rFonts w:hint="eastAsia" w:ascii="宋体" w:hAnsi="宋体" w:cs="MS Gothic"/>
                <w:color w:val="363434"/>
                <w:kern w:val="0"/>
                <w:szCs w:val="21"/>
              </w:rPr>
              <w:t>省关心下一代工作委</w:t>
            </w:r>
            <w:r>
              <w:rPr>
                <w:rFonts w:hint="eastAsia" w:ascii="宋体" w:hAnsi="宋体" w:cs="宋体"/>
                <w:color w:val="363434"/>
                <w:kern w:val="0"/>
                <w:szCs w:val="21"/>
              </w:rPr>
              <w:t>员</w:t>
            </w:r>
            <w:r>
              <w:rPr>
                <w:rFonts w:hint="eastAsia" w:ascii="宋体" w:hAnsi="宋体" w:cs="HiddenHorzOCR"/>
                <w:color w:val="363434"/>
                <w:kern w:val="0"/>
                <w:szCs w:val="21"/>
              </w:rPr>
              <w:t>会主任</w:t>
            </w:r>
            <w:r>
              <w:rPr>
                <w:rFonts w:hint="eastAsia" w:ascii="宋体" w:hAnsi="宋体" w:cs="宋体"/>
                <w:color w:val="363434"/>
                <w:kern w:val="0"/>
                <w:szCs w:val="21"/>
              </w:rPr>
              <w:t>张</w:t>
            </w:r>
            <w:r>
              <w:rPr>
                <w:rFonts w:hint="eastAsia" w:ascii="宋体" w:hAnsi="宋体" w:cs="MS Gothic"/>
                <w:color w:val="363434"/>
                <w:kern w:val="0"/>
                <w:szCs w:val="21"/>
              </w:rPr>
              <w:t>帼英</w:t>
            </w:r>
            <w:r>
              <w:rPr>
                <w:rFonts w:hint="eastAsia" w:ascii="宋体" w:hAnsi="宋体" w:cs="HiddenHorzOCR"/>
                <w:color w:val="5F5F5F"/>
                <w:kern w:val="0"/>
                <w:szCs w:val="21"/>
              </w:rPr>
              <w:t>（</w:t>
            </w:r>
            <w:r>
              <w:rPr>
                <w:rFonts w:hint="eastAsia" w:ascii="宋体" w:hAnsi="宋体" w:cs="HiddenHorzOCR"/>
                <w:color w:val="363434"/>
                <w:kern w:val="0"/>
                <w:szCs w:val="21"/>
              </w:rPr>
              <w:t>左一</w:t>
            </w:r>
            <w:r>
              <w:rPr>
                <w:rFonts w:hint="eastAsia" w:ascii="宋体" w:hAnsi="宋体" w:cs="HiddenHorzOCR"/>
                <w:color w:val="5F5F5F"/>
                <w:kern w:val="0"/>
                <w:szCs w:val="21"/>
              </w:rPr>
              <w:t>）</w:t>
            </w:r>
            <w:r>
              <w:rPr>
                <w:rFonts w:hint="eastAsia" w:ascii="宋体" w:hAnsi="宋体" w:cs="宋体"/>
                <w:color w:val="363434"/>
                <w:kern w:val="0"/>
                <w:szCs w:val="21"/>
              </w:rPr>
              <w:t>亲</w:t>
            </w:r>
            <w:r>
              <w:rPr>
                <w:rFonts w:hint="eastAsia" w:ascii="宋体" w:hAnsi="宋体" w:cs="MS Gothic"/>
                <w:color w:val="363434"/>
                <w:kern w:val="0"/>
                <w:szCs w:val="21"/>
              </w:rPr>
              <w:t>切看望</w:t>
            </w:r>
            <w:r>
              <w:rPr>
                <w:rFonts w:hint="eastAsia" w:ascii="宋体" w:hAnsi="宋体" w:cs="宋体"/>
                <w:color w:val="363434"/>
                <w:kern w:val="0"/>
                <w:szCs w:val="21"/>
              </w:rPr>
              <w:t>创业</w:t>
            </w:r>
            <w:r>
              <w:rPr>
                <w:rFonts w:hint="eastAsia" w:ascii="宋体" w:hAnsi="宋体" w:cs="MS Gothic"/>
                <w:color w:val="363434"/>
                <w:kern w:val="0"/>
                <w:szCs w:val="21"/>
              </w:rPr>
              <w:t>青</w:t>
            </w:r>
            <w:r>
              <w:rPr>
                <w:rFonts w:hint="eastAsia" w:ascii="宋体" w:hAnsi="宋体" w:cs="HiddenHorzOCR"/>
                <w:color w:val="363434"/>
                <w:kern w:val="0"/>
                <w:szCs w:val="21"/>
              </w:rPr>
              <w:t>年</w:t>
            </w:r>
          </w:p>
        </w:tc>
      </w:tr>
    </w:tbl>
    <w:p w14:paraId="4550C2AB">
      <w:pPr>
        <w:ind w:firstLine="420"/>
      </w:pPr>
    </w:p>
    <w:tbl>
      <w:tblPr>
        <w:tblStyle w:val="1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7C18A3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52D319ED">
            <w:pPr>
              <w:ind w:firstLine="0" w:firstLineChars="0"/>
            </w:pPr>
            <w:r>
              <w:rPr>
                <w:rFonts w:hint="eastAsia"/>
              </w:rPr>
              <w:drawing>
                <wp:inline distT="0" distB="0" distL="114300" distR="114300">
                  <wp:extent cx="6188710" cy="3223260"/>
                  <wp:effectExtent l="0" t="0" r="2540" b="15240"/>
                  <wp:docPr id="19" name="图片 19" descr="南雄年鉴20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南雄年鉴2012-7"/>
                          <pic:cNvPicPr>
                            <a:picLocks noChangeAspect="1"/>
                          </pic:cNvPicPr>
                        </pic:nvPicPr>
                        <pic:blipFill>
                          <a:blip r:embed="rId22" cstate="print"/>
                          <a:stretch>
                            <a:fillRect/>
                          </a:stretch>
                        </pic:blipFill>
                        <pic:spPr>
                          <a:xfrm>
                            <a:off x="0" y="0"/>
                            <a:ext cx="6188710" cy="3223260"/>
                          </a:xfrm>
                          <a:prstGeom prst="rect">
                            <a:avLst/>
                          </a:prstGeom>
                        </pic:spPr>
                      </pic:pic>
                    </a:graphicData>
                  </a:graphic>
                </wp:inline>
              </w:drawing>
            </w:r>
          </w:p>
        </w:tc>
      </w:tr>
      <w:tr w14:paraId="3B6364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62" w:type="dxa"/>
            <w:tcBorders>
              <w:top w:val="nil"/>
              <w:left w:val="nil"/>
              <w:bottom w:val="nil"/>
              <w:right w:val="nil"/>
            </w:tcBorders>
            <w:vAlign w:val="center"/>
          </w:tcPr>
          <w:p w14:paraId="333BCC87">
            <w:pPr>
              <w:autoSpaceDE w:val="0"/>
              <w:autoSpaceDN w:val="0"/>
              <w:adjustRightInd w:val="0"/>
              <w:ind w:firstLine="420"/>
              <w:jc w:val="left"/>
              <w:rPr>
                <w:rFonts w:ascii="宋体" w:hAnsi="宋体" w:cs="HiddenHorzOCR"/>
                <w:color w:val="363434"/>
                <w:kern w:val="0"/>
                <w:szCs w:val="21"/>
              </w:rPr>
            </w:pPr>
            <w:r>
              <w:rPr>
                <w:rFonts w:hint="eastAsia" w:ascii="宋体" w:hAnsi="宋体" w:cs="HiddenHorzOCR"/>
                <w:color w:val="363434"/>
                <w:kern w:val="0"/>
                <w:szCs w:val="21"/>
              </w:rPr>
              <w:t>原广州市市</w:t>
            </w:r>
            <w:r>
              <w:rPr>
                <w:rFonts w:hint="eastAsia" w:ascii="宋体" w:hAnsi="宋体" w:cs="宋体"/>
                <w:color w:val="363434"/>
                <w:kern w:val="0"/>
                <w:szCs w:val="21"/>
              </w:rPr>
              <w:t>长</w:t>
            </w:r>
            <w:r>
              <w:rPr>
                <w:rFonts w:hint="eastAsia" w:ascii="宋体" w:hAnsi="宋体" w:cs="MS Gothic"/>
                <w:color w:val="363434"/>
                <w:kern w:val="0"/>
                <w:szCs w:val="21"/>
              </w:rPr>
              <w:t>黎子流</w:t>
            </w:r>
            <w:r>
              <w:rPr>
                <w:rFonts w:hint="eastAsia" w:ascii="宋体" w:hAnsi="宋体" w:cs="HiddenHorzOCR"/>
                <w:color w:val="5F5F5F"/>
                <w:kern w:val="0"/>
                <w:szCs w:val="21"/>
              </w:rPr>
              <w:t>（</w:t>
            </w:r>
            <w:r>
              <w:rPr>
                <w:rFonts w:hint="eastAsia" w:ascii="宋体" w:hAnsi="宋体" w:cs="HiddenHorzOCR"/>
                <w:color w:val="363434"/>
                <w:kern w:val="0"/>
                <w:szCs w:val="21"/>
              </w:rPr>
              <w:t>右二</w:t>
            </w:r>
            <w:r>
              <w:rPr>
                <w:rFonts w:hint="eastAsia" w:ascii="宋体" w:hAnsi="宋体" w:cs="HiddenHorzOCR"/>
                <w:color w:val="5F5F5F"/>
                <w:kern w:val="0"/>
                <w:szCs w:val="21"/>
              </w:rPr>
              <w:t>）</w:t>
            </w:r>
            <w:r>
              <w:rPr>
                <w:rFonts w:hint="eastAsia" w:ascii="宋体" w:hAnsi="宋体" w:cs="HiddenHorzOCR"/>
                <w:color w:val="363434"/>
                <w:kern w:val="0"/>
                <w:szCs w:val="21"/>
              </w:rPr>
              <w:t>在南雄市委</w:t>
            </w:r>
            <w:r>
              <w:rPr>
                <w:rFonts w:hint="eastAsia" w:ascii="宋体" w:hAnsi="宋体" w:cs="宋体"/>
                <w:color w:val="363434"/>
                <w:kern w:val="0"/>
                <w:szCs w:val="21"/>
              </w:rPr>
              <w:t>书记许</w:t>
            </w:r>
            <w:r>
              <w:rPr>
                <w:rFonts w:hint="eastAsia" w:ascii="宋体" w:hAnsi="宋体" w:cs="MS Gothic"/>
                <w:color w:val="363434"/>
                <w:kern w:val="0"/>
                <w:szCs w:val="21"/>
              </w:rPr>
              <w:t>志新</w:t>
            </w:r>
            <w:r>
              <w:rPr>
                <w:rFonts w:hint="eastAsia" w:ascii="宋体" w:hAnsi="宋体" w:cs="HiddenHorzOCR"/>
                <w:color w:val="5F5F5F"/>
                <w:kern w:val="0"/>
                <w:szCs w:val="21"/>
              </w:rPr>
              <w:t>（</w:t>
            </w:r>
            <w:r>
              <w:rPr>
                <w:rFonts w:hint="eastAsia" w:ascii="宋体" w:hAnsi="宋体" w:cs="HiddenHorzOCR"/>
                <w:color w:val="363434"/>
                <w:kern w:val="0"/>
                <w:szCs w:val="21"/>
              </w:rPr>
              <w:t>左二</w:t>
            </w:r>
            <w:r>
              <w:rPr>
                <w:rFonts w:hint="eastAsia" w:ascii="宋体" w:hAnsi="宋体" w:cs="HiddenHorzOCR"/>
                <w:color w:val="5F5F5F"/>
                <w:kern w:val="0"/>
                <w:szCs w:val="21"/>
              </w:rPr>
              <w:t>）、</w:t>
            </w:r>
            <w:r>
              <w:rPr>
                <w:rFonts w:hint="eastAsia" w:ascii="宋体" w:hAnsi="宋体" w:cs="HiddenHorzOCR"/>
                <w:color w:val="363434"/>
                <w:kern w:val="0"/>
                <w:szCs w:val="21"/>
              </w:rPr>
              <w:t>市</w:t>
            </w:r>
            <w:r>
              <w:rPr>
                <w:rFonts w:hint="eastAsia" w:ascii="宋体" w:hAnsi="宋体" w:cs="宋体"/>
                <w:color w:val="363434"/>
                <w:kern w:val="0"/>
                <w:szCs w:val="21"/>
              </w:rPr>
              <w:t>长</w:t>
            </w:r>
            <w:r>
              <w:rPr>
                <w:rFonts w:hint="eastAsia" w:ascii="宋体" w:hAnsi="宋体" w:cs="MS Gothic"/>
                <w:color w:val="363434"/>
                <w:kern w:val="0"/>
                <w:szCs w:val="21"/>
              </w:rPr>
              <w:t>刘清生</w:t>
            </w:r>
            <w:r>
              <w:rPr>
                <w:rFonts w:hint="eastAsia" w:ascii="宋体" w:hAnsi="宋体" w:cs="HiddenHorzOCR"/>
                <w:color w:val="5F5F5F"/>
                <w:kern w:val="0"/>
                <w:szCs w:val="21"/>
              </w:rPr>
              <w:t>（</w:t>
            </w:r>
            <w:r>
              <w:rPr>
                <w:rFonts w:hint="eastAsia" w:ascii="宋体" w:hAnsi="宋体" w:cs="HiddenHorzOCR"/>
                <w:color w:val="363434"/>
                <w:kern w:val="0"/>
                <w:szCs w:val="21"/>
              </w:rPr>
              <w:t>右一</w:t>
            </w:r>
            <w:r>
              <w:rPr>
                <w:rFonts w:hint="eastAsia" w:ascii="宋体" w:hAnsi="宋体" w:cs="HiddenHorzOCR"/>
                <w:color w:val="5F5F5F"/>
                <w:kern w:val="0"/>
                <w:szCs w:val="21"/>
              </w:rPr>
              <w:t>）</w:t>
            </w:r>
            <w:r>
              <w:rPr>
                <w:rFonts w:hint="eastAsia" w:ascii="宋体" w:hAnsi="宋体" w:cs="HiddenHorzOCR"/>
                <w:color w:val="363434"/>
                <w:kern w:val="0"/>
                <w:szCs w:val="21"/>
              </w:rPr>
              <w:t>和政</w:t>
            </w:r>
            <w:r>
              <w:rPr>
                <w:rFonts w:hint="eastAsia" w:ascii="宋体" w:hAnsi="宋体" w:cs="宋体"/>
                <w:color w:val="363434"/>
                <w:kern w:val="0"/>
                <w:szCs w:val="21"/>
              </w:rPr>
              <w:t>协</w:t>
            </w:r>
            <w:r>
              <w:rPr>
                <w:rFonts w:hint="eastAsia" w:ascii="宋体" w:hAnsi="宋体" w:cs="MS Gothic"/>
                <w:color w:val="363434"/>
                <w:kern w:val="0"/>
                <w:szCs w:val="21"/>
              </w:rPr>
              <w:t>主席何万</w:t>
            </w:r>
            <w:r>
              <w:rPr>
                <w:rFonts w:hint="eastAsia" w:ascii="宋体" w:hAnsi="宋体" w:cs="宋体"/>
                <w:color w:val="363434"/>
                <w:kern w:val="0"/>
                <w:szCs w:val="21"/>
              </w:rPr>
              <w:t>飞</w:t>
            </w:r>
            <w:r>
              <w:rPr>
                <w:rFonts w:hint="eastAsia" w:ascii="宋体" w:hAnsi="宋体" w:cs="HiddenHorzOCR"/>
                <w:color w:val="5F5F5F"/>
                <w:kern w:val="0"/>
                <w:szCs w:val="21"/>
              </w:rPr>
              <w:t>（</w:t>
            </w:r>
            <w:r>
              <w:rPr>
                <w:rFonts w:hint="eastAsia" w:ascii="宋体" w:hAnsi="宋体" w:cs="HiddenHorzOCR"/>
                <w:color w:val="363434"/>
                <w:kern w:val="0"/>
                <w:szCs w:val="21"/>
              </w:rPr>
              <w:t>左一</w:t>
            </w:r>
            <w:r>
              <w:rPr>
                <w:rFonts w:hint="eastAsia" w:ascii="宋体" w:hAnsi="宋体" w:cs="HiddenHorzOCR"/>
                <w:color w:val="5F5F5F"/>
                <w:kern w:val="0"/>
                <w:szCs w:val="21"/>
              </w:rPr>
              <w:t>）</w:t>
            </w:r>
            <w:r>
              <w:rPr>
                <w:rFonts w:hint="eastAsia" w:ascii="宋体" w:hAnsi="宋体" w:cs="HiddenHorzOCR"/>
                <w:color w:val="363434"/>
                <w:kern w:val="0"/>
                <w:szCs w:val="21"/>
              </w:rPr>
              <w:t>等</w:t>
            </w:r>
            <w:r>
              <w:rPr>
                <w:rFonts w:hint="eastAsia" w:ascii="宋体" w:hAnsi="宋体" w:cs="宋体"/>
                <w:color w:val="363434"/>
                <w:kern w:val="0"/>
                <w:szCs w:val="21"/>
              </w:rPr>
              <w:t>领导</w:t>
            </w:r>
            <w:r>
              <w:rPr>
                <w:rFonts w:hint="eastAsia" w:ascii="宋体" w:hAnsi="宋体" w:cs="MS Gothic"/>
                <w:color w:val="363434"/>
                <w:kern w:val="0"/>
                <w:szCs w:val="21"/>
              </w:rPr>
              <w:t>陪</w:t>
            </w:r>
            <w:r>
              <w:rPr>
                <w:rFonts w:hint="eastAsia" w:ascii="宋体" w:hAnsi="宋体" w:cs="HiddenHorzOCR"/>
                <w:color w:val="363434"/>
                <w:kern w:val="0"/>
                <w:szCs w:val="21"/>
              </w:rPr>
              <w:t>同下在南雄</w:t>
            </w:r>
            <w:r>
              <w:rPr>
                <w:rFonts w:hint="eastAsia" w:ascii="宋体" w:hAnsi="宋体" w:cs="宋体"/>
                <w:color w:val="363434"/>
                <w:kern w:val="0"/>
                <w:szCs w:val="21"/>
              </w:rPr>
              <w:t>调</w:t>
            </w:r>
            <w:r>
              <w:rPr>
                <w:rFonts w:hint="eastAsia" w:ascii="宋体" w:hAnsi="宋体" w:cs="HiddenHorzOCR"/>
                <w:color w:val="363434"/>
                <w:kern w:val="0"/>
                <w:szCs w:val="21"/>
              </w:rPr>
              <w:t>研</w:t>
            </w:r>
          </w:p>
        </w:tc>
      </w:tr>
    </w:tbl>
    <w:p w14:paraId="7EF64646">
      <w:pPr>
        <w:ind w:firstLine="420"/>
      </w:pPr>
    </w:p>
    <w:tbl>
      <w:tblPr>
        <w:tblStyle w:val="1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18E48D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327543B4">
            <w:pPr>
              <w:ind w:firstLine="0" w:firstLineChars="0"/>
            </w:pPr>
            <w:r>
              <w:rPr>
                <w:rFonts w:hint="eastAsia"/>
              </w:rPr>
              <w:drawing>
                <wp:inline distT="0" distB="0" distL="114300" distR="114300">
                  <wp:extent cx="6181725" cy="3811905"/>
                  <wp:effectExtent l="0" t="0" r="9525" b="17145"/>
                  <wp:docPr id="20" name="图片 20" descr="南雄年鉴20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南雄年鉴2012-8"/>
                          <pic:cNvPicPr>
                            <a:picLocks noChangeAspect="1"/>
                          </pic:cNvPicPr>
                        </pic:nvPicPr>
                        <pic:blipFill>
                          <a:blip r:embed="rId23" cstate="print"/>
                          <a:stretch>
                            <a:fillRect/>
                          </a:stretch>
                        </pic:blipFill>
                        <pic:spPr>
                          <a:xfrm>
                            <a:off x="0" y="0"/>
                            <a:ext cx="6181725" cy="3811905"/>
                          </a:xfrm>
                          <a:prstGeom prst="rect">
                            <a:avLst/>
                          </a:prstGeom>
                        </pic:spPr>
                      </pic:pic>
                    </a:graphicData>
                  </a:graphic>
                </wp:inline>
              </w:drawing>
            </w:r>
          </w:p>
        </w:tc>
      </w:tr>
      <w:tr w14:paraId="3AC768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vAlign w:val="center"/>
          </w:tcPr>
          <w:p w14:paraId="556BCECE">
            <w:pPr>
              <w:autoSpaceDE w:val="0"/>
              <w:autoSpaceDN w:val="0"/>
              <w:adjustRightInd w:val="0"/>
              <w:ind w:firstLine="420"/>
              <w:jc w:val="left"/>
              <w:rPr>
                <w:rFonts w:ascii="宋体" w:hAnsi="宋体" w:cs="HiddenHorzOCR"/>
                <w:color w:val="2C2B2C"/>
                <w:kern w:val="0"/>
                <w:szCs w:val="21"/>
              </w:rPr>
            </w:pPr>
            <w:r>
              <w:rPr>
                <w:rFonts w:ascii="宋体" w:hAnsi="宋体" w:cs="HiddenHorzOCR"/>
                <w:color w:val="2C2B2C"/>
                <w:kern w:val="0"/>
                <w:szCs w:val="21"/>
              </w:rPr>
              <w:t>2011</w:t>
            </w:r>
            <w:r>
              <w:rPr>
                <w:rFonts w:hint="eastAsia" w:ascii="宋体" w:hAnsi="宋体" w:cs="HiddenHorzOCR"/>
                <w:color w:val="2C2B2C"/>
                <w:kern w:val="0"/>
                <w:szCs w:val="21"/>
              </w:rPr>
              <w:t>年</w:t>
            </w:r>
            <w:r>
              <w:rPr>
                <w:rFonts w:ascii="宋体" w:hAnsi="宋体" w:cs="HiddenHorzOCR"/>
                <w:color w:val="2C2B2C"/>
                <w:kern w:val="0"/>
                <w:szCs w:val="21"/>
              </w:rPr>
              <w:t>9</w:t>
            </w:r>
            <w:r>
              <w:rPr>
                <w:rFonts w:hint="eastAsia" w:ascii="宋体" w:hAnsi="宋体" w:cs="HiddenHorzOCR"/>
                <w:color w:val="2C2B2C"/>
                <w:kern w:val="0"/>
                <w:szCs w:val="21"/>
              </w:rPr>
              <w:t>月</w:t>
            </w:r>
            <w:r>
              <w:rPr>
                <w:rFonts w:ascii="宋体" w:hAnsi="宋体" w:cs="HiddenHorzOCR"/>
                <w:color w:val="2C2B2C"/>
                <w:kern w:val="0"/>
                <w:szCs w:val="21"/>
              </w:rPr>
              <w:t>26</w:t>
            </w:r>
            <w:r>
              <w:rPr>
                <w:rFonts w:hint="eastAsia" w:ascii="宋体" w:hAnsi="宋体" w:cs="HiddenHorzOCR"/>
                <w:color w:val="2C2B2C"/>
                <w:kern w:val="0"/>
                <w:szCs w:val="21"/>
              </w:rPr>
              <w:t>日，召开中国共</w:t>
            </w:r>
            <w:r>
              <w:rPr>
                <w:rFonts w:hint="eastAsia" w:ascii="宋体" w:hAnsi="宋体" w:cs="宋体"/>
                <w:color w:val="2C2B2C"/>
                <w:kern w:val="0"/>
                <w:szCs w:val="21"/>
              </w:rPr>
              <w:t>产</w:t>
            </w:r>
            <w:r>
              <w:rPr>
                <w:rFonts w:hint="eastAsia" w:ascii="宋体" w:hAnsi="宋体" w:cs="MS Gothic"/>
                <w:color w:val="2C2B2C"/>
                <w:kern w:val="0"/>
                <w:szCs w:val="21"/>
              </w:rPr>
              <w:t>党南雄市第十二次代表大</w:t>
            </w:r>
            <w:r>
              <w:rPr>
                <w:rFonts w:hint="eastAsia" w:ascii="宋体" w:hAnsi="宋体" w:cs="HiddenHorzOCR"/>
                <w:color w:val="2C2B2C"/>
                <w:kern w:val="0"/>
                <w:szCs w:val="21"/>
              </w:rPr>
              <w:t>会</w:t>
            </w:r>
          </w:p>
        </w:tc>
      </w:tr>
    </w:tbl>
    <w:p w14:paraId="6FD9E2B1">
      <w:pPr>
        <w:ind w:firstLine="420"/>
      </w:pPr>
    </w:p>
    <w:tbl>
      <w:tblPr>
        <w:tblStyle w:val="1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0E72D9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61603957">
            <w:pPr>
              <w:ind w:firstLine="0" w:firstLineChars="0"/>
            </w:pPr>
            <w:r>
              <w:rPr>
                <w:rFonts w:hint="eastAsia"/>
              </w:rPr>
              <w:drawing>
                <wp:inline distT="0" distB="0" distL="114300" distR="114300">
                  <wp:extent cx="6180455" cy="4097655"/>
                  <wp:effectExtent l="0" t="0" r="10795" b="17145"/>
                  <wp:docPr id="21" name="图片 21" descr="南雄年鉴20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南雄年鉴2012-9"/>
                          <pic:cNvPicPr>
                            <a:picLocks noChangeAspect="1"/>
                          </pic:cNvPicPr>
                        </pic:nvPicPr>
                        <pic:blipFill>
                          <a:blip r:embed="rId24" cstate="print"/>
                          <a:stretch>
                            <a:fillRect/>
                          </a:stretch>
                        </pic:blipFill>
                        <pic:spPr>
                          <a:xfrm>
                            <a:off x="0" y="0"/>
                            <a:ext cx="6180455" cy="4097655"/>
                          </a:xfrm>
                          <a:prstGeom prst="rect">
                            <a:avLst/>
                          </a:prstGeom>
                        </pic:spPr>
                      </pic:pic>
                    </a:graphicData>
                  </a:graphic>
                </wp:inline>
              </w:drawing>
            </w:r>
          </w:p>
        </w:tc>
      </w:tr>
      <w:tr w14:paraId="588751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vAlign w:val="center"/>
          </w:tcPr>
          <w:p w14:paraId="7F70A907">
            <w:pPr>
              <w:autoSpaceDE w:val="0"/>
              <w:autoSpaceDN w:val="0"/>
              <w:adjustRightInd w:val="0"/>
              <w:ind w:firstLine="420"/>
              <w:jc w:val="left"/>
              <w:rPr>
                <w:rFonts w:ascii="宋体" w:hAnsi="宋体" w:cs="HiddenHorzOCR"/>
                <w:color w:val="3C3B3B"/>
                <w:kern w:val="0"/>
                <w:szCs w:val="21"/>
              </w:rPr>
            </w:pPr>
            <w:r>
              <w:rPr>
                <w:rFonts w:hint="eastAsia" w:ascii="宋体" w:hAnsi="宋体" w:cs="HiddenHorzOCR"/>
                <w:color w:val="3C3B3B"/>
                <w:kern w:val="0"/>
                <w:szCs w:val="21"/>
              </w:rPr>
              <w:t>在</w:t>
            </w:r>
            <w:r>
              <w:rPr>
                <w:rFonts w:ascii="宋体" w:hAnsi="宋体" w:cs="HiddenHorzOCR"/>
                <w:color w:val="3C3B3B"/>
                <w:kern w:val="0"/>
                <w:szCs w:val="21"/>
              </w:rPr>
              <w:t>2011</w:t>
            </w:r>
            <w:r>
              <w:rPr>
                <w:rFonts w:hint="eastAsia" w:ascii="宋体" w:hAnsi="宋体" w:cs="HiddenHorzOCR"/>
                <w:color w:val="3C3B3B"/>
                <w:kern w:val="0"/>
                <w:szCs w:val="21"/>
              </w:rPr>
              <w:t>年</w:t>
            </w:r>
            <w:r>
              <w:rPr>
                <w:rFonts w:ascii="宋体" w:hAnsi="宋体" w:cs="HiddenHorzOCR"/>
                <w:color w:val="3C3B3B"/>
                <w:kern w:val="0"/>
                <w:szCs w:val="21"/>
              </w:rPr>
              <w:t>9</w:t>
            </w:r>
            <w:r>
              <w:rPr>
                <w:rFonts w:hint="eastAsia" w:ascii="宋体" w:hAnsi="宋体" w:cs="HiddenHorzOCR"/>
                <w:color w:val="3C3B3B"/>
                <w:kern w:val="0"/>
                <w:szCs w:val="21"/>
              </w:rPr>
              <w:t>月</w:t>
            </w:r>
            <w:r>
              <w:rPr>
                <w:rFonts w:ascii="宋体" w:hAnsi="宋体" w:cs="HiddenHorzOCR"/>
                <w:color w:val="3C3B3B"/>
                <w:kern w:val="0"/>
                <w:szCs w:val="21"/>
              </w:rPr>
              <w:t>26</w:t>
            </w:r>
            <w:r>
              <w:rPr>
                <w:rFonts w:hint="eastAsia" w:ascii="宋体" w:hAnsi="宋体" w:cs="HiddenHorzOCR"/>
                <w:color w:val="3C3B3B"/>
                <w:kern w:val="0"/>
                <w:szCs w:val="21"/>
              </w:rPr>
              <w:t>日中国共</w:t>
            </w:r>
            <w:r>
              <w:rPr>
                <w:rFonts w:hint="eastAsia" w:ascii="宋体" w:hAnsi="宋体" w:cs="宋体"/>
                <w:color w:val="3C3B3B"/>
                <w:kern w:val="0"/>
                <w:szCs w:val="21"/>
              </w:rPr>
              <w:t>产</w:t>
            </w:r>
            <w:r>
              <w:rPr>
                <w:rFonts w:hint="eastAsia" w:ascii="宋体" w:hAnsi="宋体" w:cs="MS Gothic"/>
                <w:color w:val="3C3B3B"/>
                <w:kern w:val="0"/>
                <w:szCs w:val="21"/>
              </w:rPr>
              <w:t>党</w:t>
            </w:r>
            <w:r>
              <w:rPr>
                <w:rFonts w:hint="eastAsia" w:ascii="宋体" w:hAnsi="宋体" w:cs="HiddenHorzOCR"/>
                <w:color w:val="3C3B3B"/>
                <w:kern w:val="0"/>
                <w:szCs w:val="21"/>
              </w:rPr>
              <w:t>南雄市第十二次代大会上市委</w:t>
            </w:r>
            <w:r>
              <w:rPr>
                <w:rFonts w:hint="eastAsia" w:ascii="宋体" w:hAnsi="宋体" w:cs="宋体"/>
                <w:color w:val="3C3B3B"/>
                <w:kern w:val="0"/>
                <w:szCs w:val="21"/>
              </w:rPr>
              <w:t>书记许</w:t>
            </w:r>
            <w:r>
              <w:rPr>
                <w:rFonts w:hint="eastAsia" w:ascii="宋体" w:hAnsi="宋体" w:cs="MS Gothic"/>
                <w:color w:val="3C3B3B"/>
                <w:kern w:val="0"/>
                <w:szCs w:val="21"/>
              </w:rPr>
              <w:t>志新作</w:t>
            </w:r>
            <w:r>
              <w:rPr>
                <w:rFonts w:hint="eastAsia" w:ascii="宋体" w:hAnsi="宋体" w:cs="宋体"/>
                <w:color w:val="3C3B3B"/>
                <w:kern w:val="0"/>
                <w:szCs w:val="21"/>
              </w:rPr>
              <w:t>报</w:t>
            </w:r>
            <w:r>
              <w:rPr>
                <w:rFonts w:hint="eastAsia" w:ascii="宋体" w:hAnsi="宋体" w:cs="HiddenHorzOCR"/>
                <w:color w:val="3C3B3B"/>
                <w:kern w:val="0"/>
                <w:szCs w:val="21"/>
              </w:rPr>
              <w:t>告</w:t>
            </w:r>
          </w:p>
        </w:tc>
      </w:tr>
    </w:tbl>
    <w:p w14:paraId="0ED7B271">
      <w:pPr>
        <w:ind w:firstLine="420"/>
      </w:pPr>
    </w:p>
    <w:tbl>
      <w:tblPr>
        <w:tblStyle w:val="1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0BE0B1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62" w:type="dxa"/>
            <w:tcBorders>
              <w:top w:val="nil"/>
              <w:left w:val="nil"/>
              <w:bottom w:val="nil"/>
              <w:right w:val="nil"/>
            </w:tcBorders>
          </w:tcPr>
          <w:p w14:paraId="24E498D0">
            <w:pPr>
              <w:ind w:firstLine="0" w:firstLineChars="0"/>
            </w:pPr>
            <w:r>
              <w:rPr>
                <w:rFonts w:hint="eastAsia"/>
              </w:rPr>
              <w:drawing>
                <wp:inline distT="0" distB="0" distL="114300" distR="114300">
                  <wp:extent cx="6181090" cy="4120515"/>
                  <wp:effectExtent l="0" t="0" r="10160" b="13335"/>
                  <wp:docPr id="22" name="图片 22" descr="南雄年鉴201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南雄年鉴2012-10"/>
                          <pic:cNvPicPr>
                            <a:picLocks noChangeAspect="1"/>
                          </pic:cNvPicPr>
                        </pic:nvPicPr>
                        <pic:blipFill>
                          <a:blip r:embed="rId25" cstate="print"/>
                          <a:stretch>
                            <a:fillRect/>
                          </a:stretch>
                        </pic:blipFill>
                        <pic:spPr>
                          <a:xfrm>
                            <a:off x="0" y="0"/>
                            <a:ext cx="6181090" cy="4120515"/>
                          </a:xfrm>
                          <a:prstGeom prst="rect">
                            <a:avLst/>
                          </a:prstGeom>
                        </pic:spPr>
                      </pic:pic>
                    </a:graphicData>
                  </a:graphic>
                </wp:inline>
              </w:drawing>
            </w:r>
          </w:p>
        </w:tc>
      </w:tr>
      <w:tr w14:paraId="345D02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vAlign w:val="center"/>
          </w:tcPr>
          <w:p w14:paraId="2C6E7694">
            <w:pPr>
              <w:autoSpaceDE w:val="0"/>
              <w:autoSpaceDN w:val="0"/>
              <w:adjustRightInd w:val="0"/>
              <w:ind w:firstLine="420"/>
              <w:jc w:val="left"/>
              <w:rPr>
                <w:rFonts w:ascii="宋体" w:hAnsi="宋体" w:cs="HiddenHorzOCR"/>
                <w:color w:val="2C2B2C"/>
                <w:kern w:val="0"/>
                <w:szCs w:val="21"/>
              </w:rPr>
            </w:pPr>
            <w:r>
              <w:rPr>
                <w:rFonts w:hint="eastAsia" w:ascii="宋体" w:hAnsi="宋体" w:cs="HiddenHorzOCR"/>
                <w:color w:val="2C2B2C"/>
                <w:kern w:val="0"/>
                <w:szCs w:val="21"/>
              </w:rPr>
              <w:t>南雄市第十二次党代会当</w:t>
            </w:r>
            <w:r>
              <w:rPr>
                <w:rFonts w:hint="eastAsia" w:ascii="宋体" w:hAnsi="宋体" w:cs="宋体"/>
                <w:color w:val="2C2B2C"/>
                <w:kern w:val="0"/>
                <w:szCs w:val="21"/>
              </w:rPr>
              <w:t>选</w:t>
            </w:r>
            <w:r>
              <w:rPr>
                <w:rFonts w:hint="eastAsia" w:ascii="宋体" w:hAnsi="宋体" w:cs="MS Gothic"/>
                <w:color w:val="2C2B2C"/>
                <w:kern w:val="0"/>
                <w:szCs w:val="21"/>
              </w:rPr>
              <w:t>市委常委：左起朱海兵</w:t>
            </w:r>
            <w:r>
              <w:rPr>
                <w:rFonts w:hint="eastAsia" w:ascii="宋体" w:hAnsi="宋体" w:cs="HiddenHorzOCR"/>
                <w:color w:val="515150"/>
                <w:kern w:val="0"/>
                <w:szCs w:val="21"/>
              </w:rPr>
              <w:t>、</w:t>
            </w:r>
            <w:r>
              <w:rPr>
                <w:rFonts w:hint="eastAsia" w:ascii="宋体" w:hAnsi="宋体" w:cs="HiddenHorzOCR"/>
                <w:color w:val="2C2B2C"/>
                <w:kern w:val="0"/>
                <w:szCs w:val="21"/>
              </w:rPr>
              <w:t>卜小燕、毛利群、黄德群、王荣光</w:t>
            </w:r>
            <w:r>
              <w:rPr>
                <w:rFonts w:hint="eastAsia" w:ascii="宋体" w:hAnsi="宋体" w:cs="HiddenHorzOCR"/>
                <w:color w:val="515150"/>
                <w:kern w:val="0"/>
                <w:szCs w:val="21"/>
              </w:rPr>
              <w:t>、</w:t>
            </w:r>
            <w:r>
              <w:rPr>
                <w:rFonts w:hint="eastAsia" w:ascii="宋体" w:hAnsi="宋体" w:cs="宋体"/>
                <w:color w:val="2C2B2C"/>
                <w:kern w:val="0"/>
                <w:szCs w:val="21"/>
              </w:rPr>
              <w:t>许</w:t>
            </w:r>
            <w:r>
              <w:rPr>
                <w:rFonts w:hint="eastAsia" w:ascii="宋体" w:hAnsi="宋体" w:cs="MS Gothic"/>
                <w:color w:val="2C2B2C"/>
                <w:kern w:val="0"/>
                <w:szCs w:val="21"/>
              </w:rPr>
              <w:t>志新、刘</w:t>
            </w:r>
            <w:r>
              <w:rPr>
                <w:rFonts w:hint="eastAsia" w:ascii="宋体" w:hAnsi="宋体" w:cs="HiddenHorzOCR"/>
                <w:color w:val="2C2B2C"/>
                <w:kern w:val="0"/>
                <w:szCs w:val="21"/>
              </w:rPr>
              <w:t>清生、</w:t>
            </w:r>
            <w:r>
              <w:rPr>
                <w:rFonts w:hint="eastAsia" w:ascii="宋体" w:hAnsi="宋体" w:cs="宋体"/>
                <w:color w:val="2C2B2C"/>
                <w:kern w:val="0"/>
                <w:szCs w:val="21"/>
              </w:rPr>
              <w:t>谢</w:t>
            </w:r>
            <w:r>
              <w:rPr>
                <w:rFonts w:hint="eastAsia" w:ascii="宋体" w:hAnsi="宋体" w:cs="MS Gothic"/>
                <w:color w:val="2C2B2C"/>
                <w:kern w:val="0"/>
                <w:szCs w:val="21"/>
              </w:rPr>
              <w:t>志</w:t>
            </w:r>
            <w:r>
              <w:rPr>
                <w:rFonts w:hint="eastAsia" w:ascii="宋体" w:hAnsi="宋体" w:cs="宋体"/>
                <w:color w:val="2C2B2C"/>
                <w:kern w:val="0"/>
                <w:szCs w:val="21"/>
              </w:rPr>
              <w:t>锋</w:t>
            </w:r>
            <w:r>
              <w:rPr>
                <w:rFonts w:hint="eastAsia" w:ascii="宋体" w:hAnsi="宋体" w:cs="HiddenHorzOCR"/>
                <w:color w:val="515150"/>
                <w:kern w:val="0"/>
                <w:szCs w:val="21"/>
              </w:rPr>
              <w:t>、</w:t>
            </w:r>
            <w:r>
              <w:rPr>
                <w:rFonts w:hint="eastAsia" w:ascii="宋体" w:hAnsi="宋体" w:cs="HiddenHorzOCR"/>
                <w:color w:val="2C2B2C"/>
                <w:kern w:val="0"/>
                <w:szCs w:val="21"/>
              </w:rPr>
              <w:t>丘德周</w:t>
            </w:r>
            <w:r>
              <w:rPr>
                <w:rFonts w:hint="eastAsia" w:ascii="宋体" w:hAnsi="宋体" w:cs="HiddenHorzOCR"/>
                <w:color w:val="515150"/>
                <w:kern w:val="0"/>
                <w:szCs w:val="21"/>
              </w:rPr>
              <w:t>、</w:t>
            </w:r>
            <w:r>
              <w:rPr>
                <w:rFonts w:hint="eastAsia" w:ascii="宋体" w:hAnsi="宋体" w:cs="HiddenHorzOCR"/>
                <w:color w:val="2C2B2C"/>
                <w:kern w:val="0"/>
                <w:szCs w:val="21"/>
              </w:rPr>
              <w:t>伺人平</w:t>
            </w:r>
            <w:r>
              <w:rPr>
                <w:rFonts w:hint="eastAsia" w:ascii="宋体" w:hAnsi="宋体" w:cs="HiddenHorzOCR"/>
                <w:color w:val="515150"/>
                <w:kern w:val="0"/>
                <w:szCs w:val="21"/>
              </w:rPr>
              <w:t>、</w:t>
            </w:r>
            <w:r>
              <w:rPr>
                <w:rFonts w:hint="eastAsia" w:ascii="宋体" w:hAnsi="宋体" w:cs="HiddenHorzOCR"/>
                <w:color w:val="2C2B2C"/>
                <w:kern w:val="0"/>
                <w:szCs w:val="21"/>
              </w:rPr>
              <w:t>刘</w:t>
            </w:r>
            <w:r>
              <w:rPr>
                <w:rFonts w:hint="eastAsia" w:ascii="宋体" w:hAnsi="宋体" w:cs="宋体"/>
                <w:color w:val="2C2B2C"/>
                <w:kern w:val="0"/>
                <w:szCs w:val="21"/>
              </w:rPr>
              <w:t>发龙</w:t>
            </w:r>
          </w:p>
        </w:tc>
      </w:tr>
    </w:tbl>
    <w:p w14:paraId="6CFE78FF">
      <w:pPr>
        <w:ind w:firstLine="420"/>
      </w:pPr>
    </w:p>
    <w:tbl>
      <w:tblPr>
        <w:tblStyle w:val="1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5FE0E2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25A0373E">
            <w:pPr>
              <w:ind w:firstLine="0" w:firstLineChars="0"/>
            </w:pPr>
            <w:r>
              <w:rPr>
                <w:rFonts w:hint="eastAsia"/>
              </w:rPr>
              <w:drawing>
                <wp:inline distT="0" distB="0" distL="114300" distR="114300">
                  <wp:extent cx="6188710" cy="4040505"/>
                  <wp:effectExtent l="0" t="0" r="2540" b="17145"/>
                  <wp:docPr id="23" name="图片 23" descr="南雄年鉴201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南雄年鉴2012-11"/>
                          <pic:cNvPicPr>
                            <a:picLocks noChangeAspect="1"/>
                          </pic:cNvPicPr>
                        </pic:nvPicPr>
                        <pic:blipFill>
                          <a:blip r:embed="rId26" cstate="print"/>
                          <a:stretch>
                            <a:fillRect/>
                          </a:stretch>
                        </pic:blipFill>
                        <pic:spPr>
                          <a:xfrm>
                            <a:off x="0" y="0"/>
                            <a:ext cx="6188710" cy="4040505"/>
                          </a:xfrm>
                          <a:prstGeom prst="rect">
                            <a:avLst/>
                          </a:prstGeom>
                        </pic:spPr>
                      </pic:pic>
                    </a:graphicData>
                  </a:graphic>
                </wp:inline>
              </w:drawing>
            </w:r>
          </w:p>
        </w:tc>
      </w:tr>
      <w:tr w14:paraId="417969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62" w:type="dxa"/>
            <w:tcBorders>
              <w:top w:val="nil"/>
              <w:left w:val="nil"/>
              <w:bottom w:val="nil"/>
              <w:right w:val="nil"/>
            </w:tcBorders>
            <w:vAlign w:val="center"/>
          </w:tcPr>
          <w:p w14:paraId="2213793C">
            <w:pPr>
              <w:autoSpaceDE w:val="0"/>
              <w:autoSpaceDN w:val="0"/>
              <w:adjustRightInd w:val="0"/>
              <w:ind w:firstLine="420"/>
              <w:jc w:val="left"/>
              <w:rPr>
                <w:rFonts w:ascii="宋体" w:hAnsi="宋体" w:cs="HiddenHorzOCR"/>
                <w:color w:val="2A2829"/>
                <w:kern w:val="0"/>
                <w:szCs w:val="21"/>
              </w:rPr>
            </w:pPr>
            <w:r>
              <w:rPr>
                <w:rFonts w:ascii="宋体" w:hAnsi="宋体" w:cs="HiddenHorzOCR"/>
                <w:color w:val="2A2829"/>
                <w:kern w:val="0"/>
                <w:szCs w:val="21"/>
              </w:rPr>
              <w:t>2011</w:t>
            </w:r>
            <w:r>
              <w:rPr>
                <w:rFonts w:hint="eastAsia" w:ascii="宋体" w:hAnsi="宋体" w:cs="HiddenHorzOCR"/>
                <w:color w:val="2A2829"/>
                <w:kern w:val="0"/>
                <w:szCs w:val="21"/>
              </w:rPr>
              <w:t>年</w:t>
            </w:r>
            <w:r>
              <w:rPr>
                <w:rFonts w:ascii="宋体" w:hAnsi="宋体" w:cs="HiddenHorzOCR"/>
                <w:color w:val="2A2829"/>
                <w:kern w:val="0"/>
                <w:szCs w:val="21"/>
              </w:rPr>
              <w:t>11</w:t>
            </w:r>
            <w:r>
              <w:rPr>
                <w:rFonts w:hint="eastAsia" w:ascii="宋体" w:hAnsi="宋体" w:cs="HiddenHorzOCR"/>
                <w:color w:val="2A2829"/>
                <w:kern w:val="0"/>
                <w:szCs w:val="21"/>
              </w:rPr>
              <w:t>月</w:t>
            </w:r>
            <w:r>
              <w:rPr>
                <w:rFonts w:hint="eastAsia" w:ascii="宋体" w:hAnsi="宋体" w:cs="宋体"/>
                <w:color w:val="2A2829"/>
                <w:kern w:val="0"/>
                <w:szCs w:val="21"/>
              </w:rPr>
              <w:t>11</w:t>
            </w:r>
            <w:r>
              <w:rPr>
                <w:rFonts w:hint="eastAsia" w:ascii="宋体" w:hAnsi="宋体" w:cs="MS Gothic"/>
                <w:color w:val="2A2829"/>
                <w:kern w:val="0"/>
                <w:szCs w:val="21"/>
              </w:rPr>
              <w:t>日，召开南雄</w:t>
            </w:r>
            <w:r>
              <w:rPr>
                <w:rFonts w:hint="eastAsia" w:ascii="宋体" w:hAnsi="宋体" w:cs="HiddenHorzOCR"/>
                <w:color w:val="1B191A"/>
                <w:kern w:val="0"/>
                <w:szCs w:val="21"/>
              </w:rPr>
              <w:t>市第十四届人民代表大会第一次</w:t>
            </w:r>
            <w:r>
              <w:rPr>
                <w:rFonts w:hint="eastAsia" w:ascii="宋体" w:hAnsi="宋体" w:cs="HiddenHorzOCR"/>
                <w:color w:val="2A2829"/>
                <w:kern w:val="0"/>
                <w:szCs w:val="21"/>
              </w:rPr>
              <w:t>会</w:t>
            </w:r>
            <w:r>
              <w:rPr>
                <w:rFonts w:hint="eastAsia" w:ascii="宋体" w:hAnsi="宋体" w:cs="宋体"/>
                <w:color w:val="2A2829"/>
                <w:kern w:val="0"/>
                <w:szCs w:val="21"/>
              </w:rPr>
              <w:t>议</w:t>
            </w:r>
          </w:p>
        </w:tc>
      </w:tr>
    </w:tbl>
    <w:p w14:paraId="4EE70B45">
      <w:pPr>
        <w:ind w:firstLine="420"/>
      </w:pPr>
    </w:p>
    <w:tbl>
      <w:tblPr>
        <w:tblStyle w:val="1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66A79F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3BC47B0D">
            <w:pPr>
              <w:ind w:firstLine="0" w:firstLineChars="0"/>
            </w:pPr>
            <w:r>
              <w:rPr>
                <w:rFonts w:hint="eastAsia"/>
              </w:rPr>
              <w:drawing>
                <wp:inline distT="0" distB="0" distL="114300" distR="114300">
                  <wp:extent cx="6182995" cy="4063365"/>
                  <wp:effectExtent l="0" t="0" r="8255" b="13335"/>
                  <wp:docPr id="24" name="图片 24" descr="南雄年鉴201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南雄年鉴2012-12"/>
                          <pic:cNvPicPr>
                            <a:picLocks noChangeAspect="1"/>
                          </pic:cNvPicPr>
                        </pic:nvPicPr>
                        <pic:blipFill>
                          <a:blip r:embed="rId27" cstate="print"/>
                          <a:stretch>
                            <a:fillRect/>
                          </a:stretch>
                        </pic:blipFill>
                        <pic:spPr>
                          <a:xfrm>
                            <a:off x="0" y="0"/>
                            <a:ext cx="6182995" cy="4063365"/>
                          </a:xfrm>
                          <a:prstGeom prst="rect">
                            <a:avLst/>
                          </a:prstGeom>
                        </pic:spPr>
                      </pic:pic>
                    </a:graphicData>
                  </a:graphic>
                </wp:inline>
              </w:drawing>
            </w:r>
          </w:p>
        </w:tc>
      </w:tr>
      <w:tr w14:paraId="5413C5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vAlign w:val="center"/>
          </w:tcPr>
          <w:p w14:paraId="2C0B8683">
            <w:pPr>
              <w:autoSpaceDE w:val="0"/>
              <w:autoSpaceDN w:val="0"/>
              <w:adjustRightInd w:val="0"/>
              <w:ind w:firstLine="420"/>
              <w:jc w:val="left"/>
              <w:rPr>
                <w:rFonts w:ascii="宋体" w:hAnsi="宋体" w:cs="HiddenHorzOCR"/>
                <w:color w:val="2A2829"/>
                <w:kern w:val="0"/>
                <w:szCs w:val="21"/>
              </w:rPr>
            </w:pPr>
            <w:r>
              <w:rPr>
                <w:rFonts w:hint="eastAsia" w:ascii="宋体" w:hAnsi="宋体" w:cs="HiddenHorzOCR"/>
                <w:color w:val="2A2829"/>
                <w:kern w:val="0"/>
                <w:szCs w:val="21"/>
              </w:rPr>
              <w:t>南雄市第十四届人大常委会正副主任</w:t>
            </w:r>
            <w:r>
              <w:rPr>
                <w:rFonts w:hint="eastAsia" w:ascii="宋体" w:hAnsi="宋体" w:cs="宋体"/>
                <w:color w:val="2A2829"/>
                <w:kern w:val="0"/>
                <w:szCs w:val="21"/>
              </w:rPr>
              <w:t>组</w:t>
            </w:r>
            <w:r>
              <w:rPr>
                <w:rFonts w:hint="eastAsia" w:ascii="宋体" w:hAnsi="宋体" w:cs="MS Gothic"/>
                <w:color w:val="2A2829"/>
                <w:kern w:val="0"/>
                <w:szCs w:val="21"/>
              </w:rPr>
              <w:t>成人</w:t>
            </w:r>
            <w:r>
              <w:rPr>
                <w:rFonts w:hint="eastAsia" w:ascii="宋体" w:hAnsi="宋体" w:cs="宋体"/>
                <w:color w:val="2A2829"/>
                <w:kern w:val="0"/>
                <w:szCs w:val="21"/>
              </w:rPr>
              <w:t>员</w:t>
            </w:r>
            <w:r>
              <w:rPr>
                <w:rFonts w:hint="eastAsia" w:ascii="宋体" w:hAnsi="宋体" w:cs="MS Gothic"/>
                <w:color w:val="2A2829"/>
                <w:kern w:val="0"/>
                <w:szCs w:val="21"/>
              </w:rPr>
              <w:t>，左</w:t>
            </w:r>
            <w:r>
              <w:rPr>
                <w:rFonts w:hint="eastAsia" w:ascii="宋体" w:hAnsi="宋体" w:cs="HiddenHorzOCR"/>
                <w:color w:val="2A2829"/>
                <w:kern w:val="0"/>
                <w:szCs w:val="21"/>
              </w:rPr>
              <w:t>起</w:t>
            </w:r>
            <w:r>
              <w:rPr>
                <w:rFonts w:hint="eastAsia" w:ascii="宋体" w:hAnsi="宋体" w:cs="宋体"/>
                <w:color w:val="2A2829"/>
                <w:kern w:val="0"/>
                <w:szCs w:val="21"/>
              </w:rPr>
              <w:t>张</w:t>
            </w:r>
            <w:r>
              <w:rPr>
                <w:rFonts w:hint="eastAsia" w:ascii="宋体" w:hAnsi="宋体" w:cs="MS Gothic"/>
                <w:color w:val="2A2829"/>
                <w:kern w:val="0"/>
                <w:szCs w:val="21"/>
              </w:rPr>
              <w:t>宗</w:t>
            </w:r>
            <w:r>
              <w:rPr>
                <w:rFonts w:hint="eastAsia" w:ascii="宋体" w:hAnsi="宋体" w:cs="宋体"/>
                <w:color w:val="2A2829"/>
                <w:kern w:val="0"/>
                <w:szCs w:val="21"/>
              </w:rPr>
              <w:t>财</w:t>
            </w:r>
            <w:r>
              <w:rPr>
                <w:rFonts w:hint="eastAsia" w:ascii="宋体" w:hAnsi="宋体" w:cs="MS Gothic"/>
                <w:color w:val="2A2829"/>
                <w:kern w:val="0"/>
                <w:szCs w:val="21"/>
              </w:rPr>
              <w:t>、</w:t>
            </w:r>
            <w:r>
              <w:rPr>
                <w:rFonts w:hint="eastAsia" w:ascii="宋体" w:hAnsi="宋体" w:cs="宋体"/>
                <w:color w:val="2A2829"/>
                <w:kern w:val="0"/>
                <w:szCs w:val="21"/>
              </w:rPr>
              <w:t>陈</w:t>
            </w:r>
            <w:r>
              <w:rPr>
                <w:rFonts w:hint="eastAsia" w:ascii="宋体" w:hAnsi="宋体" w:cs="MS Gothic"/>
                <w:color w:val="2A2829"/>
                <w:kern w:val="0"/>
                <w:szCs w:val="21"/>
              </w:rPr>
              <w:t>培</w:t>
            </w:r>
            <w:r>
              <w:rPr>
                <w:rFonts w:hint="eastAsia" w:ascii="宋体" w:hAnsi="宋体" w:cs="宋体"/>
                <w:color w:val="2A2829"/>
                <w:kern w:val="0"/>
                <w:szCs w:val="21"/>
              </w:rPr>
              <w:t>兰</w:t>
            </w:r>
            <w:r>
              <w:rPr>
                <w:rFonts w:hint="eastAsia" w:ascii="宋体" w:hAnsi="宋体" w:cs="HiddenHorzOCR"/>
                <w:color w:val="505050"/>
                <w:kern w:val="0"/>
                <w:szCs w:val="21"/>
              </w:rPr>
              <w:t>、</w:t>
            </w:r>
            <w:r>
              <w:rPr>
                <w:rFonts w:hint="eastAsia" w:ascii="宋体" w:hAnsi="宋体" w:cs="宋体"/>
                <w:color w:val="2A2829"/>
                <w:kern w:val="0"/>
                <w:szCs w:val="21"/>
              </w:rPr>
              <w:t>陈</w:t>
            </w:r>
            <w:r>
              <w:rPr>
                <w:rFonts w:hint="eastAsia" w:ascii="宋体" w:hAnsi="宋体" w:cs="MS Gothic"/>
                <w:color w:val="2A2829"/>
                <w:kern w:val="0"/>
                <w:szCs w:val="21"/>
              </w:rPr>
              <w:t>玉英、</w:t>
            </w:r>
            <w:r>
              <w:rPr>
                <w:rFonts w:hint="eastAsia" w:ascii="宋体" w:hAnsi="宋体" w:cs="宋体"/>
                <w:color w:val="2A2829"/>
                <w:kern w:val="0"/>
                <w:szCs w:val="21"/>
              </w:rPr>
              <w:t>许</w:t>
            </w:r>
            <w:r>
              <w:rPr>
                <w:rFonts w:hint="eastAsia" w:ascii="宋体" w:hAnsi="宋体" w:cs="MS Gothic"/>
                <w:color w:val="2A2829"/>
                <w:kern w:val="0"/>
                <w:szCs w:val="21"/>
              </w:rPr>
              <w:t>志新</w:t>
            </w:r>
            <w:r>
              <w:rPr>
                <w:rFonts w:hint="eastAsia" w:ascii="宋体" w:hAnsi="宋体" w:cs="HiddenHorzOCR"/>
                <w:color w:val="505050"/>
                <w:kern w:val="0"/>
                <w:szCs w:val="21"/>
              </w:rPr>
              <w:t>（</w:t>
            </w:r>
            <w:r>
              <w:rPr>
                <w:rFonts w:hint="eastAsia" w:ascii="宋体" w:hAnsi="宋体" w:cs="HiddenHorzOCR"/>
                <w:color w:val="2A2829"/>
                <w:kern w:val="0"/>
                <w:szCs w:val="21"/>
              </w:rPr>
              <w:t>主任</w:t>
            </w:r>
            <w:r>
              <w:rPr>
                <w:rFonts w:hint="eastAsia" w:ascii="宋体" w:hAnsi="宋体" w:cs="HiddenHorzOCR"/>
                <w:color w:val="505050"/>
                <w:kern w:val="0"/>
                <w:szCs w:val="21"/>
              </w:rPr>
              <w:t>）、</w:t>
            </w:r>
            <w:r>
              <w:rPr>
                <w:rFonts w:hint="eastAsia" w:ascii="宋体" w:hAnsi="宋体" w:cs="宋体"/>
                <w:color w:val="2A2829"/>
                <w:kern w:val="0"/>
                <w:szCs w:val="21"/>
              </w:rPr>
              <w:t>罗</w:t>
            </w:r>
            <w:r>
              <w:rPr>
                <w:rFonts w:hint="eastAsia" w:ascii="宋体" w:hAnsi="宋体" w:cs="MS Gothic"/>
                <w:color w:val="2A2829"/>
                <w:kern w:val="0"/>
                <w:szCs w:val="21"/>
              </w:rPr>
              <w:t>勇新、</w:t>
            </w:r>
            <w:r>
              <w:rPr>
                <w:rFonts w:hint="eastAsia" w:ascii="宋体" w:hAnsi="宋体" w:cs="HiddenHorzOCR"/>
                <w:color w:val="3D3D3C"/>
                <w:kern w:val="0"/>
                <w:szCs w:val="21"/>
              </w:rPr>
              <w:t>刘宏</w:t>
            </w:r>
            <w:r>
              <w:rPr>
                <w:rFonts w:hint="eastAsia" w:ascii="宋体" w:hAnsi="宋体" w:cs="宋体"/>
                <w:color w:val="3D3D3C"/>
                <w:kern w:val="0"/>
                <w:szCs w:val="21"/>
              </w:rPr>
              <w:t>伟</w:t>
            </w:r>
            <w:r>
              <w:rPr>
                <w:rFonts w:hint="eastAsia" w:ascii="宋体" w:hAnsi="宋体" w:cs="MS Gothic"/>
                <w:color w:val="3D3D3C"/>
                <w:kern w:val="0"/>
                <w:szCs w:val="21"/>
              </w:rPr>
              <w:t>、李冰</w:t>
            </w:r>
          </w:p>
        </w:tc>
      </w:tr>
    </w:tbl>
    <w:p w14:paraId="55FF0CD7">
      <w:pPr>
        <w:ind w:firstLine="420"/>
      </w:pPr>
    </w:p>
    <w:tbl>
      <w:tblPr>
        <w:tblStyle w:val="1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0122F5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23E120D5">
            <w:pPr>
              <w:ind w:firstLine="0" w:firstLineChars="0"/>
            </w:pPr>
            <w:r>
              <w:rPr>
                <w:rFonts w:hint="eastAsia"/>
              </w:rPr>
              <w:drawing>
                <wp:inline distT="0" distB="0" distL="114300" distR="114300">
                  <wp:extent cx="6184900" cy="4069080"/>
                  <wp:effectExtent l="0" t="0" r="6350" b="7620"/>
                  <wp:docPr id="25" name="图片 25" descr="南雄年鉴201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南雄年鉴2012-13"/>
                          <pic:cNvPicPr>
                            <a:picLocks noChangeAspect="1"/>
                          </pic:cNvPicPr>
                        </pic:nvPicPr>
                        <pic:blipFill>
                          <a:blip r:embed="rId28" cstate="print"/>
                          <a:stretch>
                            <a:fillRect/>
                          </a:stretch>
                        </pic:blipFill>
                        <pic:spPr>
                          <a:xfrm>
                            <a:off x="0" y="0"/>
                            <a:ext cx="6184900" cy="4069080"/>
                          </a:xfrm>
                          <a:prstGeom prst="rect">
                            <a:avLst/>
                          </a:prstGeom>
                        </pic:spPr>
                      </pic:pic>
                    </a:graphicData>
                  </a:graphic>
                </wp:inline>
              </w:drawing>
            </w:r>
          </w:p>
        </w:tc>
      </w:tr>
      <w:tr w14:paraId="169098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vAlign w:val="center"/>
          </w:tcPr>
          <w:p w14:paraId="106A837D">
            <w:pPr>
              <w:autoSpaceDE w:val="0"/>
              <w:autoSpaceDN w:val="0"/>
              <w:adjustRightInd w:val="0"/>
              <w:ind w:firstLine="420"/>
              <w:jc w:val="left"/>
              <w:rPr>
                <w:rFonts w:ascii="宋体" w:hAnsi="宋体" w:cs="HiddenHorzOCR"/>
                <w:color w:val="2A2829"/>
                <w:kern w:val="0"/>
                <w:szCs w:val="21"/>
              </w:rPr>
            </w:pPr>
            <w:r>
              <w:rPr>
                <w:rFonts w:hint="eastAsia" w:ascii="宋体" w:hAnsi="宋体" w:cs="HiddenHorzOCR"/>
                <w:color w:val="2A2829"/>
                <w:kern w:val="0"/>
                <w:szCs w:val="21"/>
              </w:rPr>
              <w:t>南雄市第十四届人民代表大会当</w:t>
            </w:r>
            <w:r>
              <w:rPr>
                <w:rFonts w:hint="eastAsia" w:ascii="宋体" w:hAnsi="宋体" w:cs="宋体"/>
                <w:color w:val="2A2829"/>
                <w:kern w:val="0"/>
                <w:szCs w:val="21"/>
              </w:rPr>
              <w:t>选</w:t>
            </w:r>
            <w:r>
              <w:rPr>
                <w:rFonts w:hint="eastAsia" w:ascii="宋体" w:hAnsi="宋体" w:cs="MS Gothic"/>
                <w:color w:val="2A2829"/>
                <w:kern w:val="0"/>
                <w:szCs w:val="21"/>
              </w:rPr>
              <w:t>的南雄市人民政府正</w:t>
            </w:r>
            <w:r>
              <w:rPr>
                <w:rFonts w:hint="eastAsia" w:ascii="宋体" w:hAnsi="宋体" w:cs="HiddenHorzOCR"/>
                <w:color w:val="2A2829"/>
                <w:kern w:val="0"/>
                <w:szCs w:val="21"/>
              </w:rPr>
              <w:t>副市</w:t>
            </w:r>
            <w:r>
              <w:rPr>
                <w:rFonts w:hint="eastAsia" w:ascii="宋体" w:hAnsi="宋体" w:cs="宋体"/>
                <w:color w:val="2A2829"/>
                <w:kern w:val="0"/>
                <w:szCs w:val="21"/>
              </w:rPr>
              <w:t>长</w:t>
            </w:r>
            <w:r>
              <w:rPr>
                <w:rFonts w:hint="eastAsia" w:ascii="宋体" w:hAnsi="宋体" w:cs="MS Gothic"/>
                <w:color w:val="2A2829"/>
                <w:kern w:val="0"/>
                <w:szCs w:val="21"/>
              </w:rPr>
              <w:t>，左起</w:t>
            </w:r>
            <w:r>
              <w:rPr>
                <w:rFonts w:hint="eastAsia" w:ascii="宋体" w:hAnsi="宋体" w:cs="宋体"/>
                <w:color w:val="2A2829"/>
                <w:kern w:val="0"/>
                <w:szCs w:val="21"/>
              </w:rPr>
              <w:t>吕</w:t>
            </w:r>
            <w:r>
              <w:rPr>
                <w:rFonts w:hint="eastAsia" w:ascii="宋体" w:hAnsi="宋体" w:cs="MS Gothic"/>
                <w:color w:val="2A2829"/>
                <w:kern w:val="0"/>
                <w:szCs w:val="21"/>
              </w:rPr>
              <w:t>道宏、何光明</w:t>
            </w:r>
            <w:r>
              <w:rPr>
                <w:rFonts w:hint="eastAsia" w:ascii="宋体" w:hAnsi="宋体" w:cs="HiddenHorzOCR"/>
                <w:color w:val="505050"/>
                <w:kern w:val="0"/>
                <w:szCs w:val="21"/>
              </w:rPr>
              <w:t>、</w:t>
            </w:r>
            <w:r>
              <w:rPr>
                <w:rFonts w:hint="eastAsia" w:ascii="宋体" w:hAnsi="宋体" w:cs="HiddenHorzOCR"/>
                <w:color w:val="1B191A"/>
                <w:kern w:val="0"/>
                <w:szCs w:val="21"/>
              </w:rPr>
              <w:t>刘</w:t>
            </w:r>
            <w:r>
              <w:rPr>
                <w:rFonts w:hint="eastAsia" w:ascii="宋体" w:hAnsi="宋体" w:cs="宋体"/>
                <w:color w:val="1B191A"/>
                <w:kern w:val="0"/>
                <w:szCs w:val="21"/>
              </w:rPr>
              <w:t>锐</w:t>
            </w:r>
            <w:r>
              <w:rPr>
                <w:rFonts w:hint="eastAsia" w:ascii="宋体" w:hAnsi="宋体" w:cs="MS Gothic"/>
                <w:color w:val="1B191A"/>
                <w:kern w:val="0"/>
                <w:szCs w:val="21"/>
              </w:rPr>
              <w:t>明</w:t>
            </w:r>
            <w:r>
              <w:rPr>
                <w:rFonts w:hint="eastAsia" w:ascii="宋体" w:hAnsi="宋体" w:cs="HiddenHorzOCR"/>
                <w:color w:val="3D3D3C"/>
                <w:kern w:val="0"/>
                <w:szCs w:val="21"/>
              </w:rPr>
              <w:t>、刘清生（市</w:t>
            </w:r>
            <w:r>
              <w:rPr>
                <w:rFonts w:hint="eastAsia" w:ascii="宋体" w:hAnsi="宋体" w:cs="宋体"/>
                <w:color w:val="3D3D3C"/>
                <w:kern w:val="0"/>
                <w:szCs w:val="21"/>
              </w:rPr>
              <w:t>长</w:t>
            </w:r>
            <w:r>
              <w:rPr>
                <w:rFonts w:hint="eastAsia" w:ascii="宋体" w:hAnsi="宋体" w:cs="MS Gothic"/>
                <w:color w:val="3D3D3C"/>
                <w:kern w:val="0"/>
                <w:szCs w:val="21"/>
              </w:rPr>
              <w:t>）、</w:t>
            </w:r>
            <w:r>
              <w:rPr>
                <w:rFonts w:hint="eastAsia" w:ascii="宋体" w:hAnsi="宋体" w:cs="HiddenHorzOCR"/>
                <w:color w:val="2A2829"/>
                <w:kern w:val="0"/>
                <w:szCs w:val="21"/>
              </w:rPr>
              <w:t>何人平</w:t>
            </w:r>
            <w:r>
              <w:rPr>
                <w:rFonts w:hint="eastAsia" w:ascii="宋体" w:hAnsi="宋体" w:cs="HiddenHorzOCR"/>
                <w:color w:val="505050"/>
                <w:kern w:val="0"/>
                <w:szCs w:val="21"/>
              </w:rPr>
              <w:t>、</w:t>
            </w:r>
            <w:r>
              <w:rPr>
                <w:rFonts w:hint="eastAsia" w:ascii="宋体" w:hAnsi="宋体" w:cs="宋体"/>
                <w:color w:val="2A2829"/>
                <w:kern w:val="0"/>
                <w:szCs w:val="21"/>
              </w:rPr>
              <w:t>罗战</w:t>
            </w:r>
            <w:r>
              <w:rPr>
                <w:rFonts w:hint="eastAsia" w:ascii="宋体" w:hAnsi="宋体" w:cs="MS Gothic"/>
                <w:color w:val="2A2829"/>
                <w:kern w:val="0"/>
                <w:szCs w:val="21"/>
              </w:rPr>
              <w:t>勇、</w:t>
            </w:r>
            <w:r>
              <w:rPr>
                <w:rFonts w:hint="eastAsia" w:ascii="宋体" w:hAnsi="宋体" w:cs="宋体"/>
                <w:color w:val="2A2829"/>
                <w:kern w:val="0"/>
                <w:szCs w:val="21"/>
              </w:rPr>
              <w:t>马细</w:t>
            </w:r>
            <w:r>
              <w:rPr>
                <w:rFonts w:hint="eastAsia" w:ascii="宋体" w:hAnsi="宋体" w:cs="HiddenHorzOCR"/>
                <w:color w:val="2A2829"/>
                <w:kern w:val="0"/>
                <w:szCs w:val="21"/>
              </w:rPr>
              <w:t>妹</w:t>
            </w:r>
          </w:p>
        </w:tc>
      </w:tr>
    </w:tbl>
    <w:p w14:paraId="49F160D4">
      <w:pPr>
        <w:ind w:firstLine="420"/>
      </w:pPr>
    </w:p>
    <w:tbl>
      <w:tblPr>
        <w:tblStyle w:val="1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1CE6DF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12AEE608">
            <w:pPr>
              <w:ind w:firstLine="0" w:firstLineChars="0"/>
            </w:pPr>
            <w:r>
              <w:rPr>
                <w:rFonts w:hint="eastAsia"/>
              </w:rPr>
              <w:drawing>
                <wp:inline distT="0" distB="0" distL="114300" distR="114300">
                  <wp:extent cx="6186170" cy="3931920"/>
                  <wp:effectExtent l="0" t="0" r="5080" b="11430"/>
                  <wp:docPr id="26" name="图片 26" descr="南雄年鉴201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南雄年鉴2012-14"/>
                          <pic:cNvPicPr>
                            <a:picLocks noChangeAspect="1"/>
                          </pic:cNvPicPr>
                        </pic:nvPicPr>
                        <pic:blipFill>
                          <a:blip r:embed="rId29" cstate="print"/>
                          <a:stretch>
                            <a:fillRect/>
                          </a:stretch>
                        </pic:blipFill>
                        <pic:spPr>
                          <a:xfrm>
                            <a:off x="0" y="0"/>
                            <a:ext cx="6186170" cy="3931920"/>
                          </a:xfrm>
                          <a:prstGeom prst="rect">
                            <a:avLst/>
                          </a:prstGeom>
                        </pic:spPr>
                      </pic:pic>
                    </a:graphicData>
                  </a:graphic>
                </wp:inline>
              </w:drawing>
            </w:r>
          </w:p>
        </w:tc>
      </w:tr>
      <w:tr w14:paraId="5F8A17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vAlign w:val="center"/>
          </w:tcPr>
          <w:p w14:paraId="45DF930E">
            <w:pPr>
              <w:autoSpaceDE w:val="0"/>
              <w:autoSpaceDN w:val="0"/>
              <w:adjustRightInd w:val="0"/>
              <w:ind w:firstLine="420"/>
              <w:jc w:val="left"/>
            </w:pPr>
            <w:r>
              <w:rPr>
                <w:rFonts w:ascii="宋体" w:hAnsi="宋体" w:cs="HiddenHorzOCR"/>
                <w:color w:val="222223"/>
                <w:kern w:val="0"/>
                <w:szCs w:val="21"/>
              </w:rPr>
              <w:t>2011</w:t>
            </w:r>
            <w:r>
              <w:rPr>
                <w:rFonts w:hint="eastAsia" w:ascii="宋体" w:hAnsi="宋体" w:cs="HiddenHorzOCR"/>
                <w:color w:val="222223"/>
                <w:kern w:val="0"/>
                <w:szCs w:val="21"/>
              </w:rPr>
              <w:t>年</w:t>
            </w:r>
            <w:r>
              <w:rPr>
                <w:rFonts w:hint="eastAsia" w:ascii="宋体" w:hAnsi="宋体" w:cs="宋体"/>
                <w:color w:val="222223"/>
                <w:kern w:val="0"/>
                <w:szCs w:val="21"/>
              </w:rPr>
              <w:t>11</w:t>
            </w:r>
            <w:r>
              <w:rPr>
                <w:rFonts w:hint="eastAsia" w:ascii="宋体" w:hAnsi="宋体" w:cs="MS Gothic"/>
                <w:color w:val="222223"/>
                <w:kern w:val="0"/>
                <w:szCs w:val="21"/>
              </w:rPr>
              <w:t>月</w:t>
            </w:r>
            <w:r>
              <w:rPr>
                <w:rFonts w:ascii="宋体" w:hAnsi="宋体" w:cs="HiddenHorzOCR"/>
                <w:color w:val="222223"/>
                <w:kern w:val="0"/>
                <w:szCs w:val="21"/>
              </w:rPr>
              <w:t>8</w:t>
            </w:r>
            <w:r>
              <w:rPr>
                <w:rFonts w:hint="eastAsia" w:ascii="宋体" w:hAnsi="宋体" w:cs="HiddenHorzOCR"/>
                <w:color w:val="222223"/>
                <w:kern w:val="0"/>
                <w:szCs w:val="21"/>
              </w:rPr>
              <w:t>日</w:t>
            </w:r>
            <w:r>
              <w:rPr>
                <w:rFonts w:hint="eastAsia" w:ascii="宋体" w:hAnsi="宋体" w:cs="HiddenHorzOCR"/>
                <w:color w:val="4E4E4E"/>
                <w:kern w:val="0"/>
                <w:szCs w:val="21"/>
              </w:rPr>
              <w:t>，</w:t>
            </w:r>
            <w:r>
              <w:rPr>
                <w:rFonts w:hint="eastAsia" w:ascii="宋体" w:hAnsi="宋体" w:cs="HiddenHorzOCR"/>
                <w:color w:val="343435"/>
                <w:kern w:val="0"/>
                <w:szCs w:val="21"/>
              </w:rPr>
              <w:t>召开中国人</w:t>
            </w:r>
            <w:r>
              <w:rPr>
                <w:rFonts w:hint="eastAsia" w:ascii="宋体" w:hAnsi="宋体" w:cs="HiddenHorzOCR"/>
                <w:color w:val="222223"/>
                <w:kern w:val="0"/>
                <w:szCs w:val="21"/>
              </w:rPr>
              <w:t>民政治</w:t>
            </w:r>
            <w:r>
              <w:rPr>
                <w:rFonts w:hint="eastAsia" w:ascii="宋体" w:hAnsi="宋体" w:cs="宋体"/>
                <w:color w:val="222223"/>
                <w:kern w:val="0"/>
                <w:szCs w:val="21"/>
              </w:rPr>
              <w:t>协</w:t>
            </w:r>
            <w:r>
              <w:rPr>
                <w:rFonts w:hint="eastAsia" w:ascii="宋体" w:hAnsi="宋体" w:cs="MS Gothic"/>
                <w:color w:val="222223"/>
                <w:kern w:val="0"/>
                <w:szCs w:val="21"/>
              </w:rPr>
              <w:t>商会</w:t>
            </w:r>
            <w:r>
              <w:rPr>
                <w:rFonts w:hint="eastAsia" w:ascii="宋体" w:hAnsi="宋体" w:cs="宋体"/>
                <w:color w:val="222223"/>
                <w:kern w:val="0"/>
                <w:szCs w:val="21"/>
              </w:rPr>
              <w:t>议</w:t>
            </w:r>
            <w:r>
              <w:rPr>
                <w:rFonts w:hint="eastAsia" w:ascii="宋体" w:hAnsi="宋体" w:cs="MS Gothic"/>
                <w:color w:val="222223"/>
                <w:kern w:val="0"/>
                <w:szCs w:val="21"/>
              </w:rPr>
              <w:t>南雄市第九届委</w:t>
            </w:r>
            <w:r>
              <w:rPr>
                <w:rFonts w:hint="eastAsia" w:ascii="宋体" w:hAnsi="宋体" w:cs="宋体"/>
                <w:color w:val="222223"/>
                <w:kern w:val="0"/>
                <w:szCs w:val="21"/>
              </w:rPr>
              <w:t>员</w:t>
            </w:r>
            <w:r>
              <w:rPr>
                <w:rFonts w:hint="eastAsia" w:ascii="宋体" w:hAnsi="宋体" w:cs="MS Gothic"/>
                <w:color w:val="222223"/>
                <w:kern w:val="0"/>
                <w:szCs w:val="21"/>
              </w:rPr>
              <w:t>会第一次会</w:t>
            </w:r>
            <w:r>
              <w:rPr>
                <w:rFonts w:hint="eastAsia" w:ascii="宋体" w:hAnsi="宋体" w:cs="宋体"/>
                <w:color w:val="222223"/>
                <w:kern w:val="0"/>
                <w:szCs w:val="21"/>
              </w:rPr>
              <w:t>议</w:t>
            </w:r>
          </w:p>
        </w:tc>
      </w:tr>
    </w:tbl>
    <w:p w14:paraId="44D735C6">
      <w:pPr>
        <w:ind w:firstLine="420"/>
      </w:pPr>
    </w:p>
    <w:tbl>
      <w:tblPr>
        <w:tblStyle w:val="1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7B196C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62" w:type="dxa"/>
            <w:tcBorders>
              <w:top w:val="nil"/>
              <w:left w:val="nil"/>
              <w:bottom w:val="nil"/>
              <w:right w:val="nil"/>
            </w:tcBorders>
          </w:tcPr>
          <w:p w14:paraId="1E533196">
            <w:pPr>
              <w:ind w:firstLine="0" w:firstLineChars="0"/>
            </w:pPr>
            <w:r>
              <w:rPr>
                <w:rFonts w:hint="eastAsia"/>
              </w:rPr>
              <w:drawing>
                <wp:inline distT="0" distB="0" distL="114300" distR="114300">
                  <wp:extent cx="6182360" cy="3937635"/>
                  <wp:effectExtent l="0" t="0" r="8890" b="5715"/>
                  <wp:docPr id="27" name="图片 27" descr="南雄年鉴201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南雄年鉴2012-15"/>
                          <pic:cNvPicPr>
                            <a:picLocks noChangeAspect="1"/>
                          </pic:cNvPicPr>
                        </pic:nvPicPr>
                        <pic:blipFill>
                          <a:blip r:embed="rId30" cstate="print"/>
                          <a:stretch>
                            <a:fillRect/>
                          </a:stretch>
                        </pic:blipFill>
                        <pic:spPr>
                          <a:xfrm>
                            <a:off x="0" y="0"/>
                            <a:ext cx="6182360" cy="3937635"/>
                          </a:xfrm>
                          <a:prstGeom prst="rect">
                            <a:avLst/>
                          </a:prstGeom>
                        </pic:spPr>
                      </pic:pic>
                    </a:graphicData>
                  </a:graphic>
                </wp:inline>
              </w:drawing>
            </w:r>
          </w:p>
        </w:tc>
      </w:tr>
      <w:tr w14:paraId="7C8915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vAlign w:val="center"/>
          </w:tcPr>
          <w:p w14:paraId="0FB0AE1A">
            <w:pPr>
              <w:autoSpaceDE w:val="0"/>
              <w:autoSpaceDN w:val="0"/>
              <w:adjustRightInd w:val="0"/>
              <w:ind w:firstLine="420"/>
              <w:jc w:val="left"/>
              <w:rPr>
                <w:rFonts w:ascii="宋体" w:hAnsi="宋体" w:cs="HiddenHorzOCR"/>
                <w:color w:val="343435"/>
                <w:kern w:val="0"/>
                <w:szCs w:val="21"/>
              </w:rPr>
            </w:pPr>
            <w:r>
              <w:rPr>
                <w:rFonts w:hint="eastAsia" w:ascii="宋体" w:hAnsi="宋体" w:cs="HiddenHorzOCR"/>
                <w:color w:val="343435"/>
                <w:kern w:val="0"/>
                <w:szCs w:val="21"/>
              </w:rPr>
              <w:t>政</w:t>
            </w:r>
            <w:r>
              <w:rPr>
                <w:rFonts w:hint="eastAsia" w:ascii="宋体" w:hAnsi="宋体" w:cs="宋体"/>
                <w:color w:val="343435"/>
                <w:kern w:val="0"/>
                <w:szCs w:val="21"/>
              </w:rPr>
              <w:t>协</w:t>
            </w:r>
            <w:r>
              <w:rPr>
                <w:rFonts w:hint="eastAsia" w:ascii="宋体" w:hAnsi="宋体" w:cs="MS Gothic"/>
                <w:color w:val="343435"/>
                <w:kern w:val="0"/>
                <w:szCs w:val="21"/>
              </w:rPr>
              <w:t>南雄市第九届委</w:t>
            </w:r>
            <w:r>
              <w:rPr>
                <w:rFonts w:hint="eastAsia" w:ascii="宋体" w:hAnsi="宋体" w:cs="宋体"/>
                <w:color w:val="343435"/>
                <w:kern w:val="0"/>
                <w:szCs w:val="21"/>
              </w:rPr>
              <w:t>员</w:t>
            </w:r>
            <w:r>
              <w:rPr>
                <w:rFonts w:hint="eastAsia" w:ascii="宋体" w:hAnsi="宋体" w:cs="MS Gothic"/>
                <w:color w:val="343435"/>
                <w:kern w:val="0"/>
                <w:szCs w:val="21"/>
              </w:rPr>
              <w:t>会正</w:t>
            </w:r>
            <w:r>
              <w:rPr>
                <w:rFonts w:hint="eastAsia" w:ascii="宋体" w:hAnsi="宋体" w:cs="HiddenHorzOCR"/>
                <w:color w:val="343435"/>
                <w:kern w:val="0"/>
                <w:szCs w:val="21"/>
              </w:rPr>
              <w:t>副主席</w:t>
            </w:r>
            <w:r>
              <w:rPr>
                <w:rFonts w:hint="eastAsia" w:ascii="宋体" w:hAnsi="宋体" w:cs="宋体"/>
                <w:color w:val="343435"/>
                <w:kern w:val="0"/>
                <w:szCs w:val="21"/>
              </w:rPr>
              <w:t>组</w:t>
            </w:r>
            <w:r>
              <w:rPr>
                <w:rFonts w:hint="eastAsia" w:ascii="宋体" w:hAnsi="宋体" w:cs="MS Gothic"/>
                <w:color w:val="343435"/>
                <w:kern w:val="0"/>
                <w:szCs w:val="21"/>
              </w:rPr>
              <w:t>成人</w:t>
            </w:r>
            <w:r>
              <w:rPr>
                <w:rFonts w:hint="eastAsia" w:ascii="宋体" w:hAnsi="宋体" w:cs="宋体"/>
                <w:color w:val="343435"/>
                <w:kern w:val="0"/>
                <w:szCs w:val="21"/>
              </w:rPr>
              <w:t>员</w:t>
            </w:r>
            <w:r>
              <w:rPr>
                <w:rFonts w:hint="eastAsia" w:ascii="宋体" w:hAnsi="宋体" w:cs="HiddenHorzOCR"/>
                <w:color w:val="4E4E4E"/>
                <w:kern w:val="0"/>
                <w:szCs w:val="21"/>
              </w:rPr>
              <w:t>，</w:t>
            </w:r>
            <w:r>
              <w:rPr>
                <w:rFonts w:hint="eastAsia" w:ascii="宋体" w:hAnsi="宋体" w:cs="HiddenHorzOCR"/>
                <w:color w:val="343435"/>
                <w:kern w:val="0"/>
                <w:szCs w:val="21"/>
              </w:rPr>
              <w:t>左起刘光团</w:t>
            </w:r>
            <w:r>
              <w:rPr>
                <w:rFonts w:hint="eastAsia" w:ascii="宋体" w:hAnsi="宋体" w:cs="HiddenHorzOCR"/>
                <w:color w:val="4E4E4E"/>
                <w:kern w:val="0"/>
                <w:szCs w:val="21"/>
              </w:rPr>
              <w:t>、</w:t>
            </w:r>
            <w:r>
              <w:rPr>
                <w:rFonts w:hint="eastAsia" w:ascii="宋体" w:hAnsi="宋体" w:cs="宋体"/>
                <w:color w:val="343435"/>
                <w:kern w:val="0"/>
                <w:szCs w:val="21"/>
              </w:rPr>
              <w:t>陈</w:t>
            </w:r>
            <w:r>
              <w:rPr>
                <w:rFonts w:hint="eastAsia" w:ascii="宋体" w:hAnsi="宋体" w:cs="MS Gothic"/>
                <w:color w:val="343435"/>
                <w:kern w:val="0"/>
                <w:szCs w:val="21"/>
              </w:rPr>
              <w:t>尚妹</w:t>
            </w:r>
            <w:r>
              <w:rPr>
                <w:rFonts w:hint="eastAsia" w:ascii="宋体" w:hAnsi="宋体" w:cs="HiddenHorzOCR"/>
                <w:color w:val="5D5D5D"/>
                <w:kern w:val="0"/>
                <w:szCs w:val="21"/>
              </w:rPr>
              <w:t>、</w:t>
            </w:r>
            <w:r>
              <w:rPr>
                <w:rFonts w:hint="eastAsia" w:ascii="宋体" w:hAnsi="宋体" w:cs="HiddenHorzOCR"/>
                <w:color w:val="343435"/>
                <w:kern w:val="0"/>
                <w:szCs w:val="21"/>
              </w:rPr>
              <w:t>刘</w:t>
            </w:r>
            <w:r>
              <w:rPr>
                <w:rFonts w:hint="eastAsia" w:ascii="宋体" w:hAnsi="宋体" w:cs="宋体"/>
                <w:color w:val="343435"/>
                <w:kern w:val="0"/>
                <w:szCs w:val="21"/>
              </w:rPr>
              <w:t>卫</w:t>
            </w:r>
            <w:r>
              <w:rPr>
                <w:rFonts w:hint="eastAsia" w:ascii="宋体" w:hAnsi="宋体" w:cs="MS Gothic"/>
                <w:color w:val="343435"/>
                <w:kern w:val="0"/>
                <w:szCs w:val="21"/>
              </w:rPr>
              <w:t>忠</w:t>
            </w:r>
            <w:r>
              <w:rPr>
                <w:rFonts w:hint="eastAsia" w:ascii="宋体" w:hAnsi="宋体" w:cs="HiddenHorzOCR"/>
                <w:color w:val="5D5D5D"/>
                <w:kern w:val="0"/>
                <w:szCs w:val="21"/>
              </w:rPr>
              <w:t>、</w:t>
            </w:r>
            <w:r>
              <w:rPr>
                <w:rFonts w:hint="eastAsia" w:ascii="宋体" w:hAnsi="宋体" w:cs="HiddenHorzOCR"/>
                <w:color w:val="343435"/>
                <w:kern w:val="0"/>
                <w:szCs w:val="21"/>
              </w:rPr>
              <w:t>何万</w:t>
            </w:r>
            <w:r>
              <w:rPr>
                <w:rFonts w:hint="eastAsia" w:ascii="宋体" w:hAnsi="宋体" w:cs="宋体"/>
                <w:color w:val="343435"/>
                <w:kern w:val="0"/>
                <w:szCs w:val="21"/>
              </w:rPr>
              <w:t>飞</w:t>
            </w:r>
            <w:r>
              <w:rPr>
                <w:rFonts w:hint="eastAsia" w:ascii="宋体" w:hAnsi="宋体" w:cs="HiddenHorzOCR"/>
                <w:color w:val="667171"/>
                <w:kern w:val="0"/>
                <w:szCs w:val="21"/>
              </w:rPr>
              <w:t>（</w:t>
            </w:r>
            <w:r>
              <w:rPr>
                <w:rFonts w:hint="eastAsia" w:ascii="宋体" w:hAnsi="宋体" w:cs="HiddenHorzOCR"/>
                <w:color w:val="222223"/>
                <w:kern w:val="0"/>
                <w:szCs w:val="21"/>
              </w:rPr>
              <w:t>主</w:t>
            </w:r>
            <w:r>
              <w:rPr>
                <w:rFonts w:hint="eastAsia" w:ascii="宋体" w:hAnsi="宋体" w:cs="HiddenHorzOCR"/>
                <w:color w:val="343435"/>
                <w:kern w:val="0"/>
                <w:szCs w:val="21"/>
              </w:rPr>
              <w:t>席</w:t>
            </w:r>
            <w:r>
              <w:rPr>
                <w:rFonts w:hint="eastAsia" w:ascii="宋体" w:hAnsi="宋体" w:cs="HiddenHorzOCR"/>
                <w:color w:val="667171"/>
                <w:kern w:val="0"/>
                <w:szCs w:val="21"/>
              </w:rPr>
              <w:t>）、</w:t>
            </w:r>
            <w:r>
              <w:rPr>
                <w:rFonts w:hint="eastAsia" w:ascii="宋体" w:hAnsi="宋体" w:cs="HiddenHorzOCR"/>
                <w:color w:val="343435"/>
                <w:kern w:val="0"/>
                <w:szCs w:val="21"/>
              </w:rPr>
              <w:t>周</w:t>
            </w:r>
            <w:r>
              <w:rPr>
                <w:rFonts w:hint="eastAsia" w:ascii="宋体" w:hAnsi="宋体" w:cs="宋体"/>
                <w:color w:val="343435"/>
                <w:kern w:val="0"/>
                <w:szCs w:val="21"/>
              </w:rPr>
              <w:t>济辉</w:t>
            </w:r>
            <w:r>
              <w:rPr>
                <w:rFonts w:hint="eastAsia" w:ascii="宋体" w:hAnsi="宋体" w:cs="HiddenHorzOCR"/>
                <w:color w:val="4E4E4E"/>
                <w:kern w:val="0"/>
                <w:szCs w:val="21"/>
              </w:rPr>
              <w:t>、</w:t>
            </w:r>
            <w:r>
              <w:rPr>
                <w:rFonts w:hint="eastAsia" w:ascii="宋体" w:hAnsi="宋体" w:cs="宋体"/>
                <w:color w:val="343435"/>
                <w:kern w:val="0"/>
                <w:szCs w:val="21"/>
              </w:rPr>
              <w:t>赖华焜、刘发雄</w:t>
            </w:r>
          </w:p>
        </w:tc>
      </w:tr>
    </w:tbl>
    <w:p w14:paraId="76496C15">
      <w:pPr>
        <w:ind w:firstLine="420"/>
      </w:pPr>
    </w:p>
    <w:tbl>
      <w:tblPr>
        <w:tblStyle w:val="1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3DAF2F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76282E91">
            <w:pPr>
              <w:ind w:firstLine="0" w:firstLineChars="0"/>
            </w:pPr>
            <w:r>
              <w:rPr>
                <w:rFonts w:hint="eastAsia"/>
              </w:rPr>
              <w:drawing>
                <wp:inline distT="0" distB="0" distL="114300" distR="114300">
                  <wp:extent cx="6186170" cy="3931920"/>
                  <wp:effectExtent l="0" t="0" r="5080" b="11430"/>
                  <wp:docPr id="28" name="图片 28" descr="南雄年鉴201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南雄年鉴2012-16"/>
                          <pic:cNvPicPr>
                            <a:picLocks noChangeAspect="1"/>
                          </pic:cNvPicPr>
                        </pic:nvPicPr>
                        <pic:blipFill>
                          <a:blip r:embed="rId31" cstate="print"/>
                          <a:stretch>
                            <a:fillRect/>
                          </a:stretch>
                        </pic:blipFill>
                        <pic:spPr>
                          <a:xfrm>
                            <a:off x="0" y="0"/>
                            <a:ext cx="6186170" cy="3931920"/>
                          </a:xfrm>
                          <a:prstGeom prst="rect">
                            <a:avLst/>
                          </a:prstGeom>
                        </pic:spPr>
                      </pic:pic>
                    </a:graphicData>
                  </a:graphic>
                </wp:inline>
              </w:drawing>
            </w:r>
          </w:p>
        </w:tc>
      </w:tr>
      <w:tr w14:paraId="59086F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vAlign w:val="center"/>
          </w:tcPr>
          <w:p w14:paraId="2D8DBE49">
            <w:pPr>
              <w:autoSpaceDE w:val="0"/>
              <w:autoSpaceDN w:val="0"/>
              <w:adjustRightInd w:val="0"/>
              <w:ind w:firstLine="420"/>
              <w:jc w:val="left"/>
              <w:rPr>
                <w:rFonts w:ascii="宋体" w:hAnsi="宋体" w:cs="HiddenHorzOCR"/>
                <w:color w:val="343435"/>
                <w:kern w:val="0"/>
                <w:szCs w:val="21"/>
              </w:rPr>
            </w:pPr>
            <w:r>
              <w:rPr>
                <w:rFonts w:ascii="宋体" w:hAnsi="宋体" w:cs="HiddenHorzOCR"/>
                <w:color w:val="222223"/>
                <w:kern w:val="0"/>
                <w:szCs w:val="21"/>
              </w:rPr>
              <w:t>2011</w:t>
            </w:r>
            <w:r>
              <w:rPr>
                <w:rFonts w:hint="eastAsia" w:ascii="宋体" w:hAnsi="宋体" w:cs="HiddenHorzOCR"/>
                <w:color w:val="222223"/>
                <w:kern w:val="0"/>
                <w:szCs w:val="21"/>
              </w:rPr>
              <w:t>年</w:t>
            </w:r>
            <w:r>
              <w:rPr>
                <w:rFonts w:ascii="宋体" w:hAnsi="宋体" w:cs="HiddenHorzOCR"/>
                <w:color w:val="222223"/>
                <w:kern w:val="0"/>
                <w:szCs w:val="21"/>
              </w:rPr>
              <w:t>8</w:t>
            </w:r>
            <w:r>
              <w:rPr>
                <w:rFonts w:hint="eastAsia" w:ascii="宋体" w:hAnsi="宋体" w:cs="HiddenHorzOCR"/>
                <w:color w:val="222223"/>
                <w:kern w:val="0"/>
                <w:szCs w:val="21"/>
              </w:rPr>
              <w:t>月</w:t>
            </w:r>
            <w:r>
              <w:rPr>
                <w:rFonts w:ascii="宋体" w:hAnsi="宋体" w:cs="HiddenHorzOCR"/>
                <w:color w:val="222223"/>
                <w:kern w:val="0"/>
                <w:szCs w:val="21"/>
              </w:rPr>
              <w:t>1</w:t>
            </w:r>
            <w:r>
              <w:rPr>
                <w:rFonts w:ascii="宋体" w:hAnsi="宋体" w:cs="HiddenHorzOCR"/>
                <w:color w:val="343435"/>
                <w:kern w:val="0"/>
                <w:szCs w:val="21"/>
              </w:rPr>
              <w:t>9</w:t>
            </w:r>
            <w:r>
              <w:rPr>
                <w:rFonts w:hint="eastAsia" w:ascii="宋体" w:hAnsi="宋体" w:cs="HiddenHorzOCR"/>
                <w:color w:val="343435"/>
                <w:kern w:val="0"/>
                <w:szCs w:val="21"/>
              </w:rPr>
              <w:t>日</w:t>
            </w:r>
            <w:r>
              <w:rPr>
                <w:rFonts w:hint="eastAsia" w:ascii="宋体" w:hAnsi="宋体" w:cs="HiddenHorzOCR"/>
                <w:color w:val="5D5D5D"/>
                <w:kern w:val="0"/>
                <w:szCs w:val="21"/>
              </w:rPr>
              <w:t>，</w:t>
            </w:r>
            <w:r>
              <w:rPr>
                <w:rFonts w:hint="eastAsia" w:ascii="宋体" w:hAnsi="宋体" w:cs="HiddenHorzOCR"/>
                <w:color w:val="343435"/>
                <w:kern w:val="0"/>
                <w:szCs w:val="21"/>
              </w:rPr>
              <w:t>南雄市新型</w:t>
            </w:r>
            <w:r>
              <w:rPr>
                <w:rFonts w:hint="eastAsia" w:ascii="宋体" w:hAnsi="宋体" w:cs="宋体"/>
                <w:color w:val="222223"/>
                <w:kern w:val="0"/>
                <w:szCs w:val="21"/>
              </w:rPr>
              <w:t>农</w:t>
            </w:r>
            <w:r>
              <w:rPr>
                <w:rFonts w:hint="eastAsia" w:ascii="宋体" w:hAnsi="宋体" w:cs="MS Gothic"/>
                <w:color w:val="222223"/>
                <w:kern w:val="0"/>
                <w:szCs w:val="21"/>
              </w:rPr>
              <w:t>村养老保</w:t>
            </w:r>
            <w:r>
              <w:rPr>
                <w:rFonts w:hint="eastAsia" w:ascii="宋体" w:hAnsi="宋体" w:cs="宋体"/>
                <w:color w:val="222223"/>
                <w:kern w:val="0"/>
                <w:szCs w:val="21"/>
              </w:rPr>
              <w:t>险</w:t>
            </w:r>
            <w:r>
              <w:rPr>
                <w:rFonts w:hint="eastAsia" w:ascii="宋体" w:hAnsi="宋体" w:cs="MS Gothic"/>
                <w:color w:val="222223"/>
                <w:kern w:val="0"/>
                <w:szCs w:val="21"/>
              </w:rPr>
              <w:t>启</w:t>
            </w:r>
            <w:r>
              <w:rPr>
                <w:rFonts w:hint="eastAsia" w:ascii="宋体" w:hAnsi="宋体" w:cs="宋体"/>
                <w:color w:val="222223"/>
                <w:kern w:val="0"/>
                <w:szCs w:val="21"/>
              </w:rPr>
              <w:t>动仪</w:t>
            </w:r>
            <w:r>
              <w:rPr>
                <w:rFonts w:hint="eastAsia" w:ascii="宋体" w:hAnsi="宋体" w:cs="HiddenHorzOCR"/>
                <w:color w:val="222223"/>
                <w:kern w:val="0"/>
                <w:szCs w:val="21"/>
              </w:rPr>
              <w:t>式</w:t>
            </w:r>
          </w:p>
        </w:tc>
      </w:tr>
    </w:tbl>
    <w:p w14:paraId="1A11DC77">
      <w:pPr>
        <w:ind w:firstLine="420"/>
      </w:pPr>
    </w:p>
    <w:tbl>
      <w:tblPr>
        <w:tblStyle w:val="1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68FC73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795953DA">
            <w:pPr>
              <w:ind w:firstLine="0" w:firstLineChars="0"/>
            </w:pPr>
            <w:r>
              <w:rPr>
                <w:rFonts w:hint="eastAsia"/>
              </w:rPr>
              <w:drawing>
                <wp:inline distT="0" distB="0" distL="114300" distR="114300">
                  <wp:extent cx="6188710" cy="3937635"/>
                  <wp:effectExtent l="0" t="0" r="2540" b="5715"/>
                  <wp:docPr id="29" name="图片 29" descr="南雄年鉴201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南雄年鉴2012-17"/>
                          <pic:cNvPicPr>
                            <a:picLocks noChangeAspect="1"/>
                          </pic:cNvPicPr>
                        </pic:nvPicPr>
                        <pic:blipFill>
                          <a:blip r:embed="rId32" cstate="print"/>
                          <a:stretch>
                            <a:fillRect/>
                          </a:stretch>
                        </pic:blipFill>
                        <pic:spPr>
                          <a:xfrm>
                            <a:off x="0" y="0"/>
                            <a:ext cx="6188710" cy="3937635"/>
                          </a:xfrm>
                          <a:prstGeom prst="rect">
                            <a:avLst/>
                          </a:prstGeom>
                        </pic:spPr>
                      </pic:pic>
                    </a:graphicData>
                  </a:graphic>
                </wp:inline>
              </w:drawing>
            </w:r>
          </w:p>
        </w:tc>
      </w:tr>
      <w:tr w14:paraId="0EDE80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62" w:type="dxa"/>
            <w:tcBorders>
              <w:top w:val="nil"/>
              <w:left w:val="nil"/>
              <w:bottom w:val="nil"/>
              <w:right w:val="nil"/>
            </w:tcBorders>
            <w:vAlign w:val="center"/>
          </w:tcPr>
          <w:p w14:paraId="0217EA43">
            <w:pPr>
              <w:autoSpaceDE w:val="0"/>
              <w:autoSpaceDN w:val="0"/>
              <w:adjustRightInd w:val="0"/>
              <w:ind w:firstLine="420"/>
              <w:jc w:val="left"/>
              <w:rPr>
                <w:rFonts w:ascii="宋体" w:hAnsi="宋体" w:cs="HiddenHorzOCR"/>
                <w:color w:val="212122"/>
                <w:kern w:val="0"/>
                <w:szCs w:val="21"/>
              </w:rPr>
            </w:pPr>
            <w:r>
              <w:rPr>
                <w:rFonts w:ascii="宋体" w:hAnsi="宋体" w:cs="HiddenHorzOCR"/>
                <w:color w:val="212122"/>
                <w:kern w:val="0"/>
                <w:szCs w:val="21"/>
              </w:rPr>
              <w:t>2011</w:t>
            </w:r>
            <w:r>
              <w:rPr>
                <w:rFonts w:hint="eastAsia" w:ascii="宋体" w:hAnsi="宋体" w:cs="HiddenHorzOCR"/>
                <w:color w:val="212122"/>
                <w:kern w:val="0"/>
                <w:szCs w:val="21"/>
              </w:rPr>
              <w:t>年</w:t>
            </w:r>
            <w:r>
              <w:rPr>
                <w:rFonts w:ascii="宋体" w:hAnsi="宋体" w:cs="HiddenHorzOCR"/>
                <w:color w:val="212122"/>
                <w:kern w:val="0"/>
                <w:szCs w:val="21"/>
              </w:rPr>
              <w:t>9</w:t>
            </w:r>
            <w:r>
              <w:rPr>
                <w:rFonts w:hint="eastAsia" w:ascii="宋体" w:hAnsi="宋体" w:cs="HiddenHorzOCR"/>
                <w:color w:val="212122"/>
                <w:kern w:val="0"/>
                <w:szCs w:val="21"/>
              </w:rPr>
              <w:t>月</w:t>
            </w:r>
            <w:r>
              <w:rPr>
                <w:rFonts w:ascii="宋体" w:hAnsi="宋体" w:cs="HiddenHorzOCR"/>
                <w:color w:val="212122"/>
                <w:kern w:val="0"/>
                <w:szCs w:val="21"/>
              </w:rPr>
              <w:t>14</w:t>
            </w:r>
            <w:r>
              <w:rPr>
                <w:rFonts w:hint="eastAsia" w:ascii="宋体" w:hAnsi="宋体" w:cs="HiddenHorzOCR"/>
                <w:color w:val="212122"/>
                <w:kern w:val="0"/>
                <w:szCs w:val="21"/>
              </w:rPr>
              <w:t>日</w:t>
            </w:r>
            <w:r>
              <w:rPr>
                <w:rFonts w:hint="eastAsia" w:ascii="宋体" w:hAnsi="宋体" w:cs="HiddenHorzOCR"/>
                <w:color w:val="424242"/>
                <w:kern w:val="0"/>
                <w:szCs w:val="21"/>
              </w:rPr>
              <w:t>，</w:t>
            </w:r>
            <w:r>
              <w:rPr>
                <w:rFonts w:hint="eastAsia" w:ascii="宋体" w:hAnsi="宋体" w:cs="HiddenHorzOCR"/>
                <w:color w:val="212122"/>
                <w:kern w:val="0"/>
                <w:szCs w:val="21"/>
              </w:rPr>
              <w:t>市委</w:t>
            </w:r>
            <w:r>
              <w:rPr>
                <w:rFonts w:hint="eastAsia" w:ascii="宋体" w:hAnsi="宋体" w:cs="宋体"/>
                <w:color w:val="212122"/>
                <w:kern w:val="0"/>
                <w:szCs w:val="21"/>
              </w:rPr>
              <w:t>书记许</w:t>
            </w:r>
            <w:r>
              <w:rPr>
                <w:rFonts w:hint="eastAsia" w:ascii="宋体" w:hAnsi="宋体" w:cs="MS Gothic"/>
                <w:color w:val="212122"/>
                <w:kern w:val="0"/>
                <w:szCs w:val="21"/>
              </w:rPr>
              <w:t>志新</w:t>
            </w:r>
            <w:r>
              <w:rPr>
                <w:rFonts w:hint="eastAsia" w:ascii="宋体" w:hAnsi="宋体" w:cs="HiddenHorzOCR"/>
                <w:color w:val="535353"/>
                <w:kern w:val="0"/>
                <w:szCs w:val="21"/>
              </w:rPr>
              <w:t>（</w:t>
            </w:r>
            <w:r>
              <w:rPr>
                <w:rFonts w:hint="eastAsia" w:ascii="宋体" w:hAnsi="宋体" w:cs="HiddenHorzOCR"/>
                <w:color w:val="212122"/>
                <w:kern w:val="0"/>
                <w:szCs w:val="21"/>
              </w:rPr>
              <w:t>右二</w:t>
            </w:r>
            <w:r>
              <w:rPr>
                <w:rFonts w:hint="eastAsia" w:ascii="宋体" w:hAnsi="宋体" w:cs="HiddenHorzOCR"/>
                <w:color w:val="424242"/>
                <w:kern w:val="0"/>
                <w:szCs w:val="21"/>
              </w:rPr>
              <w:t>）</w:t>
            </w:r>
            <w:r>
              <w:rPr>
                <w:rFonts w:hint="eastAsia" w:ascii="宋体" w:hAnsi="宋体" w:cs="宋体"/>
                <w:color w:val="212122"/>
                <w:kern w:val="0"/>
                <w:szCs w:val="21"/>
              </w:rPr>
              <w:t>调</w:t>
            </w:r>
            <w:r>
              <w:rPr>
                <w:rFonts w:hint="eastAsia" w:ascii="宋体" w:hAnsi="宋体" w:cs="MS Gothic"/>
                <w:color w:val="212122"/>
                <w:kern w:val="0"/>
                <w:szCs w:val="21"/>
              </w:rPr>
              <w:t>研新型</w:t>
            </w:r>
            <w:r>
              <w:rPr>
                <w:rFonts w:hint="eastAsia" w:ascii="宋体" w:hAnsi="宋体" w:cs="宋体"/>
                <w:color w:val="212122"/>
                <w:kern w:val="0"/>
                <w:szCs w:val="21"/>
              </w:rPr>
              <w:t>农</w:t>
            </w:r>
            <w:r>
              <w:rPr>
                <w:rFonts w:hint="eastAsia" w:ascii="宋体" w:hAnsi="宋体" w:cs="MS Gothic"/>
                <w:color w:val="212122"/>
                <w:kern w:val="0"/>
                <w:szCs w:val="21"/>
              </w:rPr>
              <w:t>村养老保</w:t>
            </w:r>
            <w:r>
              <w:rPr>
                <w:rFonts w:hint="eastAsia" w:ascii="宋体" w:hAnsi="宋体" w:cs="宋体"/>
                <w:color w:val="212122"/>
                <w:kern w:val="0"/>
                <w:szCs w:val="21"/>
              </w:rPr>
              <w:t>险</w:t>
            </w:r>
            <w:r>
              <w:rPr>
                <w:rFonts w:hint="eastAsia" w:ascii="宋体" w:hAnsi="宋体" w:cs="MS Gothic"/>
                <w:color w:val="212122"/>
                <w:kern w:val="0"/>
                <w:szCs w:val="21"/>
              </w:rPr>
              <w:t>情</w:t>
            </w:r>
            <w:r>
              <w:rPr>
                <w:rFonts w:hint="eastAsia" w:ascii="宋体" w:hAnsi="宋体" w:cs="HiddenHorzOCR"/>
                <w:color w:val="212122"/>
                <w:kern w:val="0"/>
                <w:szCs w:val="21"/>
              </w:rPr>
              <w:t>况</w:t>
            </w:r>
          </w:p>
        </w:tc>
      </w:tr>
    </w:tbl>
    <w:p w14:paraId="38D44CF2">
      <w:pPr>
        <w:ind w:firstLine="420"/>
      </w:pPr>
    </w:p>
    <w:tbl>
      <w:tblPr>
        <w:tblStyle w:val="1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05CBA8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40ED91F4">
            <w:pPr>
              <w:ind w:firstLine="0" w:firstLineChars="0"/>
            </w:pPr>
            <w:r>
              <w:rPr>
                <w:rFonts w:hint="eastAsia"/>
              </w:rPr>
              <w:drawing>
                <wp:inline distT="0" distB="0" distL="114300" distR="114300">
                  <wp:extent cx="6182360" cy="3937635"/>
                  <wp:effectExtent l="0" t="0" r="8890" b="5715"/>
                  <wp:docPr id="30" name="图片 30" descr="南雄年鉴201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南雄年鉴2012-18"/>
                          <pic:cNvPicPr>
                            <a:picLocks noChangeAspect="1"/>
                          </pic:cNvPicPr>
                        </pic:nvPicPr>
                        <pic:blipFill>
                          <a:blip r:embed="rId33" cstate="print"/>
                          <a:stretch>
                            <a:fillRect/>
                          </a:stretch>
                        </pic:blipFill>
                        <pic:spPr>
                          <a:xfrm>
                            <a:off x="0" y="0"/>
                            <a:ext cx="6182360" cy="3937635"/>
                          </a:xfrm>
                          <a:prstGeom prst="rect">
                            <a:avLst/>
                          </a:prstGeom>
                        </pic:spPr>
                      </pic:pic>
                    </a:graphicData>
                  </a:graphic>
                </wp:inline>
              </w:drawing>
            </w:r>
          </w:p>
        </w:tc>
      </w:tr>
      <w:tr w14:paraId="4F93B7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vAlign w:val="center"/>
          </w:tcPr>
          <w:p w14:paraId="714A12B4">
            <w:pPr>
              <w:autoSpaceDE w:val="0"/>
              <w:autoSpaceDN w:val="0"/>
              <w:adjustRightInd w:val="0"/>
              <w:ind w:firstLine="420"/>
              <w:jc w:val="left"/>
              <w:rPr>
                <w:rFonts w:ascii="宋体" w:hAnsi="宋体" w:cs="HiddenHorzOCR"/>
                <w:color w:val="212122"/>
                <w:kern w:val="0"/>
                <w:szCs w:val="21"/>
              </w:rPr>
            </w:pPr>
            <w:r>
              <w:rPr>
                <w:rFonts w:hint="eastAsia" w:ascii="宋体" w:hAnsi="宋体" w:cs="HiddenHorzOCR"/>
                <w:color w:val="212122"/>
                <w:kern w:val="0"/>
                <w:szCs w:val="21"/>
              </w:rPr>
              <w:t>市</w:t>
            </w:r>
            <w:r>
              <w:rPr>
                <w:rFonts w:hint="eastAsia" w:ascii="宋体" w:hAnsi="宋体" w:cs="宋体"/>
                <w:color w:val="212122"/>
                <w:kern w:val="0"/>
                <w:szCs w:val="21"/>
              </w:rPr>
              <w:t>长</w:t>
            </w:r>
            <w:r>
              <w:rPr>
                <w:rFonts w:hint="eastAsia" w:ascii="宋体" w:hAnsi="宋体" w:cs="MS Gothic"/>
                <w:color w:val="212122"/>
                <w:kern w:val="0"/>
                <w:szCs w:val="21"/>
              </w:rPr>
              <w:t>刘</w:t>
            </w:r>
            <w:r>
              <w:rPr>
                <w:rFonts w:hint="eastAsia" w:ascii="宋体" w:hAnsi="宋体" w:cs="HiddenHorzOCR"/>
                <w:color w:val="212122"/>
                <w:kern w:val="0"/>
                <w:szCs w:val="21"/>
              </w:rPr>
              <w:t>清生</w:t>
            </w:r>
            <w:r>
              <w:rPr>
                <w:rFonts w:hint="eastAsia" w:ascii="宋体" w:hAnsi="宋体" w:cs="HiddenHorzOCR"/>
                <w:color w:val="535353"/>
                <w:kern w:val="0"/>
                <w:szCs w:val="21"/>
              </w:rPr>
              <w:t>（</w:t>
            </w:r>
            <w:r>
              <w:rPr>
                <w:rFonts w:hint="eastAsia" w:ascii="宋体" w:hAnsi="宋体" w:cs="HiddenHorzOCR"/>
                <w:color w:val="212122"/>
                <w:kern w:val="0"/>
                <w:szCs w:val="21"/>
              </w:rPr>
              <w:t>左二</w:t>
            </w:r>
            <w:r>
              <w:rPr>
                <w:rFonts w:hint="eastAsia" w:ascii="宋体" w:hAnsi="宋体" w:cs="HiddenHorzOCR"/>
                <w:color w:val="535353"/>
                <w:kern w:val="0"/>
                <w:szCs w:val="21"/>
              </w:rPr>
              <w:t>）</w:t>
            </w:r>
            <w:r>
              <w:rPr>
                <w:rFonts w:hint="eastAsia" w:ascii="宋体" w:hAnsi="宋体" w:cs="HiddenHorzOCR"/>
                <w:color w:val="212122"/>
                <w:kern w:val="0"/>
                <w:szCs w:val="21"/>
              </w:rPr>
              <w:t>参</w:t>
            </w:r>
            <w:r>
              <w:rPr>
                <w:rFonts w:hint="eastAsia" w:ascii="宋体" w:hAnsi="宋体" w:cs="宋体"/>
                <w:color w:val="212122"/>
                <w:kern w:val="0"/>
                <w:szCs w:val="21"/>
              </w:rPr>
              <w:t>观</w:t>
            </w:r>
            <w:r>
              <w:rPr>
                <w:rFonts w:hint="eastAsia" w:ascii="宋体" w:hAnsi="宋体" w:cs="HiddenHorzOCR"/>
                <w:color w:val="212122"/>
                <w:kern w:val="0"/>
                <w:szCs w:val="21"/>
              </w:rPr>
              <w:t>建党</w:t>
            </w:r>
            <w:r>
              <w:rPr>
                <w:rFonts w:ascii="宋体" w:hAnsi="宋体" w:cs="HiddenHorzOCR"/>
                <w:color w:val="212122"/>
                <w:kern w:val="0"/>
                <w:szCs w:val="21"/>
              </w:rPr>
              <w:t>90</w:t>
            </w:r>
            <w:r>
              <w:rPr>
                <w:rFonts w:hint="eastAsia" w:ascii="宋体" w:hAnsi="宋体" w:cs="HiddenHorzOCR"/>
                <w:color w:val="212122"/>
                <w:kern w:val="0"/>
                <w:szCs w:val="21"/>
              </w:rPr>
              <w:t>周年</w:t>
            </w:r>
            <w:r>
              <w:rPr>
                <w:rFonts w:hint="eastAsia" w:ascii="宋体" w:hAnsi="宋体" w:cs="宋体"/>
                <w:color w:val="212122"/>
                <w:kern w:val="0"/>
                <w:szCs w:val="21"/>
              </w:rPr>
              <w:t>图</w:t>
            </w:r>
            <w:r>
              <w:rPr>
                <w:rFonts w:hint="eastAsia" w:ascii="宋体" w:hAnsi="宋体" w:cs="MS Gothic"/>
                <w:color w:val="212122"/>
                <w:kern w:val="0"/>
                <w:szCs w:val="21"/>
              </w:rPr>
              <w:t>片</w:t>
            </w:r>
            <w:r>
              <w:rPr>
                <w:rFonts w:hint="eastAsia" w:ascii="宋体" w:hAnsi="宋体" w:cs="HiddenHorzOCR"/>
                <w:color w:val="212122"/>
                <w:kern w:val="0"/>
                <w:szCs w:val="21"/>
              </w:rPr>
              <w:t>展</w:t>
            </w:r>
          </w:p>
        </w:tc>
      </w:tr>
      <w:tr w14:paraId="03288B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5F6AFFF6">
            <w:pPr>
              <w:ind w:firstLine="0" w:firstLineChars="0"/>
            </w:pPr>
            <w:r>
              <w:rPr>
                <w:rFonts w:hint="eastAsia"/>
              </w:rPr>
              <w:drawing>
                <wp:inline distT="0" distB="0" distL="114300" distR="114300">
                  <wp:extent cx="6181090" cy="3920490"/>
                  <wp:effectExtent l="0" t="0" r="10160" b="3810"/>
                  <wp:docPr id="31" name="图片 31" descr="南雄年鉴201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南雄年鉴2012-19"/>
                          <pic:cNvPicPr>
                            <a:picLocks noChangeAspect="1"/>
                          </pic:cNvPicPr>
                        </pic:nvPicPr>
                        <pic:blipFill>
                          <a:blip r:embed="rId34" cstate="print"/>
                          <a:stretch>
                            <a:fillRect/>
                          </a:stretch>
                        </pic:blipFill>
                        <pic:spPr>
                          <a:xfrm>
                            <a:off x="0" y="0"/>
                            <a:ext cx="6181090" cy="3920490"/>
                          </a:xfrm>
                          <a:prstGeom prst="rect">
                            <a:avLst/>
                          </a:prstGeom>
                        </pic:spPr>
                      </pic:pic>
                    </a:graphicData>
                  </a:graphic>
                </wp:inline>
              </w:drawing>
            </w:r>
          </w:p>
        </w:tc>
      </w:tr>
      <w:tr w14:paraId="6356BC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vAlign w:val="center"/>
          </w:tcPr>
          <w:p w14:paraId="0AD23834">
            <w:pPr>
              <w:autoSpaceDE w:val="0"/>
              <w:autoSpaceDN w:val="0"/>
              <w:adjustRightInd w:val="0"/>
              <w:ind w:firstLine="420"/>
              <w:jc w:val="left"/>
              <w:rPr>
                <w:rFonts w:ascii="宋体" w:hAnsi="宋体" w:cs="HiddenHorzOCR"/>
                <w:color w:val="212122"/>
                <w:kern w:val="0"/>
                <w:szCs w:val="21"/>
              </w:rPr>
            </w:pPr>
            <w:r>
              <w:rPr>
                <w:rFonts w:hint="eastAsia" w:ascii="宋体" w:hAnsi="宋体" w:cs="HiddenHorzOCR"/>
                <w:color w:val="212122"/>
                <w:kern w:val="0"/>
                <w:szCs w:val="21"/>
              </w:rPr>
              <w:t>南雄市</w:t>
            </w:r>
            <w:r>
              <w:rPr>
                <w:rFonts w:hint="eastAsia" w:ascii="宋体" w:hAnsi="宋体" w:cs="宋体"/>
                <w:color w:val="212122"/>
                <w:kern w:val="0"/>
                <w:szCs w:val="21"/>
              </w:rPr>
              <w:t>庆</w:t>
            </w:r>
            <w:r>
              <w:rPr>
                <w:rFonts w:hint="eastAsia" w:ascii="宋体" w:hAnsi="宋体" w:cs="MS Gothic"/>
                <w:color w:val="212122"/>
                <w:kern w:val="0"/>
                <w:szCs w:val="21"/>
              </w:rPr>
              <w:t>祝建党九十周年文</w:t>
            </w:r>
            <w:r>
              <w:rPr>
                <w:rFonts w:hint="eastAsia" w:ascii="宋体" w:hAnsi="宋体" w:cs="宋体"/>
                <w:color w:val="212122"/>
                <w:kern w:val="0"/>
                <w:szCs w:val="21"/>
              </w:rPr>
              <w:t>艺</w:t>
            </w:r>
            <w:r>
              <w:rPr>
                <w:rFonts w:hint="eastAsia" w:ascii="宋体" w:hAnsi="宋体" w:cs="MS Gothic"/>
                <w:color w:val="212122"/>
                <w:kern w:val="0"/>
                <w:szCs w:val="21"/>
              </w:rPr>
              <w:t>晚</w:t>
            </w:r>
            <w:r>
              <w:rPr>
                <w:rFonts w:hint="eastAsia" w:ascii="宋体" w:hAnsi="宋体" w:cs="HiddenHorzOCR"/>
                <w:color w:val="212122"/>
                <w:kern w:val="0"/>
                <w:szCs w:val="21"/>
              </w:rPr>
              <w:t>会</w:t>
            </w:r>
          </w:p>
        </w:tc>
      </w:tr>
    </w:tbl>
    <w:p w14:paraId="24872D2B">
      <w:pPr>
        <w:ind w:firstLine="420"/>
      </w:pPr>
    </w:p>
    <w:tbl>
      <w:tblPr>
        <w:tblStyle w:val="1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64A734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4AD5B3C4">
            <w:pPr>
              <w:ind w:firstLine="0" w:firstLineChars="0"/>
            </w:pPr>
            <w:r>
              <w:rPr>
                <w:rFonts w:hint="eastAsia"/>
              </w:rPr>
              <w:drawing>
                <wp:inline distT="0" distB="0" distL="114300" distR="114300">
                  <wp:extent cx="6184265" cy="3897630"/>
                  <wp:effectExtent l="0" t="0" r="6985" b="7620"/>
                  <wp:docPr id="32" name="图片 32" descr="南雄年鉴201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南雄年鉴2012-20"/>
                          <pic:cNvPicPr>
                            <a:picLocks noChangeAspect="1"/>
                          </pic:cNvPicPr>
                        </pic:nvPicPr>
                        <pic:blipFill>
                          <a:blip r:embed="rId35" cstate="print"/>
                          <a:stretch>
                            <a:fillRect/>
                          </a:stretch>
                        </pic:blipFill>
                        <pic:spPr>
                          <a:xfrm>
                            <a:off x="0" y="0"/>
                            <a:ext cx="6184265" cy="3897630"/>
                          </a:xfrm>
                          <a:prstGeom prst="rect">
                            <a:avLst/>
                          </a:prstGeom>
                        </pic:spPr>
                      </pic:pic>
                    </a:graphicData>
                  </a:graphic>
                </wp:inline>
              </w:drawing>
            </w:r>
          </w:p>
        </w:tc>
      </w:tr>
      <w:tr w14:paraId="5174D7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vAlign w:val="center"/>
          </w:tcPr>
          <w:p w14:paraId="1025F2D8">
            <w:pPr>
              <w:autoSpaceDE w:val="0"/>
              <w:autoSpaceDN w:val="0"/>
              <w:adjustRightInd w:val="0"/>
              <w:ind w:firstLine="420"/>
              <w:jc w:val="left"/>
            </w:pPr>
            <w:r>
              <w:rPr>
                <w:rFonts w:ascii="宋体" w:hAnsi="宋体" w:cs="HiddenHorzOCR"/>
                <w:color w:val="181817"/>
                <w:kern w:val="0"/>
                <w:szCs w:val="21"/>
              </w:rPr>
              <w:t>2011</w:t>
            </w:r>
            <w:r>
              <w:rPr>
                <w:rFonts w:hint="eastAsia" w:ascii="宋体" w:hAnsi="宋体" w:cs="HiddenHorzOCR"/>
                <w:color w:val="181817"/>
                <w:kern w:val="0"/>
                <w:szCs w:val="21"/>
              </w:rPr>
              <w:t>年</w:t>
            </w:r>
            <w:r>
              <w:rPr>
                <w:rFonts w:ascii="宋体" w:hAnsi="宋体" w:cs="HiddenHorzOCR"/>
                <w:color w:val="181817"/>
                <w:kern w:val="0"/>
                <w:szCs w:val="21"/>
              </w:rPr>
              <w:t>6</w:t>
            </w:r>
            <w:r>
              <w:rPr>
                <w:rFonts w:hint="eastAsia" w:ascii="宋体" w:hAnsi="宋体" w:cs="HiddenHorzOCR"/>
                <w:color w:val="181817"/>
                <w:kern w:val="0"/>
                <w:szCs w:val="21"/>
              </w:rPr>
              <w:t>月</w:t>
            </w:r>
            <w:r>
              <w:rPr>
                <w:rFonts w:ascii="宋体" w:hAnsi="宋体" w:cs="HiddenHorzOCR"/>
                <w:color w:val="181817"/>
                <w:kern w:val="0"/>
                <w:szCs w:val="21"/>
              </w:rPr>
              <w:t>27</w:t>
            </w:r>
            <w:r>
              <w:rPr>
                <w:rFonts w:hint="eastAsia" w:ascii="宋体" w:hAnsi="宋体" w:cs="HiddenHorzOCR"/>
                <w:color w:val="181817"/>
                <w:kern w:val="0"/>
                <w:szCs w:val="21"/>
              </w:rPr>
              <w:t>日，南雄市</w:t>
            </w:r>
            <w:r>
              <w:rPr>
                <w:rFonts w:hint="eastAsia" w:ascii="宋体" w:hAnsi="宋体" w:cs="宋体"/>
                <w:color w:val="181817"/>
                <w:kern w:val="0"/>
                <w:szCs w:val="21"/>
              </w:rPr>
              <w:t>庆</w:t>
            </w:r>
            <w:r>
              <w:rPr>
                <w:rFonts w:hint="eastAsia" w:ascii="宋体" w:hAnsi="宋体" w:cs="MS Gothic"/>
                <w:color w:val="181817"/>
                <w:kern w:val="0"/>
                <w:szCs w:val="21"/>
              </w:rPr>
              <w:t>祝</w:t>
            </w:r>
            <w:r>
              <w:rPr>
                <w:rFonts w:hint="eastAsia" w:ascii="宋体" w:hAnsi="宋体" w:cs="HiddenHorzOCR"/>
                <w:color w:val="181817"/>
                <w:kern w:val="0"/>
                <w:szCs w:val="21"/>
              </w:rPr>
              <w:t>中国共</w:t>
            </w:r>
            <w:r>
              <w:rPr>
                <w:rFonts w:hint="eastAsia" w:ascii="宋体" w:hAnsi="宋体" w:cs="宋体"/>
                <w:color w:val="181817"/>
                <w:kern w:val="0"/>
                <w:szCs w:val="21"/>
              </w:rPr>
              <w:t>产</w:t>
            </w:r>
            <w:r>
              <w:rPr>
                <w:rFonts w:hint="eastAsia" w:ascii="宋体" w:hAnsi="宋体" w:cs="MS Gothic"/>
                <w:color w:val="181817"/>
                <w:kern w:val="0"/>
                <w:szCs w:val="21"/>
              </w:rPr>
              <w:t>党成立</w:t>
            </w:r>
            <w:r>
              <w:rPr>
                <w:rFonts w:ascii="宋体" w:hAnsi="宋体" w:cs="HiddenHorzOCR"/>
                <w:color w:val="181817"/>
                <w:kern w:val="0"/>
                <w:szCs w:val="21"/>
              </w:rPr>
              <w:t>90</w:t>
            </w:r>
            <w:r>
              <w:rPr>
                <w:rFonts w:hint="eastAsia" w:ascii="宋体" w:hAnsi="宋体" w:cs="HiddenHorzOCR"/>
                <w:color w:val="181817"/>
                <w:kern w:val="0"/>
                <w:szCs w:val="21"/>
              </w:rPr>
              <w:t>周年文</w:t>
            </w:r>
            <w:r>
              <w:rPr>
                <w:rFonts w:hint="eastAsia" w:ascii="宋体" w:hAnsi="宋体" w:cs="宋体"/>
                <w:color w:val="181817"/>
                <w:kern w:val="0"/>
                <w:szCs w:val="21"/>
              </w:rPr>
              <w:t>艺</w:t>
            </w:r>
            <w:r>
              <w:rPr>
                <w:rFonts w:hint="eastAsia" w:ascii="宋体" w:hAnsi="宋体" w:cs="MS Gothic"/>
                <w:color w:val="181817"/>
                <w:kern w:val="0"/>
                <w:szCs w:val="21"/>
              </w:rPr>
              <w:t>演</w:t>
            </w:r>
            <w:r>
              <w:rPr>
                <w:rFonts w:hint="eastAsia" w:ascii="宋体" w:hAnsi="宋体" w:cs="HiddenHorzOCR"/>
                <w:color w:val="181817"/>
                <w:kern w:val="0"/>
                <w:szCs w:val="21"/>
              </w:rPr>
              <w:t>出</w:t>
            </w:r>
          </w:p>
        </w:tc>
      </w:tr>
      <w:tr w14:paraId="0D9601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7E95A4CC">
            <w:pPr>
              <w:ind w:firstLine="0" w:firstLineChars="0"/>
            </w:pPr>
            <w:r>
              <w:rPr>
                <w:rFonts w:hint="eastAsia"/>
              </w:rPr>
              <w:drawing>
                <wp:inline distT="0" distB="0" distL="114300" distR="114300">
                  <wp:extent cx="6183630" cy="4086225"/>
                  <wp:effectExtent l="0" t="0" r="7620" b="9525"/>
                  <wp:docPr id="33" name="图片 33" descr="南雄年鉴201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南雄年鉴2012-21"/>
                          <pic:cNvPicPr>
                            <a:picLocks noChangeAspect="1"/>
                          </pic:cNvPicPr>
                        </pic:nvPicPr>
                        <pic:blipFill>
                          <a:blip r:embed="rId36" cstate="print"/>
                          <a:stretch>
                            <a:fillRect/>
                          </a:stretch>
                        </pic:blipFill>
                        <pic:spPr>
                          <a:xfrm>
                            <a:off x="0" y="0"/>
                            <a:ext cx="6183630" cy="4086225"/>
                          </a:xfrm>
                          <a:prstGeom prst="rect">
                            <a:avLst/>
                          </a:prstGeom>
                        </pic:spPr>
                      </pic:pic>
                    </a:graphicData>
                  </a:graphic>
                </wp:inline>
              </w:drawing>
            </w:r>
          </w:p>
        </w:tc>
      </w:tr>
      <w:tr w14:paraId="3CD5AE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vAlign w:val="center"/>
          </w:tcPr>
          <w:p w14:paraId="134583DB">
            <w:pPr>
              <w:autoSpaceDE w:val="0"/>
              <w:autoSpaceDN w:val="0"/>
              <w:adjustRightInd w:val="0"/>
              <w:ind w:firstLine="420"/>
              <w:jc w:val="left"/>
              <w:rPr>
                <w:rFonts w:ascii="宋体" w:hAnsi="宋体" w:cs="HiddenHorzOCR"/>
                <w:color w:val="181817"/>
                <w:kern w:val="0"/>
                <w:szCs w:val="21"/>
              </w:rPr>
            </w:pPr>
            <w:r>
              <w:rPr>
                <w:rFonts w:hint="eastAsia" w:ascii="宋体" w:hAnsi="宋体" w:cs="HiddenHorzOCR"/>
                <w:color w:val="181817"/>
                <w:kern w:val="0"/>
                <w:szCs w:val="21"/>
              </w:rPr>
              <w:t>南雄市</w:t>
            </w:r>
            <w:r>
              <w:rPr>
                <w:rFonts w:ascii="宋体" w:hAnsi="宋体" w:cs="HiddenHorzOCR"/>
                <w:color w:val="181817"/>
                <w:kern w:val="0"/>
                <w:szCs w:val="21"/>
              </w:rPr>
              <w:t>2011</w:t>
            </w:r>
            <w:r>
              <w:rPr>
                <w:rFonts w:hint="eastAsia" w:ascii="宋体" w:hAnsi="宋体" w:cs="HiddenHorzOCR"/>
                <w:color w:val="181817"/>
                <w:kern w:val="0"/>
                <w:szCs w:val="21"/>
              </w:rPr>
              <w:t>年度国家</w:t>
            </w:r>
            <w:r>
              <w:rPr>
                <w:rFonts w:hint="eastAsia" w:ascii="宋体" w:hAnsi="宋体" w:cs="宋体"/>
                <w:color w:val="181817"/>
                <w:kern w:val="0"/>
                <w:szCs w:val="21"/>
              </w:rPr>
              <w:t>农业综</w:t>
            </w:r>
            <w:r>
              <w:rPr>
                <w:rFonts w:hint="eastAsia" w:ascii="宋体" w:hAnsi="宋体" w:cs="HiddenHorzOCR"/>
                <w:color w:val="181817"/>
                <w:kern w:val="0"/>
                <w:szCs w:val="21"/>
              </w:rPr>
              <w:t>合开</w:t>
            </w:r>
            <w:r>
              <w:rPr>
                <w:rFonts w:hint="eastAsia" w:ascii="宋体" w:hAnsi="宋体" w:cs="宋体"/>
                <w:color w:val="181817"/>
                <w:kern w:val="0"/>
                <w:szCs w:val="21"/>
              </w:rPr>
              <w:t>发</w:t>
            </w:r>
            <w:r>
              <w:rPr>
                <w:rFonts w:hint="eastAsia" w:ascii="宋体" w:hAnsi="宋体" w:cs="MS Gothic"/>
                <w:color w:val="181817"/>
                <w:kern w:val="0"/>
                <w:szCs w:val="21"/>
              </w:rPr>
              <w:t>土地治理</w:t>
            </w:r>
            <w:r>
              <w:rPr>
                <w:rFonts w:hint="eastAsia" w:ascii="宋体" w:hAnsi="宋体" w:cs="宋体"/>
                <w:color w:val="181817"/>
                <w:kern w:val="0"/>
                <w:szCs w:val="21"/>
              </w:rPr>
              <w:t>项</w:t>
            </w:r>
            <w:r>
              <w:rPr>
                <w:rFonts w:hint="eastAsia" w:ascii="宋体" w:hAnsi="宋体" w:cs="MS Gothic"/>
                <w:color w:val="181817"/>
                <w:kern w:val="0"/>
                <w:szCs w:val="21"/>
              </w:rPr>
              <w:t>目开工</w:t>
            </w:r>
            <w:r>
              <w:rPr>
                <w:rFonts w:hint="eastAsia" w:ascii="宋体" w:hAnsi="宋体" w:cs="宋体"/>
                <w:color w:val="181817"/>
                <w:kern w:val="0"/>
                <w:szCs w:val="21"/>
              </w:rPr>
              <w:t>仪</w:t>
            </w:r>
            <w:r>
              <w:rPr>
                <w:rFonts w:hint="eastAsia" w:ascii="宋体" w:hAnsi="宋体" w:cs="HiddenHorzOCR"/>
                <w:color w:val="181817"/>
                <w:kern w:val="0"/>
                <w:szCs w:val="21"/>
              </w:rPr>
              <w:t>式</w:t>
            </w:r>
          </w:p>
        </w:tc>
      </w:tr>
    </w:tbl>
    <w:p w14:paraId="3A00C920">
      <w:pPr>
        <w:ind w:firstLine="420"/>
      </w:pPr>
    </w:p>
    <w:tbl>
      <w:tblPr>
        <w:tblStyle w:val="1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51565E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79157F34">
            <w:pPr>
              <w:ind w:firstLine="0" w:firstLineChars="0"/>
            </w:pPr>
            <w:r>
              <w:rPr>
                <w:rFonts w:hint="eastAsia"/>
              </w:rPr>
              <w:drawing>
                <wp:inline distT="0" distB="0" distL="114300" distR="114300">
                  <wp:extent cx="6182360" cy="4103370"/>
                  <wp:effectExtent l="0" t="0" r="8890" b="11430"/>
                  <wp:docPr id="34" name="图片 34" descr="南雄年鉴201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南雄年鉴2012-22"/>
                          <pic:cNvPicPr>
                            <a:picLocks noChangeAspect="1"/>
                          </pic:cNvPicPr>
                        </pic:nvPicPr>
                        <pic:blipFill>
                          <a:blip r:embed="rId37" cstate="print"/>
                          <a:stretch>
                            <a:fillRect/>
                          </a:stretch>
                        </pic:blipFill>
                        <pic:spPr>
                          <a:xfrm>
                            <a:off x="0" y="0"/>
                            <a:ext cx="6182360" cy="4103370"/>
                          </a:xfrm>
                          <a:prstGeom prst="rect">
                            <a:avLst/>
                          </a:prstGeom>
                        </pic:spPr>
                      </pic:pic>
                    </a:graphicData>
                  </a:graphic>
                </wp:inline>
              </w:drawing>
            </w:r>
          </w:p>
        </w:tc>
      </w:tr>
      <w:tr w14:paraId="4724B3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vAlign w:val="center"/>
          </w:tcPr>
          <w:p w14:paraId="2D57896D">
            <w:pPr>
              <w:autoSpaceDE w:val="0"/>
              <w:autoSpaceDN w:val="0"/>
              <w:adjustRightInd w:val="0"/>
              <w:ind w:firstLine="420"/>
              <w:jc w:val="left"/>
              <w:rPr>
                <w:rFonts w:ascii="宋体" w:hAnsi="宋体" w:cs="HiddenHorzOCR"/>
                <w:color w:val="181817"/>
                <w:kern w:val="0"/>
                <w:szCs w:val="21"/>
              </w:rPr>
            </w:pPr>
            <w:r>
              <w:rPr>
                <w:rFonts w:ascii="宋体" w:hAnsi="宋体" w:cs="HiddenHorzOCR"/>
                <w:color w:val="181817"/>
                <w:kern w:val="0"/>
                <w:szCs w:val="21"/>
              </w:rPr>
              <w:t>2011</w:t>
            </w:r>
            <w:r>
              <w:rPr>
                <w:rFonts w:hint="eastAsia" w:ascii="宋体" w:hAnsi="宋体" w:cs="HiddenHorzOCR"/>
                <w:color w:val="181817"/>
                <w:kern w:val="0"/>
                <w:szCs w:val="21"/>
              </w:rPr>
              <w:t>年</w:t>
            </w:r>
            <w:r>
              <w:rPr>
                <w:rFonts w:ascii="宋体" w:hAnsi="宋体" w:cs="HiddenHorzOCR"/>
                <w:color w:val="181817"/>
                <w:kern w:val="0"/>
                <w:szCs w:val="21"/>
              </w:rPr>
              <w:t>7</w:t>
            </w:r>
            <w:r>
              <w:rPr>
                <w:rFonts w:hint="eastAsia" w:ascii="宋体" w:hAnsi="宋体" w:cs="HiddenHorzOCR"/>
                <w:color w:val="181817"/>
                <w:kern w:val="0"/>
                <w:szCs w:val="21"/>
              </w:rPr>
              <w:t>月</w:t>
            </w:r>
            <w:r>
              <w:rPr>
                <w:rFonts w:ascii="宋体" w:hAnsi="宋体" w:cs="HiddenHorzOCR"/>
                <w:color w:val="181817"/>
                <w:kern w:val="0"/>
                <w:szCs w:val="21"/>
              </w:rPr>
              <w:t>31</w:t>
            </w:r>
            <w:r>
              <w:rPr>
                <w:rFonts w:hint="eastAsia" w:ascii="宋体" w:hAnsi="宋体" w:cs="HiddenHorzOCR"/>
                <w:color w:val="181817"/>
                <w:kern w:val="0"/>
                <w:szCs w:val="21"/>
              </w:rPr>
              <w:t>日</w:t>
            </w:r>
            <w:r>
              <w:rPr>
                <w:rFonts w:hint="eastAsia" w:ascii="宋体" w:hAnsi="宋体" w:cs="HiddenHorzOCR"/>
                <w:color w:val="363636"/>
                <w:kern w:val="0"/>
                <w:szCs w:val="21"/>
              </w:rPr>
              <w:t>，</w:t>
            </w:r>
            <w:r>
              <w:rPr>
                <w:rFonts w:hint="eastAsia" w:ascii="宋体" w:hAnsi="宋体" w:cs="HiddenHorzOCR"/>
                <w:color w:val="181817"/>
                <w:kern w:val="0"/>
                <w:szCs w:val="21"/>
              </w:rPr>
              <w:t>市委</w:t>
            </w:r>
            <w:r>
              <w:rPr>
                <w:rFonts w:hint="eastAsia" w:ascii="宋体" w:hAnsi="宋体" w:cs="宋体"/>
                <w:color w:val="181817"/>
                <w:kern w:val="0"/>
                <w:szCs w:val="21"/>
              </w:rPr>
              <w:t>书记许</w:t>
            </w:r>
            <w:r>
              <w:rPr>
                <w:rFonts w:hint="eastAsia" w:ascii="宋体" w:hAnsi="宋体" w:cs="HiddenHorzOCR"/>
                <w:color w:val="181817"/>
                <w:kern w:val="0"/>
                <w:szCs w:val="21"/>
              </w:rPr>
              <w:t>志新（左二）到古市</w:t>
            </w:r>
            <w:r>
              <w:rPr>
                <w:rFonts w:hint="eastAsia" w:ascii="宋体" w:hAnsi="宋体" w:cs="宋体"/>
                <w:color w:val="181817"/>
                <w:kern w:val="0"/>
                <w:szCs w:val="21"/>
              </w:rPr>
              <w:t>镇调</w:t>
            </w:r>
            <w:r>
              <w:rPr>
                <w:rFonts w:hint="eastAsia" w:ascii="宋体" w:hAnsi="宋体" w:cs="MS Gothic"/>
                <w:color w:val="181817"/>
                <w:kern w:val="0"/>
                <w:szCs w:val="21"/>
              </w:rPr>
              <w:t>研黄烟生</w:t>
            </w:r>
            <w:r>
              <w:rPr>
                <w:rFonts w:hint="eastAsia" w:ascii="宋体" w:hAnsi="宋体" w:cs="宋体"/>
                <w:color w:val="181817"/>
                <w:kern w:val="0"/>
                <w:szCs w:val="21"/>
              </w:rPr>
              <w:t>产</w:t>
            </w:r>
            <w:r>
              <w:rPr>
                <w:rFonts w:hint="eastAsia" w:ascii="宋体" w:hAnsi="宋体" w:cs="MS Gothic"/>
                <w:color w:val="181817"/>
                <w:kern w:val="0"/>
                <w:szCs w:val="21"/>
              </w:rPr>
              <w:t>情</w:t>
            </w:r>
            <w:r>
              <w:rPr>
                <w:rFonts w:hint="eastAsia" w:ascii="宋体" w:hAnsi="宋体" w:cs="HiddenHorzOCR"/>
                <w:color w:val="181817"/>
                <w:kern w:val="0"/>
                <w:szCs w:val="21"/>
              </w:rPr>
              <w:t>况</w:t>
            </w:r>
          </w:p>
        </w:tc>
      </w:tr>
    </w:tbl>
    <w:p w14:paraId="48B2F2B5">
      <w:pPr>
        <w:ind w:firstLine="420"/>
      </w:pPr>
    </w:p>
    <w:tbl>
      <w:tblPr>
        <w:tblStyle w:val="1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75FA13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22DF2D9E">
            <w:pPr>
              <w:ind w:firstLine="0" w:firstLineChars="0"/>
            </w:pPr>
            <w:r>
              <w:rPr>
                <w:rFonts w:hint="eastAsia"/>
              </w:rPr>
              <w:drawing>
                <wp:inline distT="0" distB="0" distL="114300" distR="114300">
                  <wp:extent cx="6180455" cy="3874770"/>
                  <wp:effectExtent l="0" t="0" r="10795" b="11430"/>
                  <wp:docPr id="35" name="图片 35" descr="南雄年鉴20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南雄年鉴2012-23"/>
                          <pic:cNvPicPr>
                            <a:picLocks noChangeAspect="1"/>
                          </pic:cNvPicPr>
                        </pic:nvPicPr>
                        <pic:blipFill>
                          <a:blip r:embed="rId38" cstate="print"/>
                          <a:stretch>
                            <a:fillRect/>
                          </a:stretch>
                        </pic:blipFill>
                        <pic:spPr>
                          <a:xfrm>
                            <a:off x="0" y="0"/>
                            <a:ext cx="6180455" cy="3874770"/>
                          </a:xfrm>
                          <a:prstGeom prst="rect">
                            <a:avLst/>
                          </a:prstGeom>
                        </pic:spPr>
                      </pic:pic>
                    </a:graphicData>
                  </a:graphic>
                </wp:inline>
              </w:drawing>
            </w:r>
          </w:p>
        </w:tc>
      </w:tr>
      <w:tr w14:paraId="549D58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vAlign w:val="center"/>
          </w:tcPr>
          <w:p w14:paraId="42E4239B">
            <w:pPr>
              <w:ind w:firstLine="420"/>
              <w:jc w:val="left"/>
              <w:rPr>
                <w:rFonts w:ascii="宋体" w:hAnsi="宋体"/>
                <w:szCs w:val="21"/>
              </w:rPr>
            </w:pPr>
            <w:r>
              <w:rPr>
                <w:rFonts w:hint="eastAsia" w:ascii="宋体" w:hAnsi="宋体"/>
                <w:szCs w:val="21"/>
              </w:rPr>
              <w:t>2011年10月15日，南雄市精细化工园区10大企业试产庆典仪式</w:t>
            </w:r>
          </w:p>
        </w:tc>
      </w:tr>
    </w:tbl>
    <w:p w14:paraId="46502D60">
      <w:pPr>
        <w:ind w:firstLine="420"/>
      </w:pPr>
    </w:p>
    <w:tbl>
      <w:tblPr>
        <w:tblStyle w:val="1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1B7440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62" w:type="dxa"/>
            <w:tcBorders>
              <w:top w:val="nil"/>
              <w:left w:val="nil"/>
              <w:bottom w:val="nil"/>
              <w:right w:val="nil"/>
            </w:tcBorders>
          </w:tcPr>
          <w:p w14:paraId="39367DFD">
            <w:pPr>
              <w:ind w:firstLine="0" w:firstLineChars="0"/>
            </w:pPr>
            <w:r>
              <w:rPr>
                <w:rFonts w:hint="eastAsia"/>
              </w:rPr>
              <w:drawing>
                <wp:inline distT="0" distB="0" distL="114300" distR="114300">
                  <wp:extent cx="6177915" cy="3228975"/>
                  <wp:effectExtent l="0" t="0" r="13335" b="9525"/>
                  <wp:docPr id="36" name="图片 36" descr="南雄年鉴201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南雄年鉴2012-24"/>
                          <pic:cNvPicPr>
                            <a:picLocks noChangeAspect="1"/>
                          </pic:cNvPicPr>
                        </pic:nvPicPr>
                        <pic:blipFill>
                          <a:blip r:embed="rId39" cstate="print"/>
                          <a:stretch>
                            <a:fillRect/>
                          </a:stretch>
                        </pic:blipFill>
                        <pic:spPr>
                          <a:xfrm>
                            <a:off x="0" y="0"/>
                            <a:ext cx="6177915" cy="3228975"/>
                          </a:xfrm>
                          <a:prstGeom prst="rect">
                            <a:avLst/>
                          </a:prstGeom>
                        </pic:spPr>
                      </pic:pic>
                    </a:graphicData>
                  </a:graphic>
                </wp:inline>
              </w:drawing>
            </w:r>
          </w:p>
        </w:tc>
      </w:tr>
      <w:tr w14:paraId="559D51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vAlign w:val="center"/>
          </w:tcPr>
          <w:p w14:paraId="2D15E221">
            <w:pPr>
              <w:autoSpaceDE w:val="0"/>
              <w:autoSpaceDN w:val="0"/>
              <w:adjustRightInd w:val="0"/>
              <w:ind w:firstLine="420"/>
              <w:jc w:val="left"/>
              <w:rPr>
                <w:rFonts w:ascii="宋体" w:hAnsi="宋体" w:cs="HiddenHorzOCR"/>
                <w:kern w:val="0"/>
                <w:szCs w:val="21"/>
              </w:rPr>
            </w:pPr>
            <w:r>
              <w:rPr>
                <w:rFonts w:hint="eastAsia" w:ascii="宋体" w:hAnsi="宋体" w:cs="HiddenHorzOCR"/>
                <w:kern w:val="0"/>
                <w:szCs w:val="21"/>
              </w:rPr>
              <w:t>中科院广州化学研究所南雄中</w:t>
            </w:r>
            <w:r>
              <w:rPr>
                <w:rFonts w:hint="eastAsia" w:ascii="宋体" w:hAnsi="宋体" w:cs="宋体"/>
                <w:kern w:val="0"/>
                <w:szCs w:val="21"/>
              </w:rPr>
              <w:t>试</w:t>
            </w:r>
            <w:r>
              <w:rPr>
                <w:rFonts w:hint="eastAsia" w:ascii="宋体" w:hAnsi="宋体" w:cs="MS Gothic"/>
                <w:kern w:val="0"/>
                <w:szCs w:val="21"/>
              </w:rPr>
              <w:t>基地开工典</w:t>
            </w:r>
            <w:r>
              <w:rPr>
                <w:rFonts w:hint="eastAsia" w:ascii="宋体" w:hAnsi="宋体" w:cs="HiddenHorzOCR"/>
                <w:kern w:val="0"/>
                <w:szCs w:val="21"/>
              </w:rPr>
              <w:t>礼</w:t>
            </w:r>
          </w:p>
        </w:tc>
      </w:tr>
    </w:tbl>
    <w:p w14:paraId="5DE512CA">
      <w:pPr>
        <w:ind w:firstLine="420"/>
      </w:pPr>
    </w:p>
    <w:tbl>
      <w:tblPr>
        <w:tblStyle w:val="1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23D7D7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5F5C6A28">
            <w:pPr>
              <w:ind w:firstLine="0" w:firstLineChars="0"/>
            </w:pPr>
            <w:r>
              <w:rPr>
                <w:rFonts w:hint="eastAsia"/>
              </w:rPr>
              <w:drawing>
                <wp:inline distT="0" distB="0" distL="114300" distR="114300">
                  <wp:extent cx="6180455" cy="3949065"/>
                  <wp:effectExtent l="0" t="0" r="10795" b="13335"/>
                  <wp:docPr id="37" name="图片 37" descr="南雄年鉴201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南雄年鉴2012-25"/>
                          <pic:cNvPicPr>
                            <a:picLocks noChangeAspect="1"/>
                          </pic:cNvPicPr>
                        </pic:nvPicPr>
                        <pic:blipFill>
                          <a:blip r:embed="rId40" cstate="print"/>
                          <a:stretch>
                            <a:fillRect/>
                          </a:stretch>
                        </pic:blipFill>
                        <pic:spPr>
                          <a:xfrm>
                            <a:off x="0" y="0"/>
                            <a:ext cx="6180455" cy="3949065"/>
                          </a:xfrm>
                          <a:prstGeom prst="rect">
                            <a:avLst/>
                          </a:prstGeom>
                        </pic:spPr>
                      </pic:pic>
                    </a:graphicData>
                  </a:graphic>
                </wp:inline>
              </w:drawing>
            </w:r>
          </w:p>
        </w:tc>
      </w:tr>
      <w:tr w14:paraId="6D1B86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vAlign w:val="center"/>
          </w:tcPr>
          <w:p w14:paraId="6ACA6ED9">
            <w:pPr>
              <w:ind w:firstLine="420"/>
              <w:jc w:val="left"/>
              <w:rPr>
                <w:rFonts w:ascii="宋体" w:hAnsi="宋体"/>
                <w:szCs w:val="21"/>
              </w:rPr>
            </w:pPr>
            <w:r>
              <w:rPr>
                <w:rFonts w:hint="eastAsia" w:ascii="宋体" w:hAnsi="宋体"/>
                <w:szCs w:val="21"/>
              </w:rPr>
              <w:t>2011年10月21日，中国汽车模特赛广东赛区决赛在南雄举行</w:t>
            </w:r>
          </w:p>
        </w:tc>
      </w:tr>
      <w:tr w14:paraId="2E14E5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29E8DD06">
            <w:pPr>
              <w:ind w:firstLine="0" w:firstLineChars="0"/>
            </w:pPr>
            <w:r>
              <w:rPr>
                <w:rFonts w:hint="eastAsia"/>
              </w:rPr>
              <w:drawing>
                <wp:inline distT="0" distB="0" distL="114300" distR="114300">
                  <wp:extent cx="6181090" cy="4389120"/>
                  <wp:effectExtent l="0" t="0" r="10160" b="11430"/>
                  <wp:docPr id="38" name="图片 38" descr="南雄年鉴201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南雄年鉴2012-26"/>
                          <pic:cNvPicPr>
                            <a:picLocks noChangeAspect="1"/>
                          </pic:cNvPicPr>
                        </pic:nvPicPr>
                        <pic:blipFill>
                          <a:blip r:embed="rId41" cstate="print"/>
                          <a:stretch>
                            <a:fillRect/>
                          </a:stretch>
                        </pic:blipFill>
                        <pic:spPr>
                          <a:xfrm>
                            <a:off x="0" y="0"/>
                            <a:ext cx="6181090" cy="4389120"/>
                          </a:xfrm>
                          <a:prstGeom prst="rect">
                            <a:avLst/>
                          </a:prstGeom>
                        </pic:spPr>
                      </pic:pic>
                    </a:graphicData>
                  </a:graphic>
                </wp:inline>
              </w:drawing>
            </w:r>
          </w:p>
        </w:tc>
      </w:tr>
      <w:tr w14:paraId="016F17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vAlign w:val="center"/>
          </w:tcPr>
          <w:p w14:paraId="6F352D1D">
            <w:pPr>
              <w:ind w:firstLine="420"/>
              <w:jc w:val="left"/>
              <w:rPr>
                <w:rFonts w:ascii="宋体" w:hAnsi="宋体"/>
                <w:szCs w:val="21"/>
              </w:rPr>
            </w:pPr>
            <w:r>
              <w:rPr>
                <w:rFonts w:ascii="宋体" w:hAnsi="宋体"/>
                <w:szCs w:val="21"/>
              </w:rPr>
              <w:t>烟草育苗基地</w:t>
            </w:r>
          </w:p>
        </w:tc>
      </w:tr>
    </w:tbl>
    <w:p w14:paraId="7DC08258">
      <w:pPr>
        <w:ind w:firstLine="420"/>
      </w:pPr>
    </w:p>
    <w:tbl>
      <w:tblPr>
        <w:tblStyle w:val="1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139727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62" w:type="dxa"/>
            <w:tcBorders>
              <w:top w:val="nil"/>
              <w:left w:val="nil"/>
              <w:bottom w:val="nil"/>
              <w:right w:val="nil"/>
            </w:tcBorders>
          </w:tcPr>
          <w:p w14:paraId="0440BF14">
            <w:pPr>
              <w:ind w:firstLine="0" w:firstLineChars="0"/>
            </w:pPr>
            <w:r>
              <w:rPr>
                <w:rFonts w:hint="eastAsia"/>
              </w:rPr>
              <w:drawing>
                <wp:inline distT="0" distB="0" distL="114300" distR="114300">
                  <wp:extent cx="6185535" cy="4423410"/>
                  <wp:effectExtent l="0" t="0" r="5715" b="15240"/>
                  <wp:docPr id="39" name="图片 39" descr="南雄年鉴201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南雄年鉴2012-27"/>
                          <pic:cNvPicPr>
                            <a:picLocks noChangeAspect="1"/>
                          </pic:cNvPicPr>
                        </pic:nvPicPr>
                        <pic:blipFill>
                          <a:blip r:embed="rId42" cstate="print"/>
                          <a:stretch>
                            <a:fillRect/>
                          </a:stretch>
                        </pic:blipFill>
                        <pic:spPr>
                          <a:xfrm>
                            <a:off x="0" y="0"/>
                            <a:ext cx="6185535" cy="4423410"/>
                          </a:xfrm>
                          <a:prstGeom prst="rect">
                            <a:avLst/>
                          </a:prstGeom>
                        </pic:spPr>
                      </pic:pic>
                    </a:graphicData>
                  </a:graphic>
                </wp:inline>
              </w:drawing>
            </w:r>
          </w:p>
        </w:tc>
      </w:tr>
      <w:tr w14:paraId="2BE9A4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vAlign w:val="center"/>
          </w:tcPr>
          <w:p w14:paraId="207E60C1">
            <w:pPr>
              <w:ind w:firstLine="420"/>
              <w:jc w:val="left"/>
              <w:rPr>
                <w:rFonts w:ascii="宋体" w:hAnsi="宋体"/>
                <w:szCs w:val="21"/>
              </w:rPr>
            </w:pPr>
            <w:r>
              <w:rPr>
                <w:rFonts w:ascii="宋体" w:hAnsi="宋体"/>
                <w:szCs w:val="21"/>
              </w:rPr>
              <w:t>农民使用收割机收割晚稻</w:t>
            </w:r>
          </w:p>
        </w:tc>
      </w:tr>
    </w:tbl>
    <w:p w14:paraId="323A0317">
      <w:pPr>
        <w:ind w:firstLine="420"/>
      </w:pPr>
    </w:p>
    <w:tbl>
      <w:tblPr>
        <w:tblStyle w:val="1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7874BD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40E63427">
            <w:pPr>
              <w:ind w:firstLine="0" w:firstLineChars="0"/>
            </w:pPr>
            <w:r>
              <w:rPr>
                <w:rFonts w:hint="eastAsia"/>
              </w:rPr>
              <w:drawing>
                <wp:inline distT="0" distB="0" distL="114300" distR="114300">
                  <wp:extent cx="6187440" cy="4223385"/>
                  <wp:effectExtent l="0" t="0" r="3810" b="5715"/>
                  <wp:docPr id="40" name="图片 40" descr="南雄年鉴201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南雄年鉴2012-28"/>
                          <pic:cNvPicPr>
                            <a:picLocks noChangeAspect="1"/>
                          </pic:cNvPicPr>
                        </pic:nvPicPr>
                        <pic:blipFill>
                          <a:blip r:embed="rId43" cstate="print"/>
                          <a:stretch>
                            <a:fillRect/>
                          </a:stretch>
                        </pic:blipFill>
                        <pic:spPr>
                          <a:xfrm>
                            <a:off x="0" y="0"/>
                            <a:ext cx="6187440" cy="4223385"/>
                          </a:xfrm>
                          <a:prstGeom prst="rect">
                            <a:avLst/>
                          </a:prstGeom>
                        </pic:spPr>
                      </pic:pic>
                    </a:graphicData>
                  </a:graphic>
                </wp:inline>
              </w:drawing>
            </w:r>
          </w:p>
        </w:tc>
      </w:tr>
      <w:tr w14:paraId="592F74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vAlign w:val="center"/>
          </w:tcPr>
          <w:p w14:paraId="60D8C3A3">
            <w:pPr>
              <w:ind w:firstLine="420"/>
              <w:jc w:val="left"/>
              <w:rPr>
                <w:rFonts w:ascii="宋体" w:hAnsi="宋体"/>
                <w:szCs w:val="21"/>
              </w:rPr>
            </w:pPr>
            <w:r>
              <w:rPr>
                <w:rFonts w:ascii="宋体" w:hAnsi="宋体"/>
                <w:szCs w:val="21"/>
              </w:rPr>
              <w:t>南雄出土的恐龙蛋化石</w:t>
            </w:r>
          </w:p>
        </w:tc>
      </w:tr>
    </w:tbl>
    <w:p w14:paraId="49B79B7F">
      <w:pPr>
        <w:ind w:firstLine="420"/>
      </w:pPr>
    </w:p>
    <w:tbl>
      <w:tblPr>
        <w:tblStyle w:val="1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40A346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41AE8B9D">
            <w:pPr>
              <w:ind w:firstLine="0" w:firstLineChars="0"/>
            </w:pPr>
            <w:r>
              <w:rPr>
                <w:rFonts w:hint="eastAsia"/>
              </w:rPr>
              <w:drawing>
                <wp:inline distT="0" distB="0" distL="114300" distR="114300">
                  <wp:extent cx="6184265" cy="4211955"/>
                  <wp:effectExtent l="0" t="0" r="6985" b="17145"/>
                  <wp:docPr id="41" name="图片 41" descr="南雄年鉴201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南雄年鉴2012-29"/>
                          <pic:cNvPicPr>
                            <a:picLocks noChangeAspect="1"/>
                          </pic:cNvPicPr>
                        </pic:nvPicPr>
                        <pic:blipFill>
                          <a:blip r:embed="rId44" cstate="print"/>
                          <a:stretch>
                            <a:fillRect/>
                          </a:stretch>
                        </pic:blipFill>
                        <pic:spPr>
                          <a:xfrm>
                            <a:off x="0" y="0"/>
                            <a:ext cx="6184265" cy="4211955"/>
                          </a:xfrm>
                          <a:prstGeom prst="rect">
                            <a:avLst/>
                          </a:prstGeom>
                        </pic:spPr>
                      </pic:pic>
                    </a:graphicData>
                  </a:graphic>
                </wp:inline>
              </w:drawing>
            </w:r>
          </w:p>
        </w:tc>
      </w:tr>
      <w:tr w14:paraId="5D1DA4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vAlign w:val="center"/>
          </w:tcPr>
          <w:p w14:paraId="7D0C0F9A">
            <w:pPr>
              <w:ind w:firstLine="420"/>
              <w:jc w:val="left"/>
              <w:rPr>
                <w:rFonts w:ascii="宋体" w:hAnsi="宋体"/>
                <w:szCs w:val="21"/>
              </w:rPr>
            </w:pPr>
            <w:r>
              <w:rPr>
                <w:rFonts w:ascii="宋体" w:hAnsi="宋体"/>
                <w:szCs w:val="21"/>
              </w:rPr>
              <w:t>南雄市春越核桃专业合作在邓坑镇成功种植美国长山核桃</w:t>
            </w:r>
          </w:p>
        </w:tc>
      </w:tr>
    </w:tbl>
    <w:p w14:paraId="73C21775">
      <w:pPr>
        <w:ind w:firstLine="420"/>
      </w:pPr>
    </w:p>
    <w:tbl>
      <w:tblPr>
        <w:tblStyle w:val="1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63534E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4D22B0B9">
            <w:pPr>
              <w:ind w:firstLine="0" w:firstLineChars="0"/>
            </w:pPr>
            <w:r>
              <w:rPr>
                <w:rFonts w:hint="eastAsia"/>
              </w:rPr>
              <w:drawing>
                <wp:inline distT="0" distB="0" distL="114300" distR="114300">
                  <wp:extent cx="6187440" cy="4617720"/>
                  <wp:effectExtent l="0" t="0" r="3810" b="11430"/>
                  <wp:docPr id="42" name="图片 42" descr="南雄年鉴201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南雄年鉴2012-30"/>
                          <pic:cNvPicPr>
                            <a:picLocks noChangeAspect="1"/>
                          </pic:cNvPicPr>
                        </pic:nvPicPr>
                        <pic:blipFill>
                          <a:blip r:embed="rId45" cstate="print"/>
                          <a:stretch>
                            <a:fillRect/>
                          </a:stretch>
                        </pic:blipFill>
                        <pic:spPr>
                          <a:xfrm>
                            <a:off x="0" y="0"/>
                            <a:ext cx="6187440" cy="4617720"/>
                          </a:xfrm>
                          <a:prstGeom prst="rect">
                            <a:avLst/>
                          </a:prstGeom>
                        </pic:spPr>
                      </pic:pic>
                    </a:graphicData>
                  </a:graphic>
                </wp:inline>
              </w:drawing>
            </w:r>
          </w:p>
        </w:tc>
      </w:tr>
      <w:tr w14:paraId="191E40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vAlign w:val="center"/>
          </w:tcPr>
          <w:p w14:paraId="49B3BD33">
            <w:pPr>
              <w:ind w:firstLine="420"/>
              <w:jc w:val="left"/>
              <w:rPr>
                <w:rFonts w:ascii="宋体" w:hAnsi="宋体"/>
                <w:szCs w:val="21"/>
              </w:rPr>
            </w:pPr>
            <w:r>
              <w:rPr>
                <w:rFonts w:ascii="宋体" w:hAnsi="宋体"/>
                <w:szCs w:val="21"/>
              </w:rPr>
              <w:t>南雄城区一角</w:t>
            </w:r>
          </w:p>
        </w:tc>
      </w:tr>
    </w:tbl>
    <w:p w14:paraId="05A19573">
      <w:pPr>
        <w:ind w:firstLine="420"/>
      </w:pPr>
    </w:p>
    <w:tbl>
      <w:tblPr>
        <w:tblStyle w:val="1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2864DC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62" w:type="dxa"/>
            <w:tcBorders>
              <w:top w:val="nil"/>
              <w:left w:val="nil"/>
              <w:bottom w:val="nil"/>
              <w:right w:val="nil"/>
            </w:tcBorders>
          </w:tcPr>
          <w:p w14:paraId="299F0738">
            <w:pPr>
              <w:ind w:firstLine="0" w:firstLineChars="0"/>
            </w:pPr>
            <w:r>
              <w:rPr>
                <w:rFonts w:hint="eastAsia"/>
              </w:rPr>
              <w:drawing>
                <wp:inline distT="0" distB="0" distL="114300" distR="114300">
                  <wp:extent cx="6187440" cy="4640580"/>
                  <wp:effectExtent l="0" t="0" r="3810" b="7620"/>
                  <wp:docPr id="43" name="图片 43" descr="南雄年鉴201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南雄年鉴2012-31"/>
                          <pic:cNvPicPr>
                            <a:picLocks noChangeAspect="1"/>
                          </pic:cNvPicPr>
                        </pic:nvPicPr>
                        <pic:blipFill>
                          <a:blip r:embed="rId46" cstate="print"/>
                          <a:stretch>
                            <a:fillRect/>
                          </a:stretch>
                        </pic:blipFill>
                        <pic:spPr>
                          <a:xfrm>
                            <a:off x="0" y="0"/>
                            <a:ext cx="6187440" cy="4640580"/>
                          </a:xfrm>
                          <a:prstGeom prst="rect">
                            <a:avLst/>
                          </a:prstGeom>
                        </pic:spPr>
                      </pic:pic>
                    </a:graphicData>
                  </a:graphic>
                </wp:inline>
              </w:drawing>
            </w:r>
          </w:p>
        </w:tc>
      </w:tr>
      <w:tr w14:paraId="126132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62" w:type="dxa"/>
            <w:tcBorders>
              <w:top w:val="nil"/>
              <w:left w:val="nil"/>
              <w:bottom w:val="nil"/>
              <w:right w:val="nil"/>
            </w:tcBorders>
            <w:vAlign w:val="center"/>
          </w:tcPr>
          <w:p w14:paraId="2D69264B">
            <w:pPr>
              <w:ind w:firstLine="420"/>
              <w:jc w:val="left"/>
            </w:pPr>
            <w:r>
              <w:rPr>
                <w:rFonts w:ascii="宋体" w:hAnsi="宋体"/>
                <w:szCs w:val="21"/>
              </w:rPr>
              <w:t>坪田银杏</w:t>
            </w:r>
          </w:p>
        </w:tc>
      </w:tr>
    </w:tbl>
    <w:p w14:paraId="158F85F8">
      <w:pPr>
        <w:ind w:firstLine="420"/>
      </w:pPr>
    </w:p>
    <w:tbl>
      <w:tblPr>
        <w:tblStyle w:val="15"/>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6F66AFA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238AE444">
            <w:pPr>
              <w:ind w:firstLine="0" w:firstLineChars="0"/>
            </w:pPr>
            <w:r>
              <w:rPr>
                <w:rFonts w:hint="eastAsia"/>
              </w:rPr>
              <w:drawing>
                <wp:inline distT="0" distB="0" distL="114300" distR="114300">
                  <wp:extent cx="6183630" cy="8512175"/>
                  <wp:effectExtent l="0" t="0" r="7620" b="3175"/>
                  <wp:docPr id="44" name="图片 44" descr="南雄年鉴2012_0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南雄年鉴2012_0022"/>
                          <pic:cNvPicPr>
                            <a:picLocks noChangeAspect="1"/>
                          </pic:cNvPicPr>
                        </pic:nvPicPr>
                        <pic:blipFill>
                          <a:blip r:embed="rId47" cstate="print"/>
                          <a:stretch>
                            <a:fillRect/>
                          </a:stretch>
                        </pic:blipFill>
                        <pic:spPr>
                          <a:xfrm>
                            <a:off x="0" y="0"/>
                            <a:ext cx="6183630" cy="8512175"/>
                          </a:xfrm>
                          <a:prstGeom prst="rect">
                            <a:avLst/>
                          </a:prstGeom>
                        </pic:spPr>
                      </pic:pic>
                    </a:graphicData>
                  </a:graphic>
                </wp:inline>
              </w:drawing>
            </w:r>
          </w:p>
        </w:tc>
      </w:tr>
    </w:tbl>
    <w:p w14:paraId="7C17376D">
      <w:pPr>
        <w:ind w:firstLine="420"/>
      </w:pPr>
    </w:p>
    <w:tbl>
      <w:tblPr>
        <w:tblStyle w:val="15"/>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33265BB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449E2ABE">
            <w:pPr>
              <w:ind w:firstLine="0" w:firstLineChars="0"/>
            </w:pPr>
            <w:r>
              <w:rPr>
                <w:rFonts w:hint="eastAsia"/>
              </w:rPr>
              <w:drawing>
                <wp:inline distT="0" distB="0" distL="114300" distR="114300">
                  <wp:extent cx="6183630" cy="8512175"/>
                  <wp:effectExtent l="0" t="0" r="7620" b="3175"/>
                  <wp:docPr id="45" name="图片 45" descr="南雄年鉴2012_0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南雄年鉴2012_0023"/>
                          <pic:cNvPicPr>
                            <a:picLocks noChangeAspect="1"/>
                          </pic:cNvPicPr>
                        </pic:nvPicPr>
                        <pic:blipFill>
                          <a:blip r:embed="rId48" cstate="print"/>
                          <a:stretch>
                            <a:fillRect/>
                          </a:stretch>
                        </pic:blipFill>
                        <pic:spPr>
                          <a:xfrm>
                            <a:off x="0" y="0"/>
                            <a:ext cx="6183630" cy="8512175"/>
                          </a:xfrm>
                          <a:prstGeom prst="rect">
                            <a:avLst/>
                          </a:prstGeom>
                        </pic:spPr>
                      </pic:pic>
                    </a:graphicData>
                  </a:graphic>
                </wp:inline>
              </w:drawing>
            </w:r>
          </w:p>
        </w:tc>
      </w:tr>
    </w:tbl>
    <w:p w14:paraId="51C78BD8">
      <w:pPr>
        <w:ind w:firstLine="420"/>
      </w:pPr>
    </w:p>
    <w:tbl>
      <w:tblPr>
        <w:tblStyle w:val="15"/>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0FFD4C9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6465F1C7">
            <w:pPr>
              <w:ind w:firstLine="0" w:firstLineChars="0"/>
            </w:pPr>
            <w:r>
              <w:rPr>
                <w:rFonts w:hint="eastAsia"/>
              </w:rPr>
              <w:drawing>
                <wp:inline distT="0" distB="0" distL="114300" distR="114300">
                  <wp:extent cx="6183630" cy="8512175"/>
                  <wp:effectExtent l="0" t="0" r="7620" b="3175"/>
                  <wp:docPr id="46" name="图片 46" descr="南雄年鉴2012_0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南雄年鉴2012_0024"/>
                          <pic:cNvPicPr>
                            <a:picLocks noChangeAspect="1"/>
                          </pic:cNvPicPr>
                        </pic:nvPicPr>
                        <pic:blipFill>
                          <a:blip r:embed="rId49" cstate="print"/>
                          <a:stretch>
                            <a:fillRect/>
                          </a:stretch>
                        </pic:blipFill>
                        <pic:spPr>
                          <a:xfrm>
                            <a:off x="0" y="0"/>
                            <a:ext cx="6183630" cy="8512175"/>
                          </a:xfrm>
                          <a:prstGeom prst="rect">
                            <a:avLst/>
                          </a:prstGeom>
                        </pic:spPr>
                      </pic:pic>
                    </a:graphicData>
                  </a:graphic>
                </wp:inline>
              </w:drawing>
            </w:r>
          </w:p>
        </w:tc>
      </w:tr>
    </w:tbl>
    <w:p w14:paraId="568EE1C4">
      <w:pPr>
        <w:ind w:firstLine="420"/>
      </w:pPr>
    </w:p>
    <w:tbl>
      <w:tblPr>
        <w:tblStyle w:val="15"/>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19869C0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9962" w:type="dxa"/>
          </w:tcPr>
          <w:p w14:paraId="78CEF010">
            <w:pPr>
              <w:ind w:firstLine="0" w:firstLineChars="0"/>
            </w:pPr>
            <w:r>
              <w:rPr>
                <w:rFonts w:hint="eastAsia"/>
              </w:rPr>
              <w:drawing>
                <wp:inline distT="0" distB="0" distL="114300" distR="114300">
                  <wp:extent cx="6183630" cy="8512175"/>
                  <wp:effectExtent l="0" t="0" r="7620" b="3175"/>
                  <wp:docPr id="47" name="图片 47" descr="南雄年鉴2012_0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南雄年鉴2012_0025"/>
                          <pic:cNvPicPr>
                            <a:picLocks noChangeAspect="1"/>
                          </pic:cNvPicPr>
                        </pic:nvPicPr>
                        <pic:blipFill>
                          <a:blip r:embed="rId50" cstate="print"/>
                          <a:stretch>
                            <a:fillRect/>
                          </a:stretch>
                        </pic:blipFill>
                        <pic:spPr>
                          <a:xfrm>
                            <a:off x="0" y="0"/>
                            <a:ext cx="6183630" cy="8512175"/>
                          </a:xfrm>
                          <a:prstGeom prst="rect">
                            <a:avLst/>
                          </a:prstGeom>
                        </pic:spPr>
                      </pic:pic>
                    </a:graphicData>
                  </a:graphic>
                </wp:inline>
              </w:drawing>
            </w:r>
          </w:p>
        </w:tc>
      </w:tr>
    </w:tbl>
    <w:p w14:paraId="74D898D8">
      <w:pPr>
        <w:ind w:firstLine="420"/>
      </w:pPr>
    </w:p>
    <w:tbl>
      <w:tblPr>
        <w:tblStyle w:val="15"/>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2CEDD50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9962" w:type="dxa"/>
          </w:tcPr>
          <w:p w14:paraId="032486D5">
            <w:pPr>
              <w:ind w:firstLine="0" w:firstLineChars="0"/>
            </w:pPr>
            <w:r>
              <w:rPr>
                <w:rFonts w:hint="eastAsia"/>
              </w:rPr>
              <w:drawing>
                <wp:inline distT="0" distB="0" distL="114300" distR="114300">
                  <wp:extent cx="6183630" cy="8512175"/>
                  <wp:effectExtent l="0" t="0" r="7620" b="3175"/>
                  <wp:docPr id="48" name="图片 48" descr="南雄年鉴2012_0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南雄年鉴2012_0026"/>
                          <pic:cNvPicPr>
                            <a:picLocks noChangeAspect="1"/>
                          </pic:cNvPicPr>
                        </pic:nvPicPr>
                        <pic:blipFill>
                          <a:blip r:embed="rId51" cstate="print"/>
                          <a:stretch>
                            <a:fillRect/>
                          </a:stretch>
                        </pic:blipFill>
                        <pic:spPr>
                          <a:xfrm>
                            <a:off x="0" y="0"/>
                            <a:ext cx="6183630" cy="8512175"/>
                          </a:xfrm>
                          <a:prstGeom prst="rect">
                            <a:avLst/>
                          </a:prstGeom>
                        </pic:spPr>
                      </pic:pic>
                    </a:graphicData>
                  </a:graphic>
                </wp:inline>
              </w:drawing>
            </w:r>
          </w:p>
        </w:tc>
      </w:tr>
    </w:tbl>
    <w:p w14:paraId="58B4332B">
      <w:pPr>
        <w:ind w:firstLine="420"/>
      </w:pPr>
    </w:p>
    <w:tbl>
      <w:tblPr>
        <w:tblStyle w:val="15"/>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25CAD7C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9962" w:type="dxa"/>
          </w:tcPr>
          <w:p w14:paraId="1F00E4E6">
            <w:pPr>
              <w:ind w:firstLine="0" w:firstLineChars="0"/>
            </w:pPr>
            <w:r>
              <w:rPr>
                <w:rFonts w:hint="eastAsia"/>
              </w:rPr>
              <w:drawing>
                <wp:inline distT="0" distB="0" distL="114300" distR="114300">
                  <wp:extent cx="6183630" cy="8512175"/>
                  <wp:effectExtent l="0" t="0" r="7620" b="3175"/>
                  <wp:docPr id="49" name="图片 49" descr="南雄年鉴2012_0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南雄年鉴2012_0027"/>
                          <pic:cNvPicPr>
                            <a:picLocks noChangeAspect="1"/>
                          </pic:cNvPicPr>
                        </pic:nvPicPr>
                        <pic:blipFill>
                          <a:blip r:embed="rId52" cstate="print"/>
                          <a:stretch>
                            <a:fillRect/>
                          </a:stretch>
                        </pic:blipFill>
                        <pic:spPr>
                          <a:xfrm>
                            <a:off x="0" y="0"/>
                            <a:ext cx="6183630" cy="8512175"/>
                          </a:xfrm>
                          <a:prstGeom prst="rect">
                            <a:avLst/>
                          </a:prstGeom>
                        </pic:spPr>
                      </pic:pic>
                    </a:graphicData>
                  </a:graphic>
                </wp:inline>
              </w:drawing>
            </w:r>
          </w:p>
        </w:tc>
      </w:tr>
    </w:tbl>
    <w:p w14:paraId="067CFE11">
      <w:pPr>
        <w:ind w:firstLine="420"/>
      </w:pPr>
    </w:p>
    <w:tbl>
      <w:tblPr>
        <w:tblStyle w:val="15"/>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3F33499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28486A62">
            <w:pPr>
              <w:ind w:firstLine="0" w:firstLineChars="0"/>
            </w:pPr>
            <w:r>
              <w:rPr>
                <w:rFonts w:hint="eastAsia"/>
              </w:rPr>
              <w:drawing>
                <wp:inline distT="0" distB="0" distL="114300" distR="114300">
                  <wp:extent cx="6183630" cy="8512175"/>
                  <wp:effectExtent l="0" t="0" r="7620" b="3175"/>
                  <wp:docPr id="50" name="图片 50" descr="南雄年鉴2012_0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南雄年鉴2012_0028"/>
                          <pic:cNvPicPr>
                            <a:picLocks noChangeAspect="1"/>
                          </pic:cNvPicPr>
                        </pic:nvPicPr>
                        <pic:blipFill>
                          <a:blip r:embed="rId53" cstate="print"/>
                          <a:stretch>
                            <a:fillRect/>
                          </a:stretch>
                        </pic:blipFill>
                        <pic:spPr>
                          <a:xfrm>
                            <a:off x="0" y="0"/>
                            <a:ext cx="6183630" cy="8512175"/>
                          </a:xfrm>
                          <a:prstGeom prst="rect">
                            <a:avLst/>
                          </a:prstGeom>
                        </pic:spPr>
                      </pic:pic>
                    </a:graphicData>
                  </a:graphic>
                </wp:inline>
              </w:drawing>
            </w:r>
          </w:p>
        </w:tc>
      </w:tr>
    </w:tbl>
    <w:p w14:paraId="071D9CD7">
      <w:pPr>
        <w:ind w:firstLine="420"/>
      </w:pPr>
    </w:p>
    <w:tbl>
      <w:tblPr>
        <w:tblStyle w:val="15"/>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3C7AE30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072132FE">
            <w:pPr>
              <w:ind w:firstLine="0" w:firstLineChars="0"/>
            </w:pPr>
            <w:r>
              <w:rPr>
                <w:rFonts w:hint="eastAsia"/>
              </w:rPr>
              <w:drawing>
                <wp:inline distT="0" distB="0" distL="114300" distR="114300">
                  <wp:extent cx="6183630" cy="8512175"/>
                  <wp:effectExtent l="0" t="0" r="7620" b="3175"/>
                  <wp:docPr id="51" name="图片 51" descr="南雄年鉴2012_0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南雄年鉴2012_0029"/>
                          <pic:cNvPicPr>
                            <a:picLocks noChangeAspect="1"/>
                          </pic:cNvPicPr>
                        </pic:nvPicPr>
                        <pic:blipFill>
                          <a:blip r:embed="rId54" cstate="print"/>
                          <a:stretch>
                            <a:fillRect/>
                          </a:stretch>
                        </pic:blipFill>
                        <pic:spPr>
                          <a:xfrm>
                            <a:off x="0" y="0"/>
                            <a:ext cx="6183630" cy="8512175"/>
                          </a:xfrm>
                          <a:prstGeom prst="rect">
                            <a:avLst/>
                          </a:prstGeom>
                        </pic:spPr>
                      </pic:pic>
                    </a:graphicData>
                  </a:graphic>
                </wp:inline>
              </w:drawing>
            </w:r>
          </w:p>
        </w:tc>
      </w:tr>
    </w:tbl>
    <w:p w14:paraId="73403E65">
      <w:pPr>
        <w:ind w:firstLine="420"/>
      </w:pPr>
    </w:p>
    <w:tbl>
      <w:tblPr>
        <w:tblStyle w:val="15"/>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5EC316B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9962" w:type="dxa"/>
          </w:tcPr>
          <w:p w14:paraId="2C5FBBB1">
            <w:pPr>
              <w:ind w:firstLine="0" w:firstLineChars="0"/>
            </w:pPr>
            <w:r>
              <w:rPr>
                <w:rFonts w:hint="eastAsia"/>
              </w:rPr>
              <w:drawing>
                <wp:inline distT="0" distB="0" distL="114300" distR="114300">
                  <wp:extent cx="6183630" cy="8512175"/>
                  <wp:effectExtent l="0" t="0" r="7620" b="3175"/>
                  <wp:docPr id="52" name="图片 52" descr="南雄年鉴2012_0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南雄年鉴2012_0030"/>
                          <pic:cNvPicPr>
                            <a:picLocks noChangeAspect="1"/>
                          </pic:cNvPicPr>
                        </pic:nvPicPr>
                        <pic:blipFill>
                          <a:blip r:embed="rId55" cstate="print"/>
                          <a:stretch>
                            <a:fillRect/>
                          </a:stretch>
                        </pic:blipFill>
                        <pic:spPr>
                          <a:xfrm>
                            <a:off x="0" y="0"/>
                            <a:ext cx="6183630" cy="8512175"/>
                          </a:xfrm>
                          <a:prstGeom prst="rect">
                            <a:avLst/>
                          </a:prstGeom>
                        </pic:spPr>
                      </pic:pic>
                    </a:graphicData>
                  </a:graphic>
                </wp:inline>
              </w:drawing>
            </w:r>
          </w:p>
        </w:tc>
      </w:tr>
    </w:tbl>
    <w:p w14:paraId="38D842F3">
      <w:pPr>
        <w:ind w:firstLine="420"/>
      </w:pPr>
    </w:p>
    <w:tbl>
      <w:tblPr>
        <w:tblStyle w:val="15"/>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0438FA9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9962" w:type="dxa"/>
          </w:tcPr>
          <w:p w14:paraId="1F75CCFB">
            <w:pPr>
              <w:ind w:firstLine="0" w:firstLineChars="0"/>
            </w:pPr>
            <w:r>
              <w:rPr>
                <w:rFonts w:hint="eastAsia"/>
              </w:rPr>
              <w:drawing>
                <wp:inline distT="0" distB="0" distL="114300" distR="114300">
                  <wp:extent cx="6183630" cy="8512175"/>
                  <wp:effectExtent l="0" t="0" r="7620" b="3175"/>
                  <wp:docPr id="53" name="图片 53" descr="南雄年鉴2012_0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南雄年鉴2012_0031"/>
                          <pic:cNvPicPr>
                            <a:picLocks noChangeAspect="1"/>
                          </pic:cNvPicPr>
                        </pic:nvPicPr>
                        <pic:blipFill>
                          <a:blip r:embed="rId56" cstate="print"/>
                          <a:stretch>
                            <a:fillRect/>
                          </a:stretch>
                        </pic:blipFill>
                        <pic:spPr>
                          <a:xfrm>
                            <a:off x="0" y="0"/>
                            <a:ext cx="6183630" cy="8512175"/>
                          </a:xfrm>
                          <a:prstGeom prst="rect">
                            <a:avLst/>
                          </a:prstGeom>
                        </pic:spPr>
                      </pic:pic>
                    </a:graphicData>
                  </a:graphic>
                </wp:inline>
              </w:drawing>
            </w:r>
          </w:p>
        </w:tc>
      </w:tr>
    </w:tbl>
    <w:p w14:paraId="0345B87E">
      <w:pPr>
        <w:ind w:firstLine="420"/>
      </w:pPr>
    </w:p>
    <w:tbl>
      <w:tblPr>
        <w:tblStyle w:val="15"/>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7B6D67A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9962" w:type="dxa"/>
          </w:tcPr>
          <w:p w14:paraId="192CBEF0">
            <w:pPr>
              <w:ind w:firstLine="0" w:firstLineChars="0"/>
            </w:pPr>
            <w:r>
              <w:rPr>
                <w:rFonts w:hint="eastAsia"/>
              </w:rPr>
              <w:drawing>
                <wp:inline distT="0" distB="0" distL="114300" distR="114300">
                  <wp:extent cx="6183630" cy="8512175"/>
                  <wp:effectExtent l="0" t="0" r="7620" b="3175"/>
                  <wp:docPr id="54" name="图片 54" descr="南雄年鉴2012_0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南雄年鉴2012_0032"/>
                          <pic:cNvPicPr>
                            <a:picLocks noChangeAspect="1"/>
                          </pic:cNvPicPr>
                        </pic:nvPicPr>
                        <pic:blipFill>
                          <a:blip r:embed="rId57" cstate="print"/>
                          <a:stretch>
                            <a:fillRect/>
                          </a:stretch>
                        </pic:blipFill>
                        <pic:spPr>
                          <a:xfrm>
                            <a:off x="0" y="0"/>
                            <a:ext cx="6183630" cy="8512175"/>
                          </a:xfrm>
                          <a:prstGeom prst="rect">
                            <a:avLst/>
                          </a:prstGeom>
                        </pic:spPr>
                      </pic:pic>
                    </a:graphicData>
                  </a:graphic>
                </wp:inline>
              </w:drawing>
            </w:r>
          </w:p>
        </w:tc>
      </w:tr>
    </w:tbl>
    <w:p w14:paraId="699F584B">
      <w:pPr>
        <w:ind w:firstLine="420"/>
      </w:pPr>
    </w:p>
    <w:p w14:paraId="0DA3CAD3">
      <w:pPr>
        <w:ind w:firstLine="0" w:firstLineChars="0"/>
      </w:pPr>
    </w:p>
    <w:tbl>
      <w:tblPr>
        <w:tblStyle w:val="15"/>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25B383B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9962" w:type="dxa"/>
          </w:tcPr>
          <w:p w14:paraId="256A935B">
            <w:pPr>
              <w:ind w:firstLine="0" w:firstLineChars="0"/>
            </w:pPr>
            <w:r>
              <w:rPr>
                <w:rFonts w:hint="eastAsia"/>
              </w:rPr>
              <w:drawing>
                <wp:inline distT="0" distB="0" distL="114300" distR="114300">
                  <wp:extent cx="6183630" cy="8512175"/>
                  <wp:effectExtent l="0" t="0" r="7620" b="3175"/>
                  <wp:docPr id="56" name="图片 56" descr="南雄年鉴2012_0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南雄年鉴2012_0033"/>
                          <pic:cNvPicPr>
                            <a:picLocks noChangeAspect="1"/>
                          </pic:cNvPicPr>
                        </pic:nvPicPr>
                        <pic:blipFill>
                          <a:blip r:embed="rId58" cstate="print"/>
                          <a:stretch>
                            <a:fillRect/>
                          </a:stretch>
                        </pic:blipFill>
                        <pic:spPr>
                          <a:xfrm>
                            <a:off x="0" y="0"/>
                            <a:ext cx="6183630" cy="8512175"/>
                          </a:xfrm>
                          <a:prstGeom prst="rect">
                            <a:avLst/>
                          </a:prstGeom>
                        </pic:spPr>
                      </pic:pic>
                    </a:graphicData>
                  </a:graphic>
                </wp:inline>
              </w:drawing>
            </w:r>
          </w:p>
        </w:tc>
      </w:tr>
    </w:tbl>
    <w:p w14:paraId="25F6B846">
      <w:pPr>
        <w:ind w:firstLine="0" w:firstLineChars="0"/>
      </w:pPr>
    </w:p>
    <w:tbl>
      <w:tblPr>
        <w:tblStyle w:val="15"/>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1FAB6DE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47AE63F7">
            <w:pPr>
              <w:ind w:firstLine="0" w:firstLineChars="0"/>
            </w:pPr>
            <w:r>
              <w:rPr>
                <w:rFonts w:hint="eastAsia"/>
              </w:rPr>
              <w:drawing>
                <wp:inline distT="0" distB="0" distL="114300" distR="114300">
                  <wp:extent cx="6183630" cy="8512175"/>
                  <wp:effectExtent l="0" t="0" r="7620" b="3175"/>
                  <wp:docPr id="57" name="图片 57" descr="南雄年鉴2012_0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南雄年鉴2012_0034"/>
                          <pic:cNvPicPr>
                            <a:picLocks noChangeAspect="1"/>
                          </pic:cNvPicPr>
                        </pic:nvPicPr>
                        <pic:blipFill>
                          <a:blip r:embed="rId59" cstate="print"/>
                          <a:stretch>
                            <a:fillRect/>
                          </a:stretch>
                        </pic:blipFill>
                        <pic:spPr>
                          <a:xfrm>
                            <a:off x="0" y="0"/>
                            <a:ext cx="6183630" cy="8512175"/>
                          </a:xfrm>
                          <a:prstGeom prst="rect">
                            <a:avLst/>
                          </a:prstGeom>
                        </pic:spPr>
                      </pic:pic>
                    </a:graphicData>
                  </a:graphic>
                </wp:inline>
              </w:drawing>
            </w:r>
          </w:p>
        </w:tc>
      </w:tr>
    </w:tbl>
    <w:p w14:paraId="1568649A">
      <w:pPr>
        <w:ind w:firstLine="0" w:firstLineChars="0"/>
      </w:pPr>
    </w:p>
    <w:tbl>
      <w:tblPr>
        <w:tblStyle w:val="15"/>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781B0BD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76243A85">
            <w:pPr>
              <w:ind w:firstLine="0" w:firstLineChars="0"/>
            </w:pPr>
            <w:r>
              <w:rPr>
                <w:rFonts w:hint="eastAsia"/>
              </w:rPr>
              <w:drawing>
                <wp:inline distT="0" distB="0" distL="114300" distR="114300">
                  <wp:extent cx="6183630" cy="8512175"/>
                  <wp:effectExtent l="0" t="0" r="7620" b="3175"/>
                  <wp:docPr id="58" name="图片 58" descr="南雄年鉴2012_0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南雄年鉴2012_0035"/>
                          <pic:cNvPicPr>
                            <a:picLocks noChangeAspect="1"/>
                          </pic:cNvPicPr>
                        </pic:nvPicPr>
                        <pic:blipFill>
                          <a:blip r:embed="rId60" cstate="print"/>
                          <a:stretch>
                            <a:fillRect/>
                          </a:stretch>
                        </pic:blipFill>
                        <pic:spPr>
                          <a:xfrm>
                            <a:off x="0" y="0"/>
                            <a:ext cx="6183630" cy="8512175"/>
                          </a:xfrm>
                          <a:prstGeom prst="rect">
                            <a:avLst/>
                          </a:prstGeom>
                        </pic:spPr>
                      </pic:pic>
                    </a:graphicData>
                  </a:graphic>
                </wp:inline>
              </w:drawing>
            </w:r>
          </w:p>
        </w:tc>
      </w:tr>
    </w:tbl>
    <w:p w14:paraId="305869F2">
      <w:pPr>
        <w:ind w:firstLine="0" w:firstLineChars="0"/>
      </w:pPr>
    </w:p>
    <w:tbl>
      <w:tblPr>
        <w:tblStyle w:val="15"/>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63ED6E18">
        <w:tc>
          <w:tcPr>
            <w:tcW w:w="9962" w:type="dxa"/>
          </w:tcPr>
          <w:p w14:paraId="1F41406B">
            <w:pPr>
              <w:ind w:firstLine="0" w:firstLineChars="0"/>
            </w:pPr>
            <w:r>
              <w:rPr>
                <w:rFonts w:hint="eastAsia"/>
              </w:rPr>
              <w:drawing>
                <wp:inline distT="0" distB="0" distL="114300" distR="114300">
                  <wp:extent cx="6183630" cy="8512175"/>
                  <wp:effectExtent l="0" t="0" r="7620" b="3175"/>
                  <wp:docPr id="59" name="图片 59" descr="南雄年鉴2012_0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南雄年鉴2012_0036"/>
                          <pic:cNvPicPr>
                            <a:picLocks noChangeAspect="1"/>
                          </pic:cNvPicPr>
                        </pic:nvPicPr>
                        <pic:blipFill>
                          <a:blip r:embed="rId61" cstate="print"/>
                          <a:stretch>
                            <a:fillRect/>
                          </a:stretch>
                        </pic:blipFill>
                        <pic:spPr>
                          <a:xfrm>
                            <a:off x="0" y="0"/>
                            <a:ext cx="6183630" cy="8512175"/>
                          </a:xfrm>
                          <a:prstGeom prst="rect">
                            <a:avLst/>
                          </a:prstGeom>
                        </pic:spPr>
                      </pic:pic>
                    </a:graphicData>
                  </a:graphic>
                </wp:inline>
              </w:drawing>
            </w:r>
          </w:p>
        </w:tc>
      </w:tr>
    </w:tbl>
    <w:p w14:paraId="52649423">
      <w:pPr>
        <w:ind w:firstLine="0" w:firstLineChars="0"/>
      </w:pPr>
    </w:p>
    <w:tbl>
      <w:tblPr>
        <w:tblStyle w:val="15"/>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3F6478B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9962" w:type="dxa"/>
          </w:tcPr>
          <w:p w14:paraId="264E0F03">
            <w:pPr>
              <w:ind w:firstLine="0" w:firstLineChars="0"/>
            </w:pPr>
            <w:r>
              <w:rPr>
                <w:rFonts w:hint="eastAsia"/>
              </w:rPr>
              <w:drawing>
                <wp:inline distT="0" distB="0" distL="114300" distR="114300">
                  <wp:extent cx="6183630" cy="8512175"/>
                  <wp:effectExtent l="0" t="0" r="7620" b="3175"/>
                  <wp:docPr id="60" name="图片 60" descr="南雄年鉴2012_0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南雄年鉴2012_0037"/>
                          <pic:cNvPicPr>
                            <a:picLocks noChangeAspect="1"/>
                          </pic:cNvPicPr>
                        </pic:nvPicPr>
                        <pic:blipFill>
                          <a:blip r:embed="rId62" cstate="print"/>
                          <a:stretch>
                            <a:fillRect/>
                          </a:stretch>
                        </pic:blipFill>
                        <pic:spPr>
                          <a:xfrm>
                            <a:off x="0" y="0"/>
                            <a:ext cx="6183630" cy="8512175"/>
                          </a:xfrm>
                          <a:prstGeom prst="rect">
                            <a:avLst/>
                          </a:prstGeom>
                        </pic:spPr>
                      </pic:pic>
                    </a:graphicData>
                  </a:graphic>
                </wp:inline>
              </w:drawing>
            </w:r>
          </w:p>
        </w:tc>
      </w:tr>
    </w:tbl>
    <w:p w14:paraId="11EC9DBA">
      <w:pPr>
        <w:ind w:firstLine="0" w:firstLineChars="0"/>
      </w:pPr>
    </w:p>
    <w:tbl>
      <w:tblPr>
        <w:tblStyle w:val="15"/>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12EE85F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79D82C09">
            <w:pPr>
              <w:ind w:firstLine="0" w:firstLineChars="0"/>
            </w:pPr>
            <w:r>
              <w:rPr>
                <w:rFonts w:hint="eastAsia"/>
              </w:rPr>
              <w:drawing>
                <wp:inline distT="0" distB="0" distL="114300" distR="114300">
                  <wp:extent cx="6183630" cy="8512175"/>
                  <wp:effectExtent l="0" t="0" r="7620" b="3175"/>
                  <wp:docPr id="61" name="图片 61" descr="南雄年鉴2012_0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南雄年鉴2012_0038"/>
                          <pic:cNvPicPr>
                            <a:picLocks noChangeAspect="1"/>
                          </pic:cNvPicPr>
                        </pic:nvPicPr>
                        <pic:blipFill>
                          <a:blip r:embed="rId63" cstate="print"/>
                          <a:stretch>
                            <a:fillRect/>
                          </a:stretch>
                        </pic:blipFill>
                        <pic:spPr>
                          <a:xfrm>
                            <a:off x="0" y="0"/>
                            <a:ext cx="6183630" cy="8512175"/>
                          </a:xfrm>
                          <a:prstGeom prst="rect">
                            <a:avLst/>
                          </a:prstGeom>
                        </pic:spPr>
                      </pic:pic>
                    </a:graphicData>
                  </a:graphic>
                </wp:inline>
              </w:drawing>
            </w:r>
          </w:p>
        </w:tc>
      </w:tr>
    </w:tbl>
    <w:p w14:paraId="605B249F">
      <w:pPr>
        <w:ind w:firstLine="0" w:firstLineChars="0"/>
      </w:pPr>
    </w:p>
    <w:tbl>
      <w:tblPr>
        <w:tblStyle w:val="15"/>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6AF9351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9962" w:type="dxa"/>
          </w:tcPr>
          <w:p w14:paraId="0BEE3FEB">
            <w:pPr>
              <w:ind w:firstLine="0" w:firstLineChars="0"/>
            </w:pPr>
            <w:r>
              <w:rPr>
                <w:rFonts w:hint="eastAsia"/>
              </w:rPr>
              <w:drawing>
                <wp:inline distT="0" distB="0" distL="114300" distR="114300">
                  <wp:extent cx="6183630" cy="8512175"/>
                  <wp:effectExtent l="0" t="0" r="7620" b="3175"/>
                  <wp:docPr id="62" name="图片 62" descr="南雄年鉴2012_0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南雄年鉴2012_0039"/>
                          <pic:cNvPicPr>
                            <a:picLocks noChangeAspect="1"/>
                          </pic:cNvPicPr>
                        </pic:nvPicPr>
                        <pic:blipFill>
                          <a:blip r:embed="rId64" cstate="print"/>
                          <a:stretch>
                            <a:fillRect/>
                          </a:stretch>
                        </pic:blipFill>
                        <pic:spPr>
                          <a:xfrm>
                            <a:off x="0" y="0"/>
                            <a:ext cx="6183630" cy="8512175"/>
                          </a:xfrm>
                          <a:prstGeom prst="rect">
                            <a:avLst/>
                          </a:prstGeom>
                        </pic:spPr>
                      </pic:pic>
                    </a:graphicData>
                  </a:graphic>
                </wp:inline>
              </w:drawing>
            </w:r>
          </w:p>
        </w:tc>
      </w:tr>
    </w:tbl>
    <w:p w14:paraId="61695203">
      <w:pPr>
        <w:ind w:firstLine="0" w:firstLineChars="0"/>
      </w:pPr>
    </w:p>
    <w:tbl>
      <w:tblPr>
        <w:tblStyle w:val="15"/>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6CCB274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9962" w:type="dxa"/>
          </w:tcPr>
          <w:p w14:paraId="4EDAC698">
            <w:pPr>
              <w:ind w:firstLine="0" w:firstLineChars="0"/>
            </w:pPr>
            <w:r>
              <w:rPr>
                <w:rFonts w:hint="eastAsia"/>
              </w:rPr>
              <w:drawing>
                <wp:inline distT="0" distB="0" distL="114300" distR="114300">
                  <wp:extent cx="6183630" cy="8512175"/>
                  <wp:effectExtent l="0" t="0" r="7620" b="3175"/>
                  <wp:docPr id="63" name="图片 63" descr="南雄年鉴2012_0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南雄年鉴2012_0040"/>
                          <pic:cNvPicPr>
                            <a:picLocks noChangeAspect="1"/>
                          </pic:cNvPicPr>
                        </pic:nvPicPr>
                        <pic:blipFill>
                          <a:blip r:embed="rId65" cstate="print"/>
                          <a:stretch>
                            <a:fillRect/>
                          </a:stretch>
                        </pic:blipFill>
                        <pic:spPr>
                          <a:xfrm>
                            <a:off x="0" y="0"/>
                            <a:ext cx="6183630" cy="8512175"/>
                          </a:xfrm>
                          <a:prstGeom prst="rect">
                            <a:avLst/>
                          </a:prstGeom>
                        </pic:spPr>
                      </pic:pic>
                    </a:graphicData>
                  </a:graphic>
                </wp:inline>
              </w:drawing>
            </w:r>
          </w:p>
        </w:tc>
      </w:tr>
    </w:tbl>
    <w:p w14:paraId="4A5FD893">
      <w:pPr>
        <w:ind w:firstLine="0" w:firstLineChars="0"/>
      </w:pPr>
    </w:p>
    <w:tbl>
      <w:tblPr>
        <w:tblStyle w:val="15"/>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0770E95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9962" w:type="dxa"/>
          </w:tcPr>
          <w:p w14:paraId="08AD0F35">
            <w:pPr>
              <w:ind w:firstLine="0" w:firstLineChars="0"/>
            </w:pPr>
            <w:r>
              <w:rPr>
                <w:rFonts w:hint="eastAsia"/>
              </w:rPr>
              <w:drawing>
                <wp:inline distT="0" distB="0" distL="114300" distR="114300">
                  <wp:extent cx="6183630" cy="8512175"/>
                  <wp:effectExtent l="0" t="0" r="7620" b="3175"/>
                  <wp:docPr id="64" name="图片 64" descr="南雄年鉴2012_0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南雄年鉴2012_0041"/>
                          <pic:cNvPicPr>
                            <a:picLocks noChangeAspect="1"/>
                          </pic:cNvPicPr>
                        </pic:nvPicPr>
                        <pic:blipFill>
                          <a:blip r:embed="rId66" cstate="print"/>
                          <a:stretch>
                            <a:fillRect/>
                          </a:stretch>
                        </pic:blipFill>
                        <pic:spPr>
                          <a:xfrm>
                            <a:off x="0" y="0"/>
                            <a:ext cx="6183630" cy="8512175"/>
                          </a:xfrm>
                          <a:prstGeom prst="rect">
                            <a:avLst/>
                          </a:prstGeom>
                        </pic:spPr>
                      </pic:pic>
                    </a:graphicData>
                  </a:graphic>
                </wp:inline>
              </w:drawing>
            </w:r>
          </w:p>
        </w:tc>
      </w:tr>
    </w:tbl>
    <w:p w14:paraId="50D74FCF">
      <w:pPr>
        <w:ind w:firstLine="0" w:firstLineChars="0"/>
      </w:pPr>
    </w:p>
    <w:tbl>
      <w:tblPr>
        <w:tblStyle w:val="15"/>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25BCD85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55EE06F8">
            <w:pPr>
              <w:ind w:firstLine="0" w:firstLineChars="0"/>
            </w:pPr>
            <w:r>
              <w:rPr>
                <w:rFonts w:hint="eastAsia"/>
              </w:rPr>
              <w:drawing>
                <wp:inline distT="0" distB="0" distL="114300" distR="114300">
                  <wp:extent cx="6183630" cy="8512175"/>
                  <wp:effectExtent l="0" t="0" r="7620" b="3175"/>
                  <wp:docPr id="65" name="图片 65" descr="南雄年鉴2012_0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南雄年鉴2012_0042"/>
                          <pic:cNvPicPr>
                            <a:picLocks noChangeAspect="1"/>
                          </pic:cNvPicPr>
                        </pic:nvPicPr>
                        <pic:blipFill>
                          <a:blip r:embed="rId67" cstate="print"/>
                          <a:stretch>
                            <a:fillRect/>
                          </a:stretch>
                        </pic:blipFill>
                        <pic:spPr>
                          <a:xfrm>
                            <a:off x="0" y="0"/>
                            <a:ext cx="6183630" cy="8512175"/>
                          </a:xfrm>
                          <a:prstGeom prst="rect">
                            <a:avLst/>
                          </a:prstGeom>
                        </pic:spPr>
                      </pic:pic>
                    </a:graphicData>
                  </a:graphic>
                </wp:inline>
              </w:drawing>
            </w:r>
          </w:p>
        </w:tc>
      </w:tr>
    </w:tbl>
    <w:p w14:paraId="68EFB60D">
      <w:pPr>
        <w:ind w:firstLine="0" w:firstLineChars="0"/>
      </w:pPr>
    </w:p>
    <w:tbl>
      <w:tblPr>
        <w:tblStyle w:val="15"/>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324717B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0E6495A6">
            <w:pPr>
              <w:ind w:firstLine="0" w:firstLineChars="0"/>
            </w:pPr>
            <w:r>
              <w:rPr>
                <w:rFonts w:hint="eastAsia"/>
              </w:rPr>
              <w:drawing>
                <wp:inline distT="0" distB="0" distL="114300" distR="114300">
                  <wp:extent cx="6183630" cy="8512175"/>
                  <wp:effectExtent l="0" t="0" r="7620" b="3175"/>
                  <wp:docPr id="66" name="图片 66" descr="南雄年鉴2012_0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南雄年鉴2012_0043"/>
                          <pic:cNvPicPr>
                            <a:picLocks noChangeAspect="1"/>
                          </pic:cNvPicPr>
                        </pic:nvPicPr>
                        <pic:blipFill>
                          <a:blip r:embed="rId68" cstate="print"/>
                          <a:stretch>
                            <a:fillRect/>
                          </a:stretch>
                        </pic:blipFill>
                        <pic:spPr>
                          <a:xfrm>
                            <a:off x="0" y="0"/>
                            <a:ext cx="6183630" cy="8512175"/>
                          </a:xfrm>
                          <a:prstGeom prst="rect">
                            <a:avLst/>
                          </a:prstGeom>
                        </pic:spPr>
                      </pic:pic>
                    </a:graphicData>
                  </a:graphic>
                </wp:inline>
              </w:drawing>
            </w:r>
          </w:p>
        </w:tc>
      </w:tr>
    </w:tbl>
    <w:p w14:paraId="6EAD195B">
      <w:pPr>
        <w:ind w:firstLine="0" w:firstLineChars="0"/>
      </w:pPr>
    </w:p>
    <w:tbl>
      <w:tblPr>
        <w:tblStyle w:val="15"/>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03F48D3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277DE8BD">
            <w:pPr>
              <w:ind w:firstLine="0" w:firstLineChars="0"/>
            </w:pPr>
            <w:r>
              <w:rPr>
                <w:rFonts w:hint="eastAsia"/>
              </w:rPr>
              <w:drawing>
                <wp:inline distT="0" distB="0" distL="114300" distR="114300">
                  <wp:extent cx="6183630" cy="8512175"/>
                  <wp:effectExtent l="0" t="0" r="7620" b="3175"/>
                  <wp:docPr id="67" name="图片 67" descr="南雄年鉴2012_0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南雄年鉴2012_0044"/>
                          <pic:cNvPicPr>
                            <a:picLocks noChangeAspect="1"/>
                          </pic:cNvPicPr>
                        </pic:nvPicPr>
                        <pic:blipFill>
                          <a:blip r:embed="rId69" cstate="print"/>
                          <a:stretch>
                            <a:fillRect/>
                          </a:stretch>
                        </pic:blipFill>
                        <pic:spPr>
                          <a:xfrm>
                            <a:off x="0" y="0"/>
                            <a:ext cx="6183630" cy="8512175"/>
                          </a:xfrm>
                          <a:prstGeom prst="rect">
                            <a:avLst/>
                          </a:prstGeom>
                        </pic:spPr>
                      </pic:pic>
                    </a:graphicData>
                  </a:graphic>
                </wp:inline>
              </w:drawing>
            </w:r>
          </w:p>
        </w:tc>
      </w:tr>
    </w:tbl>
    <w:p w14:paraId="2EDEFCB7">
      <w:pPr>
        <w:ind w:firstLine="0" w:firstLineChars="0"/>
      </w:pPr>
    </w:p>
    <w:tbl>
      <w:tblPr>
        <w:tblStyle w:val="15"/>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06090B6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69360A34">
            <w:pPr>
              <w:ind w:firstLine="0" w:firstLineChars="0"/>
            </w:pPr>
            <w:r>
              <w:rPr>
                <w:rFonts w:hint="eastAsia"/>
              </w:rPr>
              <w:drawing>
                <wp:inline distT="0" distB="0" distL="114300" distR="114300">
                  <wp:extent cx="6183630" cy="8512175"/>
                  <wp:effectExtent l="0" t="0" r="7620" b="3175"/>
                  <wp:docPr id="68" name="图片 68" descr="南雄年鉴2012_0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南雄年鉴2012_0045"/>
                          <pic:cNvPicPr>
                            <a:picLocks noChangeAspect="1"/>
                          </pic:cNvPicPr>
                        </pic:nvPicPr>
                        <pic:blipFill>
                          <a:blip r:embed="rId70" cstate="print"/>
                          <a:stretch>
                            <a:fillRect/>
                          </a:stretch>
                        </pic:blipFill>
                        <pic:spPr>
                          <a:xfrm>
                            <a:off x="0" y="0"/>
                            <a:ext cx="6183630" cy="8512175"/>
                          </a:xfrm>
                          <a:prstGeom prst="rect">
                            <a:avLst/>
                          </a:prstGeom>
                        </pic:spPr>
                      </pic:pic>
                    </a:graphicData>
                  </a:graphic>
                </wp:inline>
              </w:drawing>
            </w:r>
          </w:p>
        </w:tc>
      </w:tr>
    </w:tbl>
    <w:p w14:paraId="415F635B">
      <w:pPr>
        <w:ind w:firstLine="0" w:firstLineChars="0"/>
      </w:pPr>
    </w:p>
    <w:tbl>
      <w:tblPr>
        <w:tblStyle w:val="15"/>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2BA3B15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0A881E9C">
            <w:pPr>
              <w:ind w:firstLine="0" w:firstLineChars="0"/>
            </w:pPr>
            <w:r>
              <w:rPr>
                <w:rFonts w:hint="eastAsia"/>
              </w:rPr>
              <w:drawing>
                <wp:inline distT="0" distB="0" distL="114300" distR="114300">
                  <wp:extent cx="6183630" cy="8512175"/>
                  <wp:effectExtent l="0" t="0" r="7620" b="3175"/>
                  <wp:docPr id="69" name="图片 69" descr="南雄年鉴2012_0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南雄年鉴2012_0046"/>
                          <pic:cNvPicPr>
                            <a:picLocks noChangeAspect="1"/>
                          </pic:cNvPicPr>
                        </pic:nvPicPr>
                        <pic:blipFill>
                          <a:blip r:embed="rId71" cstate="print"/>
                          <a:stretch>
                            <a:fillRect/>
                          </a:stretch>
                        </pic:blipFill>
                        <pic:spPr>
                          <a:xfrm>
                            <a:off x="0" y="0"/>
                            <a:ext cx="6183630" cy="8512175"/>
                          </a:xfrm>
                          <a:prstGeom prst="rect">
                            <a:avLst/>
                          </a:prstGeom>
                        </pic:spPr>
                      </pic:pic>
                    </a:graphicData>
                  </a:graphic>
                </wp:inline>
              </w:drawing>
            </w:r>
          </w:p>
        </w:tc>
      </w:tr>
    </w:tbl>
    <w:p w14:paraId="27343CA8">
      <w:pPr>
        <w:ind w:firstLine="0" w:firstLineChars="0"/>
      </w:pPr>
    </w:p>
    <w:tbl>
      <w:tblPr>
        <w:tblStyle w:val="1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67DA75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62" w:type="dxa"/>
            <w:tcBorders>
              <w:top w:val="nil"/>
              <w:left w:val="nil"/>
              <w:bottom w:val="nil"/>
              <w:right w:val="nil"/>
            </w:tcBorders>
          </w:tcPr>
          <w:p w14:paraId="195A21E1">
            <w:pPr>
              <w:ind w:firstLine="0" w:firstLineChars="0"/>
            </w:pPr>
            <w:r>
              <w:rPr>
                <w:rFonts w:hint="eastAsia"/>
              </w:rPr>
              <w:drawing>
                <wp:inline distT="0" distB="0" distL="114300" distR="114300">
                  <wp:extent cx="6183630" cy="8512175"/>
                  <wp:effectExtent l="0" t="0" r="7620" b="3175"/>
                  <wp:docPr id="70" name="图片 70" descr="南雄年鉴2012_0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南雄年鉴2012_0047"/>
                          <pic:cNvPicPr>
                            <a:picLocks noChangeAspect="1"/>
                          </pic:cNvPicPr>
                        </pic:nvPicPr>
                        <pic:blipFill>
                          <a:blip r:embed="rId72" cstate="print"/>
                          <a:stretch>
                            <a:fillRect/>
                          </a:stretch>
                        </pic:blipFill>
                        <pic:spPr>
                          <a:xfrm>
                            <a:off x="0" y="0"/>
                            <a:ext cx="6183630" cy="8512175"/>
                          </a:xfrm>
                          <a:prstGeom prst="rect">
                            <a:avLst/>
                          </a:prstGeom>
                        </pic:spPr>
                      </pic:pic>
                    </a:graphicData>
                  </a:graphic>
                </wp:inline>
              </w:drawing>
            </w:r>
          </w:p>
        </w:tc>
      </w:tr>
    </w:tbl>
    <w:p w14:paraId="1BA5C6AD">
      <w:pPr>
        <w:ind w:firstLine="0" w:firstLineChars="0"/>
      </w:pPr>
    </w:p>
    <w:tbl>
      <w:tblPr>
        <w:tblStyle w:val="15"/>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34B3B20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021E9BFA">
            <w:pPr>
              <w:ind w:firstLine="0" w:firstLineChars="0"/>
            </w:pPr>
            <w:r>
              <w:rPr>
                <w:rFonts w:hint="eastAsia"/>
              </w:rPr>
              <w:drawing>
                <wp:inline distT="0" distB="0" distL="114300" distR="114300">
                  <wp:extent cx="6183630" cy="8512175"/>
                  <wp:effectExtent l="0" t="0" r="7620" b="3175"/>
                  <wp:docPr id="71" name="图片 71" descr="南雄年鉴2012_0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南雄年鉴2012_0048"/>
                          <pic:cNvPicPr>
                            <a:picLocks noChangeAspect="1"/>
                          </pic:cNvPicPr>
                        </pic:nvPicPr>
                        <pic:blipFill>
                          <a:blip r:embed="rId73" cstate="print"/>
                          <a:stretch>
                            <a:fillRect/>
                          </a:stretch>
                        </pic:blipFill>
                        <pic:spPr>
                          <a:xfrm>
                            <a:off x="0" y="0"/>
                            <a:ext cx="6183630" cy="8512175"/>
                          </a:xfrm>
                          <a:prstGeom prst="rect">
                            <a:avLst/>
                          </a:prstGeom>
                        </pic:spPr>
                      </pic:pic>
                    </a:graphicData>
                  </a:graphic>
                </wp:inline>
              </w:drawing>
            </w:r>
          </w:p>
        </w:tc>
      </w:tr>
    </w:tbl>
    <w:p w14:paraId="47E2339F">
      <w:pPr>
        <w:ind w:firstLine="0" w:firstLineChars="0"/>
      </w:pPr>
    </w:p>
    <w:tbl>
      <w:tblPr>
        <w:tblStyle w:val="15"/>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1332891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9962" w:type="dxa"/>
          </w:tcPr>
          <w:p w14:paraId="2BEB2F5E">
            <w:pPr>
              <w:ind w:firstLine="0" w:firstLineChars="0"/>
            </w:pPr>
            <w:r>
              <w:rPr>
                <w:rFonts w:hint="eastAsia"/>
              </w:rPr>
              <w:drawing>
                <wp:inline distT="0" distB="0" distL="114300" distR="114300">
                  <wp:extent cx="6183630" cy="8512175"/>
                  <wp:effectExtent l="0" t="0" r="7620" b="3175"/>
                  <wp:docPr id="72" name="图片 72" descr="南雄年鉴2012_0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南雄年鉴2012_0049"/>
                          <pic:cNvPicPr>
                            <a:picLocks noChangeAspect="1"/>
                          </pic:cNvPicPr>
                        </pic:nvPicPr>
                        <pic:blipFill>
                          <a:blip r:embed="rId74" cstate="print"/>
                          <a:stretch>
                            <a:fillRect/>
                          </a:stretch>
                        </pic:blipFill>
                        <pic:spPr>
                          <a:xfrm>
                            <a:off x="0" y="0"/>
                            <a:ext cx="6183630" cy="8512175"/>
                          </a:xfrm>
                          <a:prstGeom prst="rect">
                            <a:avLst/>
                          </a:prstGeom>
                        </pic:spPr>
                      </pic:pic>
                    </a:graphicData>
                  </a:graphic>
                </wp:inline>
              </w:drawing>
            </w:r>
          </w:p>
        </w:tc>
      </w:tr>
    </w:tbl>
    <w:p w14:paraId="601BF17E">
      <w:pPr>
        <w:ind w:firstLine="0" w:firstLineChars="0"/>
      </w:pPr>
    </w:p>
    <w:tbl>
      <w:tblPr>
        <w:tblStyle w:val="15"/>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0788B3A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9962" w:type="dxa"/>
          </w:tcPr>
          <w:p w14:paraId="2990BFB1">
            <w:pPr>
              <w:ind w:firstLine="0" w:firstLineChars="0"/>
            </w:pPr>
            <w:r>
              <w:rPr>
                <w:rFonts w:hint="eastAsia"/>
              </w:rPr>
              <w:drawing>
                <wp:inline distT="0" distB="0" distL="114300" distR="114300">
                  <wp:extent cx="6183630" cy="8512175"/>
                  <wp:effectExtent l="0" t="0" r="7620" b="3175"/>
                  <wp:docPr id="73" name="图片 73" descr="南雄年鉴2012_0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南雄年鉴2012_0050"/>
                          <pic:cNvPicPr>
                            <a:picLocks noChangeAspect="1"/>
                          </pic:cNvPicPr>
                        </pic:nvPicPr>
                        <pic:blipFill>
                          <a:blip r:embed="rId75" cstate="print"/>
                          <a:stretch>
                            <a:fillRect/>
                          </a:stretch>
                        </pic:blipFill>
                        <pic:spPr>
                          <a:xfrm>
                            <a:off x="0" y="0"/>
                            <a:ext cx="6183630" cy="8512175"/>
                          </a:xfrm>
                          <a:prstGeom prst="rect">
                            <a:avLst/>
                          </a:prstGeom>
                        </pic:spPr>
                      </pic:pic>
                    </a:graphicData>
                  </a:graphic>
                </wp:inline>
              </w:drawing>
            </w:r>
          </w:p>
        </w:tc>
      </w:tr>
    </w:tbl>
    <w:p w14:paraId="0ED0EA4B">
      <w:pPr>
        <w:ind w:firstLine="0" w:firstLineChars="0"/>
      </w:pPr>
    </w:p>
    <w:tbl>
      <w:tblPr>
        <w:tblStyle w:val="15"/>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0A77EFC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062D9F61">
            <w:pPr>
              <w:ind w:firstLine="0" w:firstLineChars="0"/>
            </w:pPr>
            <w:r>
              <w:rPr>
                <w:rFonts w:hint="eastAsia"/>
              </w:rPr>
              <w:drawing>
                <wp:inline distT="0" distB="0" distL="114300" distR="114300">
                  <wp:extent cx="6183630" cy="8512175"/>
                  <wp:effectExtent l="0" t="0" r="7620" b="3175"/>
                  <wp:docPr id="74" name="图片 74" descr="南雄年鉴2012_0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南雄年鉴2012_0051"/>
                          <pic:cNvPicPr>
                            <a:picLocks noChangeAspect="1"/>
                          </pic:cNvPicPr>
                        </pic:nvPicPr>
                        <pic:blipFill>
                          <a:blip r:embed="rId76" cstate="print"/>
                          <a:stretch>
                            <a:fillRect/>
                          </a:stretch>
                        </pic:blipFill>
                        <pic:spPr>
                          <a:xfrm>
                            <a:off x="0" y="0"/>
                            <a:ext cx="6183630" cy="8512175"/>
                          </a:xfrm>
                          <a:prstGeom prst="rect">
                            <a:avLst/>
                          </a:prstGeom>
                        </pic:spPr>
                      </pic:pic>
                    </a:graphicData>
                  </a:graphic>
                </wp:inline>
              </w:drawing>
            </w:r>
          </w:p>
        </w:tc>
      </w:tr>
    </w:tbl>
    <w:p w14:paraId="22D28030">
      <w:pPr>
        <w:ind w:firstLine="0" w:firstLineChars="0"/>
      </w:pPr>
    </w:p>
    <w:tbl>
      <w:tblPr>
        <w:tblStyle w:val="15"/>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711DEF7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9962" w:type="dxa"/>
          </w:tcPr>
          <w:p w14:paraId="55180BC0">
            <w:pPr>
              <w:ind w:firstLine="0" w:firstLineChars="0"/>
            </w:pPr>
            <w:r>
              <w:rPr>
                <w:rFonts w:hint="eastAsia"/>
              </w:rPr>
              <w:drawing>
                <wp:inline distT="0" distB="0" distL="114300" distR="114300">
                  <wp:extent cx="6183630" cy="8512175"/>
                  <wp:effectExtent l="0" t="0" r="7620" b="3175"/>
                  <wp:docPr id="75" name="图片 75" descr="南雄年鉴2012_0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南雄年鉴2012_0052"/>
                          <pic:cNvPicPr>
                            <a:picLocks noChangeAspect="1"/>
                          </pic:cNvPicPr>
                        </pic:nvPicPr>
                        <pic:blipFill>
                          <a:blip r:embed="rId77" cstate="print"/>
                          <a:stretch>
                            <a:fillRect/>
                          </a:stretch>
                        </pic:blipFill>
                        <pic:spPr>
                          <a:xfrm>
                            <a:off x="0" y="0"/>
                            <a:ext cx="6183630" cy="8512175"/>
                          </a:xfrm>
                          <a:prstGeom prst="rect">
                            <a:avLst/>
                          </a:prstGeom>
                        </pic:spPr>
                      </pic:pic>
                    </a:graphicData>
                  </a:graphic>
                </wp:inline>
              </w:drawing>
            </w:r>
          </w:p>
        </w:tc>
      </w:tr>
    </w:tbl>
    <w:p w14:paraId="704319E7">
      <w:pPr>
        <w:ind w:firstLine="0" w:firstLineChars="0"/>
      </w:pPr>
    </w:p>
    <w:tbl>
      <w:tblPr>
        <w:tblStyle w:val="1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0A67A9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62" w:type="dxa"/>
            <w:tcBorders>
              <w:top w:val="nil"/>
              <w:left w:val="nil"/>
              <w:bottom w:val="nil"/>
              <w:right w:val="nil"/>
            </w:tcBorders>
          </w:tcPr>
          <w:p w14:paraId="5057100B">
            <w:pPr>
              <w:ind w:firstLine="0" w:firstLineChars="0"/>
            </w:pPr>
            <w:r>
              <w:rPr>
                <w:rFonts w:hint="eastAsia"/>
              </w:rPr>
              <w:drawing>
                <wp:inline distT="0" distB="0" distL="114300" distR="114300">
                  <wp:extent cx="6183630" cy="8512175"/>
                  <wp:effectExtent l="0" t="0" r="7620" b="3175"/>
                  <wp:docPr id="76" name="图片 76" descr="南雄年鉴2012_0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南雄年鉴2012_0053"/>
                          <pic:cNvPicPr>
                            <a:picLocks noChangeAspect="1"/>
                          </pic:cNvPicPr>
                        </pic:nvPicPr>
                        <pic:blipFill>
                          <a:blip r:embed="rId78" cstate="print"/>
                          <a:stretch>
                            <a:fillRect/>
                          </a:stretch>
                        </pic:blipFill>
                        <pic:spPr>
                          <a:xfrm>
                            <a:off x="0" y="0"/>
                            <a:ext cx="6183630" cy="8512175"/>
                          </a:xfrm>
                          <a:prstGeom prst="rect">
                            <a:avLst/>
                          </a:prstGeom>
                        </pic:spPr>
                      </pic:pic>
                    </a:graphicData>
                  </a:graphic>
                </wp:inline>
              </w:drawing>
            </w:r>
          </w:p>
        </w:tc>
      </w:tr>
    </w:tbl>
    <w:p w14:paraId="3FCCC8DA">
      <w:pPr>
        <w:ind w:firstLine="0" w:firstLineChars="0"/>
      </w:pPr>
    </w:p>
    <w:tbl>
      <w:tblPr>
        <w:tblStyle w:val="15"/>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338CCF0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9962" w:type="dxa"/>
          </w:tcPr>
          <w:p w14:paraId="57248B6F">
            <w:pPr>
              <w:ind w:firstLine="0" w:firstLineChars="0"/>
            </w:pPr>
            <w:r>
              <w:rPr>
                <w:rFonts w:hint="eastAsia"/>
              </w:rPr>
              <w:drawing>
                <wp:inline distT="0" distB="0" distL="114300" distR="114300">
                  <wp:extent cx="6183630" cy="8512175"/>
                  <wp:effectExtent l="0" t="0" r="7620" b="3175"/>
                  <wp:docPr id="77" name="图片 77" descr="南雄年鉴2012_0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南雄年鉴2012_0054"/>
                          <pic:cNvPicPr>
                            <a:picLocks noChangeAspect="1"/>
                          </pic:cNvPicPr>
                        </pic:nvPicPr>
                        <pic:blipFill>
                          <a:blip r:embed="rId79" cstate="print"/>
                          <a:stretch>
                            <a:fillRect/>
                          </a:stretch>
                        </pic:blipFill>
                        <pic:spPr>
                          <a:xfrm>
                            <a:off x="0" y="0"/>
                            <a:ext cx="6183630" cy="8512175"/>
                          </a:xfrm>
                          <a:prstGeom prst="rect">
                            <a:avLst/>
                          </a:prstGeom>
                        </pic:spPr>
                      </pic:pic>
                    </a:graphicData>
                  </a:graphic>
                </wp:inline>
              </w:drawing>
            </w:r>
          </w:p>
        </w:tc>
      </w:tr>
    </w:tbl>
    <w:p w14:paraId="533409DE">
      <w:pPr>
        <w:ind w:firstLine="0" w:firstLineChars="0"/>
      </w:pPr>
    </w:p>
    <w:tbl>
      <w:tblPr>
        <w:tblStyle w:val="15"/>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3A13DAC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4DB8DBED">
            <w:pPr>
              <w:ind w:firstLine="0" w:firstLineChars="0"/>
            </w:pPr>
            <w:r>
              <w:rPr>
                <w:rFonts w:hint="eastAsia"/>
              </w:rPr>
              <w:drawing>
                <wp:inline distT="0" distB="0" distL="114300" distR="114300">
                  <wp:extent cx="6183630" cy="8512175"/>
                  <wp:effectExtent l="0" t="0" r="7620" b="3175"/>
                  <wp:docPr id="78" name="图片 78" descr="南雄年鉴2012_0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南雄年鉴2012_0055"/>
                          <pic:cNvPicPr>
                            <a:picLocks noChangeAspect="1"/>
                          </pic:cNvPicPr>
                        </pic:nvPicPr>
                        <pic:blipFill>
                          <a:blip r:embed="rId80" cstate="print"/>
                          <a:stretch>
                            <a:fillRect/>
                          </a:stretch>
                        </pic:blipFill>
                        <pic:spPr>
                          <a:xfrm>
                            <a:off x="0" y="0"/>
                            <a:ext cx="6183630" cy="8512175"/>
                          </a:xfrm>
                          <a:prstGeom prst="rect">
                            <a:avLst/>
                          </a:prstGeom>
                        </pic:spPr>
                      </pic:pic>
                    </a:graphicData>
                  </a:graphic>
                </wp:inline>
              </w:drawing>
            </w:r>
          </w:p>
        </w:tc>
      </w:tr>
    </w:tbl>
    <w:p w14:paraId="458436BC">
      <w:pPr>
        <w:ind w:firstLine="0" w:firstLineChars="0"/>
      </w:pPr>
    </w:p>
    <w:tbl>
      <w:tblPr>
        <w:tblStyle w:val="15"/>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01C64A8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253F587E">
            <w:pPr>
              <w:ind w:firstLine="0" w:firstLineChars="0"/>
            </w:pPr>
            <w:r>
              <w:rPr>
                <w:rFonts w:hint="eastAsia"/>
              </w:rPr>
              <w:drawing>
                <wp:inline distT="0" distB="0" distL="114300" distR="114300">
                  <wp:extent cx="6183630" cy="8512175"/>
                  <wp:effectExtent l="0" t="0" r="7620" b="3175"/>
                  <wp:docPr id="79" name="图片 79" descr="南雄年鉴2012_0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南雄年鉴2012_0056"/>
                          <pic:cNvPicPr>
                            <a:picLocks noChangeAspect="1"/>
                          </pic:cNvPicPr>
                        </pic:nvPicPr>
                        <pic:blipFill>
                          <a:blip r:embed="rId81" cstate="print"/>
                          <a:stretch>
                            <a:fillRect/>
                          </a:stretch>
                        </pic:blipFill>
                        <pic:spPr>
                          <a:xfrm>
                            <a:off x="0" y="0"/>
                            <a:ext cx="6183630" cy="8512175"/>
                          </a:xfrm>
                          <a:prstGeom prst="rect">
                            <a:avLst/>
                          </a:prstGeom>
                        </pic:spPr>
                      </pic:pic>
                    </a:graphicData>
                  </a:graphic>
                </wp:inline>
              </w:drawing>
            </w:r>
          </w:p>
        </w:tc>
      </w:tr>
    </w:tbl>
    <w:p w14:paraId="3F9DFA0D">
      <w:pPr>
        <w:ind w:firstLine="0" w:firstLineChars="0"/>
      </w:pPr>
    </w:p>
    <w:tbl>
      <w:tblPr>
        <w:tblStyle w:val="15"/>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37DD385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9962" w:type="dxa"/>
          </w:tcPr>
          <w:p w14:paraId="182A18E1">
            <w:pPr>
              <w:ind w:firstLine="0" w:firstLineChars="0"/>
            </w:pPr>
            <w:r>
              <w:rPr>
                <w:rFonts w:hint="eastAsia"/>
              </w:rPr>
              <w:drawing>
                <wp:inline distT="0" distB="0" distL="114300" distR="114300">
                  <wp:extent cx="6183630" cy="8512175"/>
                  <wp:effectExtent l="0" t="0" r="7620" b="3175"/>
                  <wp:docPr id="80" name="图片 80" descr="南雄年鉴2012_0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南雄年鉴2012_0057"/>
                          <pic:cNvPicPr>
                            <a:picLocks noChangeAspect="1"/>
                          </pic:cNvPicPr>
                        </pic:nvPicPr>
                        <pic:blipFill>
                          <a:blip r:embed="rId82" cstate="print"/>
                          <a:stretch>
                            <a:fillRect/>
                          </a:stretch>
                        </pic:blipFill>
                        <pic:spPr>
                          <a:xfrm>
                            <a:off x="0" y="0"/>
                            <a:ext cx="6183630" cy="8512175"/>
                          </a:xfrm>
                          <a:prstGeom prst="rect">
                            <a:avLst/>
                          </a:prstGeom>
                        </pic:spPr>
                      </pic:pic>
                    </a:graphicData>
                  </a:graphic>
                </wp:inline>
              </w:drawing>
            </w:r>
          </w:p>
        </w:tc>
      </w:tr>
    </w:tbl>
    <w:p w14:paraId="252A5552">
      <w:pPr>
        <w:ind w:firstLine="0" w:firstLineChars="0"/>
      </w:pPr>
    </w:p>
    <w:tbl>
      <w:tblPr>
        <w:tblStyle w:val="15"/>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1BBBECF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9962" w:type="dxa"/>
          </w:tcPr>
          <w:p w14:paraId="5B82ADF2">
            <w:pPr>
              <w:ind w:firstLine="0" w:firstLineChars="0"/>
            </w:pPr>
            <w:r>
              <w:rPr>
                <w:rFonts w:hint="eastAsia"/>
              </w:rPr>
              <w:drawing>
                <wp:inline distT="0" distB="0" distL="114300" distR="114300">
                  <wp:extent cx="6183630" cy="8512175"/>
                  <wp:effectExtent l="0" t="0" r="7620" b="3175"/>
                  <wp:docPr id="81" name="图片 81" descr="南雄年鉴2012_0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南雄年鉴2012_0058"/>
                          <pic:cNvPicPr>
                            <a:picLocks noChangeAspect="1"/>
                          </pic:cNvPicPr>
                        </pic:nvPicPr>
                        <pic:blipFill>
                          <a:blip r:embed="rId83" cstate="print"/>
                          <a:stretch>
                            <a:fillRect/>
                          </a:stretch>
                        </pic:blipFill>
                        <pic:spPr>
                          <a:xfrm>
                            <a:off x="0" y="0"/>
                            <a:ext cx="6183630" cy="8512175"/>
                          </a:xfrm>
                          <a:prstGeom prst="rect">
                            <a:avLst/>
                          </a:prstGeom>
                        </pic:spPr>
                      </pic:pic>
                    </a:graphicData>
                  </a:graphic>
                </wp:inline>
              </w:drawing>
            </w:r>
          </w:p>
        </w:tc>
      </w:tr>
    </w:tbl>
    <w:p w14:paraId="47D20F40">
      <w:pPr>
        <w:ind w:firstLine="0" w:firstLineChars="0"/>
      </w:pPr>
    </w:p>
    <w:tbl>
      <w:tblPr>
        <w:tblStyle w:val="1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4EDDDC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62" w:type="dxa"/>
          </w:tcPr>
          <w:p w14:paraId="532B59CA">
            <w:pPr>
              <w:ind w:firstLine="0" w:firstLineChars="0"/>
            </w:pPr>
            <w:r>
              <w:rPr>
                <w:rFonts w:hint="eastAsia"/>
              </w:rPr>
              <w:drawing>
                <wp:inline distT="0" distB="0" distL="114300" distR="114300">
                  <wp:extent cx="6183630" cy="8512175"/>
                  <wp:effectExtent l="0" t="0" r="7620" b="3175"/>
                  <wp:docPr id="83" name="图片 83" descr="南雄年鉴2012_0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南雄年鉴2012_0059"/>
                          <pic:cNvPicPr>
                            <a:picLocks noChangeAspect="1"/>
                          </pic:cNvPicPr>
                        </pic:nvPicPr>
                        <pic:blipFill>
                          <a:blip r:embed="rId84" cstate="print"/>
                          <a:stretch>
                            <a:fillRect/>
                          </a:stretch>
                        </pic:blipFill>
                        <pic:spPr>
                          <a:xfrm>
                            <a:off x="0" y="0"/>
                            <a:ext cx="6183630" cy="8512175"/>
                          </a:xfrm>
                          <a:prstGeom prst="rect">
                            <a:avLst/>
                          </a:prstGeom>
                        </pic:spPr>
                      </pic:pic>
                    </a:graphicData>
                  </a:graphic>
                </wp:inline>
              </w:drawing>
            </w:r>
          </w:p>
        </w:tc>
      </w:tr>
    </w:tbl>
    <w:p w14:paraId="2C9CDF70">
      <w:pPr>
        <w:ind w:firstLine="0" w:firstLineChars="0"/>
      </w:pPr>
    </w:p>
    <w:p w14:paraId="6B425800">
      <w:pPr>
        <w:pStyle w:val="2"/>
        <w:ind w:firstLine="883"/>
      </w:pPr>
      <w:r>
        <w:rPr>
          <w:rFonts w:hint="eastAsia"/>
        </w:rPr>
        <w:t>特载</w:t>
      </w:r>
    </w:p>
    <w:p w14:paraId="4B4A1B62">
      <w:pPr>
        <w:pStyle w:val="3"/>
      </w:pPr>
      <w:r>
        <w:rPr>
          <w:rFonts w:hint="eastAsia"/>
        </w:rPr>
        <w:t>创新社会管理 加速经济发展                                   为全面建设幸福南雄而努力奋斗                                   ——在中国共产党南雄市第十二次代表大会上的报告                （2011年9月26日）</w:t>
      </w:r>
    </w:p>
    <w:p w14:paraId="1E09E977">
      <w:pPr>
        <w:spacing w:line="240" w:lineRule="auto"/>
        <w:ind w:firstLine="420"/>
        <w:jc w:val="center"/>
      </w:pPr>
      <w:r>
        <w:rPr>
          <w:rFonts w:hint="eastAsia"/>
        </w:rPr>
        <w:t>市委书记 许志新</w:t>
      </w:r>
    </w:p>
    <w:p w14:paraId="233DBE25">
      <w:pPr>
        <w:ind w:firstLine="0" w:firstLineChars="0"/>
      </w:pPr>
      <w:r>
        <w:rPr>
          <w:rFonts w:hint="eastAsia"/>
        </w:rPr>
        <w:t>同志们：</w:t>
      </w:r>
    </w:p>
    <w:p w14:paraId="18BD3922">
      <w:pPr>
        <w:ind w:firstLine="420"/>
      </w:pPr>
      <w:r>
        <w:rPr>
          <w:rFonts w:hint="eastAsia"/>
        </w:rPr>
        <w:t>现在，我代表中国共产党南雄市第十一届委员会向大会作报告，请予审议。</w:t>
      </w:r>
    </w:p>
    <w:p w14:paraId="59F129E9">
      <w:pPr>
        <w:ind w:firstLine="422"/>
        <w:jc w:val="center"/>
        <w:rPr>
          <w:b/>
        </w:rPr>
      </w:pPr>
      <w:r>
        <w:rPr>
          <w:rFonts w:hint="eastAsia"/>
          <w:b/>
        </w:rPr>
        <w:t>关于十一届市委工作的回顾</w:t>
      </w:r>
    </w:p>
    <w:p w14:paraId="712CDC53">
      <w:pPr>
        <w:ind w:firstLine="420"/>
      </w:pPr>
      <w:r>
        <w:rPr>
          <w:rFonts w:hint="eastAsia"/>
        </w:rPr>
        <w:t>过去五年，市委坚持以邓小平理论、“三个代表”重要思想为指导，深入贯彻落实科学发展观，按照省委和韶关市委的决策部署，团结带领全市广大党员和干部群众，紧紧围绕“三年打基础，五年大发展，十年大跨越”的总体要求和构建和谐南雄的总体目标，解放思想、抢抓机遇、攻坚克难、开拓创新，圆满完成了市十一次党代会确定的目标和任务，全市经济和社会各项事业取得了显著成绩。集中体现为“六个一”：</w:t>
      </w:r>
    </w:p>
    <w:p w14:paraId="5C7FBD8A">
      <w:pPr>
        <w:ind w:firstLine="422"/>
      </w:pPr>
      <w:r>
        <w:rPr>
          <w:rFonts w:hint="eastAsia"/>
          <w:b/>
          <w:bCs/>
        </w:rPr>
        <w:t>一是探索出了一条南雄科学发展的新路子</w:t>
      </w:r>
      <w:r>
        <w:rPr>
          <w:rFonts w:hint="eastAsia"/>
        </w:rPr>
        <w:t>。从井冈山会议、赣州会议，到2008年精细化工基地的建立，再到今天精细化工产业转移园初具规模，我市实现了从彷徨迷茫、停滞不前到思路清晰、快速发展的历史性转变。五年来，市委团结和带领全市广大党员和干部群众，抓住省委、省政府实施“双转移”战略和国家规定从2010年起化工企业都要进入专业园区的机遇，选准了科技含量高、附加值高、产业关联度大、经济效益好、占地少、污染少的精细化工产业为突破口，化边缘劣势为区位优载加速经济发展南雄而努力奋斗十次代表大会上的报告月26日）许志新势，从珠三角的边缘变为广东进入内陆的前沿，创建了粤北首个精细化工基地，从而带动了陶瓷建材、浆纸制造、热电能源等特色工业发展，实现了县域经济结构的优化。五年来，我市先后荣获国家可持续发展实验区、转型·2010中国经济十大领军县级市等一系列荣誉称号，并被确认为中央苏区县、中国恐龙之乡，成为粤北山区科学发展的一颗璀璨明珠。</w:t>
      </w:r>
    </w:p>
    <w:p w14:paraId="09E71303">
      <w:pPr>
        <w:ind w:firstLine="422"/>
      </w:pPr>
      <w:r>
        <w:rPr>
          <w:rFonts w:hint="eastAsia"/>
          <w:b/>
          <w:bCs/>
        </w:rPr>
        <w:t>二是干出了一个快速发展的“南雄速度”</w:t>
      </w:r>
      <w:r>
        <w:rPr>
          <w:rFonts w:hint="eastAsia"/>
        </w:rPr>
        <w:t>。2010年，全市完成GDP60.26亿元，比“十五”期末翻了一番；人均GDP3403元，是“十五”期末的2倍；地方财政一般预算收入2.83亿元，是“十五”期末的3倍；固定资产投资58.03亿元，是“十五”期末的5倍；规模以上企业46家，比“十五”期末新增26家，规模以上工业增加值为8.15亿元，是“十五”期末的6倍。五年来，全市GDP、地方财政一般预算收入、固定资产投资等主要经济指标保持两位数的增长速度，在全省山区加快发展的激烈竞争中实现了弯道超车。</w:t>
      </w:r>
    </w:p>
    <w:p w14:paraId="720C8878">
      <w:pPr>
        <w:ind w:firstLine="422"/>
      </w:pPr>
      <w:r>
        <w:rPr>
          <w:rFonts w:hint="eastAsia"/>
          <w:b/>
          <w:bCs/>
        </w:rPr>
        <w:t>三是闯出了一种山区加快发展的“南雄模式”。</w:t>
      </w:r>
      <w:r>
        <w:rPr>
          <w:rFonts w:hint="eastAsia"/>
        </w:rPr>
        <w:t>五年来，我们以省委、省政府实施“双转移”战略为契机，以精细化工基地建设为抓手，走产业集聚发展的路子，建立了精细化工、陶瓷建材、浆纸制造、热电能源四大特色工业体系。目前，精细化工产业转移园实现入园企业99家，总投资49.44亿元，其中试投产企业35家，被评为省级产业转移园、省市共建循环经济基地、省中小企业创业基地。今年上半年，园区实现工业总产值11.82亿元，同比增长162.9%，其中仟邦实业将在新加坡上市。珠玑纸业技改扩产项目、乐华陶瓷基地相继建成投产，绿洲技改扩产项目、奥威斯（龙华山）国际五星级温泉休闲度假中心、彤置富水泥厂、华电热电冷联供等项目稳步推进。“大珠玑”旅游圈建设扎实推进，珠玑古巷和梅关古道正在创建国家4A级景区，瑶坑省委机关旧址已对外开放，初步形成了珠玑文化、红色文化、恐龙文化、生态观光、温泉养生等五大品牌的旅游发展格局。同时，现代烟草农业、禽畜养殖、优质稻种植等六大农业产业基地建设成效显著，并被确定为全国、全省“双料”产粮大县，打造了“金友米”、“坪田白果”、“南雄板鸭”等一批特色优质农土特品牌。</w:t>
      </w:r>
    </w:p>
    <w:p w14:paraId="12EC6723">
      <w:pPr>
        <w:ind w:firstLine="422"/>
      </w:pPr>
      <w:r>
        <w:rPr>
          <w:rFonts w:hint="eastAsia"/>
          <w:b/>
          <w:bCs/>
        </w:rPr>
        <w:t>四是实施了一批普惠群众的重大民生工程。</w:t>
      </w:r>
      <w:r>
        <w:rPr>
          <w:rFonts w:hint="eastAsia"/>
        </w:rPr>
        <w:t>五年来，我们坚持发展为了人民、发展依靠人民、发展成果由人民共享，大力推进安居工程、饮水安全工程、农村电网改造、文化教育卫生等惠民工程。先后完成了8.92万亩中低产田改造、715公里农村公路硬底化建设、珠玑220KV输变电站工程、韶赣高速公路以及西气东输二线管道工程（南雄段）等一批重大民生项目，韶赣铁路预计2012年可建成通车。大力推进“教育强市”创建，城乡免费义务教育全面实施，南雄中学、市一中被评为国家级示范性高中。扎实推进集体林权制度改革，成功创建省级林业生态县。大力推进城镇居民养老保险、基本医疗保险、新型农村社会养老保险等各项工作，社会保障体系进一步完善。建立了城乡最低生活保障制度，1.52万困难群众实现了应保尽保，新型农村合作医疗基本实现全面覆盖；建立了慈善总会，慈善救济等各项事业稳步发展。大力推进社会管理创新，建立了市镇村三级综治信访维稳平台和民间纠纷调处中心，开通了“南雄连心楼”等网络问政平台，完善了社会稳定风险评估机制，保持了社会和谐稳定。大力推进人口和计划生育工作，被评为“广东省人口和计划生育优质服务县”，并实现了升省一类地区管理的目标。大力推进扶贫“双到”和劳动力培训转移就业工作，群众生产生活条件不断改善，生活水平不断提高。2010年，城镇居民可支配收入11886元，比“十五”末增长45%；农民人均纯收入5945元，比“十五”末增长47.4%。</w:t>
      </w:r>
    </w:p>
    <w:p w14:paraId="308E15DA">
      <w:pPr>
        <w:ind w:firstLine="422"/>
      </w:pPr>
      <w:r>
        <w:rPr>
          <w:rFonts w:hint="eastAsia"/>
          <w:b/>
          <w:bCs/>
        </w:rPr>
        <w:t>五是打造了一个优质高效的“南雄服务”品牌。</w:t>
      </w:r>
      <w:r>
        <w:rPr>
          <w:rFonts w:hint="eastAsia"/>
        </w:rPr>
        <w:t>五年来，我们以“南雄富不富，关键看服务”大学习大讨论活动为平台，开展了“十大服务之星”、“十大优质服务单位”评选活动，深化“学文明礼仪、建和谐家园”等一系列活动，各行各业服务水平不断提高，城乡居民的文明素质不断提升。我市先后被评为“中国最具投资竞争力品牌城市”、“省文明城市”。同时，成立了招商办、外来投资服务中心、精细化工基地管理处和外来投资企业招用工服务站等机构，制定了外商“一牌一证一卡”制度、市领导挂钩联系企业制度、专责小组负责制等一系列规章制度，全面优化投资环境，提升服务效率，打造了一个优质高效的服务环境。</w:t>
      </w:r>
    </w:p>
    <w:p w14:paraId="3FB04223">
      <w:pPr>
        <w:ind w:firstLine="422"/>
      </w:pPr>
      <w:r>
        <w:rPr>
          <w:rFonts w:hint="eastAsia"/>
          <w:b/>
          <w:bCs/>
        </w:rPr>
        <w:t>六是锻造了一支干事创业的党员干部队伍。</w:t>
      </w:r>
      <w:r>
        <w:rPr>
          <w:rFonts w:hint="eastAsia"/>
        </w:rPr>
        <w:t>五年来，我们深入贯彻党的十七大、十七届四中全会精神，全面加强党的建设，锻造了一支干事创业的党员干部队伍。人大及其常委会依法履职，监督实效不断增强；政协政治协商、民主监督、参政议政作用不断发挥；统战、宗教、对台、港澳、侨务等工作取得新成绩，工青妇等人民团体的桥梁纽带作用得到充分发挥。“保持共产党员先进性教育”、“解放思想大学习大讨论”、“深入学习实践科学发展观”、“创先争优”、“履行职责、加快发展”等活动取得扎实成效，学习实践活动群众满意度为99.2%，实现了“党员干部受教育、科学发展上水平、人民群众得实惠”。大力推进领导班子和干部队伍建设，出台了《南雄市选拔任用老实人办法（试行）》，选拔了一批素质高、能力强、干得好的领导干部。同时，采取“走出去”、“请进来”相结合的方式，大规模推进领导干部培训教育工作，领导干部业务能力和综合素质得到明显提升。大力推进惩治和预防腐败体系建设，市委权力公开透明运行“阳光工程”、纪检监察派驻机构改革试点工作成效显著，率先在全国推行领导干部任前廉政法规考试，营造了风清气正、干事创业的发展环境。2011年6月，市纪委监察局被中纪委评为“全国纪检监察系统先进集体”。</w:t>
      </w:r>
    </w:p>
    <w:p w14:paraId="305D4733">
      <w:pPr>
        <w:ind w:firstLine="420"/>
      </w:pPr>
      <w:r>
        <w:rPr>
          <w:rFonts w:hint="eastAsia"/>
        </w:rPr>
        <w:t>同志们，五年来的发展历程极不平凡，五年来的攻坚克难历历在目，五年来的发展成绩令人振奋。五年来，我们以敢为人先的勇气，以开拓创新的思维，以坚韧不拔的毅力，闯出了“南雄思路”、干出了“南雄速度”、体现了“南雄干劲”、打造了“南雄服务”。我们的体会是：</w:t>
      </w:r>
    </w:p>
    <w:p w14:paraId="2A5C9120">
      <w:pPr>
        <w:ind w:firstLine="422"/>
      </w:pPr>
      <w:r>
        <w:rPr>
          <w:rFonts w:hint="eastAsia"/>
          <w:b/>
          <w:bCs/>
        </w:rPr>
        <w:t>——必须坚持解放思想。</w:t>
      </w:r>
      <w:r>
        <w:rPr>
          <w:rFonts w:hint="eastAsia"/>
        </w:rPr>
        <w:t>没有思想的大解放也就没有经济的大发展。五年来，我们把地处珠三角地区的边缘劣势转化为连接珠三角和长三角的区位优势，从招商引资举步维艰到精细化工产业集聚，关键在于坚持解放思想，以新的理念、新的思路、新的措施推动全市各项工作，从而实现了经济社会又好又快发展。</w:t>
      </w:r>
    </w:p>
    <w:p w14:paraId="50C2CE80">
      <w:pPr>
        <w:ind w:firstLine="422"/>
      </w:pPr>
      <w:r>
        <w:rPr>
          <w:rFonts w:hint="eastAsia"/>
          <w:b/>
          <w:bCs/>
        </w:rPr>
        <w:t>——必须坚持抢抓机遇。</w:t>
      </w:r>
      <w:r>
        <w:rPr>
          <w:rFonts w:hint="eastAsia"/>
        </w:rPr>
        <w:t>古语有云：顺势则昌，逆势则亡。一个国家、一个地区能否又好又快发展，关键在于能否顺势，能否抓住机遇。五年来，我市在千帆竞发、百舸争流的竞争中能够脱颖而出，成功创建粤北首个精细化工基地，在于市委牢牢把握了机遇，以精细化工产业作为突破口，实施工业“绿灯工程”，大力承接产业转移，迅速推动了精细化工产业集聚发展。</w:t>
      </w:r>
    </w:p>
    <w:p w14:paraId="47C8A9CD">
      <w:pPr>
        <w:ind w:firstLine="422"/>
      </w:pPr>
      <w:r>
        <w:rPr>
          <w:rFonts w:hint="eastAsia"/>
          <w:b/>
          <w:bCs/>
        </w:rPr>
        <w:t>——必须坚持开拓创新。</w:t>
      </w:r>
      <w:r>
        <w:rPr>
          <w:rFonts w:hint="eastAsia"/>
        </w:rPr>
        <w:t>中共中央政治局委员、省委书记汪洋指出：思路决定出路，干劲决定后劲。精细化工产业园在短短的三年多时间，实现入园企业99家，35家企业试投产，既是全市各级领导干部埋头苦干的结果，更是各级领导干部开拓创新的结果。</w:t>
      </w:r>
    </w:p>
    <w:p w14:paraId="117FFFC7">
      <w:pPr>
        <w:ind w:firstLine="422"/>
      </w:pPr>
      <w:r>
        <w:rPr>
          <w:rFonts w:hint="eastAsia"/>
          <w:b/>
          <w:bCs/>
        </w:rPr>
        <w:t>——必须坚持民生优先。</w:t>
      </w:r>
      <w:r>
        <w:rPr>
          <w:rFonts w:hint="eastAsia"/>
        </w:rPr>
        <w:t>改善民生是经济发展的根本目的。只有着力保障和改善民生，经济发展才有持久的动力，社会进步才有牢固的基础，一个地方才能长治久安。五年来，我们以经济建设为中心，大力推进文化教育、医疗卫生等各项民生事业发展，完善社会保障体系，不断发展和改善民生，赢得了全市人民的拥护和支持，从而调动起全市广大人民群众投身经济社会建设的积极性，为我市加快发展、跨越发展提供了源源不竭的动力。</w:t>
      </w:r>
    </w:p>
    <w:p w14:paraId="4AD8391F">
      <w:pPr>
        <w:ind w:firstLine="422"/>
      </w:pPr>
      <w:r>
        <w:rPr>
          <w:rFonts w:hint="eastAsia"/>
          <w:b/>
          <w:bCs/>
        </w:rPr>
        <w:t>——必须坚持维护稳定。</w:t>
      </w:r>
      <w:r>
        <w:rPr>
          <w:rFonts w:hint="eastAsia"/>
        </w:rPr>
        <w:t>稳定是发展的前提。没有稳定，一切都无从谈起。五年来，我们通过建立综治信访维稳中心、民间纠纷调处中心、网络问政平台等措施，创新社会管理方式方法，有效地化解了一批信访难题，摘掉了信访重点管理地区的“帽子”，为经济社会的快速发展提供了和谐稳定的社会环境。</w:t>
      </w:r>
    </w:p>
    <w:p w14:paraId="7938180E">
      <w:pPr>
        <w:ind w:firstLine="422"/>
      </w:pPr>
      <w:r>
        <w:rPr>
          <w:rFonts w:hint="eastAsia"/>
          <w:b/>
          <w:bCs/>
        </w:rPr>
        <w:t>——必须坚持党的领导。</w:t>
      </w:r>
      <w:r>
        <w:rPr>
          <w:rFonts w:hint="eastAsia"/>
        </w:rPr>
        <w:t>五年来，我们解放思想，锐意进取，切实发挥党的领导核心作用，克服了自然灾害的不利影响，成功应对了国际金融危机的严重冲击，全市发生了翻天覆地的变化，人民生活水平日益提高，经济社会各项事业全面发展。实践证明：办好南雄的事情，关键在党。</w:t>
      </w:r>
    </w:p>
    <w:p w14:paraId="6B04E9EF">
      <w:pPr>
        <w:ind w:firstLine="420"/>
      </w:pPr>
      <w:r>
        <w:rPr>
          <w:rFonts w:hint="eastAsia"/>
        </w:rPr>
        <w:t>在充分肯定成绩的同时，我们也必须正视工作中存在的突出问题和困难：一是县域经济总量还比较小。二是园区效益还不明显。三是重点项目推进缓慢。四是信访维稳压力大，征地拆迁、涉军群体、山林纠纷等一系列问题层出不穷，信访维稳形势严峻。五是一些党员干部工作责任心不强，主动性、积极性不高，敢闯敢试的创新精神有所弱化，攻坚克难的干事劲头有所松懈。这些困难和问题必须采取有效措施加以解决。</w:t>
      </w:r>
    </w:p>
    <w:p w14:paraId="49239F81">
      <w:pPr>
        <w:ind w:firstLine="422"/>
        <w:jc w:val="center"/>
        <w:rPr>
          <w:b/>
        </w:rPr>
      </w:pPr>
      <w:r>
        <w:rPr>
          <w:rFonts w:hint="eastAsia"/>
          <w:b/>
        </w:rPr>
        <w:t>今后五年的工作</w:t>
      </w:r>
    </w:p>
    <w:p w14:paraId="2E159870">
      <w:pPr>
        <w:ind w:firstLine="420"/>
      </w:pPr>
      <w:r>
        <w:rPr>
          <w:rFonts w:hint="eastAsia"/>
        </w:rPr>
        <w:t>今后五年，是我市实现跨越发展的关键五年。当前，我国正处于发展的重要战略机遇期，既面临难得的历史机遇，也面对诸多可以预见和难以预见的风险挑战。从国际上看，国际金融危机影响持续，欧美债务危机相继爆发，国际和地区热点问题此起彼伏，全球经济不确定性走高，世界经济增速进一步放缓，但总体来说，和平、发展、合作仍是时代潮流，全球经济持续复苏。从国内来看，随着应对国际金融危机的一系列刺激政策的逐步退出，投资和消费出现了增长放缓的态势；与此同时，通货膨胀率逐月走高，物价持续上涨，给生产和生活带来了极大的成本压力，经济运行形势严峻，但在国家强有力的宏观调控下，我国经济的总体运行态势良好，经济增长继续由前期政策刺激的偏快增长向自主增长有序转变，经济动力仍然强劲。从我市近几年的发展形势来看，无论是GDP、固定资产投资，还是地方财政一般预算收入都保持快速稳定增长的势头．发展潜力巨大，中央苏区具、国家可持续发展实验区、省级产业转移园等金字招牌将为我市跨越发展提供强大的政策支撑，彤置富水泥厂、奥威斯（龙华山）国际五星级温泉休闲度假中心、乐华陶瓷城等一系列重大项目的建设也为我市跨越发展提供了强大的内生动力。</w:t>
      </w:r>
    </w:p>
    <w:p w14:paraId="783289AE">
      <w:pPr>
        <w:ind w:firstLine="420"/>
      </w:pPr>
      <w:r>
        <w:rPr>
          <w:rFonts w:hint="eastAsia"/>
        </w:rPr>
        <w:t>综上所述，发展的机遇大于挑战。当前，既是全国发展的重要战略机遇期，也是我市跨越发展的重要战略机遇期。全国、全省、全韶关都紧紧抓住这发展的重要战略机遇期，吹响了新一轮改革发展的号角。要实现我市的跨越发展，必须解放思想、乘势而上、攻坚克难，以“杀出一条血路”的勇气，在新的起点上“走出一条山区跨越发展的新路”。</w:t>
      </w:r>
    </w:p>
    <w:p w14:paraId="3D37F602">
      <w:pPr>
        <w:ind w:firstLine="422"/>
      </w:pPr>
      <w:r>
        <w:rPr>
          <w:rFonts w:hint="eastAsia"/>
          <w:b/>
          <w:bCs/>
        </w:rPr>
        <w:t>今后五年工作的总体任务和目标是：</w:t>
      </w:r>
      <w:r>
        <w:rPr>
          <w:rFonts w:hint="eastAsia"/>
        </w:rPr>
        <w:t>坚持以邓小平理论和“三个代表”重要思想为指导，深入贯彻落实科学发展观，牢牢抓住经济建设这个中心不动摇，打好“中央苏区县、国家可持续发展实验区和省级产业转移工业园”三块金字招牌，以“创新社会管理、加速经济发展”为主线，大力推进以“科技创新、金融服务两大平台，粤赣边贸、粤赣化工、粤赣铁路口岸三大物流体系，精细化工、陶瓷建材、浆纸制造、热电能源四大特色工业主导产业，珠玑文化、红色文化、恐龙文化、温泉养生、生态观光五大旅游品牌，禽畜养殖、优质米生产、油茶生产、现代烟草农业、中药材种植和农土特生产加工销售六大农业产业基地”为主的“五大”战略的实施，全面推进经济建设、政治建设、文化建设、社会建设、生态文明建设和党的建设，努力打造富裕文明和谐安康的粤北门户城市，建设幸福南雄。力争到2016年，全市生产总值达到130亿元，年均增长16%左右；人均生产总值达到40000元左右，年均增长16%左右；地方财政一般预算收入达到7.5亿元左右，年均增长18%左右。</w:t>
      </w:r>
    </w:p>
    <w:p w14:paraId="606408C3">
      <w:pPr>
        <w:ind w:firstLine="420"/>
      </w:pPr>
      <w:r>
        <w:rPr>
          <w:rFonts w:hint="eastAsia"/>
        </w:rPr>
        <w:t>做好今后五年的工作，必须坚持“追求‘好’、力争‘快’、坚持‘大’、突出‘新’、立足‘干’”的总体原则。</w:t>
      </w:r>
    </w:p>
    <w:p w14:paraId="518C8104">
      <w:pPr>
        <w:ind w:firstLine="420"/>
      </w:pPr>
      <w:r>
        <w:rPr>
          <w:rFonts w:hint="eastAsia"/>
        </w:rPr>
        <w:t>——追求“好”，就是要坚持生态发展、科学发展，各项工作的思路、目标、任务都自觉服从于“好”，服从于全面、协调、可持续发展，积极推动南雄走上经济发展、生活富裕、生态良好、社会和谐的科学发展道路。</w:t>
      </w:r>
    </w:p>
    <w:p w14:paraId="77AC7A0B">
      <w:pPr>
        <w:ind w:firstLine="420"/>
      </w:pPr>
      <w:r>
        <w:rPr>
          <w:rFonts w:hint="eastAsia"/>
        </w:rPr>
        <w:t>——力争“快”，就是要保持只争朝夕、大干快上的工作理念和作风，抢抓机遇、乘势而上、率先发展，始终保持加快发展的责任感、紧迫感。</w:t>
      </w:r>
    </w:p>
    <w:p w14:paraId="72191601">
      <w:pPr>
        <w:ind w:firstLine="420"/>
      </w:pPr>
      <w:r>
        <w:rPr>
          <w:rFonts w:hint="eastAsia"/>
        </w:rPr>
        <w:t>——坚持“大”，就是要坚持以大项目拉动大投入，以大投入推动大发展，加大“跑部进厅”和“招商引资”力度，着力引进大项目、大品牌、大企业，实现经济社会各项事业大发展。</w:t>
      </w:r>
    </w:p>
    <w:p w14:paraId="54CD8670">
      <w:pPr>
        <w:ind w:firstLine="420"/>
      </w:pPr>
      <w:r>
        <w:rPr>
          <w:rFonts w:hint="eastAsia"/>
        </w:rPr>
        <w:t>——突出“新”，就是要把创新作为我市跨越发展的核心动力，解放思想、求新求变，以超常规的思维开拓创新，以超常规的措施破解难题，以超常规的速度跨越发展。</w:t>
      </w:r>
    </w:p>
    <w:p w14:paraId="3C7B0457">
      <w:pPr>
        <w:ind w:firstLine="420"/>
      </w:pPr>
      <w:r>
        <w:rPr>
          <w:rFonts w:hint="eastAsia"/>
        </w:rPr>
        <w:t>——立足“干”，就是要始终坚持脚踏实地、真抓实干，在全市上下尤其是党员干部队伍中大力弘扬“想干、敢干、快干”的精神，主动履职、创先争优，在全市营造一个奋发有为、干事创业的发展氛围。</w:t>
      </w:r>
    </w:p>
    <w:p w14:paraId="31BEF6A8">
      <w:pPr>
        <w:ind w:firstLine="420"/>
      </w:pPr>
      <w:r>
        <w:rPr>
          <w:rFonts w:hint="eastAsia"/>
        </w:rPr>
        <w:t>为实现新的目标，我们必须进一步坚定信心，以敢为人先的勇气，以百折不挠的干劲，以求真务实的作风，努力做到“五个大力，实现五个跨越”：</w:t>
      </w:r>
    </w:p>
    <w:p w14:paraId="07A43B20">
      <w:pPr>
        <w:numPr>
          <w:ilvl w:val="0"/>
          <w:numId w:val="1"/>
        </w:numPr>
        <w:ind w:firstLine="422"/>
        <w:rPr>
          <w:b/>
          <w:bCs/>
        </w:rPr>
      </w:pPr>
      <w:r>
        <w:rPr>
          <w:rFonts w:hint="eastAsia"/>
          <w:b/>
          <w:bCs/>
        </w:rPr>
        <w:t>大力推进产业转型升级，力争在县域经济发展上实现新跨越。</w:t>
      </w:r>
    </w:p>
    <w:p w14:paraId="2B30A431">
      <w:pPr>
        <w:ind w:firstLine="420"/>
      </w:pPr>
      <w:r>
        <w:rPr>
          <w:rFonts w:hint="eastAsia"/>
        </w:rPr>
        <w:t>转型升级是实现我市科学发展、跨越发展的必由之路。要做大做强县域经济，必须坚定不移地推进产业转型升级，建立现代特色产业体系。</w:t>
      </w:r>
    </w:p>
    <w:p w14:paraId="2036B782">
      <w:pPr>
        <w:ind w:firstLine="422"/>
      </w:pPr>
      <w:r>
        <w:rPr>
          <w:rFonts w:hint="eastAsia"/>
          <w:b/>
          <w:bCs/>
        </w:rPr>
        <w:t>一是要加快产业集聚，做大做强四大特色工业。</w:t>
      </w:r>
      <w:r>
        <w:rPr>
          <w:rFonts w:hint="eastAsia"/>
        </w:rPr>
        <w:t>继续实施工业“绿灯工程”，全力推进精细化工、陶瓷建材、浆纸制造、热电能源四大特色工业集聚发展。用好省级产业转移园政策，抓紧推进南雄国际会展中心、中科院广化研究所南雄中试基地、赣韶铁路南雄口岸装卸点等项目建设，不断完善园区一期仓储、物流、交易、科研平台等配套设施。全面推进入园企业动工建设，力争尽早投产；加快推进园区二期建设，着力引进国际、国内行业领军龙头企业。力争五年内产业转移园实现入园企业200家以上，试投产企业120家以上，实现产值120亿元以上，打造华南地区精细化工产业集聚发展示范园。加快推进乐华陶瓷、彤置富水泥等项目建设，力争五年内实现陶瓷建材产值20亿元以上。加快推进珠玑纸业、绿洲公司等企业技改扩产，力争五年内实现浆纸制造产值20亿元以上。加快推进华电热电冷联供等能源项目建设，力争五年内实现产值20亿元。</w:t>
      </w:r>
    </w:p>
    <w:p w14:paraId="55DB2D53">
      <w:pPr>
        <w:ind w:firstLine="422"/>
      </w:pPr>
      <w:r>
        <w:rPr>
          <w:rFonts w:hint="eastAsia"/>
          <w:b/>
          <w:bCs/>
        </w:rPr>
        <w:t>二是要加快农业产业化，做大做强特色农业品牌。</w:t>
      </w:r>
      <w:r>
        <w:rPr>
          <w:rFonts w:hint="eastAsia"/>
        </w:rPr>
        <w:t>要大力调整优化农业产业结构，推进年出栏80万头生猪以及100万只五黑鸡为主的禽畜养殖基地、25万亩优质稻生产基地、20万亩油茶生产基地、12万亩现代烟草农业基地、万亩中药材基地以及农土特生产加工销售基地等六大农业产业基地建设。以烟草公司、金友集团等企业为龙头，培育具有地方特色、区域比较优势和竞争力强的农业主导产业，做大做强“金友米”、“金雄鹰”、“高山李”、“坪田白果”等一批特色农业品牌，实现农业增产，农民增收。</w:t>
      </w:r>
    </w:p>
    <w:p w14:paraId="33858522">
      <w:pPr>
        <w:ind w:firstLine="422"/>
      </w:pPr>
      <w:r>
        <w:rPr>
          <w:rFonts w:hint="eastAsia"/>
          <w:b/>
          <w:bCs/>
        </w:rPr>
        <w:t>三是要加快推进重大项目建设，增强经济社会发展后劲。</w:t>
      </w:r>
      <w:r>
        <w:rPr>
          <w:rFonts w:hint="eastAsia"/>
        </w:rPr>
        <w:t>一方面，要紧紧抓住国家、省继续实施扩大内需战略的机遇，打好“中央苏区县、省级产业转移园”金字招牌，力争在基础设施、优势产业、民生工程等领域引进一批重点项目、重点工程，不断增强经济增长的内生动力。另一方面，要大力推进奥威斯（龙华山）国际五星级温泉休闲度假中心、彤置富水泥、华电热电冷联供等重大项目建设，调整优化县域产业结构，促进县域经济全面发展。</w:t>
      </w:r>
    </w:p>
    <w:p w14:paraId="411F3817">
      <w:pPr>
        <w:ind w:firstLine="422"/>
      </w:pPr>
      <w:r>
        <w:rPr>
          <w:rFonts w:hint="eastAsia"/>
          <w:b/>
          <w:bCs/>
        </w:rPr>
        <w:t>四是要加快自主创新，提升产业核心竞争力。</w:t>
      </w:r>
      <w:r>
        <w:rPr>
          <w:rFonts w:hint="eastAsia"/>
        </w:rPr>
        <w:t>创新是提升企业核心竞争力的关键，是实现产业转型升级的源动力。要按照国家可持续发展实验区的要求，以建设科技创新平台为抓手，加快园区产学研合作，完善企业自主创新体系，推进理论创新、技术创新、品牌创新，不断提高企业自主创新能力。</w:t>
      </w:r>
    </w:p>
    <w:p w14:paraId="47631997">
      <w:pPr>
        <w:numPr>
          <w:ilvl w:val="0"/>
          <w:numId w:val="1"/>
        </w:numPr>
        <w:ind w:firstLine="422"/>
      </w:pPr>
      <w:r>
        <w:rPr>
          <w:rFonts w:hint="eastAsia"/>
          <w:b/>
          <w:bCs/>
        </w:rPr>
        <w:t>大力推进城市现代化建设，力争在粤北门户城市建设上实现新跨越。</w:t>
      </w:r>
      <w:r>
        <w:rPr>
          <w:rFonts w:hint="eastAsia"/>
        </w:rPr>
        <w:t>以建设富裕文明和谐安康粤北门户城市为抓手，坚持高水平规划、高标准建设、高效能管理，突出完善功能，致力打造精品，以高水平城市发展引领产业发展，引领南雄发展。</w:t>
      </w:r>
    </w:p>
    <w:p w14:paraId="6FFB2AE7">
      <w:pPr>
        <w:ind w:firstLine="422"/>
      </w:pPr>
      <w:r>
        <w:rPr>
          <w:rFonts w:hint="eastAsia"/>
          <w:b/>
          <w:bCs/>
        </w:rPr>
        <w:t>一是要实施城市经营战略，不断完善城市功能。</w:t>
      </w:r>
      <w:r>
        <w:rPr>
          <w:rFonts w:hint="eastAsia"/>
        </w:rPr>
        <w:t>大力实施城区“北移东扩、西建南绿”发展战略，以“两江四岸”为主线，突出“蓝天、碧水、青山、绿地”的山水园林城市特点，加快城市公共基础设施、重点产业基地、综合性交通网络体系、中央商务区的规划建设，加快推进水西小岛、金刚小区、雄州公园等项目的开发建设，不断完善城市功能，增强城市集聚和带动能力，致力辐射始兴、信丰、大余等周边地区，力争五年内成为拥有15万居民的粤北门户城市。</w:t>
      </w:r>
    </w:p>
    <w:p w14:paraId="082857B8">
      <w:pPr>
        <w:ind w:firstLine="422"/>
        <w:rPr>
          <w:b/>
          <w:bCs/>
        </w:rPr>
      </w:pPr>
    </w:p>
    <w:p w14:paraId="04F21828">
      <w:pPr>
        <w:ind w:firstLine="422"/>
      </w:pPr>
      <w:r>
        <w:rPr>
          <w:rFonts w:hint="eastAsia"/>
          <w:b/>
          <w:bCs/>
        </w:rPr>
        <w:t>二是要实施城镇化战略，推动城镇集群发展。</w:t>
      </w:r>
      <w:r>
        <w:rPr>
          <w:rFonts w:hint="eastAsia"/>
        </w:rPr>
        <w:t>按照城乡一体化的发展要求，科学规划城镇布局，统筹推进城镇建设，积极推动重点开发区、优化开发区、生态发展区互补互动协调发展。加快珠玑、乌迳、黄坑等中心镇建设。完善城镇基础设施，逐步形成以城带镇、以镇带村，梯度推进、协调发展的城镇化格局。同时，坚持建管并重，创新城镇管理体制机制，提升城镇管理水平。完善城镇污水管网建设，提升污水处理规模和能力。完善城镇文化、教育、医疗等服务功能，提高人民群众生活质量。</w:t>
      </w:r>
    </w:p>
    <w:p w14:paraId="4B7DE01A">
      <w:pPr>
        <w:ind w:firstLine="422"/>
      </w:pPr>
      <w:r>
        <w:rPr>
          <w:rFonts w:hint="eastAsia"/>
          <w:b/>
          <w:bCs/>
        </w:rPr>
        <w:t>三是要实施“文化强市”战略，促进文化大发展大繁荣。</w:t>
      </w:r>
      <w:r>
        <w:rPr>
          <w:rFonts w:hint="eastAsia"/>
        </w:rPr>
        <w:t>大力实施“文化强市”战略，以恐龙展馆、新城影剧院、珠玑文化产业园等建设为契机，加大文化精品创作扶持力度，加快推进民间文化、文艺表演、文化创意等文化产业发展。深化文化体制机制改革，创新文化投入机制，形成政府投入与社会投入相结合的多元化投入格局，促进文化产业大发展大繁荣。进一步完善公共文化基础设施，加快推进农家书屋、社区书屋、职工书屋建设，深入开展“图书漂流”活动、“书香岭南”读书活动以及送戏下乡、送电影下乡等群众性文化活动，不断丰富人民群众文化生活。</w:t>
      </w:r>
    </w:p>
    <w:p w14:paraId="074A1870">
      <w:pPr>
        <w:ind w:firstLine="422"/>
        <w:rPr>
          <w:b/>
          <w:bCs/>
        </w:rPr>
      </w:pPr>
      <w:r>
        <w:rPr>
          <w:rFonts w:hint="eastAsia"/>
          <w:b/>
          <w:bCs/>
        </w:rPr>
        <w:t>（三）大力推进生态产业发展，力争在生态文明建设上实现新跨越。</w:t>
      </w:r>
    </w:p>
    <w:p w14:paraId="5994D1D6">
      <w:pPr>
        <w:ind w:firstLine="420"/>
      </w:pPr>
      <w:r>
        <w:rPr>
          <w:rFonts w:hint="eastAsia"/>
        </w:rPr>
        <w:t>按照生态发展区的功能定位，大力推进生态工业、生态农业、生态服务业等生态产业发展，努力把生态优势转化为经济优势，实现生态效益与经济效益、社会效益的有机统一。</w:t>
      </w:r>
    </w:p>
    <w:p w14:paraId="48037FA0">
      <w:pPr>
        <w:ind w:firstLine="422"/>
      </w:pPr>
      <w:r>
        <w:rPr>
          <w:rFonts w:hint="eastAsia"/>
          <w:b/>
          <w:bCs/>
        </w:rPr>
        <w:t>一是要大力发展生态工业。</w:t>
      </w:r>
      <w:r>
        <w:rPr>
          <w:rFonts w:hint="eastAsia"/>
        </w:rPr>
        <w:t>以发展循环经济为主线，加快产业转型升级和结构调整，建立“低投入、高产出，低消耗、高效益，少排放、无污染”的循环经济体系。以精细化工产业转移园为平台，完善园区环保基础设施和监管机制，努力把产业转移园打造成全国低碳循环经济示范园。同时，切实推动珠玑纸业、绿洲公司等企业节能减排技术改造，建立环保、安全、高效的生态工业发展体系。</w:t>
      </w:r>
    </w:p>
    <w:p w14:paraId="629738D7">
      <w:pPr>
        <w:ind w:firstLine="422"/>
      </w:pPr>
      <w:r>
        <w:rPr>
          <w:rFonts w:hint="eastAsia"/>
          <w:b/>
          <w:bCs/>
        </w:rPr>
        <w:t>二是要大力发展生态农业。</w:t>
      </w:r>
      <w:r>
        <w:rPr>
          <w:rFonts w:hint="eastAsia"/>
        </w:rPr>
        <w:t>以禽畜养殖、优质米生产、油茶生产等六大农业产业基地为载体，大力推动农业经营模式创新、农业科技创新、销售模式创新、产品品牌创新，搭建组合合理、结构有序、开放循环、内外交流、关系协调、协同发展、具有动态平衡的新型农业生态体系，建立一批集农业生产与观光休闲为一体的多功能生态农业园，生产优质、高产、高效、生态、安全的农产品，把生态农业的资源优势转化为现实的经济优势。</w:t>
      </w:r>
    </w:p>
    <w:p w14:paraId="6715D647">
      <w:pPr>
        <w:ind w:firstLine="422"/>
      </w:pPr>
      <w:r>
        <w:rPr>
          <w:rFonts w:hint="eastAsia"/>
          <w:b/>
          <w:bCs/>
        </w:rPr>
        <w:t>三是要大力发展生态旅游。</w:t>
      </w:r>
      <w:r>
        <w:rPr>
          <w:rFonts w:hint="eastAsia"/>
        </w:rPr>
        <w:t>实施“旅游兴市”战略，抓紧编制全市旅游发展总体规划，高起点、高标准、高品位推进“珠玑文化、红色文化、恐龙文化、温泉养生、生态观光”五大旅游品牌建设，融入韶关“大丹霞、大南华、大南岭、大珠玑”旅游圈。加快奥威斯（龙华山）国际五星级温泉休闲度假中心建设，加快珠玑古巷和梅关古道创建国家4A级景区步伐，加快帽子峰林场、小流坑－青嶂山自然保护区、孔江国家湿地公园等生态资源的开发，完善旅游交通、住宿、购物、娱乐等基础配套设施，着力打造粤北生态旅游休闲城市。</w:t>
      </w:r>
    </w:p>
    <w:p w14:paraId="117C3FF6">
      <w:pPr>
        <w:ind w:firstLine="422"/>
      </w:pPr>
      <w:r>
        <w:rPr>
          <w:rFonts w:hint="eastAsia"/>
          <w:b/>
          <w:bCs/>
        </w:rPr>
        <w:t>四是要大力发展生态文明村镇。</w:t>
      </w:r>
      <w:r>
        <w:rPr>
          <w:rFonts w:hint="eastAsia"/>
        </w:rPr>
        <w:t>深入推进林业体制改革创新，实行森林分类管理、分类指导、分区建设，促进生态公益林、自然保护区、森林公园和经济人工林等多种林业体系协调发展，构建以“生态建设、生态安全、生态文明”为核心的生态体系。继续实施“乡村清洁美”、“万村绿”工程，加快推动生态示范镇、文明村建设，力争五年内全市50%以上的村镇为生态文明村镇，把我市打造成粤赣边优秀生态市。</w:t>
      </w:r>
    </w:p>
    <w:p w14:paraId="02BB6798">
      <w:pPr>
        <w:ind w:firstLine="422"/>
        <w:rPr>
          <w:b/>
          <w:bCs/>
        </w:rPr>
      </w:pPr>
      <w:r>
        <w:rPr>
          <w:rFonts w:hint="eastAsia"/>
          <w:b/>
          <w:bCs/>
        </w:rPr>
        <w:t>（四）大力推进社会管理创新，力争在社会建设上实现新跨越。</w:t>
      </w:r>
    </w:p>
    <w:p w14:paraId="06168319">
      <w:pPr>
        <w:ind w:firstLine="420"/>
      </w:pPr>
      <w:r>
        <w:rPr>
          <w:rFonts w:hint="eastAsia"/>
        </w:rPr>
        <w:t>要以保障和改善民生为重点，以完善社会服务为基础，积极推进社会管理创新，推动体制机制改革，努力构建党委领导、政府负责、社会协同、公众参与的社会管理格局，全面提升社会建设水平。</w:t>
      </w:r>
    </w:p>
    <w:p w14:paraId="7771832E">
      <w:pPr>
        <w:ind w:firstLine="422"/>
      </w:pPr>
      <w:r>
        <w:rPr>
          <w:rFonts w:hint="eastAsia"/>
          <w:b/>
          <w:bCs/>
        </w:rPr>
        <w:t>一是要深化行政体制机制改革。</w:t>
      </w:r>
      <w:r>
        <w:rPr>
          <w:rFonts w:hint="eastAsia"/>
        </w:rPr>
        <w:t>深入推进行政体制机制改革，努力建设服务型政府。加快富县强镇改革，完善镇（街）治理机制，提高基层政府的社会管理和公共服务水平。加快推进行政服务中心改革，大力推进信息化建设，建立“一站式”并联行政审批、全程审批监管的行政服务平台。加快推进医药卫生体制改革，完善基本医疗保障制度。建立和完善基本药物制度，逐步建立覆盖城乡的基本医疗卫生制度。加快推进党务公开、政务公开，完善重大决策规则和程序。加强政治协商，扩大公民有序的政治参与，加强民主法制建设。加强司法救助和法律援助，保障司法公平公正。</w:t>
      </w:r>
    </w:p>
    <w:p w14:paraId="26C02BE5">
      <w:pPr>
        <w:ind w:firstLine="422"/>
      </w:pPr>
      <w:r>
        <w:rPr>
          <w:rFonts w:hint="eastAsia"/>
          <w:b/>
          <w:bCs/>
        </w:rPr>
        <w:t>二是要创新社会管理方式。</w:t>
      </w:r>
      <w:r>
        <w:rPr>
          <w:rFonts w:hint="eastAsia"/>
        </w:rPr>
        <w:t>探索推进社会建设领域改革创新，成立社会工作委员会，完善社会建设政策体系，建立有利于促进社会和谐稳定的体制机制。创新人口服务和管理，扎实推进农民工积分制入户城镇工作，建立健全统筹管理、服务均等、信息共享、区域协作、双向考核的流动人口计生服务管理体制。大力推进网络问政工作，严格实行“首问负责制”，完善“阳光使者”监督机制。完善市镇村综治信访维稳三级平台，发展民间纠纷调处中心等民间组织，切实解决群众反映的热点难点问题。强化食品安全工作，严厉查处食品药品安全事件。完善社会治安防控体系，健全基层治安协作联防机制，加快推进“红袖章”行动，形成群防群治的维稳局面。加快推进城镇“精细化”管理，将管理责任进一步分解落实到基层单位和管理人员。建立健全突发事件预防预警和应急处置机制，提高保障公共安全和处置突发性事件的能力。落实党政领导干部安全生产“一岗双责”，强化安全生产工作，防止重特大安全事故发生，保障人民群众生命财产安全。大力开展国防教育，深入开展双拥共建活动，增强全民国防意识和军政军民团结。</w:t>
      </w:r>
    </w:p>
    <w:p w14:paraId="103021AE">
      <w:pPr>
        <w:ind w:firstLine="422"/>
      </w:pPr>
      <w:r>
        <w:rPr>
          <w:rFonts w:hint="eastAsia"/>
          <w:b/>
          <w:bCs/>
        </w:rPr>
        <w:t>三是要大力发展民生社会事业。</w:t>
      </w:r>
      <w:r>
        <w:rPr>
          <w:rFonts w:hint="eastAsia"/>
        </w:rPr>
        <w:t>建立健全以保障和改善民生为重点的财政投入机制，大力推进文化、教育、卫生等各项社会事业发展。加快推进中小学布局调整，优化城乡教育资源配置，促进城乡教育均衡发展。实施更加积极的就业政策，加快构建城乡一体化的人力资源市场。加大劳动力培训就业力度，力争全市登记失业率控制在3%以内。深化收入分配制度改革，探索建立促进居民收入增长的长效机制。大力发展社会福利和慈善事业，维护好妇女、儿童和老年人合法权益，落实扶残助残的各项政策。完善城乡社会保障体系，努力实现劳有所得、病有所医、老有所养、住有所居，使改革发展的成果最大限度惠及全市人民。</w:t>
      </w:r>
    </w:p>
    <w:p w14:paraId="1A9DF352">
      <w:pPr>
        <w:ind w:firstLine="422"/>
      </w:pPr>
      <w:r>
        <w:rPr>
          <w:rFonts w:hint="eastAsia"/>
          <w:b/>
          <w:bCs/>
        </w:rPr>
        <w:t>（五）大力推进创先争优活动，力争在党的建设上实现新跨越。</w:t>
      </w:r>
    </w:p>
    <w:p w14:paraId="7EA1216B">
      <w:pPr>
        <w:ind w:firstLine="420"/>
      </w:pPr>
      <w:r>
        <w:rPr>
          <w:rFonts w:hint="eastAsia"/>
        </w:rPr>
        <w:t>办好南雄的事情，关键在党，关键在干部。必须毫不动摇地坚持党要管党、从严治党，要以“创先争优”活动为抓手，全面推进党的建设新的伟大工程，努力提高党的领导水平和执政水平，努力提高拒腐防变能力，保持和发展党的先进性，把党的政治优势和组织优势转化为推动科学发展、跨越发展的强大力量。</w:t>
      </w:r>
    </w:p>
    <w:p w14:paraId="570F4FE2">
      <w:pPr>
        <w:ind w:firstLine="422"/>
      </w:pPr>
      <w:r>
        <w:rPr>
          <w:rFonts w:hint="eastAsia"/>
          <w:b/>
          <w:bCs/>
        </w:rPr>
        <w:t>一是要大力加强学习型党组织建设，进一步提升党员思想政治水平与综合素质。</w:t>
      </w:r>
      <w:r>
        <w:rPr>
          <w:rFonts w:hint="eastAsia"/>
        </w:rPr>
        <w:t>要按照建设马克思主义学习型政党的要求，大力推进党员干部培训教育，完善干部学习培训考核机制，创新党员干部学习教育形式和内容，大力推进干部自主选学、专题培训等各种形式的培训教育，不断提高各级党员干部业务素质和服务科学发展能力。</w:t>
      </w:r>
    </w:p>
    <w:p w14:paraId="0E5F1A2B">
      <w:pPr>
        <w:ind w:firstLine="422"/>
      </w:pPr>
      <w:r>
        <w:rPr>
          <w:rFonts w:hint="eastAsia"/>
          <w:b/>
          <w:bCs/>
        </w:rPr>
        <w:t>二是要大力加强各级领导班子和干部队伍建设，进一步增强领导和推动科学发展的能力。</w:t>
      </w:r>
      <w:r>
        <w:rPr>
          <w:rFonts w:hint="eastAsia"/>
        </w:rPr>
        <w:t>大力加强各级领导班子建设，提升各级领导班子的执政能力；全面优化班子配备结构，选优配强党政“一把手”，强化和落实“一把手”责任，增强各级班子和队伍的整体合力。改革完善党的领导机制和工作机制，坚持党总揽全局、协调各方，完善党委与人大、政府、政协的工作衔接机制，加强党对工青妇等人民团体工作的领导，支持各人民团体更好地发挥作用。坚持和完善民主集中制，发展党内民主，推进党务公开。深化干部人事制度改革，坚持德才兼备、以德为先的用人标准，落实民主、公开、竞争、择优的方针，建立健全科学的选人用人机制。大胆起用优秀年轻干部，增强各级领导班子活力。实施“人才强市”战略，创新用人机制，优化人才环境，改善人才服务，营造全社会尊重劳动、尊重知识、尊重人才、尊重创造的良好氛围。</w:t>
      </w:r>
    </w:p>
    <w:p w14:paraId="07C0D429">
      <w:pPr>
        <w:ind w:firstLine="422"/>
      </w:pPr>
      <w:r>
        <w:rPr>
          <w:rFonts w:hint="eastAsia"/>
          <w:b/>
          <w:bCs/>
        </w:rPr>
        <w:t>三是要大力加强基层党组织建设，进一步提高党组织的战斗力、凝聚力。</w:t>
      </w:r>
      <w:r>
        <w:rPr>
          <w:rFonts w:hint="eastAsia"/>
        </w:rPr>
        <w:t>大力推进基层党建工作创新，选优配强村（社区）党组织带头人，多渠道挖掘村“两委”班子的合适人选，真正把政治上靠得住、工作上有本事、作风上过得硬、人民群众信得过的优秀党员选拔进村（社区）党组织领导班子，使基层党组织成为推动发展、服务群众、凝聚人心、促进和谐的坚强战斗堡垒。认真做好发展党员工作，加强村级后备干部队伍培养。积极推进企业党组织、特色党小组等基层党组织建设，切实发挥基层党组织在社会建设和管理中的积极作用。以“双向承诺”、“我是党员”等活动为载体，扎实推进基层党组织生活创新，增强党组织的凝聚力和战斗力。落实党建工作责任制，完善基层党建考核制度。完善基层党内激励帮扶机制，让党员切实感受到组织温暖。建立健全村（社区）干部工资报酬、养老保险、离任补贴、生活关爱、表彰奖励等相互衔接配套的各项制度和措施，激发村（社区）干部活力。</w:t>
      </w:r>
    </w:p>
    <w:p w14:paraId="60276B0C">
      <w:pPr>
        <w:ind w:firstLine="422"/>
      </w:pPr>
      <w:r>
        <w:rPr>
          <w:rFonts w:hint="eastAsia"/>
          <w:b/>
          <w:bCs/>
        </w:rPr>
        <w:t>四是要大力加强作风建设，进一步营造干事创业的良好氛围。</w:t>
      </w:r>
      <w:r>
        <w:rPr>
          <w:rFonts w:hint="eastAsia"/>
        </w:rPr>
        <w:t>作风体现党的宗旨，事关党的形象，事关事业的成败。要大力弘扬积极进取、干事创业的作风，引导干部想干事、能干事、干成事。要落实好《南雄市选拔任用老实人办法（试行）》，注重从履行岗位职责、完成急难险重任务、关键时刻表现、对待个人名利等方面考察干部，切实把任劳任怨、干事创业的干部选拔到领导岗位，真正让想干事者有机会、能干事者有舞台，干成事者有地位。深入推进“履行职责、加快发展”活动，健全履职机制、问责机制，规范工作流程、规章制度，引导广大领导干部主动履职、正确履职、高效履职。要加强作风建设，坚决查处以权谋私、吃拿卡要等违法违纪行为，坚决杜绝“门难进、脸难看、话难听、事难办”的现象，在全市范围内营造干事创业的良好氛围。</w:t>
      </w:r>
    </w:p>
    <w:p w14:paraId="5DC51347">
      <w:pPr>
        <w:ind w:firstLine="422"/>
      </w:pPr>
      <w:r>
        <w:rPr>
          <w:rFonts w:hint="eastAsia"/>
          <w:b/>
          <w:bCs/>
        </w:rPr>
        <w:t>五是要大力加强党风廉政建设，进一步构建具有地方特色的惩治和预防腐败体系。</w:t>
      </w:r>
      <w:r>
        <w:rPr>
          <w:rFonts w:hint="eastAsia"/>
        </w:rPr>
        <w:t>要坚持标本兼治、综合治理、惩防并举、注重预防的方针，深入开展党风廉政建设和反腐败斗争。大力推进廉政文化进机关、进社区、进家庭、进学校、进企业、进农村活动，营造浓厚的廉政文化氛围。深入推进反腐倡廉宣传教育，切实抓好纪律教育学习月、廉政公益广告等各种宣传教育活动。严格落实《廉政准则》以及领导干部述职述廉、任期经济责任审计和领导干部收入申报等各项制度。稳步推进市委权力公开透明运行“阳光工程”和基层党务公开工作，进一步完善党内监督、群众监督、舆论监督，努力做到科学决策、民主决策、依法决策、廉政决策。坚决查办违纪违法案件，严厉惩治各种腐败行为，维护党和政府的形象，营造南雄跨越发展的良好环境。</w:t>
      </w:r>
    </w:p>
    <w:p w14:paraId="13890C6B">
      <w:pPr>
        <w:ind w:firstLine="420"/>
      </w:pPr>
      <w:r>
        <w:rPr>
          <w:rFonts w:hint="eastAsia"/>
        </w:rPr>
        <w:t>同志们，艰辛创造伟业，奋斗铸就荣光。推动南雄科学发展、跨越发展，时不我待！让我们更加紧密地团结在以胡锦涛同志为总书记的党</w:t>
      </w:r>
    </w:p>
    <w:p w14:paraId="788AB6D0">
      <w:pPr>
        <w:ind w:firstLine="420"/>
      </w:pPr>
      <w:r>
        <w:rPr>
          <w:rFonts w:hint="eastAsia"/>
        </w:rPr>
        <w:t>中央周围，高举中国特色社会主义伟大旗帜，以邓小平理论和“三个代表”重要思想为指导，深入贯彻落实科学发展观，团结和带领全市广大党员和干部群众，以奋发有为的精神，以求真务实的作风，解放思想、开拓创新、乘势而上，为全面建设幸福南雄而努力奋斗！</w:t>
      </w:r>
    </w:p>
    <w:tbl>
      <w:tblPr>
        <w:tblStyle w:val="15"/>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4FECFD0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4F6C5586">
            <w:pPr>
              <w:ind w:firstLine="0" w:firstLineChars="0"/>
            </w:pPr>
            <w:r>
              <w:rPr>
                <w:rFonts w:hint="eastAsia"/>
              </w:rPr>
              <w:drawing>
                <wp:inline distT="0" distB="0" distL="114300" distR="114300">
                  <wp:extent cx="6181090" cy="3863340"/>
                  <wp:effectExtent l="0" t="0" r="10160" b="3810"/>
                  <wp:docPr id="1" name="图片 1" descr="南雄年鉴201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南雄年鉴2012-32"/>
                          <pic:cNvPicPr>
                            <a:picLocks noChangeAspect="1"/>
                          </pic:cNvPicPr>
                        </pic:nvPicPr>
                        <pic:blipFill>
                          <a:blip r:embed="rId85" cstate="print"/>
                          <a:stretch>
                            <a:fillRect/>
                          </a:stretch>
                        </pic:blipFill>
                        <pic:spPr>
                          <a:xfrm>
                            <a:off x="0" y="0"/>
                            <a:ext cx="6181090" cy="3863340"/>
                          </a:xfrm>
                          <a:prstGeom prst="rect">
                            <a:avLst/>
                          </a:prstGeom>
                        </pic:spPr>
                      </pic:pic>
                    </a:graphicData>
                  </a:graphic>
                </wp:inline>
              </w:drawing>
            </w:r>
          </w:p>
        </w:tc>
      </w:tr>
    </w:tbl>
    <w:p w14:paraId="7C4A660E">
      <w:pPr>
        <w:ind w:firstLine="420"/>
      </w:pPr>
    </w:p>
    <w:p w14:paraId="53C9739C">
      <w:pPr>
        <w:pStyle w:val="3"/>
        <w:bidi w:val="0"/>
        <w:rPr>
          <w:rFonts w:hint="eastAsia"/>
        </w:rPr>
      </w:pPr>
      <w:r>
        <w:rPr>
          <w:rFonts w:hint="eastAsia"/>
        </w:rPr>
        <w:t>政府工作报告</w:t>
      </w:r>
    </w:p>
    <w:p w14:paraId="532788D9">
      <w:pPr>
        <w:bidi w:val="0"/>
        <w:jc w:val="center"/>
        <w:rPr>
          <w:rFonts w:hint="eastAsia"/>
        </w:rPr>
      </w:pPr>
      <w:r>
        <w:rPr>
          <w:rFonts w:hint="eastAsia"/>
        </w:rPr>
        <w:t>——在南雄市第十四届人民代表大会第二次会议上</w:t>
      </w:r>
    </w:p>
    <w:p w14:paraId="588B7AD4">
      <w:pPr>
        <w:bidi w:val="0"/>
        <w:jc w:val="center"/>
      </w:pPr>
      <w:r>
        <w:rPr>
          <w:rFonts w:hint="eastAsia"/>
        </w:rPr>
        <w:t>（2012年2月9日）</w:t>
      </w:r>
    </w:p>
    <w:p w14:paraId="6C0B640A">
      <w:pPr>
        <w:ind w:firstLine="420"/>
        <w:jc w:val="center"/>
      </w:pPr>
      <w:r>
        <w:rPr>
          <w:rFonts w:hint="eastAsia"/>
        </w:rPr>
        <w:t>市长 刘清生</w:t>
      </w:r>
    </w:p>
    <w:p w14:paraId="2DFB300C">
      <w:pPr>
        <w:ind w:firstLine="420"/>
      </w:pPr>
      <w:r>
        <w:rPr>
          <w:rFonts w:hint="eastAsia"/>
        </w:rPr>
        <w:t>各位代表：</w:t>
      </w:r>
    </w:p>
    <w:p w14:paraId="0C55BC3A">
      <w:pPr>
        <w:ind w:firstLine="420"/>
      </w:pPr>
      <w:r>
        <w:rPr>
          <w:rFonts w:hint="eastAsia"/>
        </w:rPr>
        <w:t>我代表市人民政府向大会作政府工作报告，请予审议，并请政协各位委员和其他列席人员提出意见。</w:t>
      </w:r>
    </w:p>
    <w:p w14:paraId="01163790">
      <w:pPr>
        <w:ind w:firstLine="422"/>
        <w:jc w:val="center"/>
        <w:rPr>
          <w:b/>
        </w:rPr>
      </w:pPr>
      <w:r>
        <w:rPr>
          <w:rFonts w:hint="eastAsia"/>
          <w:b/>
        </w:rPr>
        <w:t>二○一一年工作回顾</w:t>
      </w:r>
    </w:p>
    <w:p w14:paraId="0DEFF7CE">
      <w:pPr>
        <w:ind w:firstLine="420"/>
      </w:pPr>
      <w:r>
        <w:rPr>
          <w:rFonts w:hint="eastAsia"/>
        </w:rPr>
        <w:t>2011年，是经济形势较为复杂的一年，也是我们努力拼搏，克服困难，取得较大成绩的一年。在中共南雄市委的正确领导下，在市人大、市政协的监督支持下，市人民政府紧密团结和依靠全市人民，认真落实科学发展观，履行职责，加快发展，圆满完成了各项工作任务，为“十二五”奠定了良好开局。2011年，全市实现生产总值75.31亿元，同比增长15.8%；实现人均生产总值2.16万元，同比增长16.1%；地方财政一般预算收入3.4亿元，同比增长20.2%。2011年，我市被列为“国家可持续发展实验区”，获得了“中国恐龙之乡”、“广东省林业生态县”、“广东省新型农村社会养老保险试点全覆盖达标单位”等荣誉称号。回顾过去一年，我们的工作主要在四个方面取得了可喜的成绩：</w:t>
      </w:r>
    </w:p>
    <w:p w14:paraId="28466B0D">
      <w:pPr>
        <w:ind w:firstLine="422"/>
        <w:rPr>
          <w:b/>
          <w:bCs/>
        </w:rPr>
      </w:pPr>
      <w:r>
        <w:rPr>
          <w:rFonts w:hint="eastAsia"/>
          <w:b/>
          <w:bCs/>
        </w:rPr>
        <w:t>一、经济结构调整取得新突破</w:t>
      </w:r>
    </w:p>
    <w:p w14:paraId="089437AE">
      <w:pPr>
        <w:ind w:firstLine="420"/>
      </w:pPr>
      <w:r>
        <w:rPr>
          <w:rFonts w:hint="eastAsia"/>
        </w:rPr>
        <w:t>2011年，我市经济发展质量不断提高，第一产业增加值19.92亿元，同比增长5.9%；第二产业增加值23.75亿元，同比增长30.3%；第三产业增加值31.64亿元，同比增长12.6%。三次产业结构由上年的28.5：27.3：44.2调整为26.5：31.542，成功实现一二产业比重调头。</w:t>
      </w:r>
    </w:p>
    <w:p w14:paraId="1A6CD22A">
      <w:pPr>
        <w:ind w:firstLine="422"/>
      </w:pPr>
      <w:r>
        <w:rPr>
          <w:rFonts w:hint="eastAsia"/>
          <w:b/>
          <w:bCs/>
        </w:rPr>
        <w:t>工业经济增长较快。</w:t>
      </w:r>
      <w:r>
        <w:rPr>
          <w:rFonts w:hint="eastAsia"/>
        </w:rPr>
        <w:t>全市完成工业总产值作报告民代表大会第二次会议上（2月9日）刘清生16.89亿元，同比增长38.2%。全市规模以上工业企业达到66家，新增20家，其中年产值超亿元的企业达到22家，企业实力逐步增强。特色产业进一步发展，精细化工、陶瓷建材、浆纸制造三大主导产业产值分别为30.8亿元、1.1亿元和3.1亿元，同比分别增长154.1%、1.67%、37.19%。</w:t>
      </w:r>
    </w:p>
    <w:p w14:paraId="61B5615C">
      <w:pPr>
        <w:ind w:firstLine="422"/>
      </w:pPr>
      <w:r>
        <w:rPr>
          <w:rFonts w:hint="eastAsia"/>
          <w:b/>
          <w:bCs/>
        </w:rPr>
        <w:t>园区建设扎实推进。</w:t>
      </w:r>
      <w:r>
        <w:rPr>
          <w:rFonts w:hint="eastAsia"/>
        </w:rPr>
        <w:t>一期园区基础设施累计投入7.5亿元，基础设施和配套功能进一步完善。一期园区企业已全面进入施工建设，试投产企业达到45家，其中规模以上企业35家；税收实现1.4亿元，同比增长176.2%，园区效益逐步提高，获得“广东省中小企业创业基地”荣誉称号。二期园区规划、环评等扩园前期工作正加紧进行。</w:t>
      </w:r>
    </w:p>
    <w:p w14:paraId="53E940B4">
      <w:pPr>
        <w:ind w:firstLine="422"/>
      </w:pPr>
      <w:r>
        <w:rPr>
          <w:rFonts w:hint="eastAsia"/>
          <w:b/>
          <w:bCs/>
        </w:rPr>
        <w:t>招商引资和对外贸易质量不断提升。</w:t>
      </w:r>
      <w:r>
        <w:rPr>
          <w:rFonts w:hint="eastAsia"/>
        </w:rPr>
        <w:t>全年签订投资项目19个，金额41.4亿元，实际利用外资2050万美元，同比增长13.7%。其中成功引进投资6.6亿元的康绿宝（南雄）科技园、中山大桥化工和广州阳普医疗等一批优质企业，储备了60多个国内外知名企业投资项目。对外贸易结构进一步改善，外贸出口达2580万美元，同比增长28.8%。</w:t>
      </w:r>
    </w:p>
    <w:p w14:paraId="68993736">
      <w:pPr>
        <w:ind w:firstLine="422"/>
      </w:pPr>
      <w:r>
        <w:rPr>
          <w:rFonts w:hint="eastAsia"/>
          <w:b/>
          <w:bCs/>
        </w:rPr>
        <w:t>农业产业化和新农村建设步伐加快。</w:t>
      </w:r>
      <w:r>
        <w:rPr>
          <w:rFonts w:hint="eastAsia"/>
        </w:rPr>
        <w:t>全市完成农业总产值33.49亿元，同比增长5.9%。粮食总产量22.24万吨，同比增长3.3%，国家和省级“产粮大县”地位进一步巩固；完成烟叶收购31.98万担，收购金额达2.89亿元，同比增长24%；禽畜养殖业健康发展，其中生猪存栏量23.15万头，出栏量39.97万头，分别增长3.6%和9.9%；围绕特色农业发展，成立了168家农民专业合作社，新建了7个现代农业精品园区。特别是金友集团投资8000万元，兴建粮食仓储和农副产品加工基地，被省经信委评为“广东省优势传统企业转型升级示范企业”，标志着我市特色农副产品产业化经营迈出了新的步伐。完成31个村庄环境整治工作，扶贫“双到”资金投入1.36亿元，接近实现“三年任务两年完成”的目标。</w:t>
      </w:r>
    </w:p>
    <w:p w14:paraId="666D7D04">
      <w:pPr>
        <w:ind w:firstLine="422"/>
      </w:pPr>
      <w:r>
        <w:rPr>
          <w:rFonts w:hint="eastAsia"/>
          <w:b/>
          <w:bCs/>
        </w:rPr>
        <w:t>旅游商贸持续发展。</w:t>
      </w:r>
      <w:r>
        <w:rPr>
          <w:rFonts w:hint="eastAsia"/>
        </w:rPr>
        <w:t>以打造“粤赣边际旅游休闲度假优选地”和创建广东省“旅游强县”为目标，加快了珠玑古巷、梅岭景区国家4A级景区创建工作，梅花长廊等景观有了新的变化，成功举办了“2011广东国际旅游文化节南雄分会场”活动。全年接待游客134.22万人次，旅游总收入9.1亿元，分别增长22.8%、31%。民营经济稳步发展，全市个体工商户7843户，私营企业670家，税收实现1.09亿元，同比增长59.86%。城乡居民对汽车、住房等大宗商品的购买力不断增强，餐饮、娱乐、中介、物流等服务业快速发展，全市实现社会消费品零售总额28.41亿元，同比增长15.7%。</w:t>
      </w:r>
    </w:p>
    <w:p w14:paraId="52EB87D9">
      <w:pPr>
        <w:ind w:firstLine="422"/>
      </w:pPr>
      <w:r>
        <w:rPr>
          <w:rFonts w:hint="eastAsia"/>
          <w:b/>
          <w:bCs/>
        </w:rPr>
        <w:t>财税金融运行良好。</w:t>
      </w:r>
      <w:r>
        <w:rPr>
          <w:rFonts w:hint="eastAsia"/>
        </w:rPr>
        <w:t>国税税收收入完成1.3亿元，同比增长18.4%。地税税收收入完成2.99亿元，同比增长1%。地方财政一般预算收入完成3.4亿元，同比增长20.2%。来源于我市的财政总收入13.22亿元，同比增长35.7%，财政总支出13.21亿元，同比增长38.7%，达到收支平衡，略有结余。金融对全市经济发展的支持力度加大，年末金融机构存款余额66亿元，比年初增长16.6%；各项贷款余额18.74亿元，比年初增长25.4%；雄健担保有限公司为55家企业提供贷款担保1.5亿元，拓宽了融资渠道，为企业发展提供了资金保障。</w:t>
      </w:r>
    </w:p>
    <w:p w14:paraId="6A673872">
      <w:pPr>
        <w:numPr>
          <w:ilvl w:val="0"/>
          <w:numId w:val="2"/>
        </w:numPr>
        <w:ind w:firstLine="422"/>
        <w:rPr>
          <w:b/>
          <w:bCs/>
        </w:rPr>
      </w:pPr>
      <w:r>
        <w:rPr>
          <w:rFonts w:hint="eastAsia"/>
          <w:b/>
          <w:bCs/>
        </w:rPr>
        <w:t>基础设施建设取得新进展</w:t>
      </w:r>
    </w:p>
    <w:p w14:paraId="0787EF78">
      <w:pPr>
        <w:ind w:firstLine="420"/>
      </w:pPr>
      <w:r>
        <w:rPr>
          <w:rFonts w:hint="eastAsia"/>
        </w:rPr>
        <w:t>2011年，全市完成固定资产投资62.73亿元，同比增长21.6%。</w:t>
      </w:r>
    </w:p>
    <w:p w14:paraId="168D29F0">
      <w:pPr>
        <w:ind w:firstLine="422"/>
      </w:pPr>
      <w:r>
        <w:rPr>
          <w:rFonts w:hint="eastAsia"/>
          <w:b/>
          <w:bCs/>
        </w:rPr>
        <w:t>重点项目建设稳步推进。</w:t>
      </w:r>
      <w:r>
        <w:rPr>
          <w:rFonts w:hint="eastAsia"/>
        </w:rPr>
        <w:t>交通方面，赣韶铁路南雄段完成投资0.86亿元，完成通自然村水泥公路建设85公里，改（新）建桥梁4座，建成了13个农村客运站和一批候车亭，奥威斯大道（东背岭大桥至龙华山温泉公路）建设工程进展顺利；能源方面，“西气东输”南雄段完成投资2000多万元，工程已投入使用。投资3100万元，完成农村电网配网改造工程；农田水利方面，投资1150万元，完成了水口镇0.97万亩国家农业综合开发项目。投资700多万元，完成了4720亩农田整治。投资3364万元，完成33宗农村饮水安全工程。投资1250万元，完成孔江灌区节水配套改造一期工程。投资1048万元，完成江头镇田间工程建设；通讯方面，投资338万元，完成30个C网基站建设。</w:t>
      </w:r>
    </w:p>
    <w:p w14:paraId="616F55F1">
      <w:pPr>
        <w:ind w:firstLine="422"/>
      </w:pPr>
      <w:r>
        <w:rPr>
          <w:rFonts w:hint="eastAsia"/>
          <w:b/>
          <w:bCs/>
        </w:rPr>
        <w:t>城市面貌明显改观。</w:t>
      </w:r>
      <w:r>
        <w:rPr>
          <w:rFonts w:hint="eastAsia"/>
        </w:rPr>
        <w:t>城区市政设施投入2500多万元。主要项目有：完成了老国道323线穿城段改造一期工程；完善了金叶大道与S342线交汇处、雄州大道与永康路交汇处等市区四个主要路口的交通安全设施；完成了金叶大道、迎宾大道、教育路等城市美化绿化工程。雄州城市综合体征地拆迁工作正有序开展。南雄珠影文化广场完成投资1200万元，雄州公园、疾控中心大楼等城市配套功能项目进展顺利。</w:t>
      </w:r>
    </w:p>
    <w:p w14:paraId="077680C3">
      <w:pPr>
        <w:ind w:firstLine="422"/>
      </w:pPr>
      <w:r>
        <w:rPr>
          <w:rFonts w:hint="eastAsia"/>
          <w:b/>
          <w:bCs/>
        </w:rPr>
        <w:t>旧城区改造和住宅小区建设加快推进。</w:t>
      </w:r>
      <w:r>
        <w:rPr>
          <w:rFonts w:hint="eastAsia"/>
        </w:rPr>
        <w:t>土地公开交易995亩，成交金额4.45亿元，其中水西小岛项目成交价3.19亿元。房地产开发项目14个，投资1亿多元，面积12万多平方米。水西小岛大福国际名城项目已开工建设。如期完成了上级下达的保障性住房建设任务，建成32套经济适用房和3套廉租房，100套廉租房已开工建设，196套危旧房改造、72套公租房建设任务已经落实。小城镇建设步伐加快。江头镇墟镇道路河堤等设施建设，界址大坊边贸城、珠玑商贸城、邓坊农土特商贸城建设正在加快进行。</w:t>
      </w:r>
    </w:p>
    <w:p w14:paraId="18A1FF46">
      <w:pPr>
        <w:ind w:firstLine="422"/>
        <w:rPr>
          <w:b/>
          <w:bCs/>
        </w:rPr>
      </w:pPr>
      <w:r>
        <w:rPr>
          <w:rFonts w:hint="eastAsia"/>
          <w:b/>
          <w:bCs/>
        </w:rPr>
        <w:t>三、民生改善取得新进步</w:t>
      </w:r>
    </w:p>
    <w:p w14:paraId="375D14FC">
      <w:pPr>
        <w:ind w:firstLine="420"/>
      </w:pPr>
      <w:r>
        <w:rPr>
          <w:rFonts w:hint="eastAsia"/>
        </w:rPr>
        <w:t>我们坚持以人为本，大力改善民生。2011年政府承诺的九件实事基本完成。市财政用于民生项目的支出达8.47亿元，占一般预算支出的67.2%。</w:t>
      </w:r>
    </w:p>
    <w:p w14:paraId="2CE18CC1">
      <w:pPr>
        <w:ind w:firstLine="422"/>
      </w:pPr>
      <w:r>
        <w:rPr>
          <w:rFonts w:hint="eastAsia"/>
          <w:b/>
          <w:bCs/>
        </w:rPr>
        <w:t>生态环境得到有效保护。</w:t>
      </w:r>
      <w:r>
        <w:rPr>
          <w:rFonts w:hint="eastAsia"/>
        </w:rPr>
        <w:t>完成造林4.5万亩，森林覆盖率达到63.43%，集体林权制度改革工作通过省政府验收并被评为优秀等级。孔江湿地公园被国家林业局批准为国家湿地公园。加强了环境综合治理，全面完成了上级下达的节能减排任务，关闭落后小型造纸企业3家，铺设老城区雨污分流管网3.95公里，完成浈江河流域1.73平方公里的红砂岭综合治理。土地资源得到合理保护利用，获得用地指标2556亩（其中获得城乡建设增减挂钩周转土地指标950亩），通过土地整理新增耕地4000多亩。“三项整治”成效明显，违法占地建房、乱砍滥伐、违法采矿等不良态势得到有效遏制。</w:t>
      </w:r>
    </w:p>
    <w:p w14:paraId="4CF65D53">
      <w:pPr>
        <w:ind w:firstLine="422"/>
      </w:pPr>
      <w:r>
        <w:rPr>
          <w:rFonts w:hint="eastAsia"/>
          <w:b/>
          <w:bCs/>
        </w:rPr>
        <w:t>城乡居民收入稳步增长。</w:t>
      </w:r>
      <w:r>
        <w:rPr>
          <w:rFonts w:hint="eastAsia"/>
        </w:rPr>
        <w:t>城镇居民人均可支配收入1.33万元，同比增长12.5%。在岗职工年人均工资2.94万元，同比增长11.5%。农村居民人均纯收入7012元，同比增长17.7%。年末城乡居民储蓄存款余额51.26亿元，同比增长14%。</w:t>
      </w:r>
    </w:p>
    <w:p w14:paraId="4F6FFE83">
      <w:pPr>
        <w:ind w:firstLine="422"/>
      </w:pPr>
      <w:r>
        <w:rPr>
          <w:rFonts w:hint="eastAsia"/>
          <w:b/>
          <w:bCs/>
        </w:rPr>
        <w:t>社会保障体系日益完善。</w:t>
      </w:r>
      <w:r>
        <w:rPr>
          <w:rFonts w:hint="eastAsia"/>
        </w:rPr>
        <w:t>就业形势持续稳定，城镇新增就业5221人，转移农村劳动力12456人，城镇登记失业率控制在2.48%以内。社会保险覆盖面进一步扩大，城镇居民医疗保险参保2.6万人，养老保险参保3.1万人；新型农村养老保险参保14.9万人，3.82万60周岁以上老人已开始按月领取基础养老金，超额完成省试点工作任务；新型农村合作医疗覆盖率达100%。社会保险五个险种征缴2.34亿元，支出1.75亿元。社会救助体系更加健全，在册低保户7511户，16559人，支出1880万元，基本实现应保尽保；1398名五保老人基本生活得到有效保障；医疗救助800人次，支出180万元，较好解决了部分困难群众就医难问题。</w:t>
      </w:r>
    </w:p>
    <w:p w14:paraId="514171DB">
      <w:pPr>
        <w:ind w:firstLine="422"/>
      </w:pPr>
      <w:r>
        <w:rPr>
          <w:rFonts w:hint="eastAsia"/>
          <w:b/>
          <w:bCs/>
        </w:rPr>
        <w:t>社会事业协调发展。</w:t>
      </w:r>
      <w:r>
        <w:rPr>
          <w:rFonts w:hint="eastAsia"/>
        </w:rPr>
        <w:t>教育创强工作力度加大，创建了水口等3个教育强镇。投资4200万元，完成了25所义务教育学校规范化建设和50个“校安工程”项目。南雄中学、市一中恢复初中办学。人才强市战略深入实施，人才队伍结构进一步优化。科技创新水平不断提升，成功向省申报科技项目11个。稳妥推进了医药卫生体制改革，医疗卫生服务体系更加健全，医疗服务水平稳步提升。人口和计生管理水平不断提高，被省政府批准从二类地区管理晋升为一类地区管理。文化事业进一步发展，新华书店转制顺利完成，实施了广电网络改革重组。城乡公共文化服务逐步完善，文化惠民活动不断深入。《陈毅进山》、《农民工大哥》分别获广东省群众文艺作品一、二等奖，“香火龙”列入国家非物质文化遗产名录公示，《龙船歌》通过省级第三批非物质文化遗产专家组论证。体育事业加快发展，完成40个行政村“农民体育健身工程”建设，全民健身运动和体育竞技水平不断提高。</w:t>
      </w:r>
    </w:p>
    <w:p w14:paraId="409D3632">
      <w:pPr>
        <w:ind w:firstLine="422"/>
        <w:rPr>
          <w:b/>
          <w:bCs/>
        </w:rPr>
      </w:pPr>
      <w:r>
        <w:rPr>
          <w:rFonts w:hint="eastAsia"/>
          <w:b/>
          <w:bCs/>
        </w:rPr>
        <w:t>四、社会管理取得新成效</w:t>
      </w:r>
    </w:p>
    <w:p w14:paraId="2FD5595B">
      <w:pPr>
        <w:ind w:firstLine="420"/>
      </w:pPr>
      <w:r>
        <w:rPr>
          <w:rFonts w:hint="eastAsia"/>
        </w:rPr>
        <w:t>社会管理力度不断加大。坚持“打防管控”结合，完善了市区重点部位、重点区域和重点单位的视频监控系统，持续开展各种违法犯罪专项打击行动，社会治安形势稳定；信访维稳扎实推进，各类矛盾纠纷得到有效解决；加强了安全生产、交通运输安全和食品药品安全监管，消除了各类安全隐患；公共突发性事件得到有效预防和处置。同时，加强了政府自身建设。自觉接受市人大的监督和市政协参政议政，办理人大议案及建议33件、政协提案60件，办复率达100%。建立了重点项目、重要工作督查督办机制。清理精简行政审批事项，进一步简化手续，提高办事效率，加大了政务公开工作力度，政务环境不断优化，政府工作更加规范透明。民主法制建设切实加强，廉政建设和机关作风建设不断深入，依法行政和服务水平稳步提高。</w:t>
      </w:r>
    </w:p>
    <w:p w14:paraId="7BD8A3B6">
      <w:pPr>
        <w:ind w:firstLine="420"/>
      </w:pPr>
      <w:r>
        <w:rPr>
          <w:rFonts w:hint="eastAsia"/>
        </w:rPr>
        <w:t>各位代表，2011年，我市的经济建设蒸蒸日上，社会各项事业蓬勃发展，人民安居乐业。这一年，是我们解放思想，齐心协力，不断提升“南雄服务”的一年，也是我们抢抓机遇，攻坚克难，加快“南雄速度”的一年。全市人民，全市各级各单位、各社会团体、中省驻雄单位都认真履行职责，为我市经济社会发展付出了辛勤的劳动，作出了积极贡献！在此，我代表市人民政府，向辛勤工作在各行各业的全市人民，向驻雄武警官兵和公安民警，向所有关心、支持、参与南雄经济社会建设的各界人士、海内外朋友，致以崇高的敬意，并表示衷心的感谢！</w:t>
      </w:r>
    </w:p>
    <w:p w14:paraId="44DEC30C">
      <w:pPr>
        <w:ind w:firstLine="420"/>
      </w:pPr>
      <w:r>
        <w:rPr>
          <w:rFonts w:hint="eastAsia"/>
        </w:rPr>
        <w:t>在肯定成绩的同时，我们也坦率地承认，我们的工作还存在不少问题。主要表现在：一是重点项目、重点工作推进力度不够，有的工作未能及时完成；二是经济社会建设缺乏较大项目支撑，发展形势难言乐观；三是随着金融危机影响的深入，园区建设发展面临严竣挑战；四是旅游投入不足，资源整合不力，离“旅游强县”目标仍有较大差距。对此，我们一定要高度重视，并采取有力措施认真加以解决。</w:t>
      </w:r>
    </w:p>
    <w:p w14:paraId="251C0DBB">
      <w:pPr>
        <w:ind w:firstLine="422"/>
        <w:jc w:val="center"/>
        <w:rPr>
          <w:b/>
        </w:rPr>
      </w:pPr>
      <w:r>
        <w:rPr>
          <w:rFonts w:hint="eastAsia"/>
          <w:b/>
        </w:rPr>
        <w:t>二○一二年工作安排</w:t>
      </w:r>
    </w:p>
    <w:p w14:paraId="1716EBB2">
      <w:pPr>
        <w:ind w:firstLine="420"/>
      </w:pPr>
      <w:r>
        <w:rPr>
          <w:rFonts w:hint="eastAsia"/>
        </w:rPr>
        <w:t>2012年是新一届政府履职的第一年，也是南雄经济社会实现跨越发展的关键之年，做好今年工作具有十分重要的意义。</w:t>
      </w:r>
      <w:r>
        <w:rPr>
          <w:rFonts w:hint="eastAsia"/>
          <w:b/>
          <w:bCs/>
        </w:rPr>
        <w:t>今年政府工作的指导思想是：</w:t>
      </w:r>
      <w:r>
        <w:rPr>
          <w:rFonts w:hint="eastAsia"/>
        </w:rPr>
        <w:t>以科学发展观为指导，贯彻落实中共南雄市第十二次党代会精神，以“调结构、稳增长、促和谐”为主线，坚持打造特色，坚持项目带动，加快工业化、城镇化和旅游业发展，提升农业集约化、产业化水平，推进富裕文明、和谐安康粤北门户城市建设，以优异成绩迎接党的十八大胜利召开。</w:t>
      </w:r>
    </w:p>
    <w:p w14:paraId="4292A916">
      <w:pPr>
        <w:ind w:firstLine="422"/>
      </w:pPr>
      <w:r>
        <w:rPr>
          <w:rFonts w:hint="eastAsia"/>
          <w:b/>
          <w:bCs/>
        </w:rPr>
        <w:t>今年经济社会发展的主要预期目标是</w:t>
      </w:r>
      <w:r>
        <w:rPr>
          <w:rFonts w:hint="eastAsia"/>
        </w:rPr>
        <w:t>：地区生产总值增长13%以上，地方一般财政预算收入增长13%以上，固定资产投资增长10%以上，人口自然增长率控制在7.5</w:t>
      </w:r>
      <w:r>
        <w:rPr>
          <w:rFonts w:hint="eastAsia" w:ascii="微软雅黑" w:hAnsi="微软雅黑" w:eastAsia="微软雅黑" w:cs="微软雅黑"/>
        </w:rPr>
        <w:t>‰</w:t>
      </w:r>
      <w:r>
        <w:rPr>
          <w:rFonts w:hint="eastAsia"/>
        </w:rPr>
        <w:t>以内。</w:t>
      </w:r>
    </w:p>
    <w:p w14:paraId="68077926">
      <w:pPr>
        <w:ind w:firstLine="420"/>
      </w:pPr>
      <w:r>
        <w:rPr>
          <w:rFonts w:hint="eastAsia"/>
        </w:rPr>
        <w:t>为实现全年目标，我们将做好以下八个方面的工作：</w:t>
      </w:r>
    </w:p>
    <w:p w14:paraId="20FEEEE6">
      <w:pPr>
        <w:ind w:firstLine="422"/>
        <w:rPr>
          <w:b/>
          <w:bCs/>
        </w:rPr>
      </w:pPr>
      <w:r>
        <w:rPr>
          <w:rFonts w:hint="eastAsia"/>
          <w:b/>
          <w:bCs/>
        </w:rPr>
        <w:t>一、加快发展特色工业</w:t>
      </w:r>
    </w:p>
    <w:p w14:paraId="2C3CCDD0">
      <w:pPr>
        <w:ind w:firstLine="420"/>
      </w:pPr>
      <w:r>
        <w:rPr>
          <w:rFonts w:hint="eastAsia"/>
        </w:rPr>
        <w:t>着力加快精细化工、浆纸制造、陶瓷建材特色工业发展。力争实现工业总产值增长28%。</w:t>
      </w:r>
    </w:p>
    <w:p w14:paraId="5D56A1CD">
      <w:pPr>
        <w:ind w:firstLine="422"/>
      </w:pPr>
      <w:r>
        <w:rPr>
          <w:rFonts w:hint="eastAsia"/>
          <w:b/>
          <w:bCs/>
        </w:rPr>
        <w:t>掀起园区建设新高潮。</w:t>
      </w:r>
      <w:r>
        <w:rPr>
          <w:rFonts w:hint="eastAsia"/>
        </w:rPr>
        <w:t>把园区建设作为带动我市工业跨越发展的强劲引擎，作好扩园工作，完善一期、大规模推进二期园区规划建设。重点建好南雄国际会展中心、中科院南雄产学研合作基地、质量监督检验中心、化工原材料和产品交易中心，抓紧规划建设危化品仓储物流中心，积极筹划赣韶铁路货运专线和铁路口岸南雄装卸点的建设。落实领导挂点服务责任制，积极为企业解决各类实际问题，确保一期园区入驻企业年内全面实现试投产。规范园区投产企业税收征管，发挥效益。抓好园区考核工作，争取获得最优名次；大力推进二期园区规划建设。抓好园区建设规范化管理，做好产业规划布局，大力引进国内外知名企业，形成产业集群。半年内全面完成征地拆迁，抓紧推进基础设施和配套设施建设，力争到6月底有一批企业在二期园区开工建设。</w:t>
      </w:r>
    </w:p>
    <w:p w14:paraId="1F86CB54">
      <w:pPr>
        <w:ind w:firstLine="422"/>
      </w:pPr>
      <w:r>
        <w:rPr>
          <w:rFonts w:hint="eastAsia"/>
          <w:b/>
          <w:bCs/>
        </w:rPr>
        <w:t>推进企业技改扩产和项目落实。</w:t>
      </w:r>
      <w:r>
        <w:rPr>
          <w:rFonts w:hint="eastAsia"/>
        </w:rPr>
        <w:t>重点加快绿洲公司、彤置富水泥的技改扩产和珠玑纸业的异地搬迁，积极协助乐华陶瓷加快二期建设。积极跟踪华电热电冷联供项目，争取该项目尽快获得国家发改委的批复。选择5家以上条件较成熟的企业给予重点扶持，向上市公司方向发展。支持企业做强做大，力争实现新增规模以上工业企业20家。</w:t>
      </w:r>
    </w:p>
    <w:p w14:paraId="20B751CF">
      <w:pPr>
        <w:ind w:firstLine="422"/>
      </w:pPr>
      <w:r>
        <w:rPr>
          <w:rFonts w:hint="eastAsia"/>
          <w:b/>
          <w:bCs/>
        </w:rPr>
        <w:t>推动小微企业发展。</w:t>
      </w:r>
      <w:r>
        <w:rPr>
          <w:rFonts w:hint="eastAsia"/>
        </w:rPr>
        <w:t>加快中小企业创业基地建设。进一步优化小微企业发展环境，拓宽民间资本的投资领域，着力完善好金融担保、就业培训等服务体系建设，为企业自主创业提供更加宽松的环境，帮助小微企业发展壮大。</w:t>
      </w:r>
    </w:p>
    <w:p w14:paraId="3B51F382">
      <w:pPr>
        <w:ind w:firstLine="422"/>
        <w:rPr>
          <w:b/>
          <w:bCs/>
        </w:rPr>
      </w:pPr>
      <w:r>
        <w:rPr>
          <w:rFonts w:hint="eastAsia"/>
          <w:b/>
          <w:bCs/>
        </w:rPr>
        <w:t>二、加快推进旅游业发展</w:t>
      </w:r>
    </w:p>
    <w:p w14:paraId="053AE5F4">
      <w:pPr>
        <w:ind w:firstLine="420"/>
      </w:pPr>
      <w:r>
        <w:rPr>
          <w:rFonts w:hint="eastAsia"/>
        </w:rPr>
        <w:t>重视旅游和文化的融合互补，突出旅游发展的文化主题和资源特色，以抓招商引资和工业园的力度推动旅游业的发展。抓好旅游资源挖掘整合，依托珠玑古巷等景区，建设珠玑旅游产业，打造珠玑文化、红色文化、恐龙文化、温泉养生、生态观光五大旅游品牌。加大投入，安排500-1000万元资金完善旅游基础设施建设。搞好龙华山温泉度假中心、孔江国家湿地公园、帽子峰省级森林公园的外围道路，加快推进1个五星级酒店和3个四星级酒店建设，提升旅游接待能力。搞好旅游招商，引进有实力、有能力的品牌企业，参与我市旅游资源开发建设。加大旅游宣传推介力度，充分利用“中央苏区县”牌子，力争借助中央电视台等国家级的新闻媒体，进行包装策划，搞好旅游品牌宣传，积极融入“大丹霞、大南华、大南岭、大珠玑”旅游圈。力争实现游客接待量154万人次，旅游总收入10.9亿元，分别增长15%、20%以上的目标，促进旅游业健康快速发展。</w:t>
      </w:r>
    </w:p>
    <w:p w14:paraId="1BAE4300">
      <w:pPr>
        <w:ind w:firstLine="422"/>
        <w:rPr>
          <w:b/>
          <w:bCs/>
        </w:rPr>
      </w:pPr>
      <w:r>
        <w:rPr>
          <w:rFonts w:hint="eastAsia"/>
          <w:b/>
          <w:bCs/>
        </w:rPr>
        <w:t>三、加快基础设施建设和城镇化发展</w:t>
      </w:r>
    </w:p>
    <w:p w14:paraId="4BFE6AF3">
      <w:pPr>
        <w:ind w:firstLine="420"/>
      </w:pPr>
      <w:r>
        <w:rPr>
          <w:rFonts w:hint="eastAsia"/>
        </w:rPr>
        <w:t>加大固定资产投资力度，实现社会固定资产投资69亿元，增长10%以上，促进经济社会发展。加快基础设施建设。支持配合做好赣韶铁路建设工作，加快南雄火车站及其附属设施建设。进一步完善城乡交通网络建设，完成60公里农村水泥路改造，完成奥威斯大道（东背岭大桥至龙华山温泉公路）建设，新建河塘至东莞大岭山（南雄）产业转移工业园公路。加快管道燃气项目建设，完成2000万元农村电网配网改造工程。</w:t>
      </w:r>
    </w:p>
    <w:p w14:paraId="0844248A">
      <w:pPr>
        <w:ind w:firstLine="422"/>
      </w:pPr>
      <w:r>
        <w:rPr>
          <w:rFonts w:hint="eastAsia"/>
          <w:b/>
          <w:bCs/>
        </w:rPr>
        <w:t>加快城市建设步伐。</w:t>
      </w:r>
      <w:r>
        <w:rPr>
          <w:rFonts w:hint="eastAsia"/>
        </w:rPr>
        <w:t>加快拥有20万居住人口的粤北门户城市建设步伐。做好中心城区总体规划修编工作，以项目带动，扩大城市框架。重点推进大福国际名城、金刚小区、翠竹小区建设，积极推进旧城区改造，打造一批具有代表性、高品位的生活小区。争取雄州新城城市综合体早日开工，加快推进韶赣汽车城项目建设。完成珠影文化广场、粮食仓储设施、中医院住院综合大楼、疾控中心大楼等项目建设，加快雄州公园建设进度。围绕“住有所居”的住房保障核心目标，加强房地产市场调控监管，督促开发项目如期完成工作任务，促进房地产业健康发展。建设保障性住房78套（其中公租房28套，廉租房50套）。加大城市综合管理力度，重点整治“脏乱差”行为，搞好城区绿化、美化，提升城市品位。</w:t>
      </w:r>
    </w:p>
    <w:p w14:paraId="3353F6BC">
      <w:pPr>
        <w:ind w:firstLine="422"/>
      </w:pPr>
      <w:r>
        <w:rPr>
          <w:rFonts w:hint="eastAsia"/>
          <w:b/>
          <w:bCs/>
        </w:rPr>
        <w:t>加快小城镇建设步伐。</w:t>
      </w:r>
      <w:r>
        <w:rPr>
          <w:rFonts w:hint="eastAsia"/>
        </w:rPr>
        <w:t>抓好镇、村建设规划，逐步实现墟镇建设总体规划全覆盖。稳步推进新村建设，改善农民生活环境。加快乌迳、珠玑、黄坑等中心镇建设，引导农村人口向城镇有序转移，加快城镇化进程。</w:t>
      </w:r>
    </w:p>
    <w:p w14:paraId="490E360E">
      <w:pPr>
        <w:ind w:firstLine="422"/>
        <w:rPr>
          <w:b/>
          <w:bCs/>
        </w:rPr>
      </w:pPr>
      <w:r>
        <w:rPr>
          <w:rFonts w:hint="eastAsia"/>
          <w:b/>
          <w:bCs/>
        </w:rPr>
        <w:t>四、大力提升招商引资质量</w:t>
      </w:r>
    </w:p>
    <w:p w14:paraId="029E6CBC">
      <w:pPr>
        <w:ind w:firstLine="420"/>
      </w:pPr>
      <w:r>
        <w:rPr>
          <w:rFonts w:hint="eastAsia"/>
        </w:rPr>
        <w:t>在进一步优化服务环境、营造良好的招商氛围的基础上，转变招商观念，实施招商引资战略转型升级，提高招商准入门槛，由粗放数量型向规模效益型转变，由招商引资转变为招商“选”资。继续围绕精细化工、陶瓷建材、浆纸制造、热电能源、旅游休闲、农土特加工等产业，选优择强，着力引进集团公司、上市公司和跨国公司等品牌大企业，以充分发挥用地资源效益，提升产业发展水平。</w:t>
      </w:r>
    </w:p>
    <w:p w14:paraId="10524023">
      <w:pPr>
        <w:numPr>
          <w:ilvl w:val="0"/>
          <w:numId w:val="3"/>
        </w:numPr>
        <w:ind w:firstLine="422"/>
        <w:rPr>
          <w:b/>
          <w:bCs/>
        </w:rPr>
      </w:pPr>
      <w:r>
        <w:rPr>
          <w:rFonts w:hint="eastAsia"/>
          <w:b/>
          <w:bCs/>
        </w:rPr>
        <w:t>加强农业农村工作</w:t>
      </w:r>
    </w:p>
    <w:p w14:paraId="761AB173">
      <w:pPr>
        <w:ind w:firstLine="420"/>
      </w:pPr>
      <w:r>
        <w:rPr>
          <w:rFonts w:hint="eastAsia"/>
        </w:rPr>
        <w:t>认真落实国家、省各项强农惠农政策，壮大地方特色农业主导产业，提高农业集约化、产业化水平。实现农业总产值增长6%，农民人均纯收入增长10%以上。</w:t>
      </w:r>
    </w:p>
    <w:p w14:paraId="7749E897">
      <w:pPr>
        <w:ind w:firstLine="422"/>
      </w:pPr>
      <w:r>
        <w:rPr>
          <w:rFonts w:hint="eastAsia"/>
          <w:b/>
          <w:bCs/>
        </w:rPr>
        <w:t>加强农田水利建设。</w:t>
      </w:r>
      <w:r>
        <w:rPr>
          <w:rFonts w:hint="eastAsia"/>
        </w:rPr>
        <w:t>以被列入“中央财政小型农田水利重点县”为契机，搞好古市、珠玑国家农业综合开发示范工程、13宗农村饮水安全工程和水口、南亩田间工程，搞好孔江灌区二期、横江灌区一期节水配套改造工程，完成5000亩农田整治、9800万元烟基工程和1600万元小型农田水利工程建设，不断改善农业生产条件。</w:t>
      </w:r>
    </w:p>
    <w:p w14:paraId="52935368">
      <w:pPr>
        <w:ind w:firstLine="422"/>
      </w:pPr>
      <w:r>
        <w:rPr>
          <w:rFonts w:hint="eastAsia"/>
          <w:b/>
          <w:bCs/>
        </w:rPr>
        <w:t>发展特色农业。</w:t>
      </w:r>
      <w:r>
        <w:rPr>
          <w:rFonts w:hint="eastAsia"/>
        </w:rPr>
        <w:t>稳定优质稻、地膜花生等传统农作物种植面积，努力提高产量和效益，实现全年种植优质稻25万亩，产量10.3万吨。抓好现代烟草示范基地建设，促进烟草集约化、规模化生产，完成烟叶种植面积11万亩，实现烟叶收购量32.5万担、收购资金3亿元以上的目标。以“金友米”、“金雄鹰烟叶”、“南亩凉果”、“坪田白果”、“百顺罗汉果”、“上湖高山李”等一批特色农业品牌为依托，培育具有地方特色的农业主导产业，形成“一镇一业”、“一村一品”的发展格局。</w:t>
      </w:r>
    </w:p>
    <w:p w14:paraId="0AC3373B">
      <w:pPr>
        <w:ind w:firstLine="422"/>
      </w:pPr>
      <w:r>
        <w:rPr>
          <w:rFonts w:hint="eastAsia"/>
          <w:b/>
          <w:bCs/>
        </w:rPr>
        <w:t>推进农业产业招商。</w:t>
      </w:r>
      <w:r>
        <w:rPr>
          <w:rFonts w:hint="eastAsia"/>
        </w:rPr>
        <w:t>着力引进一批农业龙头企业，发展现代农业，提高农业集约化、产业化水平。加快推进农村土地合理流转，大力发展专业合作社。加强农业企业标准化建设，加快禽畜养殖、优质米、油茶、中药材、农土特等特色产业的产业化发展。采取有力措施，重点扶持金友集团等企业向国家级农业龙头企业、上市公司方向发展。加强动植物疫病防控和农（畜）产品质量安全监管，提高农（畜）产品质量。</w:t>
      </w:r>
    </w:p>
    <w:p w14:paraId="7A5E3642">
      <w:pPr>
        <w:ind w:firstLine="422"/>
      </w:pPr>
      <w:r>
        <w:rPr>
          <w:rFonts w:hint="eastAsia"/>
          <w:b/>
          <w:bCs/>
        </w:rPr>
        <w:t>推进新农村建设。</w:t>
      </w:r>
      <w:r>
        <w:rPr>
          <w:rFonts w:hint="eastAsia"/>
        </w:rPr>
        <w:t>完成36个村级公益事业“一事一议”项目建设。抓好农村居住环境综合治理，完成30个村的村庄整治工作，扎实推进乡村“清洁美”和“万村绿”工程，开展名镇、名村、示范村建设。抓好扶贫“双到”工作，努力增加农民收入。加强农村治安维稳和精神文明建设，提升农村综合管理水平。</w:t>
      </w:r>
    </w:p>
    <w:p w14:paraId="2CFBDD20">
      <w:pPr>
        <w:numPr>
          <w:ilvl w:val="0"/>
          <w:numId w:val="3"/>
        </w:numPr>
        <w:ind w:firstLine="422"/>
        <w:rPr>
          <w:b/>
          <w:bCs/>
        </w:rPr>
      </w:pPr>
      <w:r>
        <w:rPr>
          <w:rFonts w:hint="eastAsia"/>
          <w:b/>
          <w:bCs/>
        </w:rPr>
        <w:t>着力提高财政保障能力</w:t>
      </w:r>
    </w:p>
    <w:p w14:paraId="74970AC1">
      <w:pPr>
        <w:ind w:firstLine="420"/>
      </w:pPr>
      <w:r>
        <w:rPr>
          <w:rFonts w:hint="eastAsia"/>
        </w:rPr>
        <w:t>注重财源培植和挖潜工作，狠抓工业项目投产和现有企业增资扩产。规范园区投产企业税收征管，积极发展房地产业和现代服务业，稳定税收增长。建立健全激励机制，发展“总部经济”，让更多优质企业愿意在南雄纳税；健全财税征管机制，完善征管措施，加强对重点财源的监控和管理，做到应收尽收，确保税收收入稳步增长；强化支出管理，完善“收支两条线”，加强政府性财产清理和监管工作；完善国库集中管理体系，逐步将财政预算外资金、其他财政专项资金纳入集中支付管理。优化支出结构，保障重点支出需求，增强财政对重点项目、基础设施、民生工程、社会公益事业的服务保障能力。</w:t>
      </w:r>
    </w:p>
    <w:p w14:paraId="2FE9441F">
      <w:pPr>
        <w:numPr>
          <w:ilvl w:val="0"/>
          <w:numId w:val="3"/>
        </w:numPr>
        <w:ind w:firstLine="422"/>
        <w:rPr>
          <w:b/>
          <w:bCs/>
        </w:rPr>
      </w:pPr>
      <w:r>
        <w:rPr>
          <w:rFonts w:hint="eastAsia"/>
          <w:b/>
          <w:bCs/>
        </w:rPr>
        <w:t>切实保障和改善民生</w:t>
      </w:r>
    </w:p>
    <w:p w14:paraId="3EEF47B2">
      <w:pPr>
        <w:ind w:firstLine="420"/>
      </w:pPr>
      <w:r>
        <w:rPr>
          <w:rFonts w:hint="eastAsia"/>
        </w:rPr>
        <w:t>注重发展与人民群众生产生活密切相关的社会各项事业，不断提高群众幸福指数。推进生态文明建设。按照生态发展区要求，强化节能、环保、土地、安全等要素约束，落实节能减排目标责任制，确保节能降耗任务顺利完成。强化对重点领域、重点企业的监管，抓好大气、水体、重金属和农业污染源防治。做好“林改”收尾工作，采取有效措施，保护森林资源，巩固省级“林业生态县”地位。抓好城乡生活垃圾集中处置，加强水土保持、中小河流综合治理。继续加大力度，加强对非法采矿、非法占地建房、乱砍滥伐等“三项整治”工作，严厉打击破坏生态环境的各种违法犯罪行为。</w:t>
      </w:r>
    </w:p>
    <w:p w14:paraId="678DC512">
      <w:pPr>
        <w:ind w:firstLine="422"/>
      </w:pPr>
      <w:r>
        <w:rPr>
          <w:rFonts w:hint="eastAsia"/>
          <w:b/>
          <w:bCs/>
        </w:rPr>
        <w:t>做好社会保障。</w:t>
      </w:r>
      <w:r>
        <w:rPr>
          <w:rFonts w:hint="eastAsia"/>
        </w:rPr>
        <w:t>统筹城乡就业，开展就业援助、就业指导，做好高校毕业生、农民工、复退军人和就业困难人员等重点群体的就业工作。加快推进社会保障体系及基层公共服务平台建设，不断扩大养老、医疗、失业、工伤、生育五大险种覆盖范围。加快社会救助体系建设，大力发展慈善事业。加大对外来投资企业和民营企业的社保扩面征收力度。加快推进新农保工作，启动城镇居民养老保险试点工作，实现城乡居民社会养老保险制度全覆盖。</w:t>
      </w:r>
    </w:p>
    <w:p w14:paraId="6CDD48F0">
      <w:pPr>
        <w:ind w:firstLine="422"/>
      </w:pPr>
      <w:r>
        <w:rPr>
          <w:rFonts w:hint="eastAsia"/>
          <w:b/>
          <w:bCs/>
        </w:rPr>
        <w:t>发展社会事业。</w:t>
      </w:r>
      <w:r>
        <w:rPr>
          <w:rFonts w:hint="eastAsia"/>
        </w:rPr>
        <w:t>建设文化强市，推进文化体制改革，完善公共文化服务体系，积极开展文化惠民活动。挖掘整合民间文化资源，丰富发展具有南雄特色的民间艺术，以旅游为载体，促进文化产业发展。优先发展教育，以创建教育强市为契机，加快推进雄州中学、全安中学、八一路小学、特殊教育学校建设，推进学校规范化建设和城乡教育均衡发展。抓好人才的引进、培养和使用，加大科技推广应用力度，提升科技服务水平。普及全民健身活动，提高竞技体育水平。加快推进基层医疗卫生机构综合改革，完善覆盖城乡的医疗卫生服务体系建设。进一步强化计生工作，稳定低生育水平，确保完成人口和计划生育各项指标任务。加强“双拥”、优抚安置、国防动员、民兵预备役和人民防空工作，关心支持老干部、老促会、工会、妇女儿童和共青团工作，加强统计、审计、民族宗教、外事侨务、港澳台事务、广电、气象、粮食、供销、档案和地方志等工作，促进社会事业全面发展。</w:t>
      </w:r>
    </w:p>
    <w:p w14:paraId="6000A48A">
      <w:pPr>
        <w:numPr>
          <w:ilvl w:val="0"/>
          <w:numId w:val="3"/>
        </w:numPr>
        <w:ind w:firstLine="422"/>
        <w:rPr>
          <w:b/>
          <w:bCs/>
        </w:rPr>
      </w:pPr>
      <w:r>
        <w:rPr>
          <w:rFonts w:hint="eastAsia"/>
          <w:b/>
          <w:bCs/>
        </w:rPr>
        <w:t>加强社会管理和政府自身建设</w:t>
      </w:r>
    </w:p>
    <w:p w14:paraId="156C196C">
      <w:pPr>
        <w:ind w:firstLine="420"/>
      </w:pPr>
      <w:r>
        <w:rPr>
          <w:rFonts w:hint="eastAsia"/>
        </w:rPr>
        <w:t>切实加强社会管理，搞好政府自身建设，为促进经济社会发展创造良好的政务环境和人文环境。</w:t>
      </w:r>
    </w:p>
    <w:p w14:paraId="056CB0E2">
      <w:pPr>
        <w:ind w:firstLine="422"/>
      </w:pPr>
      <w:r>
        <w:rPr>
          <w:rFonts w:hint="eastAsia"/>
          <w:b/>
          <w:bCs/>
        </w:rPr>
        <w:t>提升社会管理水平。</w:t>
      </w:r>
      <w:r>
        <w:rPr>
          <w:rFonts w:hint="eastAsia"/>
        </w:rPr>
        <w:t>健全综治维稳工作机制，完善市、镇、村三级综治信访维稳中心（工作站）平台建设，着力解决征地拆迁、林权纠纷、土地纠纷等重点问题。坚持“打防管控”相结合，加强对流动人口、出租屋等重点人群和重点区域的治安管理，严厉打击暴力、黑恶势力犯罪和“两抢一盗”等犯罪活动。深入开展“六五”普法，做好法律服务和法律援助工作。进一步落实安全生产和消防工作责任制，及时处置突发性公共事件。建设市、镇、村三级食品药品安全监管网络，积极创建食品药品安全示范县。</w:t>
      </w:r>
    </w:p>
    <w:p w14:paraId="0AB03D59">
      <w:pPr>
        <w:ind w:firstLine="422"/>
      </w:pPr>
      <w:r>
        <w:rPr>
          <w:rFonts w:hint="eastAsia"/>
          <w:b/>
          <w:bCs/>
        </w:rPr>
        <w:t>着力建设高效务实政府。</w:t>
      </w:r>
      <w:r>
        <w:rPr>
          <w:rFonts w:hint="eastAsia"/>
        </w:rPr>
        <w:t>自觉接受市人大监督，积极支持配合市政协参政议政，健全科学民主决策机制，建设民主政府；加强教育监察，严惩腐败行为，建设廉洁政府；严格依法行政，推进法制建设，建设法治政府；抓好干部队伍作风建设，以良好的工作作风提升服务水平，建设服务型政府。</w:t>
      </w:r>
    </w:p>
    <w:p w14:paraId="1F5CC29B">
      <w:pPr>
        <w:ind w:firstLine="420"/>
      </w:pPr>
      <w:r>
        <w:rPr>
          <w:rFonts w:hint="eastAsia"/>
        </w:rPr>
        <w:t>在此基础上，努力提高政府效能。集中精力抓项目、谋发展，力争在重点项目、重点工作推进力度上取得新突破。加强对生态功能区和“中央苏区县”相关政策的研究对接，力争在争取上级政策支持上实现新突破。精简行政审批事项，简化办事手续，提高办事效率。树立解放思想、抢抓机遇的责任意识，增强创新精神，提高干部队伍的执行力。强化督查、督办，建立健全时间倒逼机制，确保各项工作任务如期完成。加强干部问责，对未能如期完成工作任务的单位和责任人进行问责。积极探索绩效考核新机制，区别对待工作中的“务虚”、“务实”，科学量化考核指标。大力提倡简短会风和简练文风，减少会议次数、会议规模，规范政府行文。减少迎来送往，让领导干部和基层单位腾出更多的时间和精力抓好工作落实。</w:t>
      </w:r>
    </w:p>
    <w:p w14:paraId="5F349929">
      <w:pPr>
        <w:ind w:firstLine="420"/>
      </w:pPr>
      <w:r>
        <w:rPr>
          <w:rFonts w:hint="eastAsia"/>
        </w:rPr>
        <w:t>各位代表！今年是我市实现“生产总值、地方财政一般预算收入、社会事业和公共服务投入”三年翻番目标攻坚年，工作任务繁重而艰巨。站在新起点，谋求新发展，实现新跨越，是我们光荣的使命，也是我们义不容辞的责任。让我们在中共南雄市委的坚强领导下，团结和带领全市人民，以更加昂扬的斗志、更加饱满的热情、更加务实的作风，振奋精神，真抓实干，为实现南雄科学发展、跨越发展而努力奋斗！</w:t>
      </w:r>
    </w:p>
    <w:p w14:paraId="67C58392">
      <w:pPr>
        <w:pStyle w:val="3"/>
      </w:pPr>
      <w:r>
        <w:rPr>
          <w:rFonts w:hint="eastAsia"/>
        </w:rPr>
        <w:t>南雄市创建国家可持续发展实验区工作纪实</w:t>
      </w:r>
    </w:p>
    <w:p w14:paraId="3C58015D">
      <w:pPr>
        <w:ind w:firstLine="422"/>
      </w:pPr>
      <w:r>
        <w:rPr>
          <w:rFonts w:hint="eastAsia"/>
          <w:b/>
          <w:bCs/>
        </w:rPr>
        <w:t xml:space="preserve">创建工作背景 </w:t>
      </w:r>
      <w:r>
        <w:rPr>
          <w:rFonts w:hint="eastAsia"/>
        </w:rPr>
        <w:t>国家可持续发展实验区是由国家科技部会同国家发改委和环保部等政府部门共同推动的一项地方性可持续发展综合示范试点工作，旨在依靠科技进步、机制创新和制度建设，全面提高实验区可持续发展能力，探索不同类型地区经济、社会和资源环境协调发展的机制和模式，为不同类型地区实施可持续发展战略提供示范。2007年12月经广东省科技厅批准南雄市为“广东省可持续发展实验区”，2009年6月25日至26日，由广东省科技厅组织的由原省政协常委、省知识产权研究会理事长郭喜泉、中科院广州分院副院长、研究员黄宁生、华南农业大学农学院副院长王建武、省科技厅社会发展与基础研究处调研员陶练敏等专家和广东省科技厅领导组成的专家考察组对南雄市省级可持续发展实验区进行中期工作检查，专家组一致认为，南雄市创建省级可持续发展实验区以来，市委、市政府领导高度重视，严格按照国家、省关于实施可持续发展战略的精神及实验区总体规划的要求，精心组织实施、取措施得力、项目进展顺利、主要指标完成情况良好，具备申报国家级可持续发展实验区的条件。中期考察结束后，市科技局局长李皋辉同志经请示主管科技的副市长罗战勇同意后，报请市委书记林楚欣、市长许志新同意，于2009年9月8日，成立以南雄市人民政府市长许志新为组长，市委常委陈玉英、副市长罗战勇为副组长，市委办、市政府办、市委宣传部、市科技局、市发展与改革局、市农业局、市环保局、市林业局、市广播电视台、市财政局、市国土资源局旅游局、市文广新局、市人事局、市教育局市交通局、市经贸局、市体育局、市人口和计划生育局、市卫生局、市安监局、市建设局、市民政局、市水利局、市外贸局、市公安局、市劳动和社会保障局共27个单位主要负责人为成员的“南雄市创建国家可持续发展实验区工作领导小组”，并在南雄市科发展实验区工作纪实技局设立办公室，办公室主任由科技局局长李皋辉同志兼任，负责创建国家可持续发展实验区日常工作。</w:t>
      </w:r>
    </w:p>
    <w:p w14:paraId="31C55CAC">
      <w:pPr>
        <w:ind w:firstLine="422"/>
      </w:pPr>
      <w:r>
        <w:rPr>
          <w:rFonts w:hint="eastAsia"/>
          <w:b/>
          <w:bCs/>
        </w:rPr>
        <w:t xml:space="preserve">创建工作的过程 </w:t>
      </w:r>
      <w:r>
        <w:rPr>
          <w:rFonts w:hint="eastAsia"/>
        </w:rPr>
        <w:t>南雄市申报国家可持续发展实验区的工作历经二年（2009年6月28日至2012年2月17日）申报工作由四个阶段组成。</w:t>
      </w:r>
    </w:p>
    <w:p w14:paraId="2770B20F">
      <w:pPr>
        <w:numPr>
          <w:ilvl w:val="0"/>
          <w:numId w:val="4"/>
        </w:numPr>
        <w:ind w:firstLine="422"/>
      </w:pPr>
      <w:r>
        <w:rPr>
          <w:rFonts w:hint="eastAsia"/>
          <w:b/>
          <w:bCs/>
        </w:rPr>
        <w:t xml:space="preserve">考察学习论证阶段。 </w:t>
      </w:r>
      <w:r>
        <w:rPr>
          <w:rFonts w:hint="eastAsia"/>
        </w:rPr>
        <w:t>2009</w:t>
      </w:r>
      <w:r>
        <w:rPr>
          <w:rFonts w:hint="eastAsia"/>
          <w:lang w:val="en-US" w:eastAsia="zh-CN"/>
        </w:rPr>
        <w:t>年</w:t>
      </w:r>
      <w:r>
        <w:rPr>
          <w:rFonts w:hint="eastAsia"/>
        </w:rPr>
        <w:t>7月8</w:t>
      </w:r>
      <w:r>
        <w:rPr>
          <w:rFonts w:hint="eastAsia"/>
          <w:lang w:val="en-US" w:eastAsia="zh-CN"/>
        </w:rPr>
        <w:t>日</w:t>
      </w:r>
      <w:r>
        <w:rPr>
          <w:rFonts w:hint="eastAsia"/>
        </w:rPr>
        <w:t>，由南雄市科学技术局相关人员组成的考察组赴江西省赣州市崇义县，学习创建国家可持续发展实验区的做法和经验，7月22日－24日，科技局局长李皋辉同志参加在河北省廊坊市由国家科技部举办的“国家可持续发展实验区管理干部培训班；2009年10月27日－29日，李皋辉、曹宗林参加湖南韶山召开的“第七届国家可持续发展实验区论坛暨国家可持续发展实验区专家委员会中南区域组2009年工作会议”；9月23日，南雄市委、市政府邀请国家可持续发展实验区专家委员会和省可持续发展实验区专家指导委员会专家黄宁生教授到南雄举办“可持续发展专题报告会”，这次报告会是针对南雄市申报国家可持续发展实验区开展的重要宣传活动，黄宁生教授在报告会上作“可持续发展的理念、行动与进展”的专题报告，并根据当时全国及全省实验区发展的优点及不足对南雄市申报国家可持续发展实验区提出有关建议。南雄市四套领导班子成员、各镇（街道）党委书记、镇长（主任）。市直副科以上单位“一把手”共200多位干部参加本次报告会。</w:t>
      </w:r>
    </w:p>
    <w:p w14:paraId="079887EB">
      <w:pPr>
        <w:numPr>
          <w:ilvl w:val="0"/>
          <w:numId w:val="4"/>
        </w:numPr>
        <w:ind w:firstLine="422"/>
      </w:pPr>
      <w:r>
        <w:rPr>
          <w:rFonts w:hint="eastAsia"/>
          <w:b/>
          <w:bCs/>
        </w:rPr>
        <w:t xml:space="preserve">编制《广东省南雄市国家可持续发展实验区建设规划》阶段。 </w:t>
      </w:r>
      <w:r>
        <w:rPr>
          <w:rFonts w:hint="eastAsia"/>
        </w:rPr>
        <w:t>从2009年7月开始，历经二年零五个月，经过多次修改，九易其稿直至2011年12月才定稿上报国家科技部评审。规划书是在科技局局长李皋辉同志的亲自主持带领下，由市科技局曹宗林同志执笔起草主编完成。在规划书编写期间获得广东省科技厅社会发展与基础研究处、广东省技术经济研究发展中心可持续发展所以及国家、省内外可持续发展领域方面的领导、专家、教授的支持帮助及悉心指导，同时得到南雄市政府办、电视台、农业局、发改局、旅游局、统计局、住建局、国土局等部门的大力协助。2009年8月24日，在科技局培训室举办“南雄市创建国家可持续发展实验区相关材料撰写培训会议”，邀请江西省赣州市崇义县科技局、国家可持续发展实验区华东区域组专家周忠仁同志授课，南雄市创建国家可持续发展实验区工作领导小组主要成员单位的办公室主任或有关人员参加培训。2009年9月16日，由广东省科技厅社会发展与基础研究处组织有关专家在科技厅会议室对南雄市申报国家可持续发展实验区的建设规划进行研讨，对南雄市的申报规划进行详细分析，针对南雄自然、资源、社会、环境及人口发展优势及特点提出修改意见。2009年至2011年7月，李皋辉，曹宗林等同志，先后于2009年6月15日到广州拜访中国科学院广州分院常务副院长黄宁生教授；2009年7月22日至24日到湖北武汉请教华中科技大学、国家可持续发展实验区专家委员会委员、中南区域组组长、华中科技大学土木工程与力学学院教授王晓鸣教授，他们对南雄市申报国家可持续发展实验区建设规划均提出宝贵修改意见。</w:t>
      </w:r>
    </w:p>
    <w:p w14:paraId="6BA8DA8B">
      <w:pPr>
        <w:numPr>
          <w:ilvl w:val="0"/>
          <w:numId w:val="4"/>
        </w:numPr>
        <w:ind w:firstLine="422"/>
      </w:pPr>
      <w:r>
        <w:rPr>
          <w:rFonts w:hint="eastAsia"/>
          <w:b/>
          <w:bCs/>
        </w:rPr>
        <w:t xml:space="preserve">国家科技部专家现场考察阶段。 </w:t>
      </w:r>
      <w:r>
        <w:rPr>
          <w:rFonts w:hint="eastAsia"/>
        </w:rPr>
        <w:t>2010年5月17日至5月19日，中国21世纪议程管理中心和国家可持续发展实验区管理办公室组织国家专家组一行6人对南雄市申报国家可持续发展实验区进行现场考察和指导。广东省科技厅社会发展与基础研究处姚化荣处长、陶练敏调研员以及韶关市科技局副局长翟成洪等同志参与考察指导并全程陪同专家组成员。姚化荣处长主持申报汇报会上，南雄市委书记林楚欣介绍南雄市发展战略，市长许志新作关于申报工作的汇报和实验区发展规划方案的编制说明。专家组按规定向参加会议的市属各部门以及各镇区的主要领导发放调查问卷，对规划方案进行提问和质询。会后，专家组分别对南雄市的科技、文化、教育、产业园以及民生状况进行现场调研，并参观江防洪大堤、污水处理厂、绿州公司、农业综合开发、人民医院停、南雄中学、烟草公司、珠玑新村、珠玑古巷等。通过综合考察，专家组对南雄领导重视、方案扎实、理念明确留下深刻印象，给南雄市在建设省级可持续发展实验区方面取得成绩给予较高评价，对南雄市科技局的有效工作给予积极评价，同时一致同意推荐南雄市申报国家可持续发展实验区。考察期间由曹宗林负责撰写《南雄市创建国家级可持续发展实验区市长汇报材料》及考察过程中专家意见的收集、整理、答复等所有材料的撰写。5月17日下午，专家对规划方案进行提问和质询，并提出32个问题。当晚8时，由南雄市委书记林楚欣亲自召集并主持南雄市创建国家可持续发展实验区工作领导小组主要成员单位“一把手”会议，对专家组提出的问题及规划方案进行现场讨论、解答、修改，会议一直开到深夜1点多钟，会后，负责材料整理的曹宗林同志，虽感冒发烧到39度，但仍然坚持到凌晨5点钟，把会议涉及到的全市27个部门现场讨论、解答、修改的意见进行归纳，并针对专家提出的32个问题进行解答并形成答辩文字材料，18日早上8点半前发送到每个专家手上，当天早上9点钟开始的会议上，专家们对此特别指出：仅从此事就能体现出南雄市对申报工作具有高度责任心和渴望申报成功的强烈心情。</w:t>
      </w:r>
    </w:p>
    <w:p w14:paraId="6606F9EA">
      <w:pPr>
        <w:numPr>
          <w:ilvl w:val="0"/>
          <w:numId w:val="4"/>
        </w:numPr>
        <w:ind w:firstLine="422"/>
      </w:pPr>
      <w:r>
        <w:rPr>
          <w:rFonts w:hint="eastAsia"/>
          <w:b/>
          <w:bCs/>
        </w:rPr>
        <w:t xml:space="preserve">联席评审会阶段。 </w:t>
      </w:r>
      <w:r>
        <w:rPr>
          <w:rFonts w:hint="eastAsia"/>
        </w:rPr>
        <w:t>2010年12月8日－9日，南雄市委书记许志新、市长刘清生、市科技局李皋辉、曹宗林及政府办何少民参加由科技部牵头组织，国家发改委、教育部、国土资源部、人力资源</w:t>
      </w:r>
      <w:r>
        <w:rPr>
          <w:rFonts w:hint="eastAsia"/>
          <w:lang w:val="en-US" w:eastAsia="zh-CN"/>
        </w:rPr>
        <w:t>和</w:t>
      </w:r>
      <w:r>
        <w:rPr>
          <w:rFonts w:hint="eastAsia"/>
        </w:rPr>
        <w:t>社会保障部、环保部、水利部、文化部、卫生部等18个国家部委参加的2010年度国家可持续发展实验区联席评审会，刘清生市长向评委汇报建设规划和方案，接受18个部委的评委质询，李皋辉、何少民、曹宗林一同参加评审答辨会。《南雄市申报国家级可持续发展实验区市长汇报材料》由曹宗林撰写并经刘清生市长多次修改最后才定稿，《南雄市可持续发展实验区建设工作纪实专题片》由南雄电视台李英坚编辑、文字材料由曹宗林供稿。</w:t>
      </w:r>
    </w:p>
    <w:p w14:paraId="07425E0E">
      <w:pPr>
        <w:ind w:firstLine="422"/>
      </w:pPr>
      <w:r>
        <w:rPr>
          <w:rFonts w:hint="eastAsia"/>
          <w:b/>
          <w:bCs/>
        </w:rPr>
        <w:t xml:space="preserve">南雄市国家可持续发展实验区的建设 </w:t>
      </w:r>
      <w:r>
        <w:rPr>
          <w:rFonts w:hint="eastAsia"/>
        </w:rPr>
        <w:t>2011年2月17日，中华人民共和国科学技术部以国科发社[2011]57号文件批准南雄市为国家可持续发展实验区，2011年7月18日，南雄市委副书记王荣光、科技局李皋辉、曹宗林出席在北京召开的“第四次全国社会发展科技工作会议”。会上王荣光副书记在主席台上亲自从全国政协副主席、中科技部万钢部长手中接过“南雄市国家可持续发展实验区”牌匾。南雄市国家可持续发展实验区的创建为南雄建立一套比较完善的可持续发展决策体系和决策机制，探索出一条以生态农业、绿色农业为特色的第一产业和以生态旅游为特色的第三产业的发展之路，走出一条生态发展区及生态敏感型欠发达山区和革命老区，通过依靠科技进步和科技创新建设生态文明家园和生态产业的可持续发展之路提供强有力科技支撑。                                                    （曹宗林）</w:t>
      </w:r>
    </w:p>
    <w:tbl>
      <w:tblPr>
        <w:tblStyle w:val="15"/>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687A2B2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0424EC6A">
            <w:pPr>
              <w:ind w:firstLine="0" w:firstLineChars="0"/>
            </w:pPr>
            <w:r>
              <w:rPr>
                <w:rFonts w:hint="eastAsia"/>
              </w:rPr>
              <w:drawing>
                <wp:inline distT="0" distB="0" distL="114300" distR="114300">
                  <wp:extent cx="6181090" cy="3920490"/>
                  <wp:effectExtent l="0" t="0" r="10160" b="3810"/>
                  <wp:docPr id="2" name="图片 2" descr="南雄年鉴201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南雄年鉴2012-33"/>
                          <pic:cNvPicPr>
                            <a:picLocks noChangeAspect="1"/>
                          </pic:cNvPicPr>
                        </pic:nvPicPr>
                        <pic:blipFill>
                          <a:blip r:embed="rId86" cstate="print"/>
                          <a:stretch>
                            <a:fillRect/>
                          </a:stretch>
                        </pic:blipFill>
                        <pic:spPr>
                          <a:xfrm>
                            <a:off x="0" y="0"/>
                            <a:ext cx="6181090" cy="3920490"/>
                          </a:xfrm>
                          <a:prstGeom prst="rect">
                            <a:avLst/>
                          </a:prstGeom>
                        </pic:spPr>
                      </pic:pic>
                    </a:graphicData>
                  </a:graphic>
                </wp:inline>
              </w:drawing>
            </w:r>
          </w:p>
        </w:tc>
      </w:tr>
    </w:tbl>
    <w:p w14:paraId="20C49E4E">
      <w:pPr>
        <w:ind w:firstLine="0" w:firstLineChars="0"/>
      </w:pPr>
    </w:p>
    <w:p w14:paraId="0C0C6E19">
      <w:pPr>
        <w:pStyle w:val="3"/>
      </w:pPr>
      <w:r>
        <w:rPr>
          <w:rFonts w:hint="eastAsia"/>
        </w:rPr>
        <w:t>新型农村社会养老保险</w:t>
      </w:r>
    </w:p>
    <w:p w14:paraId="2573E379">
      <w:pPr>
        <w:numPr>
          <w:ilvl w:val="0"/>
          <w:numId w:val="5"/>
        </w:numPr>
        <w:ind w:firstLine="422"/>
        <w:rPr>
          <w:b/>
          <w:bCs/>
        </w:rPr>
      </w:pPr>
      <w:r>
        <w:rPr>
          <w:rFonts w:hint="eastAsia"/>
          <w:b/>
          <w:bCs/>
        </w:rPr>
        <w:t>工作情况</w:t>
      </w:r>
    </w:p>
    <w:p w14:paraId="005C9472">
      <w:pPr>
        <w:ind w:firstLine="420"/>
      </w:pPr>
      <w:r>
        <w:rPr>
          <w:rFonts w:hint="eastAsia"/>
        </w:rPr>
        <w:t>南雄作为国家第三批新型农村社会养老保险试点县（市），自2011年8月19日启动新型农村社会养老保险（简称新农保）试点工作以来，市委、市政府高度重视，按照“保基本、广覆盖、有弹性、可持续”的原则，结合地方实际，采取各种积极有效措施组织农民参保，全力做好新农保试点工作并取得显著成效，提前超额完成了2011年各项目标任务。2012年1月9日，在全省人力资源和社会保障工作会议上，南雄市被授予“广东省新型农村社会养老保险制度全覆盖达标单位”称号，获省委、省政府通报表扬和授牌。2012年3月被韶关市人民政府授予“新型农村社会养老保险试点工作先进单位”称号。</w:t>
      </w:r>
    </w:p>
    <w:p w14:paraId="3441CD51">
      <w:pPr>
        <w:numPr>
          <w:ilvl w:val="0"/>
          <w:numId w:val="6"/>
        </w:numPr>
        <w:ind w:firstLine="422"/>
        <w:rPr>
          <w:b/>
          <w:bCs/>
        </w:rPr>
      </w:pPr>
      <w:r>
        <w:rPr>
          <w:rFonts w:hint="eastAsia"/>
          <w:b/>
          <w:bCs/>
        </w:rPr>
        <w:t>新农保试点工作开展情况</w:t>
      </w:r>
    </w:p>
    <w:p w14:paraId="6FF20F41">
      <w:pPr>
        <w:ind w:firstLine="420"/>
      </w:pPr>
      <w:r>
        <w:rPr>
          <w:rFonts w:hint="eastAsia"/>
        </w:rPr>
        <w:t>截止12月31日，市信息审核人数是12.6849万人，完成全年任务的123.41%，缴费人数达8.2754万人，完成全年任务的114.38%，领取待遇人数3.8169万人，完成全年任务的125.42%。</w:t>
      </w:r>
    </w:p>
    <w:p w14:paraId="344F1A37">
      <w:pPr>
        <w:numPr>
          <w:ilvl w:val="0"/>
          <w:numId w:val="6"/>
        </w:numPr>
        <w:ind w:firstLine="422"/>
        <w:rPr>
          <w:b/>
          <w:bCs/>
        </w:rPr>
      </w:pPr>
      <w:r>
        <w:rPr>
          <w:rFonts w:hint="eastAsia"/>
          <w:b/>
          <w:bCs/>
        </w:rPr>
        <w:t>主要做法</w:t>
      </w:r>
    </w:p>
    <w:p w14:paraId="65BA822B">
      <w:pPr>
        <w:ind w:firstLine="420"/>
      </w:pPr>
      <w:r>
        <w:rPr>
          <w:rFonts w:hint="eastAsia"/>
        </w:rPr>
        <w:t>精心组织领导。一是市及时成立了以市长为组长、分管市委常委和副市长为副组长的新农保试点工作领导小组，加强了对新农保试点工作的领导。同时在市人社局设立了新农保试点工作领导小组办公室，负责在全市组织实施新农保试点工作。二是精心谋划组织，在市中心区举行隆重的新农保试点启动仪式，为60周岁以上老人代表发放新农保养老待遇存折；在南雄大会堂召开了市、镇、村三级干部职工参加的动员大会，统一了思想认识。三是全市18个镇（街道）在会后及时成立了相应的工作领导小组，抽调精干力量组建专门办公室，形成“主要领导亲自抓，分管领导具体抓，驻村领导配合抓，镇、村直接抓”的工作机制，扎实稳步推进会养老保险。新农保试点工作。</w:t>
      </w:r>
    </w:p>
    <w:p w14:paraId="1B23EB27">
      <w:pPr>
        <w:ind w:firstLine="420"/>
      </w:pPr>
      <w:r>
        <w:rPr>
          <w:rFonts w:hint="eastAsia"/>
        </w:rPr>
        <w:t>制定严密实施办法和方案。为使新农保试点工作能迅速、有效开展起来，市及时召开了《南雄市新型农村社会养老保险试点实施办法》征求意见座谈会，广泛征求农民、村干部代表和“阳光使者”的意见，使《实施办法》更加切实可行。《实施办法》规定了对农村重度残疾人参加新农保，按最低缴费档次由市财政给予补贴，本人不用缴费，成为市新农保试点工作的一大特色。同时结合自身实际，认真制定了《南雄市新型农村社会养老保险试点工作方案》，确保新农保试点工作在我市得到有序实施。</w:t>
      </w:r>
    </w:p>
    <w:p w14:paraId="6F28804C">
      <w:pPr>
        <w:ind w:firstLine="420"/>
      </w:pPr>
      <w:r>
        <w:rPr>
          <w:rFonts w:hint="eastAsia"/>
        </w:rPr>
        <w:t>加大宣传发动力度。为加快推进新农保试点工作，市共投入25万元资金，全力做好新农保宣传工作，使新农保政策深入人心、家喻户晓。一是编印了10万份《南雄市新型农村社会养老保险宣传手册》，分发到各镇（街道）和机关事业单位，再由他们及时将这10万份《宣传手册》全部发放到了全市18个镇（街道）的每家每户农民手中和机关事业单位干部手里，让新农保政策规定和办理程序、服务窗口、联系电话等全部告知全市广大干部群众。二是选用通俗易懂、脍炙人口的宣传标语，制作成10幅大型广告牌竖立在市区及各镇主要交通要道口。三是制作了印有新农保宣传口号的10000条围裙和5000个手提文件袋，分发到农户和镇（街道）干部、经办人员手中。四是在市中心区举办多场新农保政策咨询会，及时解答农民群众疑问，宣传新农保政策知识。</w:t>
      </w:r>
    </w:p>
    <w:p w14:paraId="7948DE11">
      <w:pPr>
        <w:ind w:firstLine="420"/>
      </w:pPr>
      <w:r>
        <w:rPr>
          <w:rFonts w:hint="eastAsia"/>
        </w:rPr>
        <w:t>加强经办力量。一是积极克服财政困难，投入专款40多万元实行政府招标采购，着力加强基层平台和队伍建设，充实经办工作力量。其中为各镇（街道）新农保办公室配备了一台台式电脑、一台打印机、一台复印机，为市新农保办公室配备了8台台式电脑、4台打印机和2台笔记本电脑等专用设备；通过购买服务，社保中心南雄办事处招聘了4名新农保经办人员；为各镇（街道）新农保办公室补贴一定的工作经费。二是努力打造一支能力强、业务精的新农保工作队伍。切实加强对全市新农保工作人员的业务培训，先后共举办46期有3000多人次参加的新农保试点工作业务专题培训班，使新农保工作人员全面系统地熟悉掌握相关政策、程序、标准，为新农保的全面开展打下了坚实的基础。</w:t>
      </w:r>
    </w:p>
    <w:p w14:paraId="0E0B2BC5">
      <w:pPr>
        <w:ind w:firstLine="420"/>
      </w:pPr>
      <w:r>
        <w:rPr>
          <w:rFonts w:hint="eastAsia"/>
        </w:rPr>
        <w:t>落实新农保责任制。在8月19日召开的全市新农保动员大会上，市长代表市政府与各镇（街道）镇长（主任）签订了责任书，明确了各镇（街道）的工作责任和任务。会后，全市18个镇（街道）及时制定了具体工作任务分配表，将任务具体落实到每位镇村干部身上，明确了镇（街道）、村干部责任，分片包干、责任到人，做到村不漏户，户不漏人，形成“一级抓一级，层层抓落实”的工作格局。</w:t>
      </w:r>
    </w:p>
    <w:p w14:paraId="101D730A">
      <w:pPr>
        <w:ind w:firstLine="420"/>
      </w:pPr>
      <w:r>
        <w:rPr>
          <w:rFonts w:hint="eastAsia"/>
        </w:rPr>
        <w:t>加强督查督办。一是及时编印简报。新农保试点工作开展四个月，市新农保试点领导小组办公室就编印了12期简报，及时通报各镇（街道）参保任务完成情况，交流推广好的工作经验和做法。二是强化检查督导。新农保试点启动以来，市委、市政府主要领导经常深入所挂点镇村开展调研，分管领导及时多次组织召开全市新农保试点工作推进协调座谈会，研究新问题找出新办法推广新经验。市新农保试点领导小组办公室积极到各镇（街道）开展巡回督查，指导协调新农保试点工作，并深入90多户农户家中与农户交谈，听取和采纳农民对新农保工作的看法、意见和建议，取得了良好效果。三是实施倒逼机制。为督促各镇（街道）顺利完成新农保试点任务，在最为关键的12月制定了任务倒逼制和每日任务完成制，进一步加快了工作进度。同时实行每周通报制度，及时通报排名各镇任务完成进度，在全市形成你追我赶的工作热潮。</w:t>
      </w:r>
    </w:p>
    <w:p w14:paraId="21455078">
      <w:pPr>
        <w:ind w:firstLine="420"/>
      </w:pPr>
      <w:r>
        <w:rPr>
          <w:rFonts w:hint="eastAsia"/>
        </w:rPr>
        <w:t>制定激励机制。为推进新农保试点工作，及时出台了《关于建立新型农村社会养老保险试点工作激励机制的通知》，拿出了50万元作为奖金奖励工作先进，对百分百完成任务的镇（街道）奖励10000元，对完成任务每超一个百分点的奖励1000元。12月12日，对率先全面完成任务的南亩、古市、界址三个镇分别奖励10000元新农保基础性奖励金，极大激发了各镇（街道）的工作热情。</w:t>
      </w:r>
    </w:p>
    <w:p w14:paraId="0AB9906D">
      <w:pPr>
        <w:numPr>
          <w:ilvl w:val="0"/>
          <w:numId w:val="5"/>
        </w:numPr>
        <w:ind w:firstLine="422"/>
        <w:rPr>
          <w:b/>
          <w:bCs/>
        </w:rPr>
      </w:pPr>
      <w:r>
        <w:rPr>
          <w:rFonts w:hint="eastAsia"/>
          <w:b/>
          <w:bCs/>
        </w:rPr>
        <w:t>新农保试点实施办法</w:t>
      </w:r>
    </w:p>
    <w:p w14:paraId="0A0363D9">
      <w:pPr>
        <w:ind w:firstLine="422"/>
        <w:jc w:val="center"/>
        <w:rPr>
          <w:b/>
          <w:bCs/>
        </w:rPr>
      </w:pPr>
      <w:r>
        <w:rPr>
          <w:rFonts w:hint="eastAsia"/>
          <w:b/>
          <w:bCs/>
        </w:rPr>
        <w:t>第一章 总则</w:t>
      </w:r>
    </w:p>
    <w:p w14:paraId="31F42A45">
      <w:pPr>
        <w:ind w:firstLine="422"/>
      </w:pPr>
      <w:r>
        <w:rPr>
          <w:rFonts w:hint="eastAsia"/>
          <w:b/>
          <w:bCs/>
        </w:rPr>
        <w:t>第一条</w:t>
      </w:r>
      <w:r>
        <w:rPr>
          <w:rFonts w:hint="eastAsia"/>
        </w:rPr>
        <w:t xml:space="preserve"> 为保障农村居民年老后的基本生活，促进社会和谐稳定，根据《国务院关于开展新型农村社会养老保险试点的指导意见》（国发[2009]32号）、省政府《印发广东省新型农村社会养老保险试点实施办法》（粤府[2009]124号）、省政府办公厅《转发省人力资源和社会保障厅关于进一步做好我省被征地农民养老保障工作的通知》（粤府办[2010]41号）、省政府新农保试点工作领导小组《关于印发广东省新型农村社会养老保险政策补充规定的通知》（粤农试[2010]1号）、《韶关市新型农村社会养老保险三年全覆盖工作方案》（韶府办〔201128号〕精神，结合本市实际，制定本办法。</w:t>
      </w:r>
    </w:p>
    <w:p w14:paraId="62DC952B">
      <w:pPr>
        <w:ind w:firstLine="422"/>
      </w:pPr>
      <w:r>
        <w:rPr>
          <w:rFonts w:hint="eastAsia"/>
          <w:b/>
          <w:bCs/>
        </w:rPr>
        <w:t xml:space="preserve">第二条 </w:t>
      </w:r>
      <w:r>
        <w:rPr>
          <w:rFonts w:hint="eastAsia"/>
        </w:rPr>
        <w:t>年满16周岁以上（不含在校学生）、具有南雄市农村户籍，未参加城镇企业职工基本养老保险的农村居民，可在户籍所在地参加新型农村社会养老保险（以下简称新农保）。</w:t>
      </w:r>
    </w:p>
    <w:p w14:paraId="7C5FAF43">
      <w:pPr>
        <w:ind w:firstLine="422"/>
      </w:pPr>
      <w:r>
        <w:rPr>
          <w:rFonts w:hint="eastAsia"/>
          <w:b/>
          <w:bCs/>
        </w:rPr>
        <w:t xml:space="preserve">第三条 </w:t>
      </w:r>
      <w:r>
        <w:rPr>
          <w:rFonts w:hint="eastAsia"/>
        </w:rPr>
        <w:t>新农保实行社会统筹与个人账户相结合的模式；遵循“保基本、广覆盖、有弹性、可持续”、权利与义务相对应、公平与效率相结合的原则；采取个人缴费、集体补助、政府补贴相结合的筹资方式。第四条新农保实行南雄市级统筹。第五条南雄市人民政府保证新农保基金征集和待遇给付。新农保基金及其收益和养老待遇按国家规定免征税费。</w:t>
      </w:r>
    </w:p>
    <w:p w14:paraId="7307B5AF">
      <w:pPr>
        <w:ind w:firstLine="422"/>
        <w:jc w:val="center"/>
        <w:rPr>
          <w:b/>
          <w:bCs/>
        </w:rPr>
      </w:pPr>
      <w:r>
        <w:rPr>
          <w:rFonts w:hint="eastAsia"/>
          <w:b/>
          <w:bCs/>
        </w:rPr>
        <w:t>第二章 新农保基金的征集</w:t>
      </w:r>
    </w:p>
    <w:p w14:paraId="1F3DD344">
      <w:pPr>
        <w:ind w:firstLine="422"/>
      </w:pPr>
      <w:r>
        <w:rPr>
          <w:rFonts w:hint="eastAsia"/>
          <w:b/>
          <w:bCs/>
        </w:rPr>
        <w:t>第六条 新农保基金的来源</w:t>
      </w:r>
      <w:r>
        <w:rPr>
          <w:rFonts w:hint="eastAsia"/>
        </w:rPr>
        <w:t>：</w:t>
      </w:r>
    </w:p>
    <w:p w14:paraId="4A01663D">
      <w:pPr>
        <w:ind w:firstLine="420"/>
      </w:pPr>
      <w:r>
        <w:rPr>
          <w:rFonts w:hint="eastAsia"/>
        </w:rPr>
        <w:t>（一）农村居民个人缴费；</w:t>
      </w:r>
    </w:p>
    <w:p w14:paraId="428AFE71">
      <w:pPr>
        <w:ind w:firstLine="420"/>
      </w:pPr>
      <w:r>
        <w:rPr>
          <w:rFonts w:hint="eastAsia"/>
        </w:rPr>
        <w:t>（二）集体补助；</w:t>
      </w:r>
    </w:p>
    <w:p w14:paraId="7F62C4D8">
      <w:pPr>
        <w:ind w:firstLine="420"/>
      </w:pPr>
      <w:r>
        <w:rPr>
          <w:rFonts w:hint="eastAsia"/>
        </w:rPr>
        <w:t>（三）国家、省、市、县（县级市）各级政府补贴；</w:t>
      </w:r>
    </w:p>
    <w:p w14:paraId="77599D21">
      <w:pPr>
        <w:ind w:firstLine="420"/>
      </w:pPr>
      <w:r>
        <w:rPr>
          <w:rFonts w:hint="eastAsia"/>
        </w:rPr>
        <w:t>（四）新农保基金的利息；</w:t>
      </w:r>
    </w:p>
    <w:p w14:paraId="7D2FB3A1">
      <w:pPr>
        <w:ind w:firstLine="420"/>
      </w:pPr>
      <w:r>
        <w:rPr>
          <w:rFonts w:hint="eastAsia"/>
        </w:rPr>
        <w:t>（五）其他收入。</w:t>
      </w:r>
    </w:p>
    <w:p w14:paraId="30EC6D57">
      <w:pPr>
        <w:ind w:firstLine="422"/>
      </w:pPr>
      <w:r>
        <w:rPr>
          <w:rFonts w:hint="eastAsia"/>
          <w:b/>
          <w:bCs/>
        </w:rPr>
        <w:t xml:space="preserve">第七条 </w:t>
      </w:r>
      <w:r>
        <w:rPr>
          <w:rFonts w:hint="eastAsia"/>
        </w:rPr>
        <w:t>参加新农保的农村居民应当按规定缴纳养老保险费。缴费基本标准设为一年120元、240元、360元、480元、600元5个档次，由参保人自行选择其中一个档次缴费。参保人的缴费方式为按年缴费。</w:t>
      </w:r>
    </w:p>
    <w:p w14:paraId="18182058">
      <w:pPr>
        <w:ind w:firstLine="422"/>
      </w:pPr>
      <w:r>
        <w:rPr>
          <w:rFonts w:hint="eastAsia"/>
          <w:b/>
          <w:bCs/>
        </w:rPr>
        <w:t xml:space="preserve">第八条 </w:t>
      </w:r>
      <w:r>
        <w:rPr>
          <w:rFonts w:hint="eastAsia"/>
        </w:rPr>
        <w:t>新型农村社会养老保险费以货币形式通过上级规定储蓄银行托收，参保人应按时足额缴费。</w:t>
      </w:r>
    </w:p>
    <w:p w14:paraId="38A8CBD5">
      <w:pPr>
        <w:ind w:firstLine="422"/>
      </w:pPr>
      <w:r>
        <w:rPr>
          <w:rFonts w:hint="eastAsia"/>
          <w:b/>
          <w:bCs/>
        </w:rPr>
        <w:t>第九条</w:t>
      </w:r>
      <w:r>
        <w:rPr>
          <w:rFonts w:hint="eastAsia"/>
        </w:rPr>
        <w:t xml:space="preserve"> 参保人员应当于每年10月1日至11月30日期间，向社保经办机构申报本人选择的下一个缴费年度的缴费档次；凡未申报或未按要求申报的，社保经办机构按其上一个缴费年度的缴费档次确定。每年1月1日至12月31日为一个缴费年度。</w:t>
      </w:r>
    </w:p>
    <w:p w14:paraId="1A0E8FD0">
      <w:pPr>
        <w:ind w:firstLine="422"/>
      </w:pPr>
      <w:r>
        <w:rPr>
          <w:rFonts w:hint="eastAsia"/>
          <w:b/>
          <w:bCs/>
        </w:rPr>
        <w:t>第十条</w:t>
      </w:r>
      <w:r>
        <w:rPr>
          <w:rFonts w:hint="eastAsia"/>
        </w:rPr>
        <w:t xml:space="preserve"> 有条件的村集体经济组织应对所属成员参保给予补助，补助数额由村集体经济组织研究决定。</w:t>
      </w:r>
    </w:p>
    <w:p w14:paraId="05D894E0">
      <w:pPr>
        <w:ind w:firstLine="422"/>
      </w:pPr>
      <w:r>
        <w:rPr>
          <w:rFonts w:hint="eastAsia"/>
          <w:b/>
          <w:bCs/>
        </w:rPr>
        <w:t xml:space="preserve">第十一条 </w:t>
      </w:r>
      <w:r>
        <w:rPr>
          <w:rFonts w:hint="eastAsia"/>
        </w:rPr>
        <w:t>省、市、县（市）三级政府对参保人进行缴费补贴，按每人每年30元的标准各承担三分之一，全部记入个人账户。县（市）级政府补贴调整根据本市经济发展情况适时提出补贴方案报韶关市政府批准实施。</w:t>
      </w:r>
    </w:p>
    <w:p w14:paraId="65ADDC85">
      <w:pPr>
        <w:ind w:firstLine="422"/>
      </w:pPr>
      <w:r>
        <w:rPr>
          <w:rFonts w:hint="eastAsia"/>
          <w:b/>
          <w:bCs/>
        </w:rPr>
        <w:t>第十二条</w:t>
      </w:r>
      <w:r>
        <w:rPr>
          <w:rFonts w:hint="eastAsia"/>
        </w:rPr>
        <w:t xml:space="preserve"> 对农村重度残疾人参加新农保，按最低缴费档次由南雄市政府给予补贴，本人不缴费</w:t>
      </w:r>
    </w:p>
    <w:p w14:paraId="78D93C7F">
      <w:pPr>
        <w:ind w:firstLine="422"/>
      </w:pPr>
      <w:r>
        <w:rPr>
          <w:rFonts w:hint="eastAsia"/>
          <w:b/>
          <w:bCs/>
        </w:rPr>
        <w:t xml:space="preserve">第十三条 </w:t>
      </w:r>
      <w:r>
        <w:rPr>
          <w:rFonts w:hint="eastAsia"/>
        </w:rPr>
        <w:t>本办法实施时，年满45周岁（不含）以上的参保人，应逐年缴费至领取待遇年龄后按月领取养老金。逐年缴费期间出现中断缴费的须进行补缴（参加城镇职工基本养老保险期间不作为间断缴费），补缴年限不享受政府的缴费补贴。也可选择趸缴若干年的养老保险费，但累计缴费年限不超过15年。对趸缴部分的财政补贴，在其达到领取养老待遇年龄前，由各级财政逐年拨付，在其达到领取养老待遇年龄后，剩余趸缴年限的缴费补贴按趸缴当年各级财政负担的标准一次性划入个人账户。本办法实施时，年龄不满45周岁（含）的参保人在达到领取社会养老待遇年龄，缴费年限不足15年的，应继续逐年缴费至缴费年限满15年止，从其符合申领养老待遇条件时的次月起发放养老金，继续缴费期间享受政府补贴。</w:t>
      </w:r>
    </w:p>
    <w:p w14:paraId="25D8FC5C">
      <w:pPr>
        <w:ind w:firstLine="422"/>
      </w:pPr>
      <w:r>
        <w:rPr>
          <w:rFonts w:hint="eastAsia"/>
          <w:b/>
          <w:bCs/>
        </w:rPr>
        <w:t>第十四条</w:t>
      </w:r>
      <w:r>
        <w:rPr>
          <w:rFonts w:hint="eastAsia"/>
        </w:rPr>
        <w:t xml:space="preserve"> 鼓励其他经济组织、社会团体或个人对参加新农保的农村居民给予资助。</w:t>
      </w:r>
    </w:p>
    <w:p w14:paraId="754AE0A1">
      <w:pPr>
        <w:ind w:firstLine="422"/>
      </w:pPr>
      <w:r>
        <w:rPr>
          <w:rFonts w:hint="eastAsia"/>
          <w:b/>
          <w:bCs/>
        </w:rPr>
        <w:t xml:space="preserve">第十五 </w:t>
      </w:r>
      <w:r>
        <w:rPr>
          <w:rFonts w:hint="eastAsia"/>
        </w:rPr>
        <w:t>条退伍军人回乡后参加新农保，如果其服役期间未参加军人养老保险的，其军龄应视同新农保缴费年限；服役期间参加了军人养老保险的，应做好与新农保的衔接，军人养老保险的缴费年限合并计算，保费记入新农保个人账户，并按新农保规定继续缴费。</w:t>
      </w:r>
    </w:p>
    <w:p w14:paraId="77CE2A16">
      <w:pPr>
        <w:ind w:firstLine="422"/>
        <w:jc w:val="center"/>
        <w:rPr>
          <w:b/>
          <w:bCs/>
        </w:rPr>
      </w:pPr>
      <w:r>
        <w:rPr>
          <w:rFonts w:hint="eastAsia"/>
          <w:b/>
          <w:bCs/>
        </w:rPr>
        <w:t>第三章 新农保待遇</w:t>
      </w:r>
    </w:p>
    <w:p w14:paraId="3D528652">
      <w:pPr>
        <w:ind w:firstLine="422"/>
      </w:pPr>
      <w:r>
        <w:rPr>
          <w:rFonts w:hint="eastAsia"/>
          <w:b/>
          <w:bCs/>
        </w:rPr>
        <w:t>第十六条</w:t>
      </w:r>
      <w:r>
        <w:rPr>
          <w:rFonts w:hint="eastAsia"/>
        </w:rPr>
        <w:t xml:space="preserve"> 参加新农保的农村居民同时具备下列条件的（本办法另有规定的除外），可向社会保险经办机构申请按月领取农村社会养老金：</w:t>
      </w:r>
    </w:p>
    <w:p w14:paraId="7F37B781">
      <w:pPr>
        <w:numPr>
          <w:ilvl w:val="0"/>
          <w:numId w:val="7"/>
        </w:numPr>
        <w:ind w:firstLine="420"/>
      </w:pPr>
      <w:r>
        <w:rPr>
          <w:rFonts w:hint="eastAsia"/>
        </w:rPr>
        <w:t>年满60周岁；</w:t>
      </w:r>
    </w:p>
    <w:p w14:paraId="16737934">
      <w:pPr>
        <w:numPr>
          <w:ilvl w:val="0"/>
          <w:numId w:val="7"/>
        </w:numPr>
        <w:ind w:firstLine="420"/>
      </w:pPr>
      <w:r>
        <w:rPr>
          <w:rFonts w:hint="eastAsia"/>
        </w:rPr>
        <w:t>缴费年限达到15年；</w:t>
      </w:r>
    </w:p>
    <w:p w14:paraId="099041A1">
      <w:pPr>
        <w:numPr>
          <w:ilvl w:val="0"/>
          <w:numId w:val="7"/>
        </w:numPr>
        <w:ind w:firstLine="420"/>
      </w:pPr>
      <w:r>
        <w:rPr>
          <w:rFonts w:hint="eastAsia"/>
        </w:rPr>
        <w:t>未享受城镇职工基本养老保险长期待遇。按月领取新型农村社会养老金的农村居民（含出境定居人员），必须每年进行领取养老金资格审验。</w:t>
      </w:r>
    </w:p>
    <w:p w14:paraId="614C4ECC">
      <w:pPr>
        <w:ind w:firstLine="420"/>
      </w:pPr>
      <w:r>
        <w:rPr>
          <w:rFonts w:hint="eastAsia"/>
        </w:rPr>
        <w:t>本办法实施时年满60周岁、未享受城镇职工基本养老保险长期待遇的农村居民，可以不用缴费，按月领取基础养老金，但其符合参保条件的户口在同一村民小组的子女（含外出务工者，不含外嫁女）必须参保缴费；或者一次性缴纳15年的养老保险费，按规定享受养老金。</w:t>
      </w:r>
    </w:p>
    <w:p w14:paraId="74E9BEFF">
      <w:pPr>
        <w:ind w:firstLine="422"/>
      </w:pPr>
      <w:r>
        <w:rPr>
          <w:rFonts w:hint="eastAsia"/>
          <w:b/>
          <w:bCs/>
        </w:rPr>
        <w:t>第十七条</w:t>
      </w:r>
      <w:r>
        <w:rPr>
          <w:rFonts w:hint="eastAsia"/>
        </w:rPr>
        <w:t xml:space="preserve"> 新农保社会养老金由基础养老金和个人账户养老金构成。</w:t>
      </w:r>
    </w:p>
    <w:p w14:paraId="467ED85E">
      <w:pPr>
        <w:ind w:firstLine="420"/>
      </w:pPr>
      <w:r>
        <w:rPr>
          <w:rFonts w:hint="eastAsia"/>
        </w:rPr>
        <w:t>基础养老金55元由各级政府补贴给付，其中国家财政负担基础养老金的50%（27.5元），省级财政负担13.75元，市级财政负担6.88元，县（市）级财政负担6.87元。基础养老金的调整按国家、省、市有关政策调整而调整。</w:t>
      </w:r>
    </w:p>
    <w:p w14:paraId="7B644FF9">
      <w:pPr>
        <w:ind w:firstLine="420"/>
      </w:pPr>
      <w:r>
        <w:rPr>
          <w:rFonts w:hint="eastAsia"/>
        </w:rPr>
        <w:t>对缴费年限超过15年的参保人，从第16年起，每增加1年增发2元基础养老金，由南雄市政府给予补贴。个人账户养老金从个人账户中支出。</w:t>
      </w:r>
    </w:p>
    <w:p w14:paraId="69F5E161">
      <w:pPr>
        <w:ind w:firstLine="420"/>
      </w:pPr>
      <w:r>
        <w:rPr>
          <w:rFonts w:hint="eastAsia"/>
        </w:rPr>
        <w:t>个人账户养老金的月计发标准为个人账户全部储存额除以139（如初次领取待遇时年龄大于60周岁，其</w:t>
      </w:r>
      <w:r>
        <w:rPr>
          <w:rFonts w:hint="eastAsia"/>
          <w:lang w:eastAsia="zh-CN"/>
        </w:rPr>
        <w:t>个人账户</w:t>
      </w:r>
      <w:r>
        <w:rPr>
          <w:rFonts w:hint="eastAsia"/>
        </w:rPr>
        <w:t>养老金的计发月数相应减少，与现行城镇职工基本养老保险个人账户计发系数相同）。</w:t>
      </w:r>
    </w:p>
    <w:p w14:paraId="65D298B9">
      <w:pPr>
        <w:ind w:firstLine="422"/>
      </w:pPr>
      <w:r>
        <w:rPr>
          <w:rFonts w:hint="eastAsia"/>
          <w:b/>
          <w:bCs/>
        </w:rPr>
        <w:t xml:space="preserve">第十八条 </w:t>
      </w:r>
      <w:r>
        <w:rPr>
          <w:rFonts w:hint="eastAsia"/>
        </w:rPr>
        <w:t>参加新农保的农村居民申领养老金的年龄以户籍年龄为准。</w:t>
      </w:r>
    </w:p>
    <w:p w14:paraId="61D7A75C">
      <w:pPr>
        <w:numPr>
          <w:ilvl w:val="0"/>
          <w:numId w:val="8"/>
        </w:numPr>
        <w:ind w:firstLine="420"/>
      </w:pPr>
      <w:r>
        <w:rPr>
          <w:rFonts w:hint="eastAsia"/>
        </w:rPr>
        <w:t>当地实施新农保制度时，距60周岁不足1年的参保人，按1年缴费，并在达到年满60周岁的次月起发放养老金。</w:t>
      </w:r>
    </w:p>
    <w:p w14:paraId="4FBA3CF6">
      <w:pPr>
        <w:numPr>
          <w:ilvl w:val="0"/>
          <w:numId w:val="8"/>
        </w:numPr>
        <w:ind w:firstLine="420"/>
      </w:pPr>
      <w:r>
        <w:rPr>
          <w:rFonts w:hint="eastAsia"/>
        </w:rPr>
        <w:t>当地实施新农保制度时，年满60周岁的农村居民按其填表申领待遇的时间为待遇计发时间，对以前月份不予补发。</w:t>
      </w:r>
    </w:p>
    <w:p w14:paraId="7F42B5D6">
      <w:pPr>
        <w:numPr>
          <w:ilvl w:val="0"/>
          <w:numId w:val="8"/>
        </w:numPr>
        <w:ind w:firstLine="420"/>
      </w:pPr>
      <w:r>
        <w:rPr>
          <w:rFonts w:hint="eastAsia"/>
        </w:rPr>
        <w:t>参保人达到待遇领取条件时但未及时到社保经办机构办理领取待遇手续的，由社保经办机构从其到龄的次月起全额补发养老金。</w:t>
      </w:r>
    </w:p>
    <w:p w14:paraId="40CCFFD4">
      <w:pPr>
        <w:ind w:firstLine="422"/>
      </w:pPr>
      <w:r>
        <w:rPr>
          <w:rFonts w:hint="eastAsia"/>
          <w:b/>
          <w:bCs/>
        </w:rPr>
        <w:t>第十九条</w:t>
      </w:r>
      <w:r>
        <w:rPr>
          <w:rFonts w:hint="eastAsia"/>
        </w:rPr>
        <w:t xml:space="preserve"> 按月领取待遇的参保人死亡时，其亲属应当在30日内向社保经办机构办理相关手续。除政府补贴外，其个人账户余额可以依法由法定继承人或其生前指定的受益人继承；政府补贴余额用于继续支付其他参保人的养老金。按月领取待遇的农村居民户口迁出本市的，由社保经办机构继续支付社会养老金。</w:t>
      </w:r>
    </w:p>
    <w:p w14:paraId="7601481D">
      <w:pPr>
        <w:ind w:firstLine="422"/>
        <w:jc w:val="center"/>
        <w:rPr>
          <w:b/>
          <w:bCs/>
        </w:rPr>
      </w:pPr>
      <w:r>
        <w:rPr>
          <w:rFonts w:hint="eastAsia"/>
          <w:b/>
          <w:bCs/>
        </w:rPr>
        <w:t>第四章 新农保个人账户和基金管理</w:t>
      </w:r>
    </w:p>
    <w:p w14:paraId="1CD8D613">
      <w:pPr>
        <w:ind w:firstLine="422"/>
      </w:pPr>
      <w:r>
        <w:rPr>
          <w:rFonts w:hint="eastAsia"/>
          <w:b/>
          <w:bCs/>
        </w:rPr>
        <w:t xml:space="preserve">第二十条 </w:t>
      </w:r>
      <w:r>
        <w:rPr>
          <w:rFonts w:hint="eastAsia"/>
        </w:rPr>
        <w:t>新农保以公民身份证号码作为参保居民唯一和终身的社会保障号，由社会保险经办机构按社会保障号为参保人建立个人账户。个人缴费、集体补助、政府补贴等全部记入个人账户。</w:t>
      </w:r>
    </w:p>
    <w:p w14:paraId="18649B18">
      <w:pPr>
        <w:ind w:firstLine="422"/>
      </w:pPr>
      <w:r>
        <w:rPr>
          <w:rFonts w:hint="eastAsia"/>
          <w:b/>
          <w:bCs/>
        </w:rPr>
        <w:t xml:space="preserve">第二十一条 </w:t>
      </w:r>
      <w:r>
        <w:rPr>
          <w:rFonts w:hint="eastAsia"/>
        </w:rPr>
        <w:t>参保的农村居民不得退保或提前支取个人账户储存额。参保人跨统筹区域转移养老保险关系的，其个人账户中的储存额全部转移。参保的农村居民在缴费期内出国定居或死亡的，除政府补贴资金外，其个人账户储存额一次性支付给本人或由其继承人继承，政府补贴用于继续支付其他参保人的养老金。</w:t>
      </w:r>
    </w:p>
    <w:p w14:paraId="14304FEC">
      <w:pPr>
        <w:ind w:firstLine="422"/>
      </w:pPr>
      <w:r>
        <w:rPr>
          <w:rFonts w:hint="eastAsia"/>
          <w:b/>
          <w:bCs/>
        </w:rPr>
        <w:t>第二十二条</w:t>
      </w:r>
      <w:r>
        <w:rPr>
          <w:rFonts w:hint="eastAsia"/>
        </w:rPr>
        <w:t xml:space="preserve"> 新农保基金管理按照财政部、人力资源和社会保障部颁布的《新型农村社会养老保险基金财务管理暂行办法》执行。</w:t>
      </w:r>
    </w:p>
    <w:p w14:paraId="082424BC">
      <w:pPr>
        <w:ind w:firstLine="422"/>
      </w:pPr>
      <w:r>
        <w:rPr>
          <w:rFonts w:hint="eastAsia"/>
          <w:b/>
          <w:bCs/>
        </w:rPr>
        <w:t>第二十三条</w:t>
      </w:r>
      <w:r>
        <w:rPr>
          <w:rFonts w:hint="eastAsia"/>
        </w:rPr>
        <w:t xml:space="preserve"> 新农保基金统一纳入财政专户，专款专用；任何单位和个人不得转借、挪用、平调、侵占或从中提取费用。新型农村社会养老金实行社会化发放。</w:t>
      </w:r>
    </w:p>
    <w:p w14:paraId="179A3CF2">
      <w:pPr>
        <w:ind w:firstLine="422"/>
      </w:pPr>
      <w:r>
        <w:rPr>
          <w:rFonts w:hint="eastAsia"/>
          <w:b/>
          <w:bCs/>
        </w:rPr>
        <w:t>第二十四条</w:t>
      </w:r>
      <w:r>
        <w:rPr>
          <w:rFonts w:hint="eastAsia"/>
        </w:rPr>
        <w:t xml:space="preserve"> 社会保险经办机构应当按照本办法规定，从农村居民参保之日起，为其建立新农保个人账户。并参照城镇企业职工基本养老保险个人账户管理办法进行管理。</w:t>
      </w:r>
    </w:p>
    <w:p w14:paraId="7B70B7D7">
      <w:pPr>
        <w:ind w:firstLine="422"/>
      </w:pPr>
      <w:r>
        <w:rPr>
          <w:rFonts w:hint="eastAsia"/>
          <w:b/>
          <w:bCs/>
        </w:rPr>
        <w:t>第二十五条</w:t>
      </w:r>
      <w:r>
        <w:rPr>
          <w:rFonts w:hint="eastAsia"/>
        </w:rPr>
        <w:t xml:space="preserve"> 新农保统筹基金与</w:t>
      </w:r>
      <w:r>
        <w:rPr>
          <w:rFonts w:hint="eastAsia"/>
          <w:lang w:eastAsia="zh-CN"/>
        </w:rPr>
        <w:t>个人账户</w:t>
      </w:r>
      <w:r>
        <w:rPr>
          <w:rFonts w:hint="eastAsia"/>
        </w:rPr>
        <w:t>基金分别记帐，单独核算。</w:t>
      </w:r>
    </w:p>
    <w:p w14:paraId="07216CEE">
      <w:pPr>
        <w:ind w:firstLine="422"/>
      </w:pPr>
      <w:r>
        <w:rPr>
          <w:rFonts w:hint="eastAsia"/>
          <w:b/>
          <w:bCs/>
        </w:rPr>
        <w:t>第二十六条</w:t>
      </w:r>
      <w:r>
        <w:rPr>
          <w:rFonts w:hint="eastAsia"/>
        </w:rPr>
        <w:t xml:space="preserve"> 参保人不能同时参加两种基本养老保险。</w:t>
      </w:r>
    </w:p>
    <w:p w14:paraId="1BC5D520">
      <w:pPr>
        <w:ind w:firstLine="422"/>
      </w:pPr>
      <w:r>
        <w:rPr>
          <w:rFonts w:hint="eastAsia"/>
          <w:b/>
          <w:bCs/>
        </w:rPr>
        <w:t xml:space="preserve">第二十七条 </w:t>
      </w:r>
      <w:r>
        <w:rPr>
          <w:rFonts w:hint="eastAsia"/>
        </w:rPr>
        <w:t>相关制度衔接</w:t>
      </w:r>
    </w:p>
    <w:p w14:paraId="43FF1371">
      <w:pPr>
        <w:numPr>
          <w:ilvl w:val="0"/>
          <w:numId w:val="9"/>
        </w:numPr>
        <w:ind w:firstLine="420"/>
      </w:pPr>
      <w:r>
        <w:rPr>
          <w:rFonts w:hint="eastAsia"/>
        </w:rPr>
        <w:t>与城镇职工基本养老保险制度的衔接。</w:t>
      </w:r>
    </w:p>
    <w:p w14:paraId="162A42AD">
      <w:pPr>
        <w:ind w:firstLine="420"/>
      </w:pPr>
      <w:r>
        <w:rPr>
          <w:rFonts w:hint="eastAsia"/>
        </w:rPr>
        <w:t>参保人在不同时段分别按本办法及城镇职工基本养老保险办法参保的，其养老保险关系及待遇按如下办法处理：</w:t>
      </w:r>
    </w:p>
    <w:p w14:paraId="5E3AE40A">
      <w:pPr>
        <w:numPr>
          <w:ilvl w:val="0"/>
          <w:numId w:val="10"/>
        </w:numPr>
        <w:ind w:firstLine="420"/>
      </w:pPr>
      <w:r>
        <w:rPr>
          <w:rFonts w:hint="eastAsia"/>
        </w:rPr>
        <w:t>参保人达到按月领取城镇职工基本养老保险养老金条件的，可将其新农保</w:t>
      </w:r>
      <w:r>
        <w:rPr>
          <w:rFonts w:hint="eastAsia"/>
          <w:lang w:eastAsia="zh-CN"/>
        </w:rPr>
        <w:t>个人账户</w:t>
      </w:r>
      <w:r>
        <w:rPr>
          <w:rFonts w:hint="eastAsia"/>
        </w:rPr>
        <w:t>储存额转入城镇职工基本养老保险</w:t>
      </w:r>
      <w:r>
        <w:rPr>
          <w:rFonts w:hint="eastAsia"/>
          <w:lang w:eastAsia="zh-CN"/>
        </w:rPr>
        <w:t>个人账户</w:t>
      </w:r>
      <w:r>
        <w:rPr>
          <w:rFonts w:hint="eastAsia"/>
        </w:rPr>
        <w:t>，新农保缴费年限折算后，按城镇职工基本养老保险待遇计发办法计发养老金。具体折算办法由省另行制订。</w:t>
      </w:r>
    </w:p>
    <w:p w14:paraId="15F35DC2">
      <w:pPr>
        <w:numPr>
          <w:ilvl w:val="0"/>
          <w:numId w:val="10"/>
        </w:numPr>
        <w:ind w:firstLine="420"/>
      </w:pPr>
      <w:r>
        <w:rPr>
          <w:rFonts w:hint="eastAsia"/>
        </w:rPr>
        <w:t>参保人未达到按月领取城镇职工基本养老保险养老金条件的，可将其城镇职工基本养老保险的</w:t>
      </w:r>
      <w:r>
        <w:rPr>
          <w:rFonts w:hint="eastAsia"/>
          <w:lang w:eastAsia="zh-CN"/>
        </w:rPr>
        <w:t>个人账户</w:t>
      </w:r>
      <w:r>
        <w:rPr>
          <w:rFonts w:hint="eastAsia"/>
        </w:rPr>
        <w:t>储存额转入新农保个人</w:t>
      </w:r>
      <w:r>
        <w:rPr>
          <w:rFonts w:hint="eastAsia"/>
          <w:lang w:val="en-US" w:eastAsia="zh-CN"/>
        </w:rPr>
        <w:t>账</w:t>
      </w:r>
      <w:r>
        <w:rPr>
          <w:rFonts w:hint="eastAsia"/>
        </w:rPr>
        <w:t>户，缴费年限合并计算，按本办法的有关规定计发养老金。</w:t>
      </w:r>
    </w:p>
    <w:p w14:paraId="42D6BA89">
      <w:pPr>
        <w:numPr>
          <w:ilvl w:val="0"/>
          <w:numId w:val="9"/>
        </w:numPr>
        <w:ind w:firstLine="420"/>
      </w:pPr>
      <w:r>
        <w:rPr>
          <w:rFonts w:hint="eastAsia"/>
        </w:rPr>
        <w:t>与被征地农民养老保障制度的衔接。按照农村社会养老保险基本统一的原则，将被征地农民养老保障制度并入新农保制度。已参加被征地农民养老保障制度的被征地农民，转为按照新农保规定参保缴费和计发待遇，并加发被征地农民基础养老金，原个人缴费和缴费年限合并计算。对新农保制度实施时已享受被征地农民养老金的人员，加发新农保基础养老金；已领取老年津贴的被征地农民，停发老年津贴，改发被征地农民基础养老金和新农保基础养老金。符合粤府办[2010]41号文件规定应纳入被征地农民养老保障范围的人员，由用地单位按规定标准为其单列计提养老保险费。</w:t>
      </w:r>
    </w:p>
    <w:p w14:paraId="60B72E68">
      <w:pPr>
        <w:ind w:firstLine="422"/>
        <w:jc w:val="center"/>
        <w:rPr>
          <w:b/>
          <w:bCs/>
        </w:rPr>
      </w:pPr>
      <w:r>
        <w:rPr>
          <w:rFonts w:hint="eastAsia"/>
          <w:b/>
          <w:bCs/>
        </w:rPr>
        <w:t>第五章附则</w:t>
      </w:r>
    </w:p>
    <w:p w14:paraId="78146FE5">
      <w:pPr>
        <w:ind w:firstLine="422"/>
      </w:pPr>
      <w:r>
        <w:rPr>
          <w:rFonts w:hint="eastAsia"/>
          <w:b/>
          <w:bCs/>
        </w:rPr>
        <w:t xml:space="preserve">第二十八条 </w:t>
      </w:r>
      <w:r>
        <w:rPr>
          <w:rFonts w:hint="eastAsia"/>
        </w:rPr>
        <w:t>南雄市人民政府具体负责本行政区域内开展新农保的宣传发动和组织保障工作，确保经办人员、资金、设施及时足额到位。</w:t>
      </w:r>
    </w:p>
    <w:p w14:paraId="1BF6A1C2">
      <w:pPr>
        <w:ind w:firstLine="422"/>
      </w:pPr>
      <w:r>
        <w:rPr>
          <w:rFonts w:hint="eastAsia"/>
          <w:b/>
          <w:bCs/>
        </w:rPr>
        <w:t>第二十九条</w:t>
      </w:r>
      <w:r>
        <w:rPr>
          <w:rFonts w:hint="eastAsia"/>
        </w:rPr>
        <w:t xml:space="preserve"> 南雄市人力资源和社会保障局负责本行政区域内新农保工作。</w:t>
      </w:r>
    </w:p>
    <w:p w14:paraId="5AF42A6A">
      <w:pPr>
        <w:ind w:firstLine="422"/>
      </w:pPr>
      <w:r>
        <w:rPr>
          <w:rFonts w:hint="eastAsia"/>
          <w:b/>
          <w:bCs/>
        </w:rPr>
        <w:t xml:space="preserve">第三十条 </w:t>
      </w:r>
      <w:r>
        <w:rPr>
          <w:rFonts w:hint="eastAsia"/>
        </w:rPr>
        <w:t>韶关市社会保险南雄办事处具体负责新农保参保登记、基金的征收、管理和待遇核发、档案管理等业务经办工作。</w:t>
      </w:r>
    </w:p>
    <w:p w14:paraId="003E7758">
      <w:pPr>
        <w:ind w:firstLine="422"/>
      </w:pPr>
      <w:r>
        <w:rPr>
          <w:rFonts w:hint="eastAsia"/>
          <w:b/>
          <w:bCs/>
        </w:rPr>
        <w:t xml:space="preserve">第三十一条 </w:t>
      </w:r>
      <w:r>
        <w:rPr>
          <w:rFonts w:hint="eastAsia"/>
        </w:rPr>
        <w:t>南雄市财政、审计、人力资源和社会保障等部门在各自职责范围内负责新农保基金管理和监督工作。</w:t>
      </w:r>
    </w:p>
    <w:p w14:paraId="46DD1442">
      <w:pPr>
        <w:ind w:firstLine="422"/>
      </w:pPr>
      <w:r>
        <w:rPr>
          <w:rFonts w:hint="eastAsia"/>
          <w:b/>
          <w:bCs/>
        </w:rPr>
        <w:t xml:space="preserve">第三十二条 </w:t>
      </w:r>
      <w:r>
        <w:rPr>
          <w:rFonts w:hint="eastAsia"/>
        </w:rPr>
        <w:t>对在参加新农保申报、登记、缴费、待遇领取等过程中弄虚作假和冒领、多领新型农村社会养老保险待遇的，将依照有关规定追究当事人责任。</w:t>
      </w:r>
    </w:p>
    <w:p w14:paraId="0188CF88">
      <w:pPr>
        <w:ind w:firstLine="422"/>
      </w:pPr>
      <w:r>
        <w:rPr>
          <w:rFonts w:hint="eastAsia"/>
          <w:b/>
          <w:bCs/>
        </w:rPr>
        <w:t>第三十三条</w:t>
      </w:r>
      <w:r>
        <w:rPr>
          <w:rFonts w:hint="eastAsia"/>
        </w:rPr>
        <w:t xml:space="preserve"> 本办法由南雄市人力资源和社会保障局负责解释。</w:t>
      </w:r>
    </w:p>
    <w:p w14:paraId="6039B18E">
      <w:pPr>
        <w:ind w:firstLine="422"/>
      </w:pPr>
      <w:r>
        <w:rPr>
          <w:rFonts w:hint="eastAsia"/>
          <w:b/>
          <w:bCs/>
        </w:rPr>
        <w:t xml:space="preserve">第三十四条 </w:t>
      </w:r>
      <w:r>
        <w:rPr>
          <w:rFonts w:hint="eastAsia"/>
        </w:rPr>
        <w:t>本办法自2011年7月1日起实行。                                      （赖泰宠）</w:t>
      </w:r>
    </w:p>
    <w:tbl>
      <w:tblPr>
        <w:tblStyle w:val="15"/>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021101A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1DC836EB">
            <w:pPr>
              <w:ind w:firstLine="0" w:firstLineChars="0"/>
            </w:pPr>
            <w:r>
              <w:rPr>
                <w:rFonts w:hint="eastAsia"/>
              </w:rPr>
              <w:drawing>
                <wp:inline distT="0" distB="0" distL="114300" distR="114300">
                  <wp:extent cx="6182360" cy="3731895"/>
                  <wp:effectExtent l="0" t="0" r="8890" b="1905"/>
                  <wp:docPr id="3" name="图片 3" descr="南雄年鉴201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南雄年鉴2012-34"/>
                          <pic:cNvPicPr>
                            <a:picLocks noChangeAspect="1"/>
                          </pic:cNvPicPr>
                        </pic:nvPicPr>
                        <pic:blipFill>
                          <a:blip r:embed="rId87" cstate="print"/>
                          <a:stretch>
                            <a:fillRect/>
                          </a:stretch>
                        </pic:blipFill>
                        <pic:spPr>
                          <a:xfrm>
                            <a:off x="0" y="0"/>
                            <a:ext cx="6182360" cy="3731895"/>
                          </a:xfrm>
                          <a:prstGeom prst="rect">
                            <a:avLst/>
                          </a:prstGeom>
                        </pic:spPr>
                      </pic:pic>
                    </a:graphicData>
                  </a:graphic>
                </wp:inline>
              </w:drawing>
            </w:r>
          </w:p>
        </w:tc>
      </w:tr>
    </w:tbl>
    <w:p w14:paraId="31AE3F61">
      <w:pPr>
        <w:ind w:firstLine="420"/>
      </w:pPr>
    </w:p>
    <w:p w14:paraId="4F4B5596">
      <w:pPr>
        <w:pStyle w:val="2"/>
        <w:ind w:firstLine="883"/>
      </w:pPr>
      <w:r>
        <w:rPr>
          <w:rFonts w:hint="eastAsia"/>
        </w:rPr>
        <w:t>2011年大事记</w:t>
      </w:r>
    </w:p>
    <w:p w14:paraId="62C7C6CA">
      <w:pPr>
        <w:pStyle w:val="3"/>
      </w:pPr>
      <w:r>
        <w:rPr>
          <w:rFonts w:hint="eastAsia"/>
        </w:rPr>
        <w:t>1月</w:t>
      </w:r>
    </w:p>
    <w:p w14:paraId="7831E4B5">
      <w:pPr>
        <w:ind w:firstLine="422"/>
      </w:pPr>
      <w:r>
        <w:rPr>
          <w:rFonts w:hint="eastAsia"/>
          <w:b/>
          <w:bCs/>
        </w:rPr>
        <w:t xml:space="preserve">3日 </w:t>
      </w:r>
      <w:r>
        <w:rPr>
          <w:rFonts w:hint="eastAsia"/>
        </w:rPr>
        <w:t>家住南雄市区利民路银兴花园110岁谢初俚老人，五代同堂，82名儿孙，出生1901年的谢初俚老人身体硬朗，平时生活基本能自理。</w:t>
      </w:r>
    </w:p>
    <w:p w14:paraId="43EF95C8">
      <w:pPr>
        <w:ind w:firstLine="422"/>
      </w:pPr>
      <w:r>
        <w:rPr>
          <w:rFonts w:hint="eastAsia"/>
          <w:b/>
          <w:bCs/>
        </w:rPr>
        <w:t xml:space="preserve">4日 </w:t>
      </w:r>
      <w:r>
        <w:rPr>
          <w:rFonts w:hint="eastAsia"/>
        </w:rPr>
        <w:t>市召开全市打击非法开采稀土矿、滥伐林木、违法建筑行为动员大会。市四套班子领导参加会议</w:t>
      </w:r>
    </w:p>
    <w:p w14:paraId="30E28F51">
      <w:pPr>
        <w:ind w:firstLine="422"/>
      </w:pPr>
      <w:r>
        <w:rPr>
          <w:rFonts w:hint="eastAsia"/>
          <w:b/>
          <w:bCs/>
        </w:rPr>
        <w:t xml:space="preserve">6日 </w:t>
      </w:r>
      <w:r>
        <w:rPr>
          <w:rFonts w:hint="eastAsia"/>
        </w:rPr>
        <w:t>自2000年8月南雄市获得广东省卫生城市荣誉称号后，连续四次通过广东省卫生城市复核。1月6日南雄市第五次通过省卫生城市复核。</w:t>
      </w:r>
    </w:p>
    <w:p w14:paraId="75D5A981">
      <w:pPr>
        <w:ind w:firstLine="422"/>
      </w:pPr>
      <w:r>
        <w:rPr>
          <w:rFonts w:hint="eastAsia"/>
          <w:b/>
          <w:bCs/>
        </w:rPr>
        <w:t xml:space="preserve">16日－17日 </w:t>
      </w:r>
      <w:r>
        <w:rPr>
          <w:rFonts w:hint="eastAsia"/>
        </w:rPr>
        <w:t>市政协召开第八届第六次会议。会议听取审议市政协常委员会工作报告和市政协提案工作报告，表彰优秀提案。17日－18日市人大召开第十三届人大第六次会议。许志新当选为南雄市人大常委会主任，刘清生当选为南雄市人民政府市长。</w:t>
      </w:r>
    </w:p>
    <w:p w14:paraId="3C2A4DF4">
      <w:pPr>
        <w:ind w:firstLine="422"/>
      </w:pPr>
      <w:r>
        <w:rPr>
          <w:rFonts w:hint="eastAsia"/>
          <w:b/>
          <w:bCs/>
        </w:rPr>
        <w:t>17日</w:t>
      </w:r>
      <w:r>
        <w:rPr>
          <w:rFonts w:hint="eastAsia"/>
        </w:rPr>
        <w:t xml:space="preserve"> 韶关市委副书记、代市长艾学峰到南雄市调研经济社会发展情况，高度评价南雄走工业发展所取得成绩，希望抓住目前发展中的大好机遇，在工业方面要注重质量招商，旅游业要有大规划，物流业发展要有大市场。</w:t>
      </w:r>
    </w:p>
    <w:p w14:paraId="437E288E">
      <w:pPr>
        <w:ind w:firstLine="422"/>
      </w:pPr>
      <w:r>
        <w:rPr>
          <w:rFonts w:hint="eastAsia"/>
          <w:b/>
          <w:bCs/>
        </w:rPr>
        <w:t xml:space="preserve">18日 </w:t>
      </w:r>
      <w:r>
        <w:rPr>
          <w:rFonts w:hint="eastAsia"/>
        </w:rPr>
        <w:t>市召开表彰大会，对参加省专业性产业转移工业园建设竞争性扶持资金申报工作中做出突出贡献18个先进单位和28位先进个人进行表彰奖励。</w:t>
      </w:r>
    </w:p>
    <w:p w14:paraId="58D8A896">
      <w:pPr>
        <w:pStyle w:val="3"/>
      </w:pPr>
      <w:r>
        <w:rPr>
          <w:rFonts w:hint="eastAsia"/>
        </w:rPr>
        <w:t>2月</w:t>
      </w:r>
    </w:p>
    <w:p w14:paraId="77C98E7F">
      <w:pPr>
        <w:ind w:firstLine="422"/>
      </w:pPr>
      <w:r>
        <w:rPr>
          <w:rFonts w:hint="eastAsia"/>
          <w:b/>
          <w:bCs/>
        </w:rPr>
        <w:t xml:space="preserve">11日 </w:t>
      </w:r>
      <w:r>
        <w:rPr>
          <w:rFonts w:hint="eastAsia"/>
        </w:rPr>
        <w:t>市召开“履行职责，加快发展”四级干部动员大会，市四套班子领导和市直单位股级以上干部1000多人在主会场参加会议，各镇（街道）、村（居）、组干部在各镇（街道）分会场参大事记加会议。在全市开展“履行职责、加快发展年”活动，切实转变作风，提升执行力，推动南雄经济社会实现跨越发展。</w:t>
      </w:r>
    </w:p>
    <w:p w14:paraId="7619D032">
      <w:pPr>
        <w:ind w:firstLine="422"/>
      </w:pPr>
      <w:r>
        <w:rPr>
          <w:rFonts w:hint="eastAsia"/>
          <w:b/>
          <w:bCs/>
        </w:rPr>
        <w:t xml:space="preserve">17日 </w:t>
      </w:r>
      <w:r>
        <w:rPr>
          <w:rFonts w:hint="eastAsia"/>
        </w:rPr>
        <w:t>南雄市被广东省人民政府授予“林业生态县”称号。</w:t>
      </w:r>
    </w:p>
    <w:p w14:paraId="75A27F02">
      <w:pPr>
        <w:ind w:firstLine="422"/>
      </w:pPr>
      <w:r>
        <w:rPr>
          <w:rFonts w:hint="eastAsia"/>
          <w:b/>
          <w:bCs/>
        </w:rPr>
        <w:t xml:space="preserve">17日 </w:t>
      </w:r>
      <w:r>
        <w:rPr>
          <w:rFonts w:hint="eastAsia"/>
        </w:rPr>
        <w:t>晚上市举行元宵民间艺术表演和烟花燃放晚会，欢庆元宵，祈福闹春，表演《舞春牛》、《香火龙》、《群狮会舞》、《火龙火凤火虾》等传统民间艺术和《玉兔迎春》、《茶园新曲》、《舞动飞扬》、《韵》等歌舞节目。</w:t>
      </w:r>
    </w:p>
    <w:p w14:paraId="3E248343">
      <w:pPr>
        <w:ind w:firstLine="422"/>
      </w:pPr>
      <w:r>
        <w:rPr>
          <w:rFonts w:hint="eastAsia"/>
          <w:b/>
          <w:bCs/>
        </w:rPr>
        <w:t xml:space="preserve">18日 </w:t>
      </w:r>
      <w:r>
        <w:rPr>
          <w:rFonts w:hint="eastAsia"/>
        </w:rPr>
        <w:t>市召开人大代表议案、建议和市政协提案交办会。17件人大代表议案、16件建议和60件政协委员提案，提交市政府办理。建议和提案高度关注民生，涉及工业、农业、城乡建设、农田水利、交通等经济和社会事业各方面。</w:t>
      </w:r>
    </w:p>
    <w:p w14:paraId="568F2B01">
      <w:pPr>
        <w:ind w:firstLine="422"/>
      </w:pPr>
      <w:r>
        <w:rPr>
          <w:rFonts w:hint="eastAsia"/>
          <w:b/>
          <w:bCs/>
        </w:rPr>
        <w:t>24日</w:t>
      </w:r>
      <w:r>
        <w:rPr>
          <w:rFonts w:hint="eastAsia"/>
        </w:rPr>
        <w:t xml:space="preserve"> 韶关市县域经济发展考核组到南雄市，对2010年南雄市落实科学发展观、发展县域经济和社会发展的情况进行考评。</w:t>
      </w:r>
    </w:p>
    <w:p w14:paraId="141083B8">
      <w:pPr>
        <w:pStyle w:val="3"/>
      </w:pPr>
      <w:r>
        <w:rPr>
          <w:rFonts w:hint="eastAsia"/>
        </w:rPr>
        <w:t>3月</w:t>
      </w:r>
    </w:p>
    <w:p w14:paraId="3A7CBAD8">
      <w:pPr>
        <w:ind w:firstLine="422"/>
      </w:pPr>
      <w:r>
        <w:rPr>
          <w:rFonts w:hint="eastAsia"/>
          <w:b/>
          <w:bCs/>
        </w:rPr>
        <w:t xml:space="preserve">1日 </w:t>
      </w:r>
      <w:r>
        <w:rPr>
          <w:rFonts w:hint="eastAsia"/>
        </w:rPr>
        <w:t>韶关市委书记郑振涛、秘书长陈波在南雄市委书记许志新、市长刘清生陪同，到古市镇丰源村、雄州街道荆岗村调研村、社区“两委”换届选举工作。</w:t>
      </w:r>
    </w:p>
    <w:p w14:paraId="7E34CA66">
      <w:pPr>
        <w:ind w:firstLine="422"/>
      </w:pPr>
      <w:r>
        <w:rPr>
          <w:rFonts w:hint="eastAsia"/>
          <w:b/>
          <w:bCs/>
        </w:rPr>
        <w:t xml:space="preserve">2日 </w:t>
      </w:r>
      <w:r>
        <w:rPr>
          <w:rFonts w:hint="eastAsia"/>
        </w:rPr>
        <w:t>中共南雄市十一届纪律检查委员会召开第六次全体会议。</w:t>
      </w:r>
    </w:p>
    <w:p w14:paraId="4C7A6CB3">
      <w:pPr>
        <w:ind w:firstLine="422"/>
      </w:pPr>
      <w:r>
        <w:rPr>
          <w:rFonts w:hint="eastAsia"/>
          <w:b/>
          <w:bCs/>
        </w:rPr>
        <w:t xml:space="preserve">2日－3日 </w:t>
      </w:r>
      <w:r>
        <w:rPr>
          <w:rFonts w:hint="eastAsia"/>
        </w:rPr>
        <w:t>广东省副省长佟星到南雄调研产业转移工作。南雄市委书记、市人大常委会主任许志新，市长刘清生陪同调研。</w:t>
      </w:r>
    </w:p>
    <w:p w14:paraId="79001247">
      <w:pPr>
        <w:ind w:firstLine="422"/>
      </w:pPr>
      <w:r>
        <w:rPr>
          <w:rFonts w:hint="eastAsia"/>
          <w:b/>
          <w:bCs/>
        </w:rPr>
        <w:t xml:space="preserve">12日 </w:t>
      </w:r>
      <w:r>
        <w:rPr>
          <w:rFonts w:hint="eastAsia"/>
        </w:rPr>
        <w:t>中央人民政府驻澳门特别行政区联络办公室副主任李本钧率考察团到南雄考察经济社会发展情况。市领导许志新、王荣光、陈玉英、黄德群、吕道宏陪同考察。</w:t>
      </w:r>
    </w:p>
    <w:p w14:paraId="2DA33488">
      <w:pPr>
        <w:ind w:firstLine="422"/>
      </w:pPr>
      <w:r>
        <w:rPr>
          <w:rFonts w:hint="eastAsia"/>
          <w:b/>
          <w:bCs/>
        </w:rPr>
        <w:t>17日</w:t>
      </w:r>
      <w:r>
        <w:rPr>
          <w:rFonts w:hint="eastAsia"/>
        </w:rPr>
        <w:t xml:space="preserve"> 由广东南雄珠玑巷后裔联谊会主办的大型粤剧《魂牵珠玑巷》粤港澳巡演广州首场演出在广州市文化公园粤剧文化广场举行。原广东</w:t>
      </w:r>
      <w:r>
        <w:rPr>
          <w:rFonts w:hint="eastAsia"/>
          <w:lang w:eastAsia="zh-CN"/>
        </w:rPr>
        <w:t>省人大常委会副主任</w:t>
      </w:r>
      <w:r>
        <w:rPr>
          <w:rFonts w:hint="eastAsia"/>
        </w:rPr>
        <w:t>、珠玑巷后裔联谊会执行会长佀志广，原广州市市长、珠玑巷后裔联谊会会长黎子流和南雄市领导刘清生、何万飞、黄德群、陈尚妹观看晚会。</w:t>
      </w:r>
    </w:p>
    <w:p w14:paraId="6D74F105">
      <w:pPr>
        <w:ind w:firstLine="422"/>
      </w:pPr>
      <w:r>
        <w:rPr>
          <w:rFonts w:hint="eastAsia"/>
          <w:b/>
          <w:bCs/>
        </w:rPr>
        <w:t xml:space="preserve">17日上午 </w:t>
      </w:r>
      <w:r>
        <w:rPr>
          <w:rFonts w:hint="eastAsia"/>
        </w:rPr>
        <w:t>市出现小范围抢购食盐现象，市政府及时启动应急预案，保证食盐供应，迅速组成检查组，查处囤货涨价，扰乱市场秩序现象，从源头制止抢购风，有效平息市民恐慌心理。</w:t>
      </w:r>
    </w:p>
    <w:p w14:paraId="4418A2EE">
      <w:pPr>
        <w:ind w:firstLine="422"/>
      </w:pPr>
      <w:r>
        <w:rPr>
          <w:rFonts w:hint="eastAsia"/>
          <w:b/>
          <w:bCs/>
        </w:rPr>
        <w:t xml:space="preserve">20日－21日 </w:t>
      </w:r>
      <w:r>
        <w:rPr>
          <w:rFonts w:hint="eastAsia"/>
        </w:rPr>
        <w:t>中国地质博物馆、中科院古脊椎所和中国古生物资金会、中国环境测绘院有关专家、教授到南雄考察。市长刘清生、副市长何人平陪同考察。</w:t>
      </w:r>
    </w:p>
    <w:p w14:paraId="720D321E">
      <w:pPr>
        <w:ind w:firstLine="422"/>
      </w:pPr>
      <w:r>
        <w:rPr>
          <w:rFonts w:hint="eastAsia"/>
          <w:b/>
          <w:bCs/>
        </w:rPr>
        <w:t xml:space="preserve">24日 </w:t>
      </w:r>
      <w:r>
        <w:rPr>
          <w:rFonts w:hint="eastAsia"/>
        </w:rPr>
        <w:t>全国政协港澳台侨委员会副主任、广东省原政协副主席蔡东士一行到南雄检查工作。市领导刘清生、何万飞、王荣光陪同检查。</w:t>
      </w:r>
    </w:p>
    <w:p w14:paraId="70CA5E7C">
      <w:pPr>
        <w:pStyle w:val="3"/>
      </w:pPr>
      <w:r>
        <w:rPr>
          <w:rFonts w:hint="eastAsia"/>
        </w:rPr>
        <w:t>4月</w:t>
      </w:r>
    </w:p>
    <w:p w14:paraId="5A8BB28A">
      <w:pPr>
        <w:ind w:firstLine="422"/>
      </w:pPr>
      <w:r>
        <w:rPr>
          <w:rFonts w:hint="eastAsia"/>
          <w:b/>
          <w:bCs/>
        </w:rPr>
        <w:t xml:space="preserve">1日 </w:t>
      </w:r>
      <w:r>
        <w:rPr>
          <w:rFonts w:hint="eastAsia"/>
        </w:rPr>
        <w:t>广东省侨联在南雄市珠玑古巷举行“侨界文化交流基地”挂牌仪式，珠玑古巷成为全省首批10个“侨界文化交流基地”之一。</w:t>
      </w:r>
    </w:p>
    <w:p w14:paraId="5E32495A">
      <w:pPr>
        <w:ind w:firstLine="422"/>
      </w:pPr>
      <w:r>
        <w:rPr>
          <w:rFonts w:hint="eastAsia"/>
          <w:b/>
          <w:bCs/>
        </w:rPr>
        <w:t xml:space="preserve">2日 </w:t>
      </w:r>
      <w:r>
        <w:rPr>
          <w:rFonts w:hint="eastAsia"/>
        </w:rPr>
        <w:t>南雄市村、社区“两委”换届选举工作完成，全市208个村、24个社区选举产生村、社区“两委”成员1012人，其中村“两委”成员916人，社区“两委”成员96人，并达到每个村（居）委成员中有一名妇女要求。</w:t>
      </w:r>
    </w:p>
    <w:p w14:paraId="7F957B60">
      <w:pPr>
        <w:ind w:firstLine="422"/>
      </w:pPr>
      <w:r>
        <w:rPr>
          <w:rFonts w:hint="eastAsia"/>
          <w:b/>
          <w:bCs/>
        </w:rPr>
        <w:t xml:space="preserve">8日 </w:t>
      </w:r>
      <w:r>
        <w:rPr>
          <w:rFonts w:hint="eastAsia"/>
        </w:rPr>
        <w:t>市召开全市加强耕地占用税征管工作会议，部署耕地占用税征管工作。决定从4月1日起在全市范围内开展耕地占用税征收工作。要求从1987年4月1日起在市辖区内占用耕地建房或从事非农业建设的社会团体、企事业单位，应当按照《中华人民共和国耕地占用税暂行条例》缴纳耕地占用税；凡是从2003年1月1日起在市辖区内占用耕地建房或从事非农业建设的个人，应当按照规定缴纳耕地占用税。</w:t>
      </w:r>
    </w:p>
    <w:p w14:paraId="2722EA1E">
      <w:pPr>
        <w:ind w:firstLine="422"/>
      </w:pPr>
      <w:r>
        <w:rPr>
          <w:rFonts w:hint="eastAsia"/>
          <w:b/>
          <w:bCs/>
        </w:rPr>
        <w:t xml:space="preserve">8日－9日 </w:t>
      </w:r>
      <w:r>
        <w:rPr>
          <w:rFonts w:hint="eastAsia"/>
        </w:rPr>
        <w:t>广东省政协副主席周天鸿带领视察团到南雄开展视察活动，详细了解东莞大岭山（南雄）产业转移工业园建设以来的发展变化，以及取得的成效，为进一步推进“双转移”战略实施，提升产业园建设水平建言献策。</w:t>
      </w:r>
    </w:p>
    <w:p w14:paraId="2FCEA4DB">
      <w:pPr>
        <w:ind w:firstLine="422"/>
      </w:pPr>
      <w:r>
        <w:rPr>
          <w:rFonts w:hint="eastAsia"/>
          <w:b/>
          <w:bCs/>
        </w:rPr>
        <w:t xml:space="preserve">10日 </w:t>
      </w:r>
      <w:r>
        <w:rPr>
          <w:rFonts w:hint="eastAsia"/>
        </w:rPr>
        <w:t>南雄市孔江水库被国家林业局批准为国家湿地公园，湿地公园地处南雄市东北部，整个湿地公园东西垂直长6.8公里，南北垂直长5.3公里，总面积1667.9公顷。公园由入库溪流、水库、沼泽、洪泛湿地、洲滩与环库森林，生态系统结构完整。公园内有国家重点保护动物34种，中国濒危动物红皮书确定濒危动物22种，国家保护植物13科12属14种。</w:t>
      </w:r>
    </w:p>
    <w:p w14:paraId="106AD144">
      <w:pPr>
        <w:ind w:firstLine="422"/>
      </w:pPr>
      <w:r>
        <w:rPr>
          <w:rFonts w:hint="eastAsia"/>
          <w:b/>
          <w:bCs/>
        </w:rPr>
        <w:t xml:space="preserve">14日 </w:t>
      </w:r>
      <w:r>
        <w:rPr>
          <w:rFonts w:hint="eastAsia"/>
        </w:rPr>
        <w:t>以中央直属机关纪工委副书记梁潮平为组长、中央纪委机关纪委书记杨天福为副组长考察组一行，在广东省纪委机关党委副书记黄力陪同，到南雄考察调研党风廉政和惩防体系建设工作。</w:t>
      </w:r>
    </w:p>
    <w:p w14:paraId="20893DA4">
      <w:pPr>
        <w:ind w:firstLine="422"/>
      </w:pPr>
      <w:r>
        <w:rPr>
          <w:rFonts w:hint="eastAsia"/>
          <w:b/>
          <w:bCs/>
        </w:rPr>
        <w:t xml:space="preserve">11日－12日 </w:t>
      </w:r>
      <w:r>
        <w:rPr>
          <w:rFonts w:hint="eastAsia"/>
        </w:rPr>
        <w:t>广东省委常委、宣传部长林雄到南雄精细化工园区、三影塔广场、博物馆、梅关古道、珠玑古巷调研。</w:t>
      </w:r>
    </w:p>
    <w:p w14:paraId="2BA57A33">
      <w:pPr>
        <w:ind w:firstLine="422"/>
      </w:pPr>
      <w:r>
        <w:rPr>
          <w:rFonts w:hint="eastAsia"/>
          <w:b/>
          <w:bCs/>
        </w:rPr>
        <w:t xml:space="preserve">22日－23日 </w:t>
      </w:r>
      <w:r>
        <w:rPr>
          <w:rFonts w:hint="eastAsia"/>
        </w:rPr>
        <w:t>广东省社科院《产业转移和劳动力转移（内参）》编辑部一行到南雄调研“双转移”工作情况以及推进产业集聚经验做法和成效。</w:t>
      </w:r>
    </w:p>
    <w:p w14:paraId="3FB55BE7">
      <w:pPr>
        <w:ind w:firstLine="422"/>
      </w:pPr>
      <w:r>
        <w:rPr>
          <w:rFonts w:hint="eastAsia"/>
          <w:b/>
          <w:bCs/>
        </w:rPr>
        <w:t xml:space="preserve">29日 </w:t>
      </w:r>
      <w:r>
        <w:rPr>
          <w:rFonts w:hint="eastAsia"/>
        </w:rPr>
        <w:t>前段时间持续干旱少雨天气，给烟叶生产带来严峻考验，全市受旱烟田面积近8万亩。为将损失降至最低，市组织烟草、水利、消防等多个单位部门以及各镇（街道）组成抗旱队伍，深入烟田，动员组织烟农做好抗旱保烟工作。</w:t>
      </w:r>
    </w:p>
    <w:p w14:paraId="1F2B1033">
      <w:pPr>
        <w:pStyle w:val="3"/>
      </w:pPr>
      <w:r>
        <w:rPr>
          <w:rFonts w:hint="eastAsia"/>
        </w:rPr>
        <w:t>5月</w:t>
      </w:r>
    </w:p>
    <w:p w14:paraId="6C06093E">
      <w:pPr>
        <w:ind w:firstLine="422"/>
      </w:pPr>
      <w:r>
        <w:rPr>
          <w:rFonts w:hint="eastAsia"/>
          <w:b/>
          <w:bCs/>
        </w:rPr>
        <w:t xml:space="preserve">3日 </w:t>
      </w:r>
      <w:r>
        <w:rPr>
          <w:rFonts w:hint="eastAsia"/>
        </w:rPr>
        <w:t>东莞大岭山（南雄）产业转移工业园管委会获第十三届“广东青年五四奖章”集体荣誉称号。</w:t>
      </w:r>
    </w:p>
    <w:p w14:paraId="67CC40C7">
      <w:pPr>
        <w:ind w:firstLine="422"/>
      </w:pPr>
      <w:r>
        <w:rPr>
          <w:rFonts w:hint="eastAsia"/>
          <w:b/>
          <w:bCs/>
        </w:rPr>
        <w:t xml:space="preserve">8日 </w:t>
      </w:r>
      <w:r>
        <w:rPr>
          <w:rFonts w:hint="eastAsia"/>
        </w:rPr>
        <w:t>市在东莞大岭山（南雄）产业转移工业园举行中国科学院广州化学研究所、广州化学有限公司南雄材料生产基地奠基仪式。</w:t>
      </w:r>
    </w:p>
    <w:p w14:paraId="08F92771">
      <w:pPr>
        <w:ind w:firstLine="422"/>
      </w:pPr>
      <w:r>
        <w:rPr>
          <w:rFonts w:hint="eastAsia"/>
          <w:b/>
          <w:bCs/>
        </w:rPr>
        <w:t xml:space="preserve">23日 </w:t>
      </w:r>
      <w:r>
        <w:rPr>
          <w:rFonts w:hint="eastAsia"/>
        </w:rPr>
        <w:t>亚运会小轮车冠军南雄籍运动员马丽芸获得广东省人民政府“二等功”奖励。2010年11月广州第十六届亚运会，马丽芸以36.662秒成绩获得金牌。</w:t>
      </w:r>
    </w:p>
    <w:p w14:paraId="268279EB">
      <w:pPr>
        <w:ind w:firstLine="422"/>
      </w:pPr>
      <w:r>
        <w:rPr>
          <w:rFonts w:hint="eastAsia"/>
          <w:b/>
          <w:bCs/>
        </w:rPr>
        <w:t xml:space="preserve">26日 </w:t>
      </w:r>
      <w:r>
        <w:rPr>
          <w:rFonts w:hint="eastAsia"/>
        </w:rPr>
        <w:t>市</w:t>
      </w:r>
      <w:r>
        <w:rPr>
          <w:rFonts w:hint="eastAsia"/>
          <w:lang w:eastAsia="zh-CN"/>
        </w:rPr>
        <w:t>庆祝中国共产党成立</w:t>
      </w:r>
      <w:r>
        <w:rPr>
          <w:rFonts w:hint="eastAsia"/>
        </w:rPr>
        <w:t>九十周年“地税杯一党在我心中”第三届红歌大赛决赛在南雄大会堂举行。市委书记、市人大常委会主任许志新、市长刘清生、市政协主席何万飞等四套班子领导前往大赛现场，与1000多名群众一起感受红歌魅力。赖勇获一等奖。</w:t>
      </w:r>
    </w:p>
    <w:p w14:paraId="6B8031DA">
      <w:pPr>
        <w:ind w:firstLine="422"/>
      </w:pPr>
      <w:r>
        <w:rPr>
          <w:rFonts w:hint="eastAsia"/>
          <w:b/>
          <w:bCs/>
        </w:rPr>
        <w:t xml:space="preserve">29日上午 </w:t>
      </w:r>
      <w:r>
        <w:rPr>
          <w:rFonts w:hint="eastAsia"/>
        </w:rPr>
        <w:t>市长刘清生率林业、住建、国土、城管等部门负责人参加韶关电台《民声热线》节目，接听群众热线，倾听群众呼声，解答群众诉求，并向听众介绍南雄经济社会最新发展态势，以及县委权力公开透明运行工作运作情况和成效。</w:t>
      </w:r>
    </w:p>
    <w:p w14:paraId="66F86680">
      <w:pPr>
        <w:pStyle w:val="3"/>
      </w:pPr>
      <w:r>
        <w:rPr>
          <w:rFonts w:hint="eastAsia"/>
        </w:rPr>
        <w:t>6月</w:t>
      </w:r>
    </w:p>
    <w:p w14:paraId="295D3532">
      <w:pPr>
        <w:ind w:firstLine="422"/>
      </w:pPr>
      <w:r>
        <w:rPr>
          <w:rFonts w:hint="eastAsia"/>
          <w:b/>
          <w:bCs/>
        </w:rPr>
        <w:t xml:space="preserve">3日 </w:t>
      </w:r>
      <w:r>
        <w:rPr>
          <w:rFonts w:hint="eastAsia"/>
        </w:rPr>
        <w:t>中国科学技术协会第八次全国代表大会5月27日－30日在人民大会堂召开，南雄市林业局林业工程师雷会雄以一名基层科技工作者身份出席这次科技界盛会。</w:t>
      </w:r>
      <w:r>
        <w:rPr>
          <w:rFonts w:hint="eastAsia"/>
          <w:b/>
          <w:bCs/>
        </w:rPr>
        <w:t>12日</w:t>
      </w:r>
      <w:r>
        <w:rPr>
          <w:rFonts w:hint="eastAsia"/>
        </w:rPr>
        <w:t>康绿宝（南雄）科技园在广州与南雄市正式签约。这个项目落户南雄市后，计划在五年的时间内实现年产值50亿元的目标。中国侨联副主席王永乐，中国侨联副主席、广东省侨联主席王荣宝，南方医科大学校长郑木明以及南雄市领导许志新、刘清生出席签约仪式。15日市区安装在国道323线与韶赣高速公路引道路口、雄中路与浈江路渠化路口、金叶大道与省342线路口三个交通要道的路口红绿灯开始运行。</w:t>
      </w:r>
    </w:p>
    <w:p w14:paraId="7EB4BC21">
      <w:pPr>
        <w:ind w:firstLine="422"/>
      </w:pPr>
      <w:r>
        <w:rPr>
          <w:rFonts w:hint="eastAsia"/>
          <w:b/>
          <w:bCs/>
        </w:rPr>
        <w:t xml:space="preserve">15日－16日 </w:t>
      </w:r>
      <w:r>
        <w:rPr>
          <w:rFonts w:hint="eastAsia"/>
        </w:rPr>
        <w:t>广东省委常委、政法委书记、省公安厅厅长梁伟发到南雄调研，了解基层派出所、综治信访维稳中心、公安交警大队等单位部门运行管理工作，并对产业转型升级工作进行调研。</w:t>
      </w:r>
    </w:p>
    <w:p w14:paraId="1F5445A9">
      <w:pPr>
        <w:ind w:firstLine="422"/>
      </w:pPr>
      <w:r>
        <w:rPr>
          <w:rFonts w:hint="eastAsia"/>
          <w:b/>
          <w:bCs/>
        </w:rPr>
        <w:t xml:space="preserve">15-16日 </w:t>
      </w:r>
      <w:r>
        <w:rPr>
          <w:rFonts w:hint="eastAsia"/>
        </w:rPr>
        <w:t>国家烟草专卖局组织有关烟草专家对南雄市烟叶标准化生产示范区建设项目进行评审，通过考核，专家组一致通过市烟叶标准化生产示范区建设项目考评验收。</w:t>
      </w:r>
    </w:p>
    <w:p w14:paraId="52294A6C">
      <w:pPr>
        <w:ind w:firstLine="422"/>
      </w:pPr>
      <w:r>
        <w:rPr>
          <w:rFonts w:hint="eastAsia"/>
          <w:b/>
          <w:bCs/>
        </w:rPr>
        <w:t xml:space="preserve">23日 </w:t>
      </w:r>
      <w:r>
        <w:rPr>
          <w:rFonts w:hint="eastAsia"/>
        </w:rPr>
        <w:t>广东省政协副主席覃卫东率调研组，在韶关市委书记郑振涛、政协主席邓苏夏陪同，到南雄就“加快村庄建设促进城镇化发展”作专题调研。</w:t>
      </w:r>
    </w:p>
    <w:p w14:paraId="335F29FA">
      <w:pPr>
        <w:ind w:firstLine="422"/>
      </w:pPr>
      <w:r>
        <w:rPr>
          <w:rFonts w:hint="eastAsia"/>
          <w:b/>
          <w:bCs/>
        </w:rPr>
        <w:t xml:space="preserve">25日 </w:t>
      </w:r>
      <w:r>
        <w:rPr>
          <w:rFonts w:hint="eastAsia"/>
        </w:rPr>
        <w:t>国家林业局科技司巡视员张志达率领国家林业局督导检查组到南雄，检查集体林权制度改革工作以及林业经济发展情况。</w:t>
      </w:r>
    </w:p>
    <w:p w14:paraId="003C3DF3">
      <w:pPr>
        <w:ind w:firstLine="422"/>
      </w:pPr>
      <w:r>
        <w:rPr>
          <w:rFonts w:hint="eastAsia"/>
          <w:b/>
          <w:bCs/>
        </w:rPr>
        <w:t xml:space="preserve">29日上午 </w:t>
      </w:r>
      <w:r>
        <w:rPr>
          <w:rFonts w:hint="eastAsia"/>
        </w:rPr>
        <w:t>市召开</w:t>
      </w:r>
      <w:r>
        <w:rPr>
          <w:rFonts w:hint="eastAsia"/>
          <w:lang w:val="en-US" w:eastAsia="zh-CN"/>
        </w:rPr>
        <w:t>庆祝</w:t>
      </w:r>
      <w:r>
        <w:rPr>
          <w:rFonts w:hint="eastAsia"/>
        </w:rPr>
        <w:t>中国共产党成立90周年暨表彰大会，回顾党光辉历程，讴歌党辉煌业绩，表彰先进基层党组织、优秀党务工作者、优秀共产党员等一批为南雄经济社会发展作出突出贡献先进单位和个人。</w:t>
      </w:r>
    </w:p>
    <w:p w14:paraId="65E5F439">
      <w:pPr>
        <w:pStyle w:val="3"/>
      </w:pPr>
      <w:r>
        <w:rPr>
          <w:rFonts w:hint="eastAsia"/>
        </w:rPr>
        <w:t>7月</w:t>
      </w:r>
    </w:p>
    <w:p w14:paraId="309D6618">
      <w:pPr>
        <w:ind w:firstLine="422"/>
      </w:pPr>
      <w:r>
        <w:rPr>
          <w:rFonts w:hint="eastAsia"/>
          <w:b/>
          <w:bCs/>
        </w:rPr>
        <w:t xml:space="preserve">1日 </w:t>
      </w:r>
      <w:r>
        <w:rPr>
          <w:rFonts w:hint="eastAsia"/>
        </w:rPr>
        <w:t>南雄市纪委监察局获得中共中央纪委、国家人力资源和社会保障部、监察部颁发的“全国纪检监察系统先进集体”荣誉称号。</w:t>
      </w:r>
    </w:p>
    <w:p w14:paraId="58A4A274">
      <w:pPr>
        <w:ind w:firstLine="422"/>
      </w:pPr>
      <w:r>
        <w:rPr>
          <w:rFonts w:hint="eastAsia"/>
          <w:b/>
          <w:bCs/>
        </w:rPr>
        <w:t xml:space="preserve">2日 </w:t>
      </w:r>
      <w:r>
        <w:rPr>
          <w:rFonts w:hint="eastAsia"/>
        </w:rPr>
        <w:t>中国古生物化石保护基金会和中国地质调查局地层与古生物中心授予南雄市“中国恐龙之乡”称号。南雄盆地发育有较为完整晚白垩世晚期到古近纪红层。红层中发现大量的恐龙蛋、恐龙、恐龙足迹、哺乳动物以及无脊椎动物和植物化石。在南雄盆地中已采集有14个类群的恐龙蛋化石，约占世界已知类群的三分之一。</w:t>
      </w:r>
    </w:p>
    <w:p w14:paraId="6C42E02C">
      <w:pPr>
        <w:ind w:firstLine="422"/>
      </w:pPr>
      <w:r>
        <w:rPr>
          <w:rFonts w:hint="eastAsia"/>
          <w:b/>
          <w:bCs/>
        </w:rPr>
        <w:t xml:space="preserve">6日 </w:t>
      </w:r>
      <w:r>
        <w:rPr>
          <w:rFonts w:hint="eastAsia"/>
        </w:rPr>
        <w:t>由广东省委党校、广东县域经济研究与发展促进会、南方日报主办的“2011广东县域经济转型升级高峰论坛”在四会市举行。南雄市获“广东县域经济转型升级十大创新范例”奖。</w:t>
      </w:r>
    </w:p>
    <w:p w14:paraId="6A4D329A">
      <w:pPr>
        <w:ind w:firstLine="422"/>
      </w:pPr>
      <w:r>
        <w:rPr>
          <w:rFonts w:hint="eastAsia"/>
          <w:b/>
          <w:bCs/>
        </w:rPr>
        <w:t xml:space="preserve">14日 </w:t>
      </w:r>
      <w:r>
        <w:rPr>
          <w:rFonts w:hint="eastAsia"/>
        </w:rPr>
        <w:t>广东省政协香港地区委员到南雄视察产业转移工业园建设和珠玑巷姓氏文化基地规划建设情况。</w:t>
      </w:r>
    </w:p>
    <w:p w14:paraId="18968764">
      <w:pPr>
        <w:ind w:firstLine="422"/>
      </w:pPr>
      <w:r>
        <w:rPr>
          <w:rFonts w:hint="eastAsia"/>
          <w:b/>
          <w:bCs/>
        </w:rPr>
        <w:t xml:space="preserve">12日一14日 </w:t>
      </w:r>
      <w:r>
        <w:rPr>
          <w:rFonts w:hint="eastAsia"/>
        </w:rPr>
        <w:t>韶关市第十六届中小学生“英东杯”田径比赛暨韶关市第九届中小学生运动会在南雄市南雄中学运动场举行。</w:t>
      </w:r>
    </w:p>
    <w:p w14:paraId="1786A459">
      <w:pPr>
        <w:ind w:firstLine="422"/>
      </w:pPr>
      <w:r>
        <w:rPr>
          <w:rFonts w:hint="eastAsia"/>
          <w:b/>
          <w:bCs/>
        </w:rPr>
        <w:t xml:space="preserve">19日上午 </w:t>
      </w:r>
      <w:r>
        <w:rPr>
          <w:rFonts w:hint="eastAsia"/>
        </w:rPr>
        <w:t>市环境监测站及环境空气自动监测站正式挂牌启用，它的启用实现市环境空气质量24小时连续在线监控，为全市环境决策和管理提供更加科学可靠的数据依据。</w:t>
      </w:r>
    </w:p>
    <w:p w14:paraId="6A75002A">
      <w:pPr>
        <w:ind w:firstLine="422"/>
      </w:pPr>
      <w:r>
        <w:rPr>
          <w:rFonts w:hint="eastAsia"/>
          <w:b/>
          <w:bCs/>
        </w:rPr>
        <w:t xml:space="preserve">19日 </w:t>
      </w:r>
      <w:r>
        <w:rPr>
          <w:rFonts w:hint="eastAsia"/>
        </w:rPr>
        <w:t>市第三次全国文物普查工作进展顺利，从2007年，开展为期五年的第三次全国文物普查工作，登记499处文物点，现阶段市文物普查队对分布在市18个镇（街道）208个村委会和7个社区499处文物点进行录像取材。</w:t>
      </w:r>
    </w:p>
    <w:p w14:paraId="1F494AF0">
      <w:pPr>
        <w:ind w:firstLine="422"/>
      </w:pPr>
      <w:r>
        <w:rPr>
          <w:rFonts w:hint="eastAsia"/>
          <w:b/>
          <w:bCs/>
        </w:rPr>
        <w:t xml:space="preserve">30日 </w:t>
      </w:r>
      <w:r>
        <w:rPr>
          <w:rFonts w:hint="eastAsia"/>
        </w:rPr>
        <w:t>市委书记、市人大常委会主任许志新，市委常委、市委办主任陈玉英前往雄州、主田等镇（街道）检查指导烟叶收购、维稳、夏收夏种等各项工作。</w:t>
      </w:r>
    </w:p>
    <w:p w14:paraId="7CCB24D6">
      <w:pPr>
        <w:pStyle w:val="3"/>
      </w:pPr>
      <w:r>
        <w:rPr>
          <w:rFonts w:hint="eastAsia"/>
        </w:rPr>
        <w:t>8月</w:t>
      </w:r>
    </w:p>
    <w:p w14:paraId="4B4D7397">
      <w:pPr>
        <w:ind w:firstLine="422"/>
      </w:pPr>
      <w:r>
        <w:rPr>
          <w:rFonts w:hint="eastAsia"/>
          <w:b/>
          <w:bCs/>
        </w:rPr>
        <w:t xml:space="preserve">17日 </w:t>
      </w:r>
      <w:r>
        <w:rPr>
          <w:rFonts w:hint="eastAsia"/>
        </w:rPr>
        <w:t>市人大常委会部分组成人员就林业局落实《关于封山育林保护生态环境的决议》情况进行跟踪视察。</w:t>
      </w:r>
    </w:p>
    <w:p w14:paraId="5079BF33">
      <w:pPr>
        <w:ind w:firstLine="422"/>
      </w:pPr>
      <w:r>
        <w:rPr>
          <w:rFonts w:hint="eastAsia"/>
          <w:b/>
          <w:bCs/>
        </w:rPr>
        <w:t xml:space="preserve">19日 </w:t>
      </w:r>
      <w:r>
        <w:rPr>
          <w:rFonts w:hint="eastAsia"/>
        </w:rPr>
        <w:t>市在三影塔广场隆重举行新型农村社会养老保险试点启动仪式，标志着农村养老保障体制改革迈出重大步伐。</w:t>
      </w:r>
    </w:p>
    <w:p w14:paraId="518205A7">
      <w:pPr>
        <w:ind w:firstLine="422"/>
      </w:pPr>
      <w:r>
        <w:rPr>
          <w:rFonts w:hint="eastAsia"/>
          <w:b/>
          <w:bCs/>
        </w:rPr>
        <w:t xml:space="preserve">19日下午 </w:t>
      </w:r>
      <w:r>
        <w:rPr>
          <w:rFonts w:hint="eastAsia"/>
        </w:rPr>
        <w:t>市人大常委会举行第42次会议，任免一批领导干部。</w:t>
      </w:r>
    </w:p>
    <w:p w14:paraId="5CE941E4">
      <w:pPr>
        <w:ind w:firstLine="422"/>
      </w:pPr>
      <w:r>
        <w:rPr>
          <w:rFonts w:hint="eastAsia"/>
          <w:b/>
          <w:bCs/>
        </w:rPr>
        <w:t xml:space="preserve">24日 </w:t>
      </w:r>
      <w:r>
        <w:rPr>
          <w:rFonts w:hint="eastAsia"/>
        </w:rPr>
        <w:t>市完成17个乡镇党委的换届选举任务，全市各镇党委换届选举产生161名镇党委委员，平均年龄39.9岁，大专以上学历的党委委员160名，占99.4%，35岁以下37名，占23%。25日韶关市节能目标评价考核组对南雄市2010年节能目标进行现场核查。经综合评价，南雄市2010年节能目标以高分通过考核。</w:t>
      </w:r>
    </w:p>
    <w:p w14:paraId="02CE93A2">
      <w:pPr>
        <w:ind w:firstLine="422"/>
      </w:pPr>
      <w:r>
        <w:rPr>
          <w:rFonts w:hint="eastAsia"/>
          <w:b/>
          <w:bCs/>
        </w:rPr>
        <w:t xml:space="preserve">28日 </w:t>
      </w:r>
      <w:r>
        <w:rPr>
          <w:rFonts w:hint="eastAsia"/>
        </w:rPr>
        <w:t>市召开全市中小学、幼儿园新一届班子任职大会，新一届中小学、幼儿园的正副校长（园长）160多人在市教育局领导的领誓下，进行庄严宣誓。</w:t>
      </w:r>
    </w:p>
    <w:p w14:paraId="11E742DC">
      <w:pPr>
        <w:ind w:firstLine="422"/>
      </w:pPr>
      <w:r>
        <w:rPr>
          <w:rFonts w:hint="eastAsia"/>
          <w:b/>
          <w:bCs/>
        </w:rPr>
        <w:t xml:space="preserve">31日 </w:t>
      </w:r>
      <w:r>
        <w:rPr>
          <w:rFonts w:hint="eastAsia"/>
        </w:rPr>
        <w:t>南雄市工商联召开第十次会员代表大会。大会选举产生南雄市工商联第十届执委会委员40名，丁礼金当选执委会主席。</w:t>
      </w:r>
    </w:p>
    <w:p w14:paraId="029B1E5A">
      <w:pPr>
        <w:pStyle w:val="3"/>
      </w:pPr>
      <w:r>
        <w:rPr>
          <w:rFonts w:hint="eastAsia"/>
        </w:rPr>
        <w:t>9月</w:t>
      </w:r>
    </w:p>
    <w:p w14:paraId="6767EAF4">
      <w:pPr>
        <w:ind w:firstLine="422"/>
      </w:pPr>
      <w:r>
        <w:rPr>
          <w:rFonts w:hint="eastAsia"/>
          <w:b/>
          <w:bCs/>
        </w:rPr>
        <w:t xml:space="preserve">4日 </w:t>
      </w:r>
      <w:r>
        <w:rPr>
          <w:rFonts w:hint="eastAsia"/>
        </w:rPr>
        <w:t>凌晨市烟草专卖稽查大队联合公安交警、市烟叶打私“百人工作队”驻坪田、油山、南亩、古市工作组，在湖口里河至长市路段，当场查获涉案大货车一辆，走私晒烟8000多公斤。</w:t>
      </w:r>
    </w:p>
    <w:p w14:paraId="741F1520">
      <w:pPr>
        <w:ind w:firstLine="422"/>
      </w:pPr>
      <w:r>
        <w:rPr>
          <w:rFonts w:hint="eastAsia"/>
          <w:b/>
          <w:bCs/>
        </w:rPr>
        <w:t xml:space="preserve">8日 </w:t>
      </w:r>
      <w:r>
        <w:rPr>
          <w:rFonts w:hint="eastAsia"/>
        </w:rPr>
        <w:t>市选民投票选举市、镇两级人大代表。选举出市十四届人大代表208名，镇十五届人大代表922名。</w:t>
      </w:r>
    </w:p>
    <w:p w14:paraId="7F4701AD">
      <w:pPr>
        <w:ind w:firstLine="422"/>
      </w:pPr>
      <w:r>
        <w:rPr>
          <w:rFonts w:hint="eastAsia"/>
          <w:b/>
          <w:bCs/>
        </w:rPr>
        <w:t xml:space="preserve">9日 </w:t>
      </w:r>
      <w:r>
        <w:rPr>
          <w:rFonts w:hint="eastAsia"/>
        </w:rPr>
        <w:t>中共南雄市第十一届委员会召开第十次全体（扩大）会议 ．确定南雄市第十二次党代会将于9月25日下午至9月27日下午召开。</w:t>
      </w:r>
    </w:p>
    <w:p w14:paraId="084E1C4F">
      <w:pPr>
        <w:ind w:firstLine="422"/>
      </w:pPr>
      <w:r>
        <w:rPr>
          <w:rFonts w:hint="eastAsia"/>
          <w:b/>
          <w:bCs/>
        </w:rPr>
        <w:t xml:space="preserve">14日 </w:t>
      </w:r>
      <w:r>
        <w:rPr>
          <w:rFonts w:hint="eastAsia"/>
        </w:rPr>
        <w:t>市委书记、市人大常委会主任许志新前往雄州街道黎口村委会开展调研活动，实地了解该村新型农村社会养老保险工作推进情况。</w:t>
      </w:r>
    </w:p>
    <w:p w14:paraId="755F1D2F">
      <w:pPr>
        <w:ind w:firstLine="422"/>
      </w:pPr>
      <w:r>
        <w:rPr>
          <w:rFonts w:hint="eastAsia"/>
          <w:b/>
          <w:bCs/>
        </w:rPr>
        <w:t xml:space="preserve">15日 </w:t>
      </w:r>
      <w:r>
        <w:rPr>
          <w:rFonts w:hint="eastAsia"/>
        </w:rPr>
        <w:t>广东省纪委党廉室主任刘连生率领调研组在南雄开展调研，了解基层组织党务公开工作推进情况。</w:t>
      </w:r>
    </w:p>
    <w:p w14:paraId="0B2A2D31">
      <w:pPr>
        <w:ind w:firstLine="422"/>
      </w:pPr>
      <w:r>
        <w:rPr>
          <w:rFonts w:hint="eastAsia"/>
          <w:b/>
          <w:bCs/>
        </w:rPr>
        <w:t xml:space="preserve">同日 </w:t>
      </w:r>
      <w:r>
        <w:rPr>
          <w:rFonts w:hint="eastAsia"/>
        </w:rPr>
        <w:t>韶关市副市长兰茵率领工作组成员到南雄，检查基层医疗卫生机构综合改革工作情况。</w:t>
      </w:r>
    </w:p>
    <w:p w14:paraId="5B7B8F0E">
      <w:pPr>
        <w:ind w:firstLine="422"/>
      </w:pPr>
      <w:r>
        <w:rPr>
          <w:rFonts w:hint="eastAsia"/>
          <w:b/>
          <w:bCs/>
        </w:rPr>
        <w:t xml:space="preserve">同日 </w:t>
      </w:r>
      <w:r>
        <w:rPr>
          <w:rFonts w:hint="eastAsia"/>
        </w:rPr>
        <w:t>市交警大队开展报废机动车集中销毁活动，153辆报废机动车当场销毁。</w:t>
      </w:r>
    </w:p>
    <w:p w14:paraId="011058C3">
      <w:pPr>
        <w:ind w:firstLine="422"/>
      </w:pPr>
      <w:r>
        <w:rPr>
          <w:rFonts w:hint="eastAsia"/>
          <w:b/>
          <w:bCs/>
        </w:rPr>
        <w:t xml:space="preserve">18日 </w:t>
      </w:r>
      <w:r>
        <w:rPr>
          <w:rFonts w:hint="eastAsia"/>
        </w:rPr>
        <w:t>香港南雄联谊会成立暨首届理事会就职典礼在香港举行。全国政协常委、香港四洲集团有限公司主席戴德丰，中联办香港新界工作部副部长王小灵，香港教育工作者协会会长杨耀忠，韶关市政协副主席李飞、何伟青、王乙未以及南雄市领导许志新、何万飞等出席典礼。</w:t>
      </w:r>
    </w:p>
    <w:p w14:paraId="454BEC5D">
      <w:pPr>
        <w:ind w:firstLine="422"/>
      </w:pPr>
      <w:r>
        <w:rPr>
          <w:rFonts w:hint="eastAsia"/>
          <w:b/>
          <w:bCs/>
        </w:rPr>
        <w:t xml:space="preserve">26日 </w:t>
      </w:r>
      <w:r>
        <w:rPr>
          <w:rFonts w:hint="eastAsia"/>
        </w:rPr>
        <w:t>中国共产党南雄市第十二次代表大会在南雄大会堂开幕，市委书记许志新代表中共南雄市第十一届委员会向大会作报告。韶关市委常委、副市长张志才到会祝贺。市委副书记、市长刘清生主持大会。</w:t>
      </w:r>
    </w:p>
    <w:p w14:paraId="6CC514D0">
      <w:pPr>
        <w:ind w:firstLine="422"/>
      </w:pPr>
      <w:r>
        <w:rPr>
          <w:rFonts w:hint="eastAsia"/>
          <w:b/>
          <w:bCs/>
        </w:rPr>
        <w:t xml:space="preserve">27日 </w:t>
      </w:r>
      <w:r>
        <w:rPr>
          <w:rFonts w:hint="eastAsia"/>
        </w:rPr>
        <w:t>中国共产党南雄市第十二次代表大会闭幕。韶关市委常委、组织部部长肖怀跃到会祝贺。市委副书记、市长刘清生主持大会。</w:t>
      </w:r>
    </w:p>
    <w:p w14:paraId="59BBCDDF">
      <w:pPr>
        <w:ind w:firstLine="422"/>
      </w:pPr>
      <w:r>
        <w:rPr>
          <w:rFonts w:hint="eastAsia"/>
          <w:b/>
          <w:bCs/>
        </w:rPr>
        <w:t xml:space="preserve">同日 </w:t>
      </w:r>
      <w:r>
        <w:rPr>
          <w:rFonts w:hint="eastAsia"/>
        </w:rPr>
        <w:t>中共南雄市第十二届纪律检查委员会召开第一次全体会议。会议选举谢志铎为市纪委书记，何文忠、曾光为市纪委副书记。</w:t>
      </w:r>
    </w:p>
    <w:p w14:paraId="609CE817">
      <w:pPr>
        <w:ind w:firstLine="422"/>
      </w:pPr>
      <w:r>
        <w:rPr>
          <w:rFonts w:hint="eastAsia"/>
          <w:b/>
          <w:bCs/>
        </w:rPr>
        <w:t xml:space="preserve">同日 </w:t>
      </w:r>
      <w:r>
        <w:rPr>
          <w:rFonts w:hint="eastAsia"/>
        </w:rPr>
        <w:t>中国共产党南雄市第十二届委员会第一次全体会议在迎宾馆一号会议室召开。许志新、刘清生、王荣光、黄德群、丘德周、毛利群、谢志铎、何人平、卜小燕（女）、刘发龙、朱海兵当选为中共南雄市第十二届委员会常务委员会委员，许志新当选为市委书记，刘清生、王荣光当选为市委副书记。</w:t>
      </w:r>
    </w:p>
    <w:p w14:paraId="78DE04FE">
      <w:pPr>
        <w:pStyle w:val="3"/>
      </w:pPr>
      <w:r>
        <w:rPr>
          <w:rFonts w:hint="eastAsia"/>
        </w:rPr>
        <w:t>10月</w:t>
      </w:r>
    </w:p>
    <w:p w14:paraId="1CAC22B5">
      <w:pPr>
        <w:ind w:firstLine="422"/>
      </w:pPr>
      <w:r>
        <w:rPr>
          <w:rFonts w:hint="eastAsia"/>
          <w:b/>
          <w:bCs/>
        </w:rPr>
        <w:t xml:space="preserve">5日 </w:t>
      </w:r>
      <w:r>
        <w:rPr>
          <w:rFonts w:hint="eastAsia"/>
        </w:rPr>
        <w:t>全国政协原副主席张思卿到南雄参观游览。市政协主席何万飞，市委常委、市委办主任黄德群陪同参观。</w:t>
      </w:r>
    </w:p>
    <w:p w14:paraId="747A3C33">
      <w:pPr>
        <w:ind w:firstLine="422"/>
      </w:pPr>
      <w:r>
        <w:rPr>
          <w:rFonts w:hint="eastAsia"/>
          <w:b/>
          <w:bCs/>
        </w:rPr>
        <w:t xml:space="preserve">10日 </w:t>
      </w:r>
      <w:r>
        <w:rPr>
          <w:rFonts w:hint="eastAsia"/>
        </w:rPr>
        <w:t>市举行纪念辛亥革命100周年座谈会。市领导王荣光、朱海兵、李冰、赖华焜、刘卫忠、周济辉参加座谈会。</w:t>
      </w:r>
    </w:p>
    <w:p w14:paraId="3D23AE3D">
      <w:pPr>
        <w:ind w:firstLine="422"/>
      </w:pPr>
      <w:r>
        <w:rPr>
          <w:rFonts w:hint="eastAsia"/>
          <w:b/>
          <w:bCs/>
        </w:rPr>
        <w:t xml:space="preserve">15日 </w:t>
      </w:r>
      <w:r>
        <w:rPr>
          <w:rFonts w:hint="eastAsia"/>
        </w:rPr>
        <w:t>市在精细化工园区举行南雄市远大（广州）胶粘制品有限公司等10大企业试产庆典仪式。许志新、何万飞、王荣光等市四套班子领导参加庆典仪式。</w:t>
      </w:r>
    </w:p>
    <w:p w14:paraId="006A70EB">
      <w:pPr>
        <w:ind w:firstLine="422"/>
      </w:pPr>
      <w:r>
        <w:rPr>
          <w:rFonts w:hint="eastAsia"/>
          <w:b/>
          <w:bCs/>
        </w:rPr>
        <w:t xml:space="preserve">18日 </w:t>
      </w:r>
      <w:r>
        <w:rPr>
          <w:rFonts w:hint="eastAsia"/>
        </w:rPr>
        <w:t>市十三届人大常委会召开第44次会议，审议通过《关于召开市十四届人大一次会议》的有关建议事项。会议决定市第十四人民代表大会第一次会议于2011年11月8日至12日在南雄大会堂举行，会期预定5天。</w:t>
      </w:r>
    </w:p>
    <w:p w14:paraId="69400E26">
      <w:pPr>
        <w:ind w:firstLine="422"/>
      </w:pPr>
      <w:r>
        <w:rPr>
          <w:rFonts w:hint="eastAsia"/>
          <w:b/>
          <w:bCs/>
        </w:rPr>
        <w:t xml:space="preserve">18日 </w:t>
      </w:r>
      <w:r>
        <w:rPr>
          <w:rFonts w:hint="eastAsia"/>
        </w:rPr>
        <w:t>30名在粤工作中外院士到南雄参观考察。市领导许志新、黄德群、丘德周、吕道宏陪同参观。</w:t>
      </w:r>
    </w:p>
    <w:p w14:paraId="7E48656E">
      <w:pPr>
        <w:ind w:firstLine="422"/>
      </w:pPr>
      <w:r>
        <w:rPr>
          <w:rFonts w:hint="eastAsia"/>
          <w:b/>
          <w:bCs/>
        </w:rPr>
        <w:t xml:space="preserve">20日 </w:t>
      </w:r>
      <w:r>
        <w:rPr>
          <w:rFonts w:hint="eastAsia"/>
        </w:rPr>
        <w:t>第四届中国汽车模特大赛广东分赛区的决赛在南雄举行。市政协主席何万飞、市委副书记王荣光等四套班子领导观看比赛。</w:t>
      </w:r>
    </w:p>
    <w:p w14:paraId="1338FE52">
      <w:pPr>
        <w:ind w:firstLine="422"/>
      </w:pPr>
      <w:r>
        <w:rPr>
          <w:rFonts w:hint="eastAsia"/>
          <w:b/>
          <w:bCs/>
        </w:rPr>
        <w:t xml:space="preserve">21日 </w:t>
      </w:r>
      <w:r>
        <w:rPr>
          <w:rFonts w:hint="eastAsia"/>
        </w:rPr>
        <w:t>南方日报、羊城晚报、广州日报、中新社等10多家驻韶中省媒体和韶关市直新闻单位记者，到南雄开展走基层活动。</w:t>
      </w:r>
    </w:p>
    <w:p w14:paraId="06CE1931">
      <w:pPr>
        <w:ind w:firstLine="422"/>
      </w:pPr>
      <w:r>
        <w:rPr>
          <w:rFonts w:hint="eastAsia"/>
          <w:b/>
          <w:bCs/>
        </w:rPr>
        <w:t xml:space="preserve">26日 </w:t>
      </w:r>
      <w:r>
        <w:rPr>
          <w:rFonts w:hint="eastAsia"/>
        </w:rPr>
        <w:t>由市整治违法用地建筑工作组牵头，联合公、检、法，以及国土、建设、城管、雄州街道办等单位成员组成的执法行动小组，依法强制拆除一宗较大规模违法占地建筑。违法占地面积400平方米，混凝土框架已建3层半。市委副书记王荣光亲临现场指挥拆除行动。</w:t>
      </w:r>
    </w:p>
    <w:p w14:paraId="6AD8754C">
      <w:pPr>
        <w:ind w:firstLine="422"/>
      </w:pPr>
      <w:r>
        <w:rPr>
          <w:rFonts w:hint="eastAsia"/>
          <w:b/>
          <w:bCs/>
        </w:rPr>
        <w:t xml:space="preserve">30日 </w:t>
      </w:r>
      <w:r>
        <w:rPr>
          <w:rFonts w:hint="eastAsia"/>
        </w:rPr>
        <w:t>来自世界各地30多名中外著名专家学者又一次到南雄红层进行科考。科考人员除国内著名高等院校、科研机构专家学者外，还有美国、意大利、瑞士、波兰、日本、韩国、澳大利亚、新西兰等国家专家学者。</w:t>
      </w:r>
    </w:p>
    <w:p w14:paraId="6B54185F">
      <w:pPr>
        <w:pStyle w:val="3"/>
      </w:pPr>
      <w:r>
        <w:rPr>
          <w:rFonts w:hint="eastAsia"/>
        </w:rPr>
        <w:t>11月</w:t>
      </w:r>
    </w:p>
    <w:p w14:paraId="0C7F2DB8">
      <w:pPr>
        <w:ind w:firstLine="422"/>
      </w:pPr>
      <w:r>
        <w:rPr>
          <w:rFonts w:hint="eastAsia"/>
          <w:b/>
          <w:bCs/>
        </w:rPr>
        <w:t xml:space="preserve">8日 </w:t>
      </w:r>
      <w:r>
        <w:rPr>
          <w:rFonts w:hint="eastAsia"/>
        </w:rPr>
        <w:t>南雄市政协第九届委员会第一次会议在迎宾馆1号会议室开幕。市领导许志新、何万飞、王荣光、肖芬先等出席会议。</w:t>
      </w:r>
    </w:p>
    <w:p w14:paraId="26E7A89B">
      <w:pPr>
        <w:ind w:firstLine="422"/>
      </w:pPr>
      <w:r>
        <w:rPr>
          <w:rFonts w:hint="eastAsia"/>
          <w:b/>
          <w:bCs/>
        </w:rPr>
        <w:t xml:space="preserve">9日 </w:t>
      </w:r>
      <w:r>
        <w:rPr>
          <w:rFonts w:hint="eastAsia"/>
        </w:rPr>
        <w:t>市十四届人大第一次会议在南雄大会堂开幕。市委书记、市人大常委会主任许志新主持大会。市长刘清生向大会作政府工作报告。</w:t>
      </w:r>
    </w:p>
    <w:p w14:paraId="5110049F">
      <w:pPr>
        <w:ind w:firstLine="422"/>
      </w:pPr>
      <w:r>
        <w:rPr>
          <w:rFonts w:hint="eastAsia"/>
          <w:b/>
          <w:bCs/>
        </w:rPr>
        <w:t xml:space="preserve">同日 </w:t>
      </w:r>
      <w:r>
        <w:rPr>
          <w:rFonts w:hint="eastAsia"/>
        </w:rPr>
        <w:t>南雄市政协第九届第一次会议闭幕。会议选举何万飞为政协南雄市第九届委员会主席，刘发雄、赖华焜、周济辉、刘卫忠、陈尚妹、刘光团为政协南雄市第九届委员会副主席。朱定球为政协南雄市第九届委员会秘书长，丁礼金、马盛、王婉霞、卢思格、卢隆全、卢德基、古广超、叶建华、邝运坚、刘宏伟、朱天骥、邬章云、何旗明、张化民、肖国军、苏志强、陈烈、金波、袁元桃、曹春梅、黄志星、黄慧琼、董圣国、释顿勇、黎宏照为政协南雄市第九届委员会常务委员。</w:t>
      </w:r>
    </w:p>
    <w:p w14:paraId="45F9FE1B">
      <w:pPr>
        <w:ind w:firstLine="422"/>
      </w:pPr>
      <w:r>
        <w:rPr>
          <w:rFonts w:hint="eastAsia"/>
          <w:b/>
          <w:bCs/>
        </w:rPr>
        <w:t xml:space="preserve">8日－11日 </w:t>
      </w:r>
      <w:r>
        <w:rPr>
          <w:rFonts w:hint="eastAsia"/>
        </w:rPr>
        <w:t>南雄市十四届人大第一次会议在南雄大会堂召开，会议听取和审议市长刘清生代表市人民政府所作《政府工作报告》，听取和审议《市人民代表大会常务委员会工作报告》、《市人民法院工作报告》、《市人民检察院工作报告》。会议选举许志新为南雄市第十四届人民代表大会常务委员会主任；罗勇新、陈玉英、刘宏伟、李冰、陈培兰、张宗财为南雄市第十四届人民代表大会常务委员会副主任；梁斌、陈焱煌、刘运平、赖长林、沈学福、苏德椿、黄文儒、陈伦寿、刘光胜、廖宣明、陈泽明、柯油松、徐兴伦、林彩虹、黄恢伟、莫绵润当选为南雄市第十四届人民代表大会常务委员会委员；选举刘清生为南雄市人民政府市长；何人平、刘悦明、罗战勇、何光明、吕道宏、马细妹为南雄市人民政府副市长；肖裕忠为南雄市人民法院院长；赖正志为南雄市人民检察院检察长，报韶关市人民检察院检察长提请韶关市人大常委会批准。大会选举出南雄市出席韶关市十三届人民代表大会代表43名。</w:t>
      </w:r>
    </w:p>
    <w:p w14:paraId="297AED4C">
      <w:pPr>
        <w:ind w:firstLine="422"/>
      </w:pPr>
      <w:r>
        <w:rPr>
          <w:rFonts w:hint="eastAsia"/>
          <w:b/>
          <w:bCs/>
        </w:rPr>
        <w:t xml:space="preserve">11日 </w:t>
      </w:r>
      <w:r>
        <w:rPr>
          <w:rFonts w:hint="eastAsia"/>
        </w:rPr>
        <w:t>南雄大福国际名城项目举行动工奠基仪式。市委书记、市人大常委会主任许志新，市长刘清生，市政协主席何万飞等四套班子领导参加奠基仪式。</w:t>
      </w:r>
    </w:p>
    <w:p w14:paraId="35DF68EC">
      <w:pPr>
        <w:ind w:firstLine="422"/>
      </w:pPr>
      <w:r>
        <w:rPr>
          <w:rFonts w:hint="eastAsia"/>
          <w:b/>
          <w:bCs/>
        </w:rPr>
        <w:t xml:space="preserve">23日 </w:t>
      </w:r>
      <w:r>
        <w:rPr>
          <w:rFonts w:hint="eastAsia"/>
        </w:rPr>
        <w:t>广东省副省长陈云贤到南雄调研承接产业转移工作。韶关市市委书记、市人大常委会主任郑振涛及南雄市委书记、市人大常委会主任许志新，市长刘清生等领导陪同调研。</w:t>
      </w:r>
    </w:p>
    <w:p w14:paraId="0B772E79">
      <w:pPr>
        <w:ind w:firstLine="422"/>
      </w:pPr>
      <w:r>
        <w:rPr>
          <w:rFonts w:hint="eastAsia"/>
          <w:b/>
          <w:bCs/>
        </w:rPr>
        <w:t xml:space="preserve">同日 </w:t>
      </w:r>
      <w:r>
        <w:rPr>
          <w:rFonts w:hint="eastAsia"/>
        </w:rPr>
        <w:t>广东省人大常委会副主任陈小川带领省革命老区建设工作专项检查组到南雄检查老区建设情况。市领导王荣光陪同检查。</w:t>
      </w:r>
    </w:p>
    <w:p w14:paraId="291059AB">
      <w:pPr>
        <w:ind w:firstLine="422"/>
      </w:pPr>
      <w:r>
        <w:rPr>
          <w:rFonts w:hint="eastAsia"/>
          <w:b/>
          <w:bCs/>
        </w:rPr>
        <w:t xml:space="preserve">24日 </w:t>
      </w:r>
      <w:r>
        <w:rPr>
          <w:rFonts w:hint="eastAsia"/>
        </w:rPr>
        <w:t>从21日至23日市组织有关部门有关人员到各镇“小产权房”建筑施工现场，检查停电停水情况。通过为期3天检查，全市各镇（街道）“小产权房”大多数已停工。</w:t>
      </w:r>
    </w:p>
    <w:p w14:paraId="71BE1F7D">
      <w:pPr>
        <w:ind w:firstLine="422"/>
      </w:pPr>
      <w:r>
        <w:rPr>
          <w:rFonts w:hint="eastAsia"/>
          <w:b/>
          <w:bCs/>
        </w:rPr>
        <w:t xml:space="preserve">24日－27日 </w:t>
      </w:r>
      <w:r>
        <w:rPr>
          <w:rFonts w:hint="eastAsia"/>
        </w:rPr>
        <w:t>广东省检查验收组对南雄市林改工作进行为期4天检查验收，林改工作在林权发证、配套改革、集体山林受益、山林纠纷调处、林改档案等五个方面取得明显成效，一致同意南雄市林改工作评为优秀等级，通过验收。</w:t>
      </w:r>
    </w:p>
    <w:p w14:paraId="3CFDD233">
      <w:pPr>
        <w:ind w:firstLine="422"/>
      </w:pPr>
      <w:r>
        <w:rPr>
          <w:rFonts w:hint="eastAsia"/>
          <w:b/>
          <w:bCs/>
        </w:rPr>
        <w:t xml:space="preserve">24日－27日 </w:t>
      </w:r>
      <w:r>
        <w:rPr>
          <w:rFonts w:hint="eastAsia"/>
        </w:rPr>
        <w:t>大型粤剧《魂牵珠玑巷》在香港进行四场巡演，吸引4000多名香港市民观看。中央政府驻港联络办副主任黎桂康，广州市原市长、广东南雄珠玑巷后裔联谊会会长黎子流，香港广东社团总会主席王国强，香港广东各级政协委员会主任戴德丰，香港嘉华集团董事局主席吕志和，香港八和会馆主席汪明荃以及南雄市领导何万飞、陈尚妹等观看晚会。</w:t>
      </w:r>
    </w:p>
    <w:p w14:paraId="2A24935B">
      <w:pPr>
        <w:ind w:firstLine="422"/>
      </w:pPr>
      <w:r>
        <w:rPr>
          <w:rFonts w:hint="eastAsia"/>
          <w:b/>
          <w:bCs/>
        </w:rPr>
        <w:t xml:space="preserve">24日 </w:t>
      </w:r>
      <w:r>
        <w:rPr>
          <w:rFonts w:hint="eastAsia"/>
        </w:rPr>
        <w:t>原广州市市长、广东南雄珠玑巷后裔联谊会会长黎子流与市领导何万飞、陈尚妹，联谊会常务副会长兼秘书长衷玉华一行，专程到中央人民政府驻香港联络办公室，拜访中联办主任彭清华、副主任黎桂康及协同部部长沈冲，向中联办领导介绍南雄珠玑巷历史渊源、独特珠玑文化以及珠玑联谊会自1995年成立以来主要工作。</w:t>
      </w:r>
    </w:p>
    <w:p w14:paraId="71C738DD">
      <w:pPr>
        <w:pStyle w:val="3"/>
      </w:pPr>
      <w:r>
        <w:rPr>
          <w:rFonts w:hint="eastAsia"/>
        </w:rPr>
        <w:t>12月</w:t>
      </w:r>
    </w:p>
    <w:p w14:paraId="267CED44">
      <w:pPr>
        <w:ind w:firstLine="422"/>
      </w:pPr>
      <w:r>
        <w:rPr>
          <w:rFonts w:hint="eastAsia"/>
          <w:b/>
          <w:bCs/>
        </w:rPr>
        <w:t xml:space="preserve">3日－6日 </w:t>
      </w:r>
      <w:r>
        <w:rPr>
          <w:rFonts w:hint="eastAsia"/>
        </w:rPr>
        <w:t>韶关市第十一次党代会召开。由许志新、刘清生、何万飞等39名同志组成南雄代表团，代表南雄市全体党员出席这次党代会。</w:t>
      </w:r>
    </w:p>
    <w:p w14:paraId="4141D876">
      <w:pPr>
        <w:ind w:firstLine="422"/>
      </w:pPr>
      <w:r>
        <w:rPr>
          <w:rFonts w:hint="eastAsia"/>
          <w:b/>
          <w:bCs/>
        </w:rPr>
        <w:t xml:space="preserve">6日 </w:t>
      </w:r>
      <w:r>
        <w:rPr>
          <w:rFonts w:hint="eastAsia"/>
        </w:rPr>
        <w:t>南雄市被评为国家级烟叶标准化生产优秀示范区。</w:t>
      </w:r>
    </w:p>
    <w:p w14:paraId="1C62AC2C">
      <w:pPr>
        <w:ind w:firstLine="422"/>
      </w:pPr>
      <w:r>
        <w:rPr>
          <w:rFonts w:hint="eastAsia"/>
          <w:b/>
          <w:bCs/>
        </w:rPr>
        <w:t xml:space="preserve">12日 </w:t>
      </w:r>
      <w:r>
        <w:rPr>
          <w:rFonts w:hint="eastAsia"/>
        </w:rPr>
        <w:t>市绿洲公司职工书屋被授予“全国工会优秀职工书屋”荣誉称号。</w:t>
      </w:r>
    </w:p>
    <w:p w14:paraId="53F276A0">
      <w:pPr>
        <w:ind w:firstLine="422"/>
      </w:pPr>
      <w:r>
        <w:rPr>
          <w:rFonts w:hint="eastAsia"/>
          <w:b/>
          <w:bCs/>
        </w:rPr>
        <w:t xml:space="preserve">16日 </w:t>
      </w:r>
      <w:r>
        <w:rPr>
          <w:rFonts w:hint="eastAsia"/>
        </w:rPr>
        <w:t>2011年广东珠玑姓氏文化节、梅岭梅花节暨首届农土特产品博览会在三影塔广场举行开幕式。</w:t>
      </w:r>
    </w:p>
    <w:p w14:paraId="3A9B8132">
      <w:pPr>
        <w:ind w:firstLine="422"/>
      </w:pPr>
      <w:r>
        <w:rPr>
          <w:rFonts w:hint="eastAsia"/>
          <w:b/>
          <w:bCs/>
        </w:rPr>
        <w:t xml:space="preserve">27日 </w:t>
      </w:r>
      <w:r>
        <w:rPr>
          <w:rFonts w:hint="eastAsia"/>
        </w:rPr>
        <w:t>广东省发改委在南雄市组织召开促进省原中央苏区县发展第二次工作座谈会，南雄、大埔、饶平等7个原中央苏区县共商发展大计，就争取更多国家和省对原中央苏区县发展的政策扶持工作进行交流探讨，推动省原中央苏区县加快发展。</w:t>
      </w:r>
    </w:p>
    <w:p w14:paraId="375D9D9D">
      <w:pPr>
        <w:ind w:firstLine="420"/>
        <w:jc w:val="right"/>
      </w:pPr>
      <w:r>
        <w:rPr>
          <w:rFonts w:hint="eastAsia"/>
        </w:rPr>
        <w:t>（陈景泰 谢平）</w:t>
      </w:r>
    </w:p>
    <w:tbl>
      <w:tblPr>
        <w:tblStyle w:val="15"/>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4A9BB1E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4663BF59">
            <w:pPr>
              <w:ind w:firstLine="0" w:firstLineChars="0"/>
              <w:jc w:val="left"/>
            </w:pPr>
            <w:r>
              <w:rPr>
                <w:rFonts w:hint="eastAsia"/>
              </w:rPr>
              <w:drawing>
                <wp:inline distT="0" distB="0" distL="114300" distR="114300">
                  <wp:extent cx="6179185" cy="3537585"/>
                  <wp:effectExtent l="0" t="0" r="12065" b="5715"/>
                  <wp:docPr id="4" name="图片 4" descr="南雄年鉴201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南雄年鉴2012-35"/>
                          <pic:cNvPicPr>
                            <a:picLocks noChangeAspect="1"/>
                          </pic:cNvPicPr>
                        </pic:nvPicPr>
                        <pic:blipFill>
                          <a:blip r:embed="rId88" cstate="print"/>
                          <a:stretch>
                            <a:fillRect/>
                          </a:stretch>
                        </pic:blipFill>
                        <pic:spPr>
                          <a:xfrm>
                            <a:off x="0" y="0"/>
                            <a:ext cx="6179185" cy="3537585"/>
                          </a:xfrm>
                          <a:prstGeom prst="rect">
                            <a:avLst/>
                          </a:prstGeom>
                        </pic:spPr>
                      </pic:pic>
                    </a:graphicData>
                  </a:graphic>
                </wp:inline>
              </w:drawing>
            </w:r>
          </w:p>
        </w:tc>
      </w:tr>
    </w:tbl>
    <w:p w14:paraId="0F610944">
      <w:pPr>
        <w:ind w:firstLine="420"/>
        <w:jc w:val="left"/>
      </w:pPr>
    </w:p>
    <w:p w14:paraId="064B9B8F">
      <w:pPr>
        <w:pStyle w:val="2"/>
      </w:pPr>
      <w:r>
        <w:rPr>
          <w:rFonts w:hint="eastAsia"/>
        </w:rPr>
        <w:t>市情概貌</w:t>
      </w:r>
    </w:p>
    <w:p w14:paraId="24A02147">
      <w:pPr>
        <w:pStyle w:val="3"/>
      </w:pPr>
      <w:r>
        <w:rPr>
          <w:rFonts w:hint="eastAsia"/>
        </w:rPr>
        <w:t>历史地理</w:t>
      </w:r>
    </w:p>
    <w:p w14:paraId="5B48E8F4">
      <w:pPr>
        <w:pStyle w:val="4"/>
      </w:pPr>
      <w:r>
        <w:rPr>
          <w:rFonts w:hint="eastAsia"/>
        </w:rPr>
        <w:t>【位置】</w:t>
      </w:r>
    </w:p>
    <w:p w14:paraId="5B290383">
      <w:pPr>
        <w:ind w:firstLine="420"/>
      </w:pPr>
      <w:r>
        <w:rPr>
          <w:rFonts w:hint="eastAsia"/>
        </w:rPr>
        <w:t>南雄市位于大庾岭南麓，史称“居五岭之首，为江广之冲，控带群蛮，襟会百粤”。位于东经113°55＇30″～114°44＇38″，北纬24°56＇59″～25°25＇20″，东连江西省信丰县，东南界江西省全南县，西南比邻始兴县，西邻曲江县，西北与仁化县接壤。四周群山环抱，中为丘陵，地理学家称“南雄盆地”。东西极限84公里，南北极限52公里。全市面积2316.4平方公里。</w:t>
      </w:r>
    </w:p>
    <w:p w14:paraId="3CFFA2F8">
      <w:pPr>
        <w:pStyle w:val="4"/>
      </w:pPr>
      <w:r>
        <w:rPr>
          <w:rFonts w:hint="eastAsia"/>
        </w:rPr>
        <w:t>【建置沿革】</w:t>
      </w:r>
    </w:p>
    <w:p w14:paraId="17646D5A">
      <w:pPr>
        <w:ind w:firstLine="420"/>
      </w:pPr>
      <w:r>
        <w:rPr>
          <w:rFonts w:hint="eastAsia"/>
        </w:rPr>
        <w:t>南雄地域，春秋为百越地，战国属楚，秦属南海郡，两汉为南野县，属豫章郡。东汉顺帝建康时属桂阳郡之曲江县。三国孙吴时南野县属庐陵郡，吴景帝永安六年（263年）分南野置始兴县，南雄地属之。吴末帝甘露元年（265年）分始兴置斜阶县，南雄地属之，隶于始兴郡。晋废斜阶复南野，改属庐陵郡。南朝宋因之，齐复置令阶县，梁复置安远县，均辖南雄地。陈改安远县为安远郡，隶属东衡州，即韶州。隋废诸郡，改安远为大庾县，隶于广州总管府。旋废大庾入始兴。大业三年（607年）属南海郡，唐武德四年（621年）属番州，不久更名为东衡州。贞观元年（627年）改为韶州。光宅元年（684年）划始兴县的化南、横山两乡置浈昌县，因境内浈、昌二水而取名。县治设在今雄州。</w:t>
      </w:r>
    </w:p>
    <w:p w14:paraId="3889E2A7">
      <w:pPr>
        <w:ind w:firstLine="420"/>
      </w:pPr>
      <w:r>
        <w:rPr>
          <w:rFonts w:hint="eastAsia"/>
        </w:rPr>
        <w:t>南汉乾亨四年（920年）在浈昌县置雄州，辖演昌、始兴两县。宋开宝四年（971年）改雄州为南雄州，与河北雄州别，属广南东路。天圣元年（1023年）因避仁宗赵祯讳，改浈昌为保昌。宣和二年（1120年）赐保昌为郡。元至元十五年（1278年）改南雄州为南雄路，领保昌、始兴两概貌县。明洪武元年（1368年）改路为府，辖保昌、始兴两县，属广东道。洪武二年改行中书省，九年改行省为承宣布政使司，南雄府属相随。清嘉庆十二年（1807年）改府为直隶南雄州，直隶广东布政使司，裁去保昌县，领始兴一县。嘉庆十六年复升为府，次年又降为直隶州，直至清末。</w:t>
      </w:r>
    </w:p>
    <w:p w14:paraId="257CAEFD">
      <w:pPr>
        <w:ind w:firstLine="420"/>
      </w:pPr>
      <w:r>
        <w:rPr>
          <w:rFonts w:hint="eastAsia"/>
        </w:rPr>
        <w:t>民国开始，改南雄州为南雄县，隶属广东省。中华人民共和国建立后，沿袭不变。1958年12月，南雄县与始兴县合并称南雄县，1960年10月复分为南雄县、始兴县，隶属广东省韶关专员公署。1982年6月实行市管县体制后，隶属韶关市。1996年6月，撤县设市（县级），由韶关市代管。</w:t>
      </w:r>
    </w:p>
    <w:p w14:paraId="60311506">
      <w:pPr>
        <w:pStyle w:val="4"/>
      </w:pPr>
      <w:r>
        <w:rPr>
          <w:rFonts w:hint="eastAsia"/>
        </w:rPr>
        <w:t>【地形地貌】</w:t>
      </w:r>
    </w:p>
    <w:p w14:paraId="2A199B46">
      <w:pPr>
        <w:ind w:firstLine="420"/>
      </w:pPr>
      <w:r>
        <w:rPr>
          <w:rFonts w:hint="eastAsia"/>
        </w:rPr>
        <w:t>市境地质属燕山期花岗岩体及寒武纪震旦纪变质岩体。中部盆地在2亿年前是个大淡水湖，7000万年前干涸成陆地，属中生代白垩纪紫色砂页岩体。在紫色砂页岩上面间或分布有新生代第四纪卵石层和网纹状红土，在盆地周围与低山丘陵之间或分布有老第三纪红色岩系。</w:t>
      </w:r>
    </w:p>
    <w:p w14:paraId="5FAEA646">
      <w:pPr>
        <w:ind w:firstLine="420"/>
      </w:pPr>
      <w:r>
        <w:rPr>
          <w:rFonts w:hint="eastAsia"/>
        </w:rPr>
        <w:t>南雄地处大庾岭南麓，北宽南狭，南北两面群山连绵，中部盆地丘陵起伏。古来对南北山区称之为“南山”、“北山”。南山自西南向东北延伸，以青嶂山为主峰，海拔917米，西南行有高峰（海拔840米）、寨顶埂、山角寨（海拔858米）等山岭；东北走有目龙埂、鸦子寨（海拔872米）、龙王脑（海拔616米）、猪头寨（海拔592）、洪泰山（海拔716米）等山岭，南行有王石寨（海拔761人）等山岭。北山由西南向东北伸展，以观音栋、帽子峰、油山为主峰。观音栋海拔1429米，为全市最高峰，东有老殿顶（海拔1395米）、龙华山（海拔1224米），北有白沙髻（海拔1342米）、盘墙虎（海拔1262米），西有粑子岭（海拔1190米）、花髻脑（海拔971米）等山岭。帽子峰海拔1058米，东南行有中岭（海拔902米）、巾子岭（海拔824米）、亚机（海拔875米）等山岭，西行有五峰山（海拔1224米）、俚木山（海拔1045米）、南山（海拔1303米）、云前脑（海拔1131米）、月岭寨（海拔1010米）等山岭。油山海拔1073米，东行有穆公寨（海拔789米），南行有西厢寨（海拔965米）、琵琶寨（海拔938米），西行有梅岭、仙人岭（海拔756米）等山岭。南雄市地貌独特，按地势可分三个层次，高层形似驼峰，海拔多在1000米以上，约占山地总面积的6%；中层山峰连绵，海拔600米左右，约占山地总面积的24%；底层（山座）海拔200米～600米，约占山地总面积的30%；基座庞大，约占山地总面积的40%。南北山地均以40度以上倾角向盆地倾斜。东西向则倾斜平缓，倾角一般10°～20°。中部丘陵自东北向西南沿浈江两岸伸展，浈江斜贯其中，形成一狭长大盆地，地质学称之为“南雄盆地”。</w:t>
      </w:r>
    </w:p>
    <w:p w14:paraId="001B899D">
      <w:pPr>
        <w:pStyle w:val="4"/>
      </w:pPr>
      <w:r>
        <w:rPr>
          <w:rFonts w:hint="eastAsia"/>
        </w:rPr>
        <w:t>【气候水文】</w:t>
      </w:r>
    </w:p>
    <w:p w14:paraId="19FB45E9">
      <w:pPr>
        <w:ind w:firstLine="420"/>
      </w:pPr>
      <w:r>
        <w:rPr>
          <w:rFonts w:hint="eastAsia"/>
        </w:rPr>
        <w:t>南雄属中亚热带湿润型季风气候区，冬季盛行东北季风，夏季盛行西南和东南季风。四季特点为：春季阴雨连绵，秋季降水偏少，冬季寒冷，夏季偏热。2011年天气概况：年平均气温19.8℃，与历年持平，最高气温37.7℃，最低－0.1℃，年降雨量1254.1毫米，比历年偏少296.7毫米，年日照时数1645.4小时，与历年持平，1月12日出现雨雪天气，对黄烟、蔬菜等冬季农作物生长较为不利。12月11日20时～23时出现月全食天气奇观。全年未出现明显气象灾害，基本上风调雨顺，属于比较好的年景。境内河道属珠江流域，主要河道有一级河浈江一条，总长96.3千米；二级河道凌江、南山水、瀑布水、新龙水、江头水、大坪水、大源水、黄坑水、邓坊水、下洞水、宝江水、南亩水等12条，总长356.7千米，河网密度5.21千米／平方千米，径流总量18.333亿立方米。</w:t>
      </w:r>
    </w:p>
    <w:p w14:paraId="370E7682">
      <w:pPr>
        <w:ind w:firstLine="420"/>
      </w:pPr>
      <w:r>
        <w:rPr>
          <w:rFonts w:hint="eastAsia"/>
        </w:rPr>
        <w:t>境内最大的河流为演江，从孔江水库至古市镇小水流经境内，长96.3千米，流域面积1765平方千米，年均流量43.53立方米／秒，主要支流有凌江、南山水、瀑布水、新龙水、江头水、大坪水、大源水、黄坑水、邓坊水、下洞水、宝江水、南亩水等。</w:t>
      </w:r>
    </w:p>
    <w:p w14:paraId="0A7AD9C1">
      <w:pPr>
        <w:pStyle w:val="3"/>
      </w:pPr>
      <w:r>
        <w:rPr>
          <w:rFonts w:hint="eastAsia"/>
        </w:rPr>
        <w:t>资源物产</w:t>
      </w:r>
    </w:p>
    <w:p w14:paraId="3E3A2211">
      <w:pPr>
        <w:pStyle w:val="4"/>
      </w:pPr>
      <w:r>
        <w:rPr>
          <w:rFonts w:hint="eastAsia"/>
        </w:rPr>
        <w:t>【水资源】</w:t>
      </w:r>
    </w:p>
    <w:p w14:paraId="04FE4076">
      <w:pPr>
        <w:ind w:firstLine="420"/>
      </w:pPr>
      <w:r>
        <w:rPr>
          <w:rFonts w:hint="eastAsia"/>
        </w:rPr>
        <w:t>2011年，地表水资源量18.49亿立方米，多年平均地表水资源量18.73亿立方米，与多年平均数减少1.3%。地下水资源量4.72亿立方米，多年平均地下水资源量4.52亿立方米，与多年平均数增加4.4%。降雨量34.69亿立方米。总用水量3.59亿立方米。水资源利用率19.4%。</w:t>
      </w:r>
    </w:p>
    <w:p w14:paraId="7BEA1951">
      <w:pPr>
        <w:pStyle w:val="4"/>
      </w:pPr>
      <w:r>
        <w:rPr>
          <w:rFonts w:hint="eastAsia"/>
        </w:rPr>
        <w:t>【土地资源】</w:t>
      </w:r>
    </w:p>
    <w:p w14:paraId="13E24304">
      <w:pPr>
        <w:ind w:firstLine="420"/>
      </w:pPr>
      <w:r>
        <w:rPr>
          <w:rFonts w:hint="eastAsia"/>
        </w:rPr>
        <w:t>南雄市土地利用现状为：农用地215235公顷，占土地总面积的92.53%；建设用地10335公顷，占土地总面积的4.44%；其他用地7048公顷，占土地总面积的3.03%。农用地，耕地43003公顷，占农用地的19.98%；园地4278公顷，占农用地的1.99%；林地158589公顷，占农用地的73.68%；其它农用地9366公顷，占农用地的4.35%。建设用地，城乡建设用地8320公顷，占建设用地的80.51%；交通水利用地1952公顷，占建设用地的18.89%；其他建设用地63公顷，占建设用地的0.61%。其他用地，水域1630公顷，占其他用地的23.12%；自然保留地5418公顷，占其他用地的76.88%。</w:t>
      </w:r>
    </w:p>
    <w:p w14:paraId="3D42BE8F">
      <w:pPr>
        <w:pStyle w:val="4"/>
      </w:pPr>
      <w:r>
        <w:rPr>
          <w:rFonts w:hint="eastAsia"/>
        </w:rPr>
        <w:t>【植物资源】</w:t>
      </w:r>
    </w:p>
    <w:p w14:paraId="7BE9B2E3">
      <w:pPr>
        <w:ind w:firstLine="420"/>
      </w:pPr>
      <w:r>
        <w:rPr>
          <w:rFonts w:hint="eastAsia"/>
        </w:rPr>
        <w:t>树种：主要有针叶树马尾松、湿地松（松科松属）和杉树（杉科杉属），以马尾松分布最广。阔叶树较常见有51科100属173种。珍稀树种有红豆杉、罗汉松、白果（银杏）、野白兰、木莲、隆兰、楠木、黄檀等17种。竹：主要有毛竹、黄竹、勒竹、水竹（禾木科）。药：全市有中药材325种。其中：根茎类112种，全草类107种，花叶类27种，果实种子类52种，藤木树皮类24种，真菌类3种。</w:t>
      </w:r>
    </w:p>
    <w:p w14:paraId="38DB3E79">
      <w:pPr>
        <w:pStyle w:val="4"/>
      </w:pPr>
      <w:r>
        <w:rPr>
          <w:rFonts w:hint="eastAsia"/>
        </w:rPr>
        <w:t>【动物资源】</w:t>
      </w:r>
    </w:p>
    <w:p w14:paraId="2B4AE3D1">
      <w:pPr>
        <w:ind w:firstLine="420"/>
      </w:pPr>
      <w:r>
        <w:rPr>
          <w:rFonts w:hint="eastAsia"/>
        </w:rPr>
        <w:t>禽类：鸡、鸭、鹅、白鸽、鸬鹚、鹁鸪、黄莺、燕子、青鸶、杜鹃、百舌、雉鸡鹰、鹤、鹊、乌鸦、麻雀、白鹇、草鸮（猴面鸟）、画眉。兽类：猪（家猪、野猪）、马、牛（耕牛、奶牛、山牛）、羊、犬、猫、兔（家兔、野兔）、鹿、狐、狸、豪猪、黄鼠狼、鼠（家鼠、田鼠、松鼠）。鱼类：鲤、鲢、鳙、鲫、鲩、鳝、鲶、泥鳅、乌鳢、斗鱼。其它动物：龟、鳖、穿山甲、螺蚌、虾、小蟹、蚬、蜗牛、蛇、蜈蚣、蚯蚓、青蛙、蛤蟆、蝶、蝉、蜢、蚁、蟋蟀、蜂。</w:t>
      </w:r>
    </w:p>
    <w:p w14:paraId="6D0FAEDB">
      <w:pPr>
        <w:pStyle w:val="4"/>
      </w:pPr>
      <w:r>
        <w:rPr>
          <w:rFonts w:hint="eastAsia"/>
        </w:rPr>
        <w:t>【矿产资源】</w:t>
      </w:r>
    </w:p>
    <w:p w14:paraId="4E68B2C8">
      <w:pPr>
        <w:ind w:firstLine="420"/>
      </w:pPr>
      <w:r>
        <w:rPr>
          <w:rFonts w:hint="eastAsia"/>
        </w:rPr>
        <w:t>南雄境内地质属燕山期花岗岩体及寒武纪震旦纪变质岩体。目前已探明的矿种有铀矿、钨矿、金矿、萤石矿、稀土矿、钾长石，以及花岗石建材、石灰岩、地热温泉等。此外，南雄红层下蕴藏着大量的古生物化石。尤其是恐龙蛋化石分布广泛。除了恐龙、恐龙蛋、恐龙足迹之外，在南雄盆地内还发现有龟鳖类的骨骼化石等。</w:t>
      </w:r>
    </w:p>
    <w:p w14:paraId="4E05C98D">
      <w:pPr>
        <w:ind w:firstLine="420"/>
      </w:pPr>
      <w:r>
        <w:rPr>
          <w:rFonts w:hint="eastAsia"/>
        </w:rPr>
        <w:t>【旅游资源】</w:t>
      </w:r>
    </w:p>
    <w:p w14:paraId="5A4905FB">
      <w:pPr>
        <w:ind w:firstLine="420"/>
      </w:pPr>
      <w:r>
        <w:rPr>
          <w:rFonts w:hint="eastAsia"/>
        </w:rPr>
        <w:t>南雄物华天宝，人杰地灵；山川秀丽，风光旖旎。旅游资源丰富，尤其文物古迹甚多，现已列为文物保护单位的有34处，其中国家级1处、省级5处、县（市）级28处。珠玑古巷梅关古道、三影千年古塔、恐龙等古生物化石、古银杏群“南雄五古”，享誉海内外。南亩鱼鲜、乌迳新田、黄坑溪塘古村落，人文价值颇高，先后被评为“广东省古村落”。孔江国家湿地公园（孔江水库）、青嶂山省级自然保护区、苍石寨风景区，奇异独特，风光秀丽。坪田古银杏群景色迷人，深表1南雄市各镇（街道秋看红叶好地方；帽子峰省级森林公园，被誉为“小九寨沟”。莲开净寺、大雄禅寺香火兴旺。具有古建筑艺术价值和历史文化价值的广州会馆。龙华山温泉酒店是集旅游度假自然观光和休闲、度假、康体、娱乐、泡温泉为一体的旅游度假胜地。青嶂山温泉高氡神奇，是罕见的高钠离子温泉。南雄又是一块红色的土地，是广东省的重点老区县（市）之一。尤其第二次国内革命战争时期，南雄属中央苏区县之一，是中国工农红军长征经过的地方。毛泽东、朱德、彭德怀多次率部转战南雄，领导和指挥著名的“水口战役”。项英、陈毅等在油山一带领导粤赣边三年游击战争。抗日战争时期中共广东省委旧址—瑶坑，是“广东省爱国主义教育基地”。具有红色旅游特色。</w:t>
      </w:r>
    </w:p>
    <w:p w14:paraId="4C9C35DC">
      <w:pPr>
        <w:pStyle w:val="3"/>
      </w:pPr>
      <w:r>
        <w:rPr>
          <w:rFonts w:hint="eastAsia"/>
        </w:rPr>
        <w:t>建置区划</w:t>
      </w:r>
    </w:p>
    <w:p w14:paraId="5A2555E3">
      <w:pPr>
        <w:pStyle w:val="4"/>
      </w:pPr>
      <w:r>
        <w:rPr>
          <w:rFonts w:hint="eastAsia"/>
        </w:rPr>
        <w:t>【行政区划】</w:t>
      </w:r>
    </w:p>
    <w:p w14:paraId="7B57DC05">
      <w:pPr>
        <w:ind w:firstLine="420"/>
      </w:pPr>
      <w:r>
        <w:rPr>
          <w:rFonts w:hint="eastAsia"/>
        </w:rPr>
        <w:t>2010年底，南雄市有17个镇和1个街道办事处，17个镇为：乌径镇、黄坑镇、水口镇、湖口镇、珠玑镇、界址镇、百顺镇、澜河镇、古市镇、坪田镇、邓坊镇、主田镇、油山镇、南亩镇、江头镇、全安镇、帽子峰镇；1个街道办事处为雄州街道办事处；全市有208个村委会、24个居委会。</w:t>
      </w:r>
    </w:p>
    <w:p w14:paraId="51823FA1">
      <w:pPr>
        <w:ind w:firstLine="420"/>
      </w:pPr>
      <w:r>
        <w:rPr>
          <w:rFonts w:hint="eastAsia"/>
        </w:rPr>
        <w:t>各镇（街道）的村（居）委会名称如表1：</w:t>
      </w:r>
    </w:p>
    <w:p w14:paraId="3F788F79">
      <w:pPr>
        <w:ind w:firstLine="422"/>
        <w:jc w:val="center"/>
        <w:rPr>
          <w:b/>
          <w:bCs/>
        </w:rPr>
      </w:pPr>
      <w:r>
        <w:rPr>
          <w:rFonts w:hint="eastAsia"/>
          <w:b/>
          <w:bCs/>
        </w:rPr>
        <w:t>表1 南雄市各镇（街道）的村（居）委会名称</w:t>
      </w:r>
    </w:p>
    <w:tbl>
      <w:tblPr>
        <w:tblStyle w:val="14"/>
        <w:tblW w:w="8954" w:type="dxa"/>
        <w:tblInd w:w="0" w:type="dxa"/>
        <w:tblBorders>
          <w:top w:val="single" w:color="auto" w:sz="4" w:space="0"/>
          <w:left w:val="none" w:color="auto" w:sz="4" w:space="0"/>
          <w:bottom w:val="single" w:color="auto" w:sz="4" w:space="0"/>
          <w:right w:val="none" w:color="auto" w:sz="4" w:space="0"/>
          <w:insideH w:val="single" w:color="auto" w:sz="4" w:space="0"/>
          <w:insideV w:val="single" w:color="auto" w:sz="4" w:space="0"/>
        </w:tblBorders>
        <w:tblLayout w:type="fixed"/>
        <w:tblCellMar>
          <w:top w:w="0" w:type="dxa"/>
          <w:left w:w="0" w:type="dxa"/>
          <w:bottom w:w="0" w:type="dxa"/>
          <w:right w:w="0" w:type="dxa"/>
        </w:tblCellMar>
      </w:tblPr>
      <w:tblGrid>
        <w:gridCol w:w="1384"/>
        <w:gridCol w:w="5043"/>
        <w:gridCol w:w="2527"/>
      </w:tblGrid>
      <w:tr w14:paraId="08787AC2">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1384" w:type="dxa"/>
            <w:tcBorders>
              <w:left w:val="nil"/>
            </w:tcBorders>
            <w:shd w:val="clear" w:color="auto" w:fill="auto"/>
            <w:noWrap/>
            <w:tcMar>
              <w:top w:w="15" w:type="dxa"/>
              <w:left w:w="15" w:type="dxa"/>
              <w:right w:w="15" w:type="dxa"/>
            </w:tcMar>
            <w:vAlign w:val="bottom"/>
          </w:tcPr>
          <w:p w14:paraId="2B59E12B">
            <w:pPr>
              <w:pStyle w:val="34"/>
              <w:jc w:val="center"/>
              <w:rPr>
                <w:b/>
                <w:bCs/>
              </w:rPr>
            </w:pPr>
            <w:r>
              <w:rPr>
                <w:b/>
                <w:bCs/>
              </w:rPr>
              <w:t>镇(街道)</w:t>
            </w:r>
          </w:p>
        </w:tc>
        <w:tc>
          <w:tcPr>
            <w:tcW w:w="5043" w:type="dxa"/>
            <w:shd w:val="clear" w:color="auto" w:fill="auto"/>
            <w:noWrap/>
            <w:tcMar>
              <w:top w:w="15" w:type="dxa"/>
              <w:left w:w="15" w:type="dxa"/>
              <w:right w:w="15" w:type="dxa"/>
            </w:tcMar>
            <w:vAlign w:val="bottom"/>
          </w:tcPr>
          <w:p w14:paraId="2445EA05">
            <w:pPr>
              <w:pStyle w:val="34"/>
              <w:jc w:val="center"/>
              <w:rPr>
                <w:b/>
                <w:bCs/>
              </w:rPr>
            </w:pPr>
            <w:r>
              <w:rPr>
                <w:b/>
                <w:bCs/>
              </w:rPr>
              <w:t>村委会</w:t>
            </w:r>
          </w:p>
        </w:tc>
        <w:tc>
          <w:tcPr>
            <w:tcW w:w="2527" w:type="dxa"/>
            <w:tcBorders>
              <w:right w:val="nil"/>
            </w:tcBorders>
            <w:shd w:val="clear" w:color="auto" w:fill="auto"/>
            <w:noWrap/>
            <w:tcMar>
              <w:top w:w="15" w:type="dxa"/>
              <w:left w:w="15" w:type="dxa"/>
              <w:right w:w="15" w:type="dxa"/>
            </w:tcMar>
            <w:vAlign w:val="bottom"/>
          </w:tcPr>
          <w:p w14:paraId="11413514">
            <w:pPr>
              <w:pStyle w:val="34"/>
              <w:jc w:val="center"/>
              <w:rPr>
                <w:b/>
                <w:bCs/>
              </w:rPr>
            </w:pPr>
            <w:r>
              <w:rPr>
                <w:rFonts w:hint="eastAsia"/>
                <w:b/>
                <w:bCs/>
              </w:rPr>
              <w:t>居委会</w:t>
            </w:r>
          </w:p>
        </w:tc>
      </w:tr>
      <w:tr w14:paraId="33A036AC">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1384" w:type="dxa"/>
            <w:tcBorders>
              <w:left w:val="nil"/>
            </w:tcBorders>
            <w:shd w:val="clear" w:color="auto" w:fill="auto"/>
            <w:noWrap/>
            <w:tcMar>
              <w:top w:w="15" w:type="dxa"/>
              <w:left w:w="15" w:type="dxa"/>
              <w:right w:w="15" w:type="dxa"/>
            </w:tcMar>
            <w:vAlign w:val="bottom"/>
          </w:tcPr>
          <w:p w14:paraId="6226A004">
            <w:pPr>
              <w:pStyle w:val="34"/>
            </w:pPr>
            <w:r>
              <w:t>雄州街道</w:t>
            </w:r>
          </w:p>
        </w:tc>
        <w:tc>
          <w:tcPr>
            <w:tcW w:w="5043" w:type="dxa"/>
            <w:shd w:val="clear" w:color="auto" w:fill="auto"/>
            <w:noWrap/>
            <w:tcMar>
              <w:top w:w="15" w:type="dxa"/>
              <w:left w:w="15" w:type="dxa"/>
              <w:right w:w="15" w:type="dxa"/>
            </w:tcMar>
            <w:vAlign w:val="bottom"/>
          </w:tcPr>
          <w:p w14:paraId="064FDFA4">
            <w:pPr>
              <w:pStyle w:val="34"/>
            </w:pPr>
            <w:r>
              <w:rPr>
                <w:rFonts w:hint="eastAsia"/>
              </w:rPr>
              <w:t>河南、郊区、莲塘、铺背、水南、黎口、观新、荆岗、勋口、上坪、下坪、五洲、迳口</w:t>
            </w:r>
          </w:p>
        </w:tc>
        <w:tc>
          <w:tcPr>
            <w:tcW w:w="2527" w:type="dxa"/>
            <w:tcBorders>
              <w:right w:val="nil"/>
            </w:tcBorders>
            <w:shd w:val="clear" w:color="auto" w:fill="auto"/>
            <w:noWrap/>
            <w:tcMar>
              <w:top w:w="15" w:type="dxa"/>
              <w:left w:w="15" w:type="dxa"/>
              <w:right w:w="15" w:type="dxa"/>
            </w:tcMar>
            <w:vAlign w:val="bottom"/>
          </w:tcPr>
          <w:p w14:paraId="79DDE3E1">
            <w:pPr>
              <w:pStyle w:val="34"/>
            </w:pPr>
            <w:r>
              <w:rPr>
                <w:rFonts w:hint="eastAsia"/>
              </w:rPr>
              <w:t>八一街、新城东、建国街、民主街、胜利街、幸福街、新城西</w:t>
            </w:r>
          </w:p>
        </w:tc>
      </w:tr>
      <w:tr w14:paraId="4D05ACEE">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1384" w:type="dxa"/>
            <w:tcBorders>
              <w:left w:val="nil"/>
            </w:tcBorders>
            <w:shd w:val="clear" w:color="auto" w:fill="auto"/>
            <w:noWrap/>
            <w:tcMar>
              <w:top w:w="15" w:type="dxa"/>
              <w:left w:w="15" w:type="dxa"/>
              <w:right w:w="15" w:type="dxa"/>
            </w:tcMar>
            <w:vAlign w:val="bottom"/>
          </w:tcPr>
          <w:p w14:paraId="2B9E2089">
            <w:pPr>
              <w:pStyle w:val="34"/>
            </w:pPr>
            <w:r>
              <w:t>乌迳镇</w:t>
            </w:r>
          </w:p>
        </w:tc>
        <w:tc>
          <w:tcPr>
            <w:tcW w:w="5043" w:type="dxa"/>
            <w:shd w:val="clear" w:color="auto" w:fill="auto"/>
            <w:noWrap/>
            <w:tcMar>
              <w:top w:w="15" w:type="dxa"/>
              <w:left w:w="15" w:type="dxa"/>
              <w:right w:w="15" w:type="dxa"/>
            </w:tcMar>
            <w:vAlign w:val="bottom"/>
          </w:tcPr>
          <w:p w14:paraId="69DD059D">
            <w:pPr>
              <w:pStyle w:val="34"/>
            </w:pPr>
            <w:r>
              <w:t>乌迳、山下、鱼塘、新田、高溯、长龙、白龙、坪塘、响联、龙迳、黄塘、官门楼、孔塘、庙前、水松、黄洞、白胜、田心、大竹、孔江、兰丘</w:t>
            </w:r>
          </w:p>
        </w:tc>
        <w:tc>
          <w:tcPr>
            <w:tcW w:w="2527" w:type="dxa"/>
            <w:tcBorders>
              <w:right w:val="nil"/>
            </w:tcBorders>
            <w:shd w:val="clear" w:color="auto" w:fill="auto"/>
            <w:noWrap/>
            <w:tcMar>
              <w:top w:w="15" w:type="dxa"/>
              <w:left w:w="15" w:type="dxa"/>
              <w:right w:w="15" w:type="dxa"/>
            </w:tcMar>
            <w:vAlign w:val="bottom"/>
          </w:tcPr>
          <w:p w14:paraId="2378FB09">
            <w:pPr>
              <w:pStyle w:val="34"/>
            </w:pPr>
            <w:r>
              <w:rPr>
                <w:rFonts w:hint="eastAsia"/>
              </w:rPr>
              <w:t>运新</w:t>
            </w:r>
          </w:p>
        </w:tc>
      </w:tr>
      <w:tr w14:paraId="4D0D8864">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1384" w:type="dxa"/>
            <w:tcBorders>
              <w:left w:val="nil"/>
            </w:tcBorders>
            <w:shd w:val="clear" w:color="auto" w:fill="auto"/>
            <w:noWrap/>
            <w:tcMar>
              <w:top w:w="15" w:type="dxa"/>
              <w:left w:w="15" w:type="dxa"/>
              <w:right w:w="15" w:type="dxa"/>
            </w:tcMar>
            <w:vAlign w:val="bottom"/>
          </w:tcPr>
          <w:p w14:paraId="6E9DBDB1">
            <w:pPr>
              <w:pStyle w:val="34"/>
            </w:pPr>
            <w:r>
              <w:t>界址镇</w:t>
            </w:r>
          </w:p>
        </w:tc>
        <w:tc>
          <w:tcPr>
            <w:tcW w:w="5043" w:type="dxa"/>
            <w:shd w:val="clear" w:color="auto" w:fill="auto"/>
            <w:noWrap/>
            <w:tcMar>
              <w:top w:w="15" w:type="dxa"/>
              <w:left w:w="15" w:type="dxa"/>
              <w:right w:w="15" w:type="dxa"/>
            </w:tcMar>
            <w:vAlign w:val="bottom"/>
          </w:tcPr>
          <w:p w14:paraId="469C7B3D">
            <w:pPr>
              <w:pStyle w:val="34"/>
            </w:pPr>
            <w:r>
              <w:t>下屋、崇化、赵屋、界址、百罗、大坊、大坑、马芫</w:t>
            </w:r>
          </w:p>
        </w:tc>
        <w:tc>
          <w:tcPr>
            <w:tcW w:w="2527" w:type="dxa"/>
            <w:tcBorders>
              <w:right w:val="nil"/>
            </w:tcBorders>
            <w:shd w:val="clear" w:color="auto" w:fill="auto"/>
            <w:noWrap/>
            <w:tcMar>
              <w:top w:w="15" w:type="dxa"/>
              <w:left w:w="15" w:type="dxa"/>
              <w:right w:w="15" w:type="dxa"/>
            </w:tcMar>
            <w:vAlign w:val="bottom"/>
          </w:tcPr>
          <w:p w14:paraId="744D1187">
            <w:pPr>
              <w:pStyle w:val="34"/>
            </w:pPr>
            <w:r>
              <w:rPr>
                <w:rFonts w:hint="eastAsia"/>
              </w:rPr>
              <w:t>界址墟</w:t>
            </w:r>
          </w:p>
        </w:tc>
      </w:tr>
      <w:tr w14:paraId="32129A6A">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1384" w:type="dxa"/>
            <w:tcBorders>
              <w:left w:val="nil"/>
            </w:tcBorders>
            <w:shd w:val="clear" w:color="auto" w:fill="auto"/>
            <w:noWrap/>
            <w:tcMar>
              <w:top w:w="15" w:type="dxa"/>
              <w:left w:w="15" w:type="dxa"/>
              <w:right w:w="15" w:type="dxa"/>
            </w:tcMar>
            <w:vAlign w:val="bottom"/>
          </w:tcPr>
          <w:p w14:paraId="05A72445">
            <w:pPr>
              <w:pStyle w:val="34"/>
            </w:pPr>
            <w:r>
              <w:t>坪田镇</w:t>
            </w:r>
          </w:p>
        </w:tc>
        <w:tc>
          <w:tcPr>
            <w:tcW w:w="5043" w:type="dxa"/>
            <w:shd w:val="clear" w:color="auto" w:fill="auto"/>
            <w:noWrap/>
            <w:tcMar>
              <w:top w:w="15" w:type="dxa"/>
              <w:left w:w="15" w:type="dxa"/>
              <w:right w:w="15" w:type="dxa"/>
            </w:tcMar>
            <w:vAlign w:val="bottom"/>
          </w:tcPr>
          <w:p w14:paraId="50C2B630">
            <w:pPr>
              <w:pStyle w:val="34"/>
            </w:pPr>
            <w:r>
              <w:t>坪田、新墟、坪湖、龙头、迳洞、老宅、中坪、长坑、老龙、背迳、龙口、横岭、小塘、官陂</w:t>
            </w:r>
          </w:p>
        </w:tc>
        <w:tc>
          <w:tcPr>
            <w:tcW w:w="2527" w:type="dxa"/>
            <w:tcBorders>
              <w:right w:val="nil"/>
            </w:tcBorders>
            <w:shd w:val="clear" w:color="auto" w:fill="auto"/>
            <w:noWrap/>
            <w:tcMar>
              <w:top w:w="15" w:type="dxa"/>
              <w:left w:w="15" w:type="dxa"/>
              <w:right w:w="15" w:type="dxa"/>
            </w:tcMar>
            <w:vAlign w:val="bottom"/>
          </w:tcPr>
          <w:p w14:paraId="20770004">
            <w:pPr>
              <w:pStyle w:val="34"/>
            </w:pPr>
            <w:r>
              <w:rPr>
                <w:rFonts w:hint="eastAsia"/>
              </w:rPr>
              <w:t>坪因</w:t>
            </w:r>
          </w:p>
        </w:tc>
      </w:tr>
      <w:tr w14:paraId="7DFE9FE7">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1384" w:type="dxa"/>
            <w:tcBorders>
              <w:left w:val="nil"/>
            </w:tcBorders>
            <w:shd w:val="clear" w:color="auto" w:fill="auto"/>
            <w:noWrap/>
            <w:tcMar>
              <w:top w:w="15" w:type="dxa"/>
              <w:left w:w="15" w:type="dxa"/>
              <w:right w:w="15" w:type="dxa"/>
            </w:tcMar>
            <w:vAlign w:val="bottom"/>
          </w:tcPr>
          <w:p w14:paraId="765ADCF8">
            <w:pPr>
              <w:pStyle w:val="34"/>
            </w:pPr>
            <w:r>
              <w:t>黄坑镇</w:t>
            </w:r>
          </w:p>
        </w:tc>
        <w:tc>
          <w:tcPr>
            <w:tcW w:w="5043" w:type="dxa"/>
            <w:shd w:val="clear" w:color="auto" w:fill="auto"/>
            <w:noWrap/>
            <w:tcMar>
              <w:top w:w="15" w:type="dxa"/>
              <w:left w:w="15" w:type="dxa"/>
              <w:right w:w="15" w:type="dxa"/>
            </w:tcMar>
            <w:vAlign w:val="bottom"/>
          </w:tcPr>
          <w:p w14:paraId="09BF0337">
            <w:pPr>
              <w:pStyle w:val="34"/>
            </w:pPr>
            <w:r>
              <w:t>黄坑、社前、小陂、塘源、溪塘、耶溪、中心、园岭、许村、上象</w:t>
            </w:r>
          </w:p>
        </w:tc>
        <w:tc>
          <w:tcPr>
            <w:tcW w:w="2527" w:type="dxa"/>
            <w:tcBorders>
              <w:right w:val="nil"/>
            </w:tcBorders>
            <w:shd w:val="clear" w:color="auto" w:fill="auto"/>
            <w:noWrap/>
            <w:tcMar>
              <w:top w:w="15" w:type="dxa"/>
              <w:left w:w="15" w:type="dxa"/>
              <w:right w:w="15" w:type="dxa"/>
            </w:tcMar>
            <w:vAlign w:val="bottom"/>
          </w:tcPr>
          <w:p w14:paraId="0E915E8E">
            <w:pPr>
              <w:pStyle w:val="34"/>
            </w:pPr>
            <w:r>
              <w:rPr>
                <w:rFonts w:hint="eastAsia"/>
              </w:rPr>
              <w:t>黄坑</w:t>
            </w:r>
          </w:p>
        </w:tc>
      </w:tr>
      <w:tr w14:paraId="799CA678">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1384" w:type="dxa"/>
            <w:tcBorders>
              <w:left w:val="nil"/>
            </w:tcBorders>
            <w:shd w:val="clear" w:color="auto" w:fill="auto"/>
            <w:noWrap/>
            <w:tcMar>
              <w:top w:w="15" w:type="dxa"/>
              <w:left w:w="15" w:type="dxa"/>
              <w:right w:w="15" w:type="dxa"/>
            </w:tcMar>
            <w:vAlign w:val="bottom"/>
          </w:tcPr>
          <w:p w14:paraId="4291CB98">
            <w:pPr>
              <w:pStyle w:val="34"/>
            </w:pPr>
            <w:r>
              <w:t>邓坊镇</w:t>
            </w:r>
          </w:p>
        </w:tc>
        <w:tc>
          <w:tcPr>
            <w:tcW w:w="5043" w:type="dxa"/>
            <w:shd w:val="clear" w:color="auto" w:fill="auto"/>
            <w:noWrap/>
            <w:tcMar>
              <w:top w:w="15" w:type="dxa"/>
              <w:left w:w="15" w:type="dxa"/>
              <w:right w:w="15" w:type="dxa"/>
            </w:tcMar>
            <w:vAlign w:val="bottom"/>
          </w:tcPr>
          <w:p w14:paraId="2E65E070">
            <w:pPr>
              <w:pStyle w:val="34"/>
            </w:pPr>
            <w:r>
              <w:t>邓坊、里源、赤石、洋西、赤马、马战、茶头背、上湖、兰田</w:t>
            </w:r>
          </w:p>
        </w:tc>
        <w:tc>
          <w:tcPr>
            <w:tcW w:w="2527" w:type="dxa"/>
            <w:tcBorders>
              <w:right w:val="nil"/>
            </w:tcBorders>
            <w:shd w:val="clear" w:color="auto" w:fill="auto"/>
            <w:noWrap/>
            <w:tcMar>
              <w:top w:w="15" w:type="dxa"/>
              <w:left w:w="15" w:type="dxa"/>
              <w:right w:w="15" w:type="dxa"/>
            </w:tcMar>
            <w:vAlign w:val="bottom"/>
          </w:tcPr>
          <w:p w14:paraId="648812AB">
            <w:pPr>
              <w:pStyle w:val="34"/>
            </w:pPr>
            <w:r>
              <w:rPr>
                <w:rFonts w:hint="eastAsia"/>
              </w:rPr>
              <w:t>邓坊</w:t>
            </w:r>
          </w:p>
        </w:tc>
      </w:tr>
      <w:tr w14:paraId="6B81FF29">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1384" w:type="dxa"/>
            <w:tcBorders>
              <w:left w:val="nil"/>
            </w:tcBorders>
            <w:shd w:val="clear" w:color="auto" w:fill="auto"/>
            <w:noWrap/>
            <w:tcMar>
              <w:top w:w="15" w:type="dxa"/>
              <w:left w:w="15" w:type="dxa"/>
              <w:right w:w="15" w:type="dxa"/>
            </w:tcMar>
            <w:vAlign w:val="bottom"/>
          </w:tcPr>
          <w:p w14:paraId="7266FF35">
            <w:pPr>
              <w:pStyle w:val="34"/>
            </w:pPr>
            <w:r>
              <w:t>油山镇</w:t>
            </w:r>
          </w:p>
        </w:tc>
        <w:tc>
          <w:tcPr>
            <w:tcW w:w="5043" w:type="dxa"/>
            <w:shd w:val="clear" w:color="auto" w:fill="auto"/>
            <w:noWrap/>
            <w:tcMar>
              <w:top w:w="15" w:type="dxa"/>
              <w:left w:w="15" w:type="dxa"/>
              <w:right w:w="15" w:type="dxa"/>
            </w:tcMar>
            <w:vAlign w:val="bottom"/>
          </w:tcPr>
          <w:p w14:paraId="5112F956">
            <w:pPr>
              <w:pStyle w:val="34"/>
            </w:pPr>
            <w:r>
              <w:t>坪田坳、莲山、大兰、平林、黄地、爱敬、浆田、上浆、孔村、延村、锦陂、上朔、夹河口、大塘、黄田、下惠、古城</w:t>
            </w:r>
          </w:p>
        </w:tc>
        <w:tc>
          <w:tcPr>
            <w:tcW w:w="2527" w:type="dxa"/>
            <w:tcBorders>
              <w:right w:val="nil"/>
            </w:tcBorders>
            <w:shd w:val="clear" w:color="auto" w:fill="auto"/>
            <w:noWrap/>
            <w:tcMar>
              <w:top w:w="15" w:type="dxa"/>
              <w:left w:w="15" w:type="dxa"/>
              <w:right w:w="15" w:type="dxa"/>
            </w:tcMar>
            <w:vAlign w:val="bottom"/>
          </w:tcPr>
          <w:p w14:paraId="42C5F4F4">
            <w:pPr>
              <w:pStyle w:val="34"/>
            </w:pPr>
            <w:r>
              <w:rPr>
                <w:rFonts w:hint="eastAsia"/>
              </w:rPr>
              <w:t>油山</w:t>
            </w:r>
          </w:p>
        </w:tc>
      </w:tr>
      <w:tr w14:paraId="2005E697">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1384" w:type="dxa"/>
            <w:tcBorders>
              <w:left w:val="nil"/>
            </w:tcBorders>
            <w:shd w:val="clear" w:color="auto" w:fill="auto"/>
            <w:noWrap/>
            <w:tcMar>
              <w:top w:w="15" w:type="dxa"/>
              <w:left w:w="15" w:type="dxa"/>
              <w:right w:w="15" w:type="dxa"/>
            </w:tcMar>
            <w:vAlign w:val="bottom"/>
          </w:tcPr>
          <w:p w14:paraId="307C9835">
            <w:pPr>
              <w:pStyle w:val="34"/>
            </w:pPr>
            <w:r>
              <w:t>南亩镇</w:t>
            </w:r>
          </w:p>
        </w:tc>
        <w:tc>
          <w:tcPr>
            <w:tcW w:w="5043" w:type="dxa"/>
            <w:shd w:val="clear" w:color="auto" w:fill="auto"/>
            <w:noWrap/>
            <w:tcMar>
              <w:top w:w="15" w:type="dxa"/>
              <w:left w:w="15" w:type="dxa"/>
              <w:right w:w="15" w:type="dxa"/>
            </w:tcMar>
            <w:vAlign w:val="bottom"/>
          </w:tcPr>
          <w:p w14:paraId="6616795D">
            <w:pPr>
              <w:pStyle w:val="34"/>
            </w:pPr>
            <w:r>
              <w:t>长洞、水塘、中寺、岭下、中岭、水尾、芙蓉、鱼鲜、南亩、樟屋、官田</w:t>
            </w:r>
          </w:p>
        </w:tc>
        <w:tc>
          <w:tcPr>
            <w:tcW w:w="2527" w:type="dxa"/>
            <w:tcBorders>
              <w:right w:val="nil"/>
            </w:tcBorders>
            <w:shd w:val="clear" w:color="auto" w:fill="auto"/>
            <w:noWrap/>
            <w:tcMar>
              <w:top w:w="15" w:type="dxa"/>
              <w:left w:w="15" w:type="dxa"/>
              <w:right w:w="15" w:type="dxa"/>
            </w:tcMar>
            <w:vAlign w:val="bottom"/>
          </w:tcPr>
          <w:p w14:paraId="40E93A96">
            <w:pPr>
              <w:pStyle w:val="34"/>
            </w:pPr>
            <w:r>
              <w:rPr>
                <w:rFonts w:hint="eastAsia"/>
              </w:rPr>
              <w:t>南亩墟</w:t>
            </w:r>
          </w:p>
        </w:tc>
      </w:tr>
      <w:tr w14:paraId="4F896F3F">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1384" w:type="dxa"/>
            <w:tcBorders>
              <w:left w:val="nil"/>
            </w:tcBorders>
            <w:shd w:val="clear" w:color="auto" w:fill="auto"/>
            <w:noWrap/>
            <w:tcMar>
              <w:top w:w="15" w:type="dxa"/>
              <w:left w:w="15" w:type="dxa"/>
              <w:right w:w="15" w:type="dxa"/>
            </w:tcMar>
            <w:vAlign w:val="bottom"/>
          </w:tcPr>
          <w:p w14:paraId="58EB6446">
            <w:pPr>
              <w:pStyle w:val="34"/>
            </w:pPr>
            <w:r>
              <w:t>水口镇</w:t>
            </w:r>
          </w:p>
        </w:tc>
        <w:tc>
          <w:tcPr>
            <w:tcW w:w="5043" w:type="dxa"/>
            <w:shd w:val="clear" w:color="auto" w:fill="auto"/>
            <w:noWrap/>
            <w:tcMar>
              <w:top w:w="15" w:type="dxa"/>
              <w:left w:w="15" w:type="dxa"/>
              <w:right w:w="15" w:type="dxa"/>
            </w:tcMar>
            <w:vAlign w:val="bottom"/>
          </w:tcPr>
          <w:p w14:paraId="6D9DCF5B">
            <w:pPr>
              <w:pStyle w:val="34"/>
            </w:pPr>
            <w:r>
              <w:t>云西、弱过、水口、大部、河村、大坪、沙头下湖、赤岭、群星、石庄、下楼、泷头</w:t>
            </w:r>
          </w:p>
        </w:tc>
        <w:tc>
          <w:tcPr>
            <w:tcW w:w="2527" w:type="dxa"/>
            <w:tcBorders>
              <w:right w:val="nil"/>
            </w:tcBorders>
            <w:shd w:val="clear" w:color="auto" w:fill="auto"/>
            <w:noWrap/>
            <w:tcMar>
              <w:top w:w="15" w:type="dxa"/>
              <w:left w:w="15" w:type="dxa"/>
              <w:right w:w="15" w:type="dxa"/>
            </w:tcMar>
            <w:vAlign w:val="bottom"/>
          </w:tcPr>
          <w:p w14:paraId="5157C9AC">
            <w:pPr>
              <w:pStyle w:val="34"/>
            </w:pPr>
            <w:r>
              <w:rPr>
                <w:rFonts w:hint="eastAsia"/>
              </w:rPr>
              <w:t>水口</w:t>
            </w:r>
          </w:p>
        </w:tc>
      </w:tr>
      <w:tr w14:paraId="38BCD0BA">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1384" w:type="dxa"/>
            <w:tcBorders>
              <w:left w:val="nil"/>
            </w:tcBorders>
            <w:shd w:val="clear" w:color="auto" w:fill="auto"/>
            <w:noWrap/>
            <w:tcMar>
              <w:top w:w="15" w:type="dxa"/>
              <w:left w:w="15" w:type="dxa"/>
              <w:right w:w="15" w:type="dxa"/>
            </w:tcMar>
            <w:vAlign w:val="bottom"/>
          </w:tcPr>
          <w:p w14:paraId="1B8BBD4F">
            <w:pPr>
              <w:pStyle w:val="34"/>
            </w:pPr>
            <w:r>
              <w:t>江头镇</w:t>
            </w:r>
          </w:p>
        </w:tc>
        <w:tc>
          <w:tcPr>
            <w:tcW w:w="5043" w:type="dxa"/>
            <w:shd w:val="clear" w:color="auto" w:fill="auto"/>
            <w:noWrap/>
            <w:tcMar>
              <w:top w:w="15" w:type="dxa"/>
              <w:left w:w="15" w:type="dxa"/>
              <w:right w:w="15" w:type="dxa"/>
            </w:tcMar>
            <w:vAlign w:val="bottom"/>
          </w:tcPr>
          <w:p w14:paraId="643D0B5E">
            <w:pPr>
              <w:pStyle w:val="34"/>
            </w:pPr>
            <w:r>
              <w:t>坪岗、涌溪、元甫、江头、鱼仙、大汉、南甫、武岭、小竹</w:t>
            </w:r>
          </w:p>
        </w:tc>
        <w:tc>
          <w:tcPr>
            <w:tcW w:w="2527" w:type="dxa"/>
            <w:tcBorders>
              <w:right w:val="nil"/>
            </w:tcBorders>
            <w:shd w:val="clear" w:color="auto" w:fill="auto"/>
            <w:noWrap/>
            <w:tcMar>
              <w:top w:w="15" w:type="dxa"/>
              <w:left w:w="15" w:type="dxa"/>
              <w:right w:w="15" w:type="dxa"/>
            </w:tcMar>
            <w:vAlign w:val="bottom"/>
          </w:tcPr>
          <w:p w14:paraId="66B928BB">
            <w:pPr>
              <w:pStyle w:val="34"/>
            </w:pPr>
            <w:r>
              <w:rPr>
                <w:rFonts w:hint="eastAsia"/>
              </w:rPr>
              <w:t>江头</w:t>
            </w:r>
          </w:p>
        </w:tc>
      </w:tr>
      <w:tr w14:paraId="45B6680A">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1384" w:type="dxa"/>
            <w:tcBorders>
              <w:left w:val="nil"/>
            </w:tcBorders>
            <w:shd w:val="clear" w:color="auto" w:fill="auto"/>
            <w:noWrap/>
            <w:tcMar>
              <w:top w:w="15" w:type="dxa"/>
              <w:left w:w="15" w:type="dxa"/>
              <w:right w:w="15" w:type="dxa"/>
            </w:tcMar>
            <w:vAlign w:val="bottom"/>
          </w:tcPr>
          <w:p w14:paraId="14DB4EC7">
            <w:pPr>
              <w:pStyle w:val="34"/>
            </w:pPr>
            <w:r>
              <w:t>湖口镇</w:t>
            </w:r>
          </w:p>
        </w:tc>
        <w:tc>
          <w:tcPr>
            <w:tcW w:w="5043" w:type="dxa"/>
            <w:shd w:val="clear" w:color="auto" w:fill="auto"/>
            <w:noWrap/>
            <w:tcMar>
              <w:top w:w="15" w:type="dxa"/>
              <w:left w:w="15" w:type="dxa"/>
              <w:right w:w="15" w:type="dxa"/>
            </w:tcMar>
            <w:vAlign w:val="bottom"/>
          </w:tcPr>
          <w:p w14:paraId="2A5AB2F1">
            <w:pPr>
              <w:pStyle w:val="34"/>
            </w:pPr>
            <w:r>
              <w:t>里和、三角、三水、积塔、长市、新湖、新迳、矿石、岗围、湖口、太和、承平</w:t>
            </w:r>
          </w:p>
        </w:tc>
        <w:tc>
          <w:tcPr>
            <w:tcW w:w="2527" w:type="dxa"/>
            <w:tcBorders>
              <w:right w:val="nil"/>
            </w:tcBorders>
            <w:shd w:val="clear" w:color="auto" w:fill="auto"/>
            <w:noWrap/>
            <w:tcMar>
              <w:top w:w="15" w:type="dxa"/>
              <w:left w:w="15" w:type="dxa"/>
              <w:right w:w="15" w:type="dxa"/>
            </w:tcMar>
            <w:vAlign w:val="bottom"/>
          </w:tcPr>
          <w:p w14:paraId="19A9525A">
            <w:pPr>
              <w:pStyle w:val="34"/>
            </w:pPr>
            <w:r>
              <w:rPr>
                <w:rFonts w:hint="eastAsia"/>
              </w:rPr>
              <w:t>湖口</w:t>
            </w:r>
          </w:p>
        </w:tc>
      </w:tr>
      <w:tr w14:paraId="0837739D">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1384" w:type="dxa"/>
            <w:tcBorders>
              <w:left w:val="nil"/>
            </w:tcBorders>
            <w:shd w:val="clear" w:color="auto" w:fill="auto"/>
            <w:noWrap/>
            <w:tcMar>
              <w:top w:w="15" w:type="dxa"/>
              <w:left w:w="15" w:type="dxa"/>
              <w:right w:w="15" w:type="dxa"/>
            </w:tcMar>
            <w:vAlign w:val="bottom"/>
          </w:tcPr>
          <w:p w14:paraId="085A2FE8">
            <w:pPr>
              <w:pStyle w:val="34"/>
            </w:pPr>
            <w:r>
              <w:t>珠玑镇</w:t>
            </w:r>
          </w:p>
        </w:tc>
        <w:tc>
          <w:tcPr>
            <w:tcW w:w="5043" w:type="dxa"/>
            <w:shd w:val="clear" w:color="auto" w:fill="auto"/>
            <w:noWrap/>
            <w:tcMar>
              <w:top w:w="15" w:type="dxa"/>
              <w:left w:w="15" w:type="dxa"/>
              <w:right w:w="15" w:type="dxa"/>
            </w:tcMar>
            <w:vAlign w:val="bottom"/>
          </w:tcPr>
          <w:p w14:paraId="52BEE239">
            <w:pPr>
              <w:pStyle w:val="34"/>
            </w:pPr>
            <w:r>
              <w:t>珠玑、洋湖、聪辈、长迳、新村、古田、叟里元、上嵩、里仁、塘东、石塘、里东、灵潭、祗芫、下汾、罗田、南山、梅关、梅岭、泰源、中站、角湾</w:t>
            </w:r>
          </w:p>
        </w:tc>
        <w:tc>
          <w:tcPr>
            <w:tcW w:w="2527" w:type="dxa"/>
            <w:tcBorders>
              <w:right w:val="nil"/>
            </w:tcBorders>
            <w:shd w:val="clear" w:color="auto" w:fill="auto"/>
            <w:noWrap/>
            <w:tcMar>
              <w:top w:w="15" w:type="dxa"/>
              <w:left w:w="15" w:type="dxa"/>
              <w:right w:w="15" w:type="dxa"/>
            </w:tcMar>
            <w:vAlign w:val="bottom"/>
          </w:tcPr>
          <w:p w14:paraId="6BB57166">
            <w:pPr>
              <w:pStyle w:val="34"/>
            </w:pPr>
            <w:r>
              <w:rPr>
                <w:rFonts w:hint="eastAsia"/>
              </w:rPr>
              <w:t>珠玑</w:t>
            </w:r>
          </w:p>
        </w:tc>
      </w:tr>
      <w:tr w14:paraId="2DEEEA43">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1384" w:type="dxa"/>
            <w:tcBorders>
              <w:left w:val="nil"/>
            </w:tcBorders>
            <w:shd w:val="clear" w:color="auto" w:fill="auto"/>
            <w:noWrap/>
            <w:tcMar>
              <w:top w:w="15" w:type="dxa"/>
              <w:left w:w="15" w:type="dxa"/>
              <w:right w:w="15" w:type="dxa"/>
            </w:tcMar>
            <w:vAlign w:val="bottom"/>
          </w:tcPr>
          <w:p w14:paraId="7DDC4E29">
            <w:pPr>
              <w:pStyle w:val="34"/>
            </w:pPr>
            <w:r>
              <w:t>主田镇</w:t>
            </w:r>
          </w:p>
        </w:tc>
        <w:tc>
          <w:tcPr>
            <w:tcW w:w="5043" w:type="dxa"/>
            <w:shd w:val="clear" w:color="auto" w:fill="auto"/>
            <w:noWrap/>
            <w:tcMar>
              <w:top w:w="15" w:type="dxa"/>
              <w:left w:w="15" w:type="dxa"/>
              <w:right w:w="15" w:type="dxa"/>
            </w:tcMar>
            <w:vAlign w:val="bottom"/>
          </w:tcPr>
          <w:p w14:paraId="05C52B36">
            <w:pPr>
              <w:pStyle w:val="34"/>
            </w:pPr>
            <w:r>
              <w:t>大坝、主田、城门、塘山、西坪、西洞、窑合、高峰</w:t>
            </w:r>
          </w:p>
        </w:tc>
        <w:tc>
          <w:tcPr>
            <w:tcW w:w="2527" w:type="dxa"/>
            <w:tcBorders>
              <w:right w:val="nil"/>
            </w:tcBorders>
            <w:shd w:val="clear" w:color="auto" w:fill="auto"/>
            <w:noWrap/>
            <w:tcMar>
              <w:top w:w="15" w:type="dxa"/>
              <w:left w:w="15" w:type="dxa"/>
              <w:right w:w="15" w:type="dxa"/>
            </w:tcMar>
            <w:vAlign w:val="bottom"/>
          </w:tcPr>
          <w:p w14:paraId="0F5DD354">
            <w:pPr>
              <w:pStyle w:val="34"/>
            </w:pPr>
            <w:r>
              <w:rPr>
                <w:rFonts w:hint="eastAsia"/>
              </w:rPr>
              <w:t>大凤</w:t>
            </w:r>
          </w:p>
        </w:tc>
      </w:tr>
      <w:tr w14:paraId="5D0C3A37">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1384" w:type="dxa"/>
            <w:tcBorders>
              <w:left w:val="nil"/>
            </w:tcBorders>
            <w:shd w:val="clear" w:color="auto" w:fill="auto"/>
            <w:noWrap/>
            <w:tcMar>
              <w:top w:w="15" w:type="dxa"/>
              <w:left w:w="15" w:type="dxa"/>
              <w:right w:w="15" w:type="dxa"/>
            </w:tcMar>
            <w:vAlign w:val="bottom"/>
          </w:tcPr>
          <w:p w14:paraId="6F9215EB">
            <w:pPr>
              <w:pStyle w:val="34"/>
            </w:pPr>
            <w:r>
              <w:t>古市镇</w:t>
            </w:r>
          </w:p>
        </w:tc>
        <w:tc>
          <w:tcPr>
            <w:tcW w:w="5043" w:type="dxa"/>
            <w:shd w:val="clear" w:color="auto" w:fill="auto"/>
            <w:noWrap/>
            <w:tcMar>
              <w:top w:w="15" w:type="dxa"/>
              <w:left w:w="15" w:type="dxa"/>
              <w:right w:w="15" w:type="dxa"/>
            </w:tcMar>
            <w:vAlign w:val="bottom"/>
          </w:tcPr>
          <w:p w14:paraId="041F2A39">
            <w:pPr>
              <w:pStyle w:val="34"/>
            </w:pPr>
            <w:r>
              <w:t>小坑、三角岭、溪口、修仁、丰源、柴岭、古市、丹布</w:t>
            </w:r>
          </w:p>
        </w:tc>
        <w:tc>
          <w:tcPr>
            <w:tcW w:w="2527" w:type="dxa"/>
            <w:tcBorders>
              <w:right w:val="nil"/>
            </w:tcBorders>
            <w:shd w:val="clear" w:color="auto" w:fill="auto"/>
            <w:noWrap/>
            <w:tcMar>
              <w:top w:w="15" w:type="dxa"/>
              <w:left w:w="15" w:type="dxa"/>
              <w:right w:w="15" w:type="dxa"/>
            </w:tcMar>
            <w:vAlign w:val="bottom"/>
          </w:tcPr>
          <w:p w14:paraId="7E385201">
            <w:pPr>
              <w:pStyle w:val="34"/>
            </w:pPr>
            <w:r>
              <w:rPr>
                <w:rFonts w:hint="eastAsia"/>
              </w:rPr>
              <w:t>古禄墟</w:t>
            </w:r>
          </w:p>
        </w:tc>
      </w:tr>
      <w:tr w14:paraId="3D968476">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1384" w:type="dxa"/>
            <w:tcBorders>
              <w:left w:val="nil"/>
            </w:tcBorders>
            <w:shd w:val="clear" w:color="auto" w:fill="auto"/>
            <w:noWrap/>
            <w:tcMar>
              <w:top w:w="15" w:type="dxa"/>
              <w:left w:w="15" w:type="dxa"/>
              <w:right w:w="15" w:type="dxa"/>
            </w:tcMar>
            <w:vAlign w:val="bottom"/>
          </w:tcPr>
          <w:p w14:paraId="135F3795">
            <w:pPr>
              <w:pStyle w:val="34"/>
            </w:pPr>
            <w:r>
              <w:t>全安镇</w:t>
            </w:r>
          </w:p>
        </w:tc>
        <w:tc>
          <w:tcPr>
            <w:tcW w:w="5043" w:type="dxa"/>
            <w:shd w:val="clear" w:color="auto" w:fill="auto"/>
            <w:noWrap/>
            <w:tcMar>
              <w:top w:w="15" w:type="dxa"/>
              <w:left w:w="15" w:type="dxa"/>
              <w:right w:w="15" w:type="dxa"/>
            </w:tcMar>
            <w:vAlign w:val="bottom"/>
          </w:tcPr>
          <w:p w14:paraId="5AF2A902">
            <w:pPr>
              <w:pStyle w:val="34"/>
            </w:pPr>
            <w:r>
              <w:t>全安、陂头、羊角、古塘、王亭石、河塘、杨沥、荔迳、密下水、苍石、大坪、兰溪、章禾洞</w:t>
            </w:r>
          </w:p>
        </w:tc>
        <w:tc>
          <w:tcPr>
            <w:tcW w:w="2527" w:type="dxa"/>
            <w:tcBorders>
              <w:right w:val="nil"/>
            </w:tcBorders>
            <w:shd w:val="clear" w:color="auto" w:fill="auto"/>
            <w:noWrap/>
            <w:tcMar>
              <w:top w:w="15" w:type="dxa"/>
              <w:left w:w="15" w:type="dxa"/>
              <w:right w:w="15" w:type="dxa"/>
            </w:tcMar>
            <w:vAlign w:val="bottom"/>
          </w:tcPr>
          <w:p w14:paraId="35423839">
            <w:pPr>
              <w:pStyle w:val="34"/>
            </w:pPr>
            <w:r>
              <w:rPr>
                <w:rFonts w:hint="eastAsia"/>
              </w:rPr>
              <w:t>全安</w:t>
            </w:r>
          </w:p>
        </w:tc>
      </w:tr>
      <w:tr w14:paraId="1351D5C3">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1384" w:type="dxa"/>
            <w:tcBorders>
              <w:left w:val="nil"/>
            </w:tcBorders>
            <w:shd w:val="clear" w:color="auto" w:fill="auto"/>
            <w:noWrap/>
            <w:tcMar>
              <w:top w:w="15" w:type="dxa"/>
              <w:left w:w="15" w:type="dxa"/>
              <w:right w:w="15" w:type="dxa"/>
            </w:tcMar>
            <w:vAlign w:val="bottom"/>
          </w:tcPr>
          <w:p w14:paraId="76304D70">
            <w:pPr>
              <w:pStyle w:val="34"/>
            </w:pPr>
            <w:r>
              <w:t>百顺镇</w:t>
            </w:r>
          </w:p>
        </w:tc>
        <w:tc>
          <w:tcPr>
            <w:tcW w:w="5043" w:type="dxa"/>
            <w:shd w:val="clear" w:color="auto" w:fill="auto"/>
            <w:noWrap/>
            <w:tcMar>
              <w:top w:w="15" w:type="dxa"/>
              <w:left w:w="15" w:type="dxa"/>
              <w:right w:w="15" w:type="dxa"/>
            </w:tcMar>
            <w:vAlign w:val="bottom"/>
          </w:tcPr>
          <w:p w14:paraId="51D3C6F2">
            <w:pPr>
              <w:pStyle w:val="34"/>
            </w:pPr>
            <w:r>
              <w:t>百顺、大沙洲、邓洞、东坑、湖地、尚睦、溪头、杨梅、朱安</w:t>
            </w:r>
          </w:p>
        </w:tc>
        <w:tc>
          <w:tcPr>
            <w:tcW w:w="2527" w:type="dxa"/>
            <w:tcBorders>
              <w:right w:val="nil"/>
            </w:tcBorders>
            <w:shd w:val="clear" w:color="auto" w:fill="auto"/>
            <w:noWrap/>
            <w:tcMar>
              <w:top w:w="15" w:type="dxa"/>
              <w:left w:w="15" w:type="dxa"/>
              <w:right w:w="15" w:type="dxa"/>
            </w:tcMar>
            <w:vAlign w:val="bottom"/>
          </w:tcPr>
          <w:p w14:paraId="1690C9EE">
            <w:pPr>
              <w:pStyle w:val="34"/>
            </w:pPr>
            <w:r>
              <w:rPr>
                <w:rFonts w:hint="eastAsia"/>
              </w:rPr>
              <w:t>百顺</w:t>
            </w:r>
          </w:p>
        </w:tc>
      </w:tr>
      <w:tr w14:paraId="05487EFD">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1384" w:type="dxa"/>
            <w:tcBorders>
              <w:left w:val="nil"/>
            </w:tcBorders>
            <w:shd w:val="clear" w:color="auto" w:fill="auto"/>
            <w:noWrap/>
            <w:tcMar>
              <w:top w:w="15" w:type="dxa"/>
              <w:left w:w="15" w:type="dxa"/>
              <w:right w:w="15" w:type="dxa"/>
            </w:tcMar>
            <w:vAlign w:val="bottom"/>
          </w:tcPr>
          <w:p w14:paraId="6594D5E8">
            <w:pPr>
              <w:pStyle w:val="34"/>
            </w:pPr>
            <w:r>
              <w:t>澜河镇</w:t>
            </w:r>
          </w:p>
        </w:tc>
        <w:tc>
          <w:tcPr>
            <w:tcW w:w="5043" w:type="dxa"/>
            <w:shd w:val="clear" w:color="auto" w:fill="auto"/>
            <w:noWrap/>
            <w:tcMar>
              <w:top w:w="15" w:type="dxa"/>
              <w:left w:w="15" w:type="dxa"/>
              <w:right w:w="15" w:type="dxa"/>
            </w:tcMar>
            <w:vAlign w:val="bottom"/>
          </w:tcPr>
          <w:p w14:paraId="08ECBDD4">
            <w:pPr>
              <w:pStyle w:val="34"/>
            </w:pPr>
            <w:r>
              <w:t>白云、洞底、葛坪、澜河、上带、上澜</w:t>
            </w:r>
          </w:p>
        </w:tc>
        <w:tc>
          <w:tcPr>
            <w:tcW w:w="2527" w:type="dxa"/>
            <w:tcBorders>
              <w:right w:val="nil"/>
            </w:tcBorders>
            <w:shd w:val="clear" w:color="auto" w:fill="auto"/>
            <w:noWrap/>
            <w:tcMar>
              <w:top w:w="15" w:type="dxa"/>
              <w:left w:w="15" w:type="dxa"/>
              <w:right w:w="15" w:type="dxa"/>
            </w:tcMar>
            <w:vAlign w:val="bottom"/>
          </w:tcPr>
          <w:p w14:paraId="6A1F4584">
            <w:pPr>
              <w:pStyle w:val="34"/>
            </w:pPr>
            <w:r>
              <w:rPr>
                <w:rFonts w:hint="eastAsia"/>
              </w:rPr>
              <w:t>新街</w:t>
            </w:r>
          </w:p>
        </w:tc>
      </w:tr>
      <w:tr w14:paraId="4FE49B07">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1384" w:type="dxa"/>
            <w:tcBorders>
              <w:left w:val="nil"/>
            </w:tcBorders>
            <w:shd w:val="clear" w:color="auto" w:fill="auto"/>
            <w:noWrap/>
            <w:tcMar>
              <w:top w:w="15" w:type="dxa"/>
              <w:left w:w="15" w:type="dxa"/>
              <w:right w:w="15" w:type="dxa"/>
            </w:tcMar>
            <w:vAlign w:val="bottom"/>
          </w:tcPr>
          <w:p w14:paraId="3989E672">
            <w:pPr>
              <w:pStyle w:val="34"/>
            </w:pPr>
            <w:r>
              <w:t>帽子峰镇</w:t>
            </w:r>
          </w:p>
        </w:tc>
        <w:tc>
          <w:tcPr>
            <w:tcW w:w="5043" w:type="dxa"/>
            <w:shd w:val="clear" w:color="auto" w:fill="auto"/>
            <w:noWrap/>
            <w:tcMar>
              <w:top w:w="15" w:type="dxa"/>
              <w:left w:w="15" w:type="dxa"/>
              <w:right w:w="15" w:type="dxa"/>
            </w:tcMar>
            <w:vAlign w:val="bottom"/>
          </w:tcPr>
          <w:p w14:paraId="55349D55">
            <w:pPr>
              <w:pStyle w:val="34"/>
            </w:pPr>
            <w:r>
              <w:t>洞头、富竹、梨树、坪山、上龙</w:t>
            </w:r>
          </w:p>
        </w:tc>
        <w:tc>
          <w:tcPr>
            <w:tcW w:w="2527" w:type="dxa"/>
            <w:tcBorders>
              <w:right w:val="nil"/>
            </w:tcBorders>
            <w:shd w:val="clear" w:color="auto" w:fill="auto"/>
            <w:noWrap/>
            <w:tcMar>
              <w:top w:w="15" w:type="dxa"/>
              <w:left w:w="15" w:type="dxa"/>
              <w:right w:w="15" w:type="dxa"/>
            </w:tcMar>
            <w:vAlign w:val="bottom"/>
          </w:tcPr>
          <w:p w14:paraId="230C12EF">
            <w:pPr>
              <w:pStyle w:val="34"/>
            </w:pPr>
            <w:r>
              <w:rPr>
                <w:rFonts w:hint="eastAsia"/>
              </w:rPr>
              <w:t>富竹</w:t>
            </w:r>
          </w:p>
        </w:tc>
      </w:tr>
    </w:tbl>
    <w:p w14:paraId="238D5EFF">
      <w:pPr>
        <w:ind w:firstLine="420"/>
        <w:jc w:val="center"/>
      </w:pPr>
    </w:p>
    <w:p w14:paraId="3288A29A">
      <w:pPr>
        <w:pStyle w:val="4"/>
      </w:pPr>
      <w:r>
        <w:rPr>
          <w:rFonts w:hint="eastAsia"/>
        </w:rPr>
        <w:t>【人口】</w:t>
      </w:r>
    </w:p>
    <w:p w14:paraId="182964A4">
      <w:pPr>
        <w:ind w:firstLine="420"/>
      </w:pPr>
      <w:r>
        <w:rPr>
          <w:rFonts w:hint="eastAsia"/>
        </w:rPr>
        <w:t>2011年，辖区总人口47.34万人，常驻人口32.06万，其中城镇常住人口14.32万人，城镇化率44.67%。总人口中，男性24.05万人，占人口比重为50.8%；女性23.29人，占人口比重为49.2%。60岁以上的5.4万人，占11.49%。总人口中，以汉族为主，达31.26人，占98.9%，2011年人口出生率11.88‰，人口死亡率4.81‰，人口自然增长率7.07‰。</w:t>
      </w:r>
    </w:p>
    <w:p w14:paraId="72AFF9CA">
      <w:pPr>
        <w:pStyle w:val="4"/>
      </w:pPr>
      <w:r>
        <w:rPr>
          <w:rFonts w:hint="eastAsia"/>
        </w:rPr>
        <w:t>【民族】</w:t>
      </w:r>
    </w:p>
    <w:p w14:paraId="26B9CBA9">
      <w:pPr>
        <w:ind w:firstLine="420"/>
      </w:pPr>
      <w:r>
        <w:rPr>
          <w:rFonts w:hint="eastAsia"/>
        </w:rPr>
        <w:t>民族以汉族为主，有畲族、壮族、土家族、苗族、瑶族等20个少数民族，占总人口0.74%，少数民族大部分为畲族，有5300人，占少数民族总人口88.32%。</w:t>
      </w:r>
    </w:p>
    <w:p w14:paraId="59AFD985">
      <w:pPr>
        <w:pStyle w:val="4"/>
      </w:pPr>
      <w:r>
        <w:rPr>
          <w:rFonts w:hint="eastAsia"/>
        </w:rPr>
        <w:t>【姓氏构成】</w:t>
      </w:r>
    </w:p>
    <w:p w14:paraId="6134C6D9">
      <w:pPr>
        <w:ind w:firstLine="420"/>
      </w:pPr>
      <w:r>
        <w:rPr>
          <w:rFonts w:hint="eastAsia"/>
        </w:rPr>
        <w:t>按各姓氏户数多少分列如下：</w:t>
      </w:r>
    </w:p>
    <w:p w14:paraId="51D90763">
      <w:pPr>
        <w:ind w:firstLine="422"/>
        <w:jc w:val="center"/>
        <w:rPr>
          <w:b/>
          <w:bCs/>
        </w:rPr>
      </w:pPr>
      <w:r>
        <w:rPr>
          <w:rFonts w:hint="eastAsia"/>
          <w:b/>
          <w:bCs/>
        </w:rPr>
        <w:t>表2 南雄市姓氏统计</w:t>
      </w:r>
    </w:p>
    <w:p w14:paraId="40461863">
      <w:pPr>
        <w:ind w:firstLine="420"/>
        <w:jc w:val="right"/>
      </w:pPr>
      <w:r>
        <w:rPr>
          <w:rFonts w:hint="eastAsia"/>
        </w:rPr>
        <w:t>单位：户、%</w:t>
      </w:r>
    </w:p>
    <w:tbl>
      <w:tblPr>
        <w:tblStyle w:val="14"/>
        <w:tblW w:w="8016" w:type="dxa"/>
        <w:tblInd w:w="0" w:type="dxa"/>
        <w:tblBorders>
          <w:top w:val="single" w:color="auto" w:sz="4" w:space="0"/>
          <w:left w:val="none" w:color="auto" w:sz="4" w:space="0"/>
          <w:bottom w:val="single" w:color="auto" w:sz="4" w:space="0"/>
          <w:right w:val="none" w:color="auto" w:sz="4" w:space="0"/>
          <w:insideH w:val="single" w:color="auto" w:sz="4" w:space="0"/>
          <w:insideV w:val="single" w:color="auto" w:sz="4" w:space="0"/>
        </w:tblBorders>
        <w:tblLayout w:type="fixed"/>
        <w:tblCellMar>
          <w:top w:w="0" w:type="dxa"/>
          <w:left w:w="0" w:type="dxa"/>
          <w:bottom w:w="0" w:type="dxa"/>
          <w:right w:w="0" w:type="dxa"/>
        </w:tblCellMar>
      </w:tblPr>
      <w:tblGrid>
        <w:gridCol w:w="960"/>
        <w:gridCol w:w="960"/>
        <w:gridCol w:w="960"/>
        <w:gridCol w:w="1397"/>
        <w:gridCol w:w="523"/>
        <w:gridCol w:w="960"/>
        <w:gridCol w:w="960"/>
        <w:gridCol w:w="1296"/>
      </w:tblGrid>
      <w:tr w14:paraId="4714A45B">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960" w:type="dxa"/>
            <w:tcBorders>
              <w:left w:val="nil"/>
            </w:tcBorders>
            <w:shd w:val="clear" w:color="auto" w:fill="auto"/>
            <w:noWrap/>
            <w:tcMar>
              <w:top w:w="15" w:type="dxa"/>
              <w:left w:w="15" w:type="dxa"/>
              <w:right w:w="15" w:type="dxa"/>
            </w:tcMar>
            <w:vAlign w:val="bottom"/>
          </w:tcPr>
          <w:p w14:paraId="5A8A306F">
            <w:pPr>
              <w:pStyle w:val="34"/>
              <w:jc w:val="center"/>
              <w:rPr>
                <w:rFonts w:ascii="宋体" w:hAnsi="宋体" w:cs="宋体"/>
                <w:b/>
                <w:bCs/>
              </w:rPr>
            </w:pPr>
            <w:r>
              <w:rPr>
                <w:rFonts w:hint="eastAsia" w:ascii="宋体" w:hAnsi="宋体" w:cs="宋体"/>
                <w:b/>
                <w:bCs/>
              </w:rPr>
              <w:t>序号</w:t>
            </w:r>
          </w:p>
        </w:tc>
        <w:tc>
          <w:tcPr>
            <w:tcW w:w="960" w:type="dxa"/>
            <w:shd w:val="clear" w:color="auto" w:fill="auto"/>
            <w:noWrap/>
            <w:tcMar>
              <w:top w:w="15" w:type="dxa"/>
              <w:left w:w="15" w:type="dxa"/>
              <w:right w:w="15" w:type="dxa"/>
            </w:tcMar>
            <w:vAlign w:val="bottom"/>
          </w:tcPr>
          <w:p w14:paraId="58820B88">
            <w:pPr>
              <w:pStyle w:val="34"/>
              <w:jc w:val="center"/>
              <w:rPr>
                <w:rFonts w:ascii="宋体" w:hAnsi="宋体" w:cs="宋体"/>
                <w:b/>
                <w:bCs/>
              </w:rPr>
            </w:pPr>
            <w:r>
              <w:rPr>
                <w:rFonts w:hint="eastAsia" w:ascii="宋体" w:hAnsi="宋体" w:cs="宋体"/>
                <w:b/>
                <w:bCs/>
              </w:rPr>
              <w:t>姓</w:t>
            </w:r>
          </w:p>
        </w:tc>
        <w:tc>
          <w:tcPr>
            <w:tcW w:w="960" w:type="dxa"/>
            <w:shd w:val="clear" w:color="auto" w:fill="auto"/>
            <w:noWrap/>
            <w:tcMar>
              <w:top w:w="15" w:type="dxa"/>
              <w:left w:w="15" w:type="dxa"/>
              <w:right w:w="15" w:type="dxa"/>
            </w:tcMar>
            <w:vAlign w:val="bottom"/>
          </w:tcPr>
          <w:p w14:paraId="5C2F729B">
            <w:pPr>
              <w:pStyle w:val="34"/>
              <w:jc w:val="center"/>
              <w:rPr>
                <w:rFonts w:ascii="宋体" w:hAnsi="宋体" w:cs="宋体"/>
                <w:b/>
                <w:bCs/>
              </w:rPr>
            </w:pPr>
            <w:r>
              <w:rPr>
                <w:rFonts w:hint="eastAsia" w:ascii="宋体" w:hAnsi="宋体" w:cs="宋体"/>
                <w:b/>
                <w:bCs/>
              </w:rPr>
              <w:t>户数</w:t>
            </w:r>
          </w:p>
        </w:tc>
        <w:tc>
          <w:tcPr>
            <w:tcW w:w="1397" w:type="dxa"/>
            <w:shd w:val="clear" w:color="auto" w:fill="auto"/>
            <w:noWrap/>
            <w:tcMar>
              <w:top w:w="15" w:type="dxa"/>
              <w:left w:w="15" w:type="dxa"/>
              <w:right w:w="15" w:type="dxa"/>
            </w:tcMar>
            <w:vAlign w:val="bottom"/>
          </w:tcPr>
          <w:p w14:paraId="78EF608F">
            <w:pPr>
              <w:pStyle w:val="34"/>
              <w:jc w:val="center"/>
              <w:rPr>
                <w:rFonts w:ascii="宋体" w:hAnsi="宋体" w:cs="宋体"/>
                <w:b/>
                <w:bCs/>
              </w:rPr>
            </w:pPr>
            <w:r>
              <w:rPr>
                <w:rFonts w:hint="eastAsia" w:ascii="宋体" w:hAnsi="宋体" w:cs="宋体"/>
                <w:b/>
                <w:bCs/>
              </w:rPr>
              <w:t>占总户数比</w:t>
            </w:r>
          </w:p>
        </w:tc>
        <w:tc>
          <w:tcPr>
            <w:tcW w:w="523" w:type="dxa"/>
            <w:shd w:val="clear" w:color="auto" w:fill="auto"/>
            <w:noWrap/>
            <w:tcMar>
              <w:top w:w="15" w:type="dxa"/>
              <w:left w:w="15" w:type="dxa"/>
              <w:right w:w="15" w:type="dxa"/>
            </w:tcMar>
            <w:vAlign w:val="bottom"/>
          </w:tcPr>
          <w:p w14:paraId="6106C10C">
            <w:pPr>
              <w:pStyle w:val="34"/>
              <w:jc w:val="center"/>
              <w:rPr>
                <w:rFonts w:ascii="宋体" w:hAnsi="宋体" w:cs="宋体"/>
                <w:b/>
                <w:bCs/>
              </w:rPr>
            </w:pPr>
            <w:r>
              <w:rPr>
                <w:rFonts w:hint="eastAsia" w:ascii="宋体" w:hAnsi="宋体" w:cs="宋体"/>
                <w:b/>
                <w:bCs/>
              </w:rPr>
              <w:t>序号</w:t>
            </w:r>
          </w:p>
        </w:tc>
        <w:tc>
          <w:tcPr>
            <w:tcW w:w="960" w:type="dxa"/>
            <w:shd w:val="clear" w:color="auto" w:fill="auto"/>
            <w:noWrap/>
            <w:tcMar>
              <w:top w:w="15" w:type="dxa"/>
              <w:left w:w="15" w:type="dxa"/>
              <w:right w:w="15" w:type="dxa"/>
            </w:tcMar>
            <w:vAlign w:val="bottom"/>
          </w:tcPr>
          <w:p w14:paraId="7ED37CF6">
            <w:pPr>
              <w:pStyle w:val="34"/>
              <w:jc w:val="center"/>
              <w:rPr>
                <w:rFonts w:ascii="宋体" w:hAnsi="宋体" w:cs="宋体"/>
                <w:b/>
                <w:bCs/>
              </w:rPr>
            </w:pPr>
            <w:r>
              <w:rPr>
                <w:rFonts w:hint="eastAsia" w:ascii="宋体" w:hAnsi="宋体" w:cs="宋体"/>
                <w:b/>
                <w:bCs/>
              </w:rPr>
              <w:t>姓</w:t>
            </w:r>
          </w:p>
        </w:tc>
        <w:tc>
          <w:tcPr>
            <w:tcW w:w="960" w:type="dxa"/>
            <w:shd w:val="clear" w:color="auto" w:fill="auto"/>
            <w:noWrap/>
            <w:tcMar>
              <w:top w:w="15" w:type="dxa"/>
              <w:left w:w="15" w:type="dxa"/>
              <w:right w:w="15" w:type="dxa"/>
            </w:tcMar>
            <w:vAlign w:val="bottom"/>
          </w:tcPr>
          <w:p w14:paraId="501773D7">
            <w:pPr>
              <w:pStyle w:val="34"/>
              <w:jc w:val="center"/>
              <w:rPr>
                <w:rFonts w:ascii="宋体" w:hAnsi="宋体" w:cs="宋体"/>
                <w:b/>
                <w:bCs/>
              </w:rPr>
            </w:pPr>
            <w:r>
              <w:rPr>
                <w:rFonts w:hint="eastAsia" w:ascii="宋体" w:hAnsi="宋体" w:cs="宋体"/>
                <w:b/>
                <w:bCs/>
              </w:rPr>
              <w:t>户数</w:t>
            </w:r>
          </w:p>
        </w:tc>
        <w:tc>
          <w:tcPr>
            <w:tcW w:w="1296" w:type="dxa"/>
            <w:tcBorders>
              <w:right w:val="nil"/>
            </w:tcBorders>
            <w:shd w:val="clear" w:color="auto" w:fill="auto"/>
            <w:noWrap/>
            <w:tcMar>
              <w:top w:w="15" w:type="dxa"/>
              <w:left w:w="15" w:type="dxa"/>
              <w:right w:w="15" w:type="dxa"/>
            </w:tcMar>
            <w:vAlign w:val="bottom"/>
          </w:tcPr>
          <w:p w14:paraId="23654827">
            <w:pPr>
              <w:pStyle w:val="34"/>
              <w:jc w:val="center"/>
              <w:rPr>
                <w:rFonts w:ascii="宋体" w:hAnsi="宋体" w:cs="宋体"/>
                <w:b/>
                <w:bCs/>
              </w:rPr>
            </w:pPr>
            <w:r>
              <w:rPr>
                <w:rFonts w:hint="eastAsia" w:ascii="宋体" w:hAnsi="宋体" w:cs="宋体"/>
                <w:b/>
                <w:bCs/>
              </w:rPr>
              <w:t>占总户数比</w:t>
            </w:r>
          </w:p>
        </w:tc>
      </w:tr>
      <w:tr w14:paraId="456D2C14">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960" w:type="dxa"/>
            <w:tcBorders>
              <w:left w:val="nil"/>
            </w:tcBorders>
            <w:shd w:val="clear" w:color="auto" w:fill="auto"/>
            <w:noWrap/>
            <w:tcMar>
              <w:top w:w="15" w:type="dxa"/>
              <w:left w:w="15" w:type="dxa"/>
              <w:right w:w="15" w:type="dxa"/>
            </w:tcMar>
            <w:vAlign w:val="bottom"/>
          </w:tcPr>
          <w:p w14:paraId="0E082941">
            <w:pPr>
              <w:pStyle w:val="34"/>
              <w:jc w:val="center"/>
              <w:rPr>
                <w:rFonts w:ascii="宋体" w:hAnsi="宋体" w:cs="宋体"/>
              </w:rPr>
            </w:pPr>
            <w:r>
              <w:rPr>
                <w:rFonts w:hint="eastAsia" w:ascii="宋体" w:hAnsi="宋体" w:cs="宋体"/>
              </w:rPr>
              <w:t>1</w:t>
            </w:r>
          </w:p>
        </w:tc>
        <w:tc>
          <w:tcPr>
            <w:tcW w:w="960" w:type="dxa"/>
            <w:shd w:val="clear" w:color="auto" w:fill="auto"/>
            <w:noWrap/>
            <w:tcMar>
              <w:top w:w="15" w:type="dxa"/>
              <w:left w:w="15" w:type="dxa"/>
              <w:right w:w="15" w:type="dxa"/>
            </w:tcMar>
            <w:vAlign w:val="bottom"/>
          </w:tcPr>
          <w:p w14:paraId="5C3227DC">
            <w:pPr>
              <w:pStyle w:val="34"/>
              <w:jc w:val="center"/>
              <w:rPr>
                <w:rFonts w:ascii="宋体" w:hAnsi="宋体" w:cs="宋体"/>
              </w:rPr>
            </w:pPr>
            <w:r>
              <w:rPr>
                <w:rFonts w:hint="eastAsia" w:ascii="宋体" w:hAnsi="宋体" w:cs="宋体"/>
              </w:rPr>
              <w:t>刘</w:t>
            </w:r>
          </w:p>
        </w:tc>
        <w:tc>
          <w:tcPr>
            <w:tcW w:w="960" w:type="dxa"/>
            <w:shd w:val="clear" w:color="auto" w:fill="auto"/>
            <w:noWrap/>
            <w:tcMar>
              <w:top w:w="15" w:type="dxa"/>
              <w:left w:w="15" w:type="dxa"/>
              <w:right w:w="15" w:type="dxa"/>
            </w:tcMar>
            <w:vAlign w:val="bottom"/>
          </w:tcPr>
          <w:p w14:paraId="18EB80FB">
            <w:pPr>
              <w:pStyle w:val="34"/>
              <w:jc w:val="center"/>
              <w:rPr>
                <w:rFonts w:ascii="宋体" w:hAnsi="宋体" w:cs="宋体"/>
              </w:rPr>
            </w:pPr>
            <w:r>
              <w:rPr>
                <w:rFonts w:hint="eastAsia" w:ascii="宋体" w:hAnsi="宋体" w:cs="宋体"/>
              </w:rPr>
              <w:t>6955</w:t>
            </w:r>
          </w:p>
        </w:tc>
        <w:tc>
          <w:tcPr>
            <w:tcW w:w="1397" w:type="dxa"/>
            <w:shd w:val="clear" w:color="auto" w:fill="auto"/>
            <w:noWrap/>
            <w:tcMar>
              <w:top w:w="15" w:type="dxa"/>
              <w:left w:w="15" w:type="dxa"/>
              <w:right w:w="15" w:type="dxa"/>
            </w:tcMar>
            <w:vAlign w:val="bottom"/>
          </w:tcPr>
          <w:p w14:paraId="6B7D77B9">
            <w:pPr>
              <w:pStyle w:val="34"/>
              <w:jc w:val="center"/>
              <w:rPr>
                <w:rFonts w:ascii="宋体" w:hAnsi="宋体" w:cs="宋体"/>
              </w:rPr>
            </w:pPr>
            <w:r>
              <w:rPr>
                <w:rFonts w:hint="eastAsia" w:ascii="宋体" w:hAnsi="宋体" w:cs="宋体"/>
              </w:rPr>
              <w:t>8.36</w:t>
            </w:r>
          </w:p>
        </w:tc>
        <w:tc>
          <w:tcPr>
            <w:tcW w:w="523" w:type="dxa"/>
            <w:shd w:val="clear" w:color="auto" w:fill="auto"/>
            <w:noWrap/>
            <w:tcMar>
              <w:top w:w="15" w:type="dxa"/>
              <w:left w:w="15" w:type="dxa"/>
              <w:right w:w="15" w:type="dxa"/>
            </w:tcMar>
            <w:vAlign w:val="bottom"/>
          </w:tcPr>
          <w:p w14:paraId="79CFFFD3">
            <w:pPr>
              <w:pStyle w:val="34"/>
              <w:jc w:val="center"/>
              <w:rPr>
                <w:rFonts w:ascii="宋体" w:hAnsi="宋体" w:cs="宋体"/>
              </w:rPr>
            </w:pPr>
            <w:r>
              <w:rPr>
                <w:rFonts w:hint="eastAsia" w:ascii="宋体" w:hAnsi="宋体" w:cs="宋体"/>
              </w:rPr>
              <w:t>29</w:t>
            </w:r>
          </w:p>
        </w:tc>
        <w:tc>
          <w:tcPr>
            <w:tcW w:w="960" w:type="dxa"/>
            <w:shd w:val="clear" w:color="auto" w:fill="auto"/>
            <w:noWrap/>
            <w:tcMar>
              <w:top w:w="15" w:type="dxa"/>
              <w:left w:w="15" w:type="dxa"/>
              <w:right w:w="15" w:type="dxa"/>
            </w:tcMar>
            <w:vAlign w:val="bottom"/>
          </w:tcPr>
          <w:p w14:paraId="08D9561E">
            <w:pPr>
              <w:pStyle w:val="34"/>
              <w:jc w:val="center"/>
              <w:rPr>
                <w:rFonts w:ascii="宋体" w:hAnsi="宋体" w:cs="宋体"/>
              </w:rPr>
            </w:pPr>
            <w:r>
              <w:rPr>
                <w:rFonts w:hint="eastAsia" w:ascii="宋体" w:hAnsi="宋体" w:cs="宋体"/>
              </w:rPr>
              <w:t>谭</w:t>
            </w:r>
          </w:p>
        </w:tc>
        <w:tc>
          <w:tcPr>
            <w:tcW w:w="960" w:type="dxa"/>
            <w:shd w:val="clear" w:color="auto" w:fill="auto"/>
            <w:noWrap/>
            <w:tcMar>
              <w:top w:w="15" w:type="dxa"/>
              <w:left w:w="15" w:type="dxa"/>
              <w:right w:w="15" w:type="dxa"/>
            </w:tcMar>
            <w:vAlign w:val="bottom"/>
          </w:tcPr>
          <w:p w14:paraId="4118732D">
            <w:pPr>
              <w:pStyle w:val="34"/>
              <w:jc w:val="center"/>
              <w:rPr>
                <w:rFonts w:ascii="宋体" w:hAnsi="宋体" w:cs="宋体"/>
              </w:rPr>
            </w:pPr>
            <w:r>
              <w:rPr>
                <w:rFonts w:hint="eastAsia" w:ascii="宋体" w:hAnsi="宋体" w:cs="宋体"/>
              </w:rPr>
              <w:t>785</w:t>
            </w:r>
          </w:p>
        </w:tc>
        <w:tc>
          <w:tcPr>
            <w:tcW w:w="1296" w:type="dxa"/>
            <w:tcBorders>
              <w:right w:val="nil"/>
            </w:tcBorders>
            <w:shd w:val="clear" w:color="auto" w:fill="auto"/>
            <w:noWrap/>
            <w:tcMar>
              <w:top w:w="15" w:type="dxa"/>
              <w:left w:w="15" w:type="dxa"/>
              <w:right w:w="15" w:type="dxa"/>
            </w:tcMar>
            <w:vAlign w:val="bottom"/>
          </w:tcPr>
          <w:p w14:paraId="0F32D5B4">
            <w:pPr>
              <w:pStyle w:val="34"/>
              <w:jc w:val="center"/>
              <w:rPr>
                <w:rFonts w:ascii="宋体" w:hAnsi="宋体" w:cs="宋体"/>
              </w:rPr>
            </w:pPr>
            <w:r>
              <w:rPr>
                <w:rFonts w:hint="eastAsia" w:ascii="宋体" w:hAnsi="宋体" w:cs="宋体"/>
              </w:rPr>
              <w:t>0.94</w:t>
            </w:r>
          </w:p>
        </w:tc>
      </w:tr>
      <w:tr w14:paraId="457AFAA6">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960" w:type="dxa"/>
            <w:tcBorders>
              <w:left w:val="nil"/>
            </w:tcBorders>
            <w:shd w:val="clear" w:color="auto" w:fill="auto"/>
            <w:noWrap/>
            <w:tcMar>
              <w:top w:w="15" w:type="dxa"/>
              <w:left w:w="15" w:type="dxa"/>
              <w:right w:w="15" w:type="dxa"/>
            </w:tcMar>
            <w:vAlign w:val="bottom"/>
          </w:tcPr>
          <w:p w14:paraId="6E772248">
            <w:pPr>
              <w:pStyle w:val="34"/>
              <w:jc w:val="center"/>
              <w:rPr>
                <w:rFonts w:ascii="宋体" w:hAnsi="宋体" w:cs="宋体"/>
              </w:rPr>
            </w:pPr>
            <w:r>
              <w:rPr>
                <w:rFonts w:hint="eastAsia" w:ascii="宋体" w:hAnsi="宋体" w:cs="宋体"/>
              </w:rPr>
              <w:t>2</w:t>
            </w:r>
          </w:p>
        </w:tc>
        <w:tc>
          <w:tcPr>
            <w:tcW w:w="960" w:type="dxa"/>
            <w:shd w:val="clear" w:color="auto" w:fill="auto"/>
            <w:noWrap/>
            <w:tcMar>
              <w:top w:w="15" w:type="dxa"/>
              <w:left w:w="15" w:type="dxa"/>
              <w:right w:w="15" w:type="dxa"/>
            </w:tcMar>
            <w:vAlign w:val="bottom"/>
          </w:tcPr>
          <w:p w14:paraId="366D234C">
            <w:pPr>
              <w:pStyle w:val="34"/>
              <w:jc w:val="center"/>
              <w:rPr>
                <w:rFonts w:ascii="宋体" w:hAnsi="宋体" w:cs="宋体"/>
              </w:rPr>
            </w:pPr>
            <w:r>
              <w:rPr>
                <w:rFonts w:hint="eastAsia" w:ascii="宋体" w:hAnsi="宋体" w:cs="宋体"/>
              </w:rPr>
              <w:t>叶</w:t>
            </w:r>
          </w:p>
        </w:tc>
        <w:tc>
          <w:tcPr>
            <w:tcW w:w="960" w:type="dxa"/>
            <w:shd w:val="clear" w:color="auto" w:fill="auto"/>
            <w:noWrap/>
            <w:tcMar>
              <w:top w:w="15" w:type="dxa"/>
              <w:left w:w="15" w:type="dxa"/>
              <w:right w:w="15" w:type="dxa"/>
            </w:tcMar>
            <w:vAlign w:val="bottom"/>
          </w:tcPr>
          <w:p w14:paraId="2CEF18AC">
            <w:pPr>
              <w:pStyle w:val="34"/>
              <w:jc w:val="center"/>
              <w:rPr>
                <w:rFonts w:ascii="宋体" w:hAnsi="宋体" w:cs="宋体"/>
              </w:rPr>
            </w:pPr>
            <w:r>
              <w:rPr>
                <w:rFonts w:hint="eastAsia" w:ascii="宋体" w:hAnsi="宋体" w:cs="宋体"/>
              </w:rPr>
              <w:t>5866</w:t>
            </w:r>
          </w:p>
        </w:tc>
        <w:tc>
          <w:tcPr>
            <w:tcW w:w="1397" w:type="dxa"/>
            <w:shd w:val="clear" w:color="auto" w:fill="auto"/>
            <w:noWrap/>
            <w:tcMar>
              <w:top w:w="15" w:type="dxa"/>
              <w:left w:w="15" w:type="dxa"/>
              <w:right w:w="15" w:type="dxa"/>
            </w:tcMar>
            <w:vAlign w:val="bottom"/>
          </w:tcPr>
          <w:p w14:paraId="01B66BF5">
            <w:pPr>
              <w:pStyle w:val="34"/>
              <w:jc w:val="center"/>
              <w:rPr>
                <w:rFonts w:ascii="宋体" w:hAnsi="宋体" w:cs="宋体"/>
              </w:rPr>
            </w:pPr>
            <w:r>
              <w:rPr>
                <w:rFonts w:hint="eastAsia" w:ascii="宋体" w:hAnsi="宋体" w:cs="宋体"/>
              </w:rPr>
              <w:t>7.05</w:t>
            </w:r>
          </w:p>
        </w:tc>
        <w:tc>
          <w:tcPr>
            <w:tcW w:w="523" w:type="dxa"/>
            <w:shd w:val="clear" w:color="auto" w:fill="auto"/>
            <w:noWrap/>
            <w:tcMar>
              <w:top w:w="15" w:type="dxa"/>
              <w:left w:w="15" w:type="dxa"/>
              <w:right w:w="15" w:type="dxa"/>
            </w:tcMar>
            <w:vAlign w:val="bottom"/>
          </w:tcPr>
          <w:p w14:paraId="59F4B707">
            <w:pPr>
              <w:pStyle w:val="34"/>
              <w:jc w:val="center"/>
              <w:rPr>
                <w:rFonts w:ascii="宋体" w:hAnsi="宋体" w:cs="宋体"/>
              </w:rPr>
            </w:pPr>
            <w:r>
              <w:rPr>
                <w:rFonts w:hint="eastAsia" w:ascii="宋体" w:hAnsi="宋体" w:cs="宋体"/>
              </w:rPr>
              <w:t>30</w:t>
            </w:r>
          </w:p>
        </w:tc>
        <w:tc>
          <w:tcPr>
            <w:tcW w:w="960" w:type="dxa"/>
            <w:shd w:val="clear" w:color="auto" w:fill="auto"/>
            <w:noWrap/>
            <w:tcMar>
              <w:top w:w="15" w:type="dxa"/>
              <w:left w:w="15" w:type="dxa"/>
              <w:right w:w="15" w:type="dxa"/>
            </w:tcMar>
            <w:vAlign w:val="bottom"/>
          </w:tcPr>
          <w:p w14:paraId="642CDD4F">
            <w:pPr>
              <w:pStyle w:val="34"/>
              <w:jc w:val="center"/>
              <w:rPr>
                <w:rFonts w:ascii="宋体" w:hAnsi="宋体" w:cs="宋体"/>
              </w:rPr>
            </w:pPr>
            <w:r>
              <w:rPr>
                <w:rFonts w:hint="eastAsia" w:ascii="宋体" w:hAnsi="宋体" w:cs="宋体"/>
              </w:rPr>
              <w:t>温</w:t>
            </w:r>
          </w:p>
        </w:tc>
        <w:tc>
          <w:tcPr>
            <w:tcW w:w="960" w:type="dxa"/>
            <w:shd w:val="clear" w:color="auto" w:fill="auto"/>
            <w:noWrap/>
            <w:tcMar>
              <w:top w:w="15" w:type="dxa"/>
              <w:left w:w="15" w:type="dxa"/>
              <w:right w:w="15" w:type="dxa"/>
            </w:tcMar>
            <w:vAlign w:val="bottom"/>
          </w:tcPr>
          <w:p w14:paraId="544FFAA8">
            <w:pPr>
              <w:pStyle w:val="34"/>
              <w:jc w:val="center"/>
              <w:rPr>
                <w:rFonts w:ascii="宋体" w:hAnsi="宋体" w:cs="宋体"/>
              </w:rPr>
            </w:pPr>
            <w:r>
              <w:rPr>
                <w:rFonts w:hint="eastAsia" w:ascii="宋体" w:hAnsi="宋体" w:cs="宋体"/>
              </w:rPr>
              <w:t>756</w:t>
            </w:r>
          </w:p>
        </w:tc>
        <w:tc>
          <w:tcPr>
            <w:tcW w:w="1296" w:type="dxa"/>
            <w:tcBorders>
              <w:right w:val="nil"/>
            </w:tcBorders>
            <w:shd w:val="clear" w:color="auto" w:fill="auto"/>
            <w:noWrap/>
            <w:tcMar>
              <w:top w:w="15" w:type="dxa"/>
              <w:left w:w="15" w:type="dxa"/>
              <w:right w:w="15" w:type="dxa"/>
            </w:tcMar>
            <w:vAlign w:val="bottom"/>
          </w:tcPr>
          <w:p w14:paraId="72C92926">
            <w:pPr>
              <w:pStyle w:val="34"/>
              <w:jc w:val="center"/>
              <w:rPr>
                <w:rFonts w:ascii="宋体" w:hAnsi="宋体" w:cs="宋体"/>
              </w:rPr>
            </w:pPr>
            <w:r>
              <w:rPr>
                <w:rFonts w:hint="eastAsia" w:ascii="宋体" w:hAnsi="宋体" w:cs="宋体"/>
              </w:rPr>
              <w:t>0.91</w:t>
            </w:r>
          </w:p>
        </w:tc>
      </w:tr>
      <w:tr w14:paraId="6BF0A42F">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960" w:type="dxa"/>
            <w:tcBorders>
              <w:left w:val="nil"/>
            </w:tcBorders>
            <w:shd w:val="clear" w:color="auto" w:fill="auto"/>
            <w:noWrap/>
            <w:tcMar>
              <w:top w:w="15" w:type="dxa"/>
              <w:left w:w="15" w:type="dxa"/>
              <w:right w:w="15" w:type="dxa"/>
            </w:tcMar>
            <w:vAlign w:val="bottom"/>
          </w:tcPr>
          <w:p w14:paraId="3D3E034C">
            <w:pPr>
              <w:pStyle w:val="34"/>
              <w:jc w:val="center"/>
              <w:rPr>
                <w:rFonts w:ascii="宋体" w:hAnsi="宋体" w:cs="宋体"/>
              </w:rPr>
            </w:pPr>
            <w:r>
              <w:rPr>
                <w:rFonts w:hint="eastAsia" w:ascii="宋体" w:hAnsi="宋体" w:cs="宋体"/>
              </w:rPr>
              <w:t>3</w:t>
            </w:r>
          </w:p>
        </w:tc>
        <w:tc>
          <w:tcPr>
            <w:tcW w:w="960" w:type="dxa"/>
            <w:shd w:val="clear" w:color="auto" w:fill="auto"/>
            <w:noWrap/>
            <w:tcMar>
              <w:top w:w="15" w:type="dxa"/>
              <w:left w:w="15" w:type="dxa"/>
              <w:right w:w="15" w:type="dxa"/>
            </w:tcMar>
            <w:vAlign w:val="bottom"/>
          </w:tcPr>
          <w:p w14:paraId="76F452C4">
            <w:pPr>
              <w:pStyle w:val="34"/>
              <w:jc w:val="center"/>
              <w:rPr>
                <w:rFonts w:ascii="宋体" w:hAnsi="宋体" w:cs="宋体"/>
              </w:rPr>
            </w:pPr>
            <w:r>
              <w:rPr>
                <w:rFonts w:hint="eastAsia" w:ascii="宋体" w:hAnsi="宋体" w:cs="宋体"/>
              </w:rPr>
              <w:t>陈</w:t>
            </w:r>
          </w:p>
        </w:tc>
        <w:tc>
          <w:tcPr>
            <w:tcW w:w="960" w:type="dxa"/>
            <w:shd w:val="clear" w:color="auto" w:fill="auto"/>
            <w:noWrap/>
            <w:tcMar>
              <w:top w:w="15" w:type="dxa"/>
              <w:left w:w="15" w:type="dxa"/>
              <w:right w:w="15" w:type="dxa"/>
            </w:tcMar>
            <w:vAlign w:val="bottom"/>
          </w:tcPr>
          <w:p w14:paraId="57900E43">
            <w:pPr>
              <w:pStyle w:val="34"/>
              <w:jc w:val="center"/>
              <w:rPr>
                <w:rFonts w:ascii="宋体" w:hAnsi="宋体" w:cs="宋体"/>
              </w:rPr>
            </w:pPr>
            <w:r>
              <w:rPr>
                <w:rFonts w:hint="eastAsia" w:ascii="宋体" w:hAnsi="宋体" w:cs="宋体"/>
              </w:rPr>
              <w:t>4954</w:t>
            </w:r>
          </w:p>
        </w:tc>
        <w:tc>
          <w:tcPr>
            <w:tcW w:w="1397" w:type="dxa"/>
            <w:shd w:val="clear" w:color="auto" w:fill="auto"/>
            <w:noWrap/>
            <w:tcMar>
              <w:top w:w="15" w:type="dxa"/>
              <w:left w:w="15" w:type="dxa"/>
              <w:right w:w="15" w:type="dxa"/>
            </w:tcMar>
            <w:vAlign w:val="bottom"/>
          </w:tcPr>
          <w:p w14:paraId="2A24B9D3">
            <w:pPr>
              <w:pStyle w:val="34"/>
              <w:jc w:val="center"/>
              <w:rPr>
                <w:rFonts w:ascii="宋体" w:hAnsi="宋体" w:cs="宋体"/>
              </w:rPr>
            </w:pPr>
            <w:r>
              <w:rPr>
                <w:rFonts w:hint="eastAsia" w:ascii="宋体" w:hAnsi="宋体" w:cs="宋体"/>
              </w:rPr>
              <w:t>5.95</w:t>
            </w:r>
          </w:p>
        </w:tc>
        <w:tc>
          <w:tcPr>
            <w:tcW w:w="523" w:type="dxa"/>
            <w:shd w:val="clear" w:color="auto" w:fill="auto"/>
            <w:noWrap/>
            <w:tcMar>
              <w:top w:w="15" w:type="dxa"/>
              <w:left w:w="15" w:type="dxa"/>
              <w:right w:w="15" w:type="dxa"/>
            </w:tcMar>
            <w:vAlign w:val="bottom"/>
          </w:tcPr>
          <w:p w14:paraId="483B60EE">
            <w:pPr>
              <w:pStyle w:val="34"/>
              <w:jc w:val="center"/>
              <w:rPr>
                <w:rFonts w:ascii="宋体" w:hAnsi="宋体" w:cs="宋体"/>
              </w:rPr>
            </w:pPr>
            <w:r>
              <w:rPr>
                <w:rFonts w:hint="eastAsia" w:ascii="宋体" w:hAnsi="宋体" w:cs="宋体"/>
              </w:rPr>
              <w:t>31</w:t>
            </w:r>
          </w:p>
        </w:tc>
        <w:tc>
          <w:tcPr>
            <w:tcW w:w="960" w:type="dxa"/>
            <w:shd w:val="clear" w:color="auto" w:fill="auto"/>
            <w:noWrap/>
            <w:tcMar>
              <w:top w:w="15" w:type="dxa"/>
              <w:left w:w="15" w:type="dxa"/>
              <w:right w:w="15" w:type="dxa"/>
            </w:tcMar>
            <w:vAlign w:val="bottom"/>
          </w:tcPr>
          <w:p w14:paraId="53E6A383">
            <w:pPr>
              <w:pStyle w:val="34"/>
              <w:jc w:val="center"/>
              <w:rPr>
                <w:rFonts w:ascii="宋体" w:hAnsi="宋体" w:cs="宋体"/>
              </w:rPr>
            </w:pPr>
            <w:r>
              <w:rPr>
                <w:rFonts w:hint="eastAsia" w:ascii="宋体" w:hAnsi="宋体" w:cs="宋体"/>
              </w:rPr>
              <w:t>严</w:t>
            </w:r>
          </w:p>
        </w:tc>
        <w:tc>
          <w:tcPr>
            <w:tcW w:w="960" w:type="dxa"/>
            <w:shd w:val="clear" w:color="auto" w:fill="auto"/>
            <w:noWrap/>
            <w:tcMar>
              <w:top w:w="15" w:type="dxa"/>
              <w:left w:w="15" w:type="dxa"/>
              <w:right w:w="15" w:type="dxa"/>
            </w:tcMar>
            <w:vAlign w:val="bottom"/>
          </w:tcPr>
          <w:p w14:paraId="70B85E08">
            <w:pPr>
              <w:pStyle w:val="34"/>
              <w:jc w:val="center"/>
              <w:rPr>
                <w:rFonts w:ascii="宋体" w:hAnsi="宋体" w:cs="宋体"/>
              </w:rPr>
            </w:pPr>
            <w:r>
              <w:rPr>
                <w:rFonts w:hint="eastAsia" w:ascii="宋体" w:hAnsi="宋体" w:cs="宋体"/>
              </w:rPr>
              <w:t>749</w:t>
            </w:r>
          </w:p>
        </w:tc>
        <w:tc>
          <w:tcPr>
            <w:tcW w:w="1296" w:type="dxa"/>
            <w:tcBorders>
              <w:right w:val="nil"/>
            </w:tcBorders>
            <w:shd w:val="clear" w:color="auto" w:fill="auto"/>
            <w:noWrap/>
            <w:tcMar>
              <w:top w:w="15" w:type="dxa"/>
              <w:left w:w="15" w:type="dxa"/>
              <w:right w:w="15" w:type="dxa"/>
            </w:tcMar>
            <w:vAlign w:val="bottom"/>
          </w:tcPr>
          <w:p w14:paraId="1C36F2C4">
            <w:pPr>
              <w:pStyle w:val="34"/>
              <w:jc w:val="center"/>
              <w:rPr>
                <w:rFonts w:ascii="宋体" w:hAnsi="宋体" w:cs="宋体"/>
              </w:rPr>
            </w:pPr>
            <w:r>
              <w:rPr>
                <w:rFonts w:hint="eastAsia" w:ascii="宋体" w:hAnsi="宋体" w:cs="宋体"/>
              </w:rPr>
              <w:t>0.90</w:t>
            </w:r>
          </w:p>
        </w:tc>
      </w:tr>
      <w:tr w14:paraId="7BCDC10B">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960" w:type="dxa"/>
            <w:tcBorders>
              <w:left w:val="nil"/>
            </w:tcBorders>
            <w:shd w:val="clear" w:color="auto" w:fill="auto"/>
            <w:noWrap/>
            <w:tcMar>
              <w:top w:w="15" w:type="dxa"/>
              <w:left w:w="15" w:type="dxa"/>
              <w:right w:w="15" w:type="dxa"/>
            </w:tcMar>
            <w:vAlign w:val="bottom"/>
          </w:tcPr>
          <w:p w14:paraId="36C20013">
            <w:pPr>
              <w:pStyle w:val="34"/>
              <w:jc w:val="center"/>
              <w:rPr>
                <w:rFonts w:ascii="宋体" w:hAnsi="宋体" w:cs="宋体"/>
              </w:rPr>
            </w:pPr>
            <w:r>
              <w:rPr>
                <w:rFonts w:hint="eastAsia" w:ascii="宋体" w:hAnsi="宋体" w:cs="宋体"/>
              </w:rPr>
              <w:t>4</w:t>
            </w:r>
          </w:p>
        </w:tc>
        <w:tc>
          <w:tcPr>
            <w:tcW w:w="960" w:type="dxa"/>
            <w:shd w:val="clear" w:color="auto" w:fill="auto"/>
            <w:noWrap/>
            <w:tcMar>
              <w:top w:w="15" w:type="dxa"/>
              <w:left w:w="15" w:type="dxa"/>
              <w:right w:w="15" w:type="dxa"/>
            </w:tcMar>
            <w:vAlign w:val="bottom"/>
          </w:tcPr>
          <w:p w14:paraId="46160819">
            <w:pPr>
              <w:pStyle w:val="34"/>
              <w:jc w:val="center"/>
              <w:rPr>
                <w:rFonts w:ascii="宋体" w:hAnsi="宋体" w:cs="宋体"/>
              </w:rPr>
            </w:pPr>
            <w:r>
              <w:rPr>
                <w:rFonts w:hint="eastAsia" w:ascii="宋体" w:hAnsi="宋体" w:cs="宋体"/>
              </w:rPr>
              <w:t>李</w:t>
            </w:r>
          </w:p>
        </w:tc>
        <w:tc>
          <w:tcPr>
            <w:tcW w:w="960" w:type="dxa"/>
            <w:shd w:val="clear" w:color="auto" w:fill="auto"/>
            <w:noWrap/>
            <w:tcMar>
              <w:top w:w="15" w:type="dxa"/>
              <w:left w:w="15" w:type="dxa"/>
              <w:right w:w="15" w:type="dxa"/>
            </w:tcMar>
            <w:vAlign w:val="bottom"/>
          </w:tcPr>
          <w:p w14:paraId="790DD7F4">
            <w:pPr>
              <w:pStyle w:val="34"/>
              <w:jc w:val="center"/>
              <w:rPr>
                <w:rFonts w:ascii="宋体" w:hAnsi="宋体" w:cs="宋体"/>
              </w:rPr>
            </w:pPr>
            <w:r>
              <w:rPr>
                <w:rFonts w:hint="eastAsia" w:ascii="宋体" w:hAnsi="宋体" w:cs="宋体"/>
              </w:rPr>
              <w:t>4830</w:t>
            </w:r>
          </w:p>
        </w:tc>
        <w:tc>
          <w:tcPr>
            <w:tcW w:w="1397" w:type="dxa"/>
            <w:shd w:val="clear" w:color="auto" w:fill="auto"/>
            <w:noWrap/>
            <w:tcMar>
              <w:top w:w="15" w:type="dxa"/>
              <w:left w:w="15" w:type="dxa"/>
              <w:right w:w="15" w:type="dxa"/>
            </w:tcMar>
            <w:vAlign w:val="bottom"/>
          </w:tcPr>
          <w:p w14:paraId="0C320E9F">
            <w:pPr>
              <w:pStyle w:val="34"/>
              <w:jc w:val="center"/>
              <w:rPr>
                <w:rFonts w:ascii="宋体" w:hAnsi="宋体" w:cs="宋体"/>
              </w:rPr>
            </w:pPr>
            <w:r>
              <w:rPr>
                <w:rFonts w:hint="eastAsia" w:ascii="宋体" w:hAnsi="宋体" w:cs="宋体"/>
              </w:rPr>
              <w:t>5.81</w:t>
            </w:r>
          </w:p>
        </w:tc>
        <w:tc>
          <w:tcPr>
            <w:tcW w:w="523" w:type="dxa"/>
            <w:shd w:val="clear" w:color="auto" w:fill="auto"/>
            <w:noWrap/>
            <w:tcMar>
              <w:top w:w="15" w:type="dxa"/>
              <w:left w:w="15" w:type="dxa"/>
              <w:right w:w="15" w:type="dxa"/>
            </w:tcMar>
            <w:vAlign w:val="bottom"/>
          </w:tcPr>
          <w:p w14:paraId="426CD610">
            <w:pPr>
              <w:pStyle w:val="34"/>
              <w:jc w:val="center"/>
              <w:rPr>
                <w:rFonts w:ascii="宋体" w:hAnsi="宋体" w:cs="宋体"/>
              </w:rPr>
            </w:pPr>
            <w:r>
              <w:rPr>
                <w:rFonts w:hint="eastAsia" w:ascii="宋体" w:hAnsi="宋体" w:cs="宋体"/>
              </w:rPr>
              <w:t>32</w:t>
            </w:r>
          </w:p>
        </w:tc>
        <w:tc>
          <w:tcPr>
            <w:tcW w:w="960" w:type="dxa"/>
            <w:shd w:val="clear" w:color="auto" w:fill="auto"/>
            <w:noWrap/>
            <w:tcMar>
              <w:top w:w="15" w:type="dxa"/>
              <w:left w:w="15" w:type="dxa"/>
              <w:right w:w="15" w:type="dxa"/>
            </w:tcMar>
            <w:vAlign w:val="bottom"/>
          </w:tcPr>
          <w:p w14:paraId="068C84A8">
            <w:pPr>
              <w:pStyle w:val="34"/>
              <w:jc w:val="center"/>
              <w:rPr>
                <w:rFonts w:ascii="宋体" w:hAnsi="宋体" w:cs="宋体"/>
              </w:rPr>
            </w:pPr>
            <w:r>
              <w:rPr>
                <w:rFonts w:hint="eastAsia" w:ascii="宋体" w:hAnsi="宋体" w:cs="宋体"/>
              </w:rPr>
              <w:t>胡</w:t>
            </w:r>
          </w:p>
        </w:tc>
        <w:tc>
          <w:tcPr>
            <w:tcW w:w="960" w:type="dxa"/>
            <w:shd w:val="clear" w:color="auto" w:fill="auto"/>
            <w:noWrap/>
            <w:tcMar>
              <w:top w:w="15" w:type="dxa"/>
              <w:left w:w="15" w:type="dxa"/>
              <w:right w:w="15" w:type="dxa"/>
            </w:tcMar>
            <w:vAlign w:val="bottom"/>
          </w:tcPr>
          <w:p w14:paraId="0508F2BE">
            <w:pPr>
              <w:pStyle w:val="34"/>
              <w:jc w:val="center"/>
              <w:rPr>
                <w:rFonts w:ascii="宋体" w:hAnsi="宋体" w:cs="宋体"/>
              </w:rPr>
            </w:pPr>
            <w:r>
              <w:rPr>
                <w:rFonts w:hint="eastAsia" w:ascii="宋体" w:hAnsi="宋体" w:cs="宋体"/>
              </w:rPr>
              <w:t>642</w:t>
            </w:r>
          </w:p>
        </w:tc>
        <w:tc>
          <w:tcPr>
            <w:tcW w:w="1296" w:type="dxa"/>
            <w:tcBorders>
              <w:right w:val="nil"/>
            </w:tcBorders>
            <w:shd w:val="clear" w:color="auto" w:fill="auto"/>
            <w:noWrap/>
            <w:tcMar>
              <w:top w:w="15" w:type="dxa"/>
              <w:left w:w="15" w:type="dxa"/>
              <w:right w:w="15" w:type="dxa"/>
            </w:tcMar>
            <w:vAlign w:val="bottom"/>
          </w:tcPr>
          <w:p w14:paraId="5B1F7E75">
            <w:pPr>
              <w:pStyle w:val="34"/>
              <w:jc w:val="center"/>
              <w:rPr>
                <w:rFonts w:ascii="宋体" w:hAnsi="宋体" w:cs="宋体"/>
              </w:rPr>
            </w:pPr>
            <w:r>
              <w:rPr>
                <w:rFonts w:hint="eastAsia" w:ascii="宋体" w:hAnsi="宋体" w:cs="宋体"/>
              </w:rPr>
              <w:t>0.77</w:t>
            </w:r>
          </w:p>
        </w:tc>
      </w:tr>
      <w:tr w14:paraId="4372C5EE">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960" w:type="dxa"/>
            <w:tcBorders>
              <w:left w:val="nil"/>
            </w:tcBorders>
            <w:shd w:val="clear" w:color="auto" w:fill="auto"/>
            <w:noWrap/>
            <w:tcMar>
              <w:top w:w="15" w:type="dxa"/>
              <w:left w:w="15" w:type="dxa"/>
              <w:right w:w="15" w:type="dxa"/>
            </w:tcMar>
            <w:vAlign w:val="bottom"/>
          </w:tcPr>
          <w:p w14:paraId="68AAD5ED">
            <w:pPr>
              <w:pStyle w:val="34"/>
              <w:jc w:val="center"/>
              <w:rPr>
                <w:rFonts w:ascii="宋体" w:hAnsi="宋体" w:cs="宋体"/>
              </w:rPr>
            </w:pPr>
            <w:r>
              <w:rPr>
                <w:rFonts w:hint="eastAsia" w:ascii="宋体" w:hAnsi="宋体" w:cs="宋体"/>
              </w:rPr>
              <w:t>5</w:t>
            </w:r>
          </w:p>
        </w:tc>
        <w:tc>
          <w:tcPr>
            <w:tcW w:w="960" w:type="dxa"/>
            <w:shd w:val="clear" w:color="auto" w:fill="auto"/>
            <w:noWrap/>
            <w:tcMar>
              <w:top w:w="15" w:type="dxa"/>
              <w:left w:w="15" w:type="dxa"/>
              <w:right w:w="15" w:type="dxa"/>
            </w:tcMar>
            <w:vAlign w:val="bottom"/>
          </w:tcPr>
          <w:p w14:paraId="6F893D78">
            <w:pPr>
              <w:pStyle w:val="34"/>
              <w:jc w:val="center"/>
              <w:rPr>
                <w:rFonts w:ascii="宋体" w:hAnsi="宋体" w:cs="宋体"/>
              </w:rPr>
            </w:pPr>
            <w:r>
              <w:rPr>
                <w:rFonts w:hint="eastAsia" w:ascii="宋体" w:hAnsi="宋体" w:cs="宋体"/>
              </w:rPr>
              <w:t>黄</w:t>
            </w:r>
          </w:p>
        </w:tc>
        <w:tc>
          <w:tcPr>
            <w:tcW w:w="960" w:type="dxa"/>
            <w:shd w:val="clear" w:color="auto" w:fill="auto"/>
            <w:noWrap/>
            <w:tcMar>
              <w:top w:w="15" w:type="dxa"/>
              <w:left w:w="15" w:type="dxa"/>
              <w:right w:w="15" w:type="dxa"/>
            </w:tcMar>
            <w:vAlign w:val="bottom"/>
          </w:tcPr>
          <w:p w14:paraId="3F55C5F3">
            <w:pPr>
              <w:pStyle w:val="34"/>
              <w:jc w:val="center"/>
              <w:rPr>
                <w:rFonts w:ascii="宋体" w:hAnsi="宋体" w:cs="宋体"/>
              </w:rPr>
            </w:pPr>
            <w:r>
              <w:rPr>
                <w:rFonts w:hint="eastAsia" w:ascii="宋体" w:hAnsi="宋体" w:cs="宋体"/>
              </w:rPr>
              <w:t>4820</w:t>
            </w:r>
          </w:p>
        </w:tc>
        <w:tc>
          <w:tcPr>
            <w:tcW w:w="1397" w:type="dxa"/>
            <w:shd w:val="clear" w:color="auto" w:fill="auto"/>
            <w:noWrap/>
            <w:tcMar>
              <w:top w:w="15" w:type="dxa"/>
              <w:left w:w="15" w:type="dxa"/>
              <w:right w:w="15" w:type="dxa"/>
            </w:tcMar>
            <w:vAlign w:val="bottom"/>
          </w:tcPr>
          <w:p w14:paraId="1FB1E368">
            <w:pPr>
              <w:pStyle w:val="34"/>
              <w:jc w:val="center"/>
              <w:rPr>
                <w:rFonts w:ascii="宋体" w:hAnsi="宋体" w:cs="宋体"/>
              </w:rPr>
            </w:pPr>
            <w:r>
              <w:rPr>
                <w:rFonts w:hint="eastAsia" w:ascii="宋体" w:hAnsi="宋体" w:cs="宋体"/>
              </w:rPr>
              <w:t>5.79</w:t>
            </w:r>
          </w:p>
        </w:tc>
        <w:tc>
          <w:tcPr>
            <w:tcW w:w="523" w:type="dxa"/>
            <w:shd w:val="clear" w:color="auto" w:fill="auto"/>
            <w:noWrap/>
            <w:tcMar>
              <w:top w:w="15" w:type="dxa"/>
              <w:left w:w="15" w:type="dxa"/>
              <w:right w:w="15" w:type="dxa"/>
            </w:tcMar>
            <w:vAlign w:val="bottom"/>
          </w:tcPr>
          <w:p w14:paraId="3193BE61">
            <w:pPr>
              <w:pStyle w:val="34"/>
              <w:jc w:val="center"/>
              <w:rPr>
                <w:rFonts w:ascii="宋体" w:hAnsi="宋体" w:cs="宋体"/>
              </w:rPr>
            </w:pPr>
            <w:r>
              <w:rPr>
                <w:rFonts w:hint="eastAsia" w:ascii="宋体" w:hAnsi="宋体" w:cs="宋体"/>
              </w:rPr>
              <w:t>33</w:t>
            </w:r>
          </w:p>
        </w:tc>
        <w:tc>
          <w:tcPr>
            <w:tcW w:w="960" w:type="dxa"/>
            <w:shd w:val="clear" w:color="auto" w:fill="auto"/>
            <w:noWrap/>
            <w:tcMar>
              <w:top w:w="15" w:type="dxa"/>
              <w:left w:w="15" w:type="dxa"/>
              <w:right w:w="15" w:type="dxa"/>
            </w:tcMar>
            <w:vAlign w:val="bottom"/>
          </w:tcPr>
          <w:p w14:paraId="1808A6B8">
            <w:pPr>
              <w:pStyle w:val="34"/>
              <w:jc w:val="center"/>
              <w:rPr>
                <w:rFonts w:ascii="宋体" w:hAnsi="宋体" w:cs="宋体"/>
              </w:rPr>
            </w:pPr>
            <w:r>
              <w:rPr>
                <w:rFonts w:hint="eastAsia" w:ascii="宋体" w:hAnsi="宋体" w:cs="宋体"/>
              </w:rPr>
              <w:t>龚</w:t>
            </w:r>
          </w:p>
        </w:tc>
        <w:tc>
          <w:tcPr>
            <w:tcW w:w="960" w:type="dxa"/>
            <w:shd w:val="clear" w:color="auto" w:fill="auto"/>
            <w:noWrap/>
            <w:tcMar>
              <w:top w:w="15" w:type="dxa"/>
              <w:left w:w="15" w:type="dxa"/>
              <w:right w:w="15" w:type="dxa"/>
            </w:tcMar>
            <w:vAlign w:val="bottom"/>
          </w:tcPr>
          <w:p w14:paraId="3125542A">
            <w:pPr>
              <w:pStyle w:val="34"/>
              <w:jc w:val="center"/>
              <w:rPr>
                <w:rFonts w:ascii="宋体" w:hAnsi="宋体" w:cs="宋体"/>
              </w:rPr>
            </w:pPr>
            <w:r>
              <w:rPr>
                <w:rFonts w:hint="eastAsia" w:ascii="宋体" w:hAnsi="宋体" w:cs="宋体"/>
              </w:rPr>
              <w:t>624</w:t>
            </w:r>
          </w:p>
        </w:tc>
        <w:tc>
          <w:tcPr>
            <w:tcW w:w="1296" w:type="dxa"/>
            <w:tcBorders>
              <w:right w:val="nil"/>
            </w:tcBorders>
            <w:shd w:val="clear" w:color="auto" w:fill="auto"/>
            <w:noWrap/>
            <w:tcMar>
              <w:top w:w="15" w:type="dxa"/>
              <w:left w:w="15" w:type="dxa"/>
              <w:right w:w="15" w:type="dxa"/>
            </w:tcMar>
            <w:vAlign w:val="bottom"/>
          </w:tcPr>
          <w:p w14:paraId="1BBE7F7E">
            <w:pPr>
              <w:pStyle w:val="34"/>
              <w:jc w:val="center"/>
              <w:rPr>
                <w:rFonts w:ascii="宋体" w:hAnsi="宋体" w:cs="宋体"/>
              </w:rPr>
            </w:pPr>
            <w:r>
              <w:rPr>
                <w:rFonts w:hint="eastAsia" w:ascii="宋体" w:hAnsi="宋体" w:cs="宋体"/>
              </w:rPr>
              <w:t>0.75</w:t>
            </w:r>
          </w:p>
        </w:tc>
      </w:tr>
      <w:tr w14:paraId="5394CB46">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960" w:type="dxa"/>
            <w:tcBorders>
              <w:left w:val="nil"/>
            </w:tcBorders>
            <w:shd w:val="clear" w:color="auto" w:fill="auto"/>
            <w:noWrap/>
            <w:tcMar>
              <w:top w:w="15" w:type="dxa"/>
              <w:left w:w="15" w:type="dxa"/>
              <w:right w:w="15" w:type="dxa"/>
            </w:tcMar>
            <w:vAlign w:val="bottom"/>
          </w:tcPr>
          <w:p w14:paraId="7C7E0A61">
            <w:pPr>
              <w:pStyle w:val="34"/>
              <w:jc w:val="center"/>
              <w:rPr>
                <w:rFonts w:ascii="宋体" w:hAnsi="宋体" w:cs="宋体"/>
              </w:rPr>
            </w:pPr>
            <w:r>
              <w:rPr>
                <w:rFonts w:hint="eastAsia" w:ascii="宋体" w:hAnsi="宋体" w:cs="宋体"/>
              </w:rPr>
              <w:t>6</w:t>
            </w:r>
          </w:p>
        </w:tc>
        <w:tc>
          <w:tcPr>
            <w:tcW w:w="960" w:type="dxa"/>
            <w:shd w:val="clear" w:color="auto" w:fill="auto"/>
            <w:noWrap/>
            <w:tcMar>
              <w:top w:w="15" w:type="dxa"/>
              <w:left w:w="15" w:type="dxa"/>
              <w:right w:w="15" w:type="dxa"/>
            </w:tcMar>
            <w:vAlign w:val="bottom"/>
          </w:tcPr>
          <w:p w14:paraId="00F11EAE">
            <w:pPr>
              <w:pStyle w:val="34"/>
              <w:jc w:val="center"/>
              <w:rPr>
                <w:rFonts w:ascii="宋体" w:hAnsi="宋体" w:cs="宋体"/>
              </w:rPr>
            </w:pPr>
            <w:r>
              <w:rPr>
                <w:rFonts w:hint="eastAsia" w:ascii="宋体" w:hAnsi="宋体" w:cs="宋体"/>
              </w:rPr>
              <w:t>张</w:t>
            </w:r>
          </w:p>
        </w:tc>
        <w:tc>
          <w:tcPr>
            <w:tcW w:w="960" w:type="dxa"/>
            <w:shd w:val="clear" w:color="auto" w:fill="auto"/>
            <w:noWrap/>
            <w:tcMar>
              <w:top w:w="15" w:type="dxa"/>
              <w:left w:w="15" w:type="dxa"/>
              <w:right w:w="15" w:type="dxa"/>
            </w:tcMar>
            <w:vAlign w:val="bottom"/>
          </w:tcPr>
          <w:p w14:paraId="20E7B3AC">
            <w:pPr>
              <w:pStyle w:val="34"/>
              <w:jc w:val="center"/>
              <w:rPr>
                <w:rFonts w:ascii="宋体" w:hAnsi="宋体" w:cs="宋体"/>
              </w:rPr>
            </w:pPr>
            <w:r>
              <w:rPr>
                <w:rFonts w:hint="eastAsia" w:ascii="宋体" w:hAnsi="宋体" w:cs="宋体"/>
              </w:rPr>
              <w:t>4087</w:t>
            </w:r>
          </w:p>
        </w:tc>
        <w:tc>
          <w:tcPr>
            <w:tcW w:w="1397" w:type="dxa"/>
            <w:shd w:val="clear" w:color="auto" w:fill="auto"/>
            <w:noWrap/>
            <w:tcMar>
              <w:top w:w="15" w:type="dxa"/>
              <w:left w:w="15" w:type="dxa"/>
              <w:right w:w="15" w:type="dxa"/>
            </w:tcMar>
            <w:vAlign w:val="bottom"/>
          </w:tcPr>
          <w:p w14:paraId="29142060">
            <w:pPr>
              <w:pStyle w:val="34"/>
              <w:jc w:val="center"/>
              <w:rPr>
                <w:rFonts w:ascii="宋体" w:hAnsi="宋体" w:cs="宋体"/>
              </w:rPr>
            </w:pPr>
            <w:r>
              <w:rPr>
                <w:rFonts w:hint="eastAsia" w:ascii="宋体" w:hAnsi="宋体" w:cs="宋体"/>
              </w:rPr>
              <w:t>4.91</w:t>
            </w:r>
          </w:p>
        </w:tc>
        <w:tc>
          <w:tcPr>
            <w:tcW w:w="523" w:type="dxa"/>
            <w:shd w:val="clear" w:color="auto" w:fill="auto"/>
            <w:noWrap/>
            <w:tcMar>
              <w:top w:w="15" w:type="dxa"/>
              <w:left w:w="15" w:type="dxa"/>
              <w:right w:w="15" w:type="dxa"/>
            </w:tcMar>
            <w:vAlign w:val="bottom"/>
          </w:tcPr>
          <w:p w14:paraId="09AE1D03">
            <w:pPr>
              <w:pStyle w:val="34"/>
              <w:jc w:val="center"/>
              <w:rPr>
                <w:rFonts w:ascii="宋体" w:hAnsi="宋体" w:cs="宋体"/>
              </w:rPr>
            </w:pPr>
            <w:r>
              <w:rPr>
                <w:rFonts w:hint="eastAsia" w:ascii="宋体" w:hAnsi="宋体" w:cs="宋体"/>
              </w:rPr>
              <w:t>34</w:t>
            </w:r>
          </w:p>
        </w:tc>
        <w:tc>
          <w:tcPr>
            <w:tcW w:w="960" w:type="dxa"/>
            <w:shd w:val="clear" w:color="auto" w:fill="auto"/>
            <w:noWrap/>
            <w:tcMar>
              <w:top w:w="15" w:type="dxa"/>
              <w:left w:w="15" w:type="dxa"/>
              <w:right w:w="15" w:type="dxa"/>
            </w:tcMar>
            <w:vAlign w:val="bottom"/>
          </w:tcPr>
          <w:p w14:paraId="3DC16B68">
            <w:pPr>
              <w:pStyle w:val="34"/>
              <w:jc w:val="center"/>
              <w:rPr>
                <w:rFonts w:ascii="宋体" w:hAnsi="宋体" w:cs="宋体"/>
              </w:rPr>
            </w:pPr>
            <w:r>
              <w:rPr>
                <w:rFonts w:hint="eastAsia" w:ascii="宋体" w:hAnsi="宋体" w:cs="宋体"/>
              </w:rPr>
              <w:t>廖</w:t>
            </w:r>
          </w:p>
        </w:tc>
        <w:tc>
          <w:tcPr>
            <w:tcW w:w="960" w:type="dxa"/>
            <w:shd w:val="clear" w:color="auto" w:fill="auto"/>
            <w:noWrap/>
            <w:tcMar>
              <w:top w:w="15" w:type="dxa"/>
              <w:left w:w="15" w:type="dxa"/>
              <w:right w:w="15" w:type="dxa"/>
            </w:tcMar>
            <w:vAlign w:val="bottom"/>
          </w:tcPr>
          <w:p w14:paraId="1E37A9FA">
            <w:pPr>
              <w:pStyle w:val="34"/>
              <w:jc w:val="center"/>
              <w:rPr>
                <w:rFonts w:ascii="宋体" w:hAnsi="宋体" w:cs="宋体"/>
              </w:rPr>
            </w:pPr>
            <w:r>
              <w:rPr>
                <w:rFonts w:hint="eastAsia" w:ascii="宋体" w:hAnsi="宋体" w:cs="宋体"/>
              </w:rPr>
              <w:t>601</w:t>
            </w:r>
          </w:p>
        </w:tc>
        <w:tc>
          <w:tcPr>
            <w:tcW w:w="1296" w:type="dxa"/>
            <w:tcBorders>
              <w:right w:val="nil"/>
            </w:tcBorders>
            <w:shd w:val="clear" w:color="auto" w:fill="auto"/>
            <w:noWrap/>
            <w:tcMar>
              <w:top w:w="15" w:type="dxa"/>
              <w:left w:w="15" w:type="dxa"/>
              <w:right w:w="15" w:type="dxa"/>
            </w:tcMar>
            <w:vAlign w:val="bottom"/>
          </w:tcPr>
          <w:p w14:paraId="67455FD8">
            <w:pPr>
              <w:pStyle w:val="34"/>
              <w:jc w:val="center"/>
              <w:rPr>
                <w:rFonts w:ascii="宋体" w:hAnsi="宋体" w:cs="宋体"/>
              </w:rPr>
            </w:pPr>
            <w:r>
              <w:rPr>
                <w:rFonts w:hint="eastAsia" w:ascii="宋体" w:hAnsi="宋体" w:cs="宋体"/>
              </w:rPr>
              <w:t>0.72</w:t>
            </w:r>
          </w:p>
        </w:tc>
      </w:tr>
      <w:tr w14:paraId="25493E79">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960" w:type="dxa"/>
            <w:tcBorders>
              <w:left w:val="nil"/>
            </w:tcBorders>
            <w:shd w:val="clear" w:color="auto" w:fill="auto"/>
            <w:noWrap/>
            <w:tcMar>
              <w:top w:w="15" w:type="dxa"/>
              <w:left w:w="15" w:type="dxa"/>
              <w:right w:w="15" w:type="dxa"/>
            </w:tcMar>
            <w:vAlign w:val="bottom"/>
          </w:tcPr>
          <w:p w14:paraId="22AB5D93">
            <w:pPr>
              <w:pStyle w:val="34"/>
              <w:jc w:val="center"/>
              <w:rPr>
                <w:rFonts w:ascii="宋体" w:hAnsi="宋体" w:cs="宋体"/>
              </w:rPr>
            </w:pPr>
            <w:r>
              <w:rPr>
                <w:rFonts w:hint="eastAsia" w:ascii="宋体" w:hAnsi="宋体" w:cs="宋体"/>
              </w:rPr>
              <w:t>7</w:t>
            </w:r>
          </w:p>
        </w:tc>
        <w:tc>
          <w:tcPr>
            <w:tcW w:w="960" w:type="dxa"/>
            <w:shd w:val="clear" w:color="auto" w:fill="auto"/>
            <w:noWrap/>
            <w:tcMar>
              <w:top w:w="15" w:type="dxa"/>
              <w:left w:w="15" w:type="dxa"/>
              <w:right w:w="15" w:type="dxa"/>
            </w:tcMar>
            <w:vAlign w:val="bottom"/>
          </w:tcPr>
          <w:p w14:paraId="21217C60">
            <w:pPr>
              <w:pStyle w:val="34"/>
              <w:jc w:val="center"/>
              <w:rPr>
                <w:rFonts w:ascii="宋体" w:hAnsi="宋体" w:cs="宋体"/>
              </w:rPr>
            </w:pPr>
            <w:r>
              <w:rPr>
                <w:rFonts w:hint="eastAsia" w:ascii="宋体" w:hAnsi="宋体" w:cs="宋体"/>
              </w:rPr>
              <w:t>邓</w:t>
            </w:r>
          </w:p>
        </w:tc>
        <w:tc>
          <w:tcPr>
            <w:tcW w:w="960" w:type="dxa"/>
            <w:shd w:val="clear" w:color="auto" w:fill="auto"/>
            <w:noWrap/>
            <w:tcMar>
              <w:top w:w="15" w:type="dxa"/>
              <w:left w:w="15" w:type="dxa"/>
              <w:right w:w="15" w:type="dxa"/>
            </w:tcMar>
            <w:vAlign w:val="bottom"/>
          </w:tcPr>
          <w:p w14:paraId="670ED14A">
            <w:pPr>
              <w:pStyle w:val="34"/>
              <w:jc w:val="center"/>
              <w:rPr>
                <w:rFonts w:ascii="宋体" w:hAnsi="宋体" w:cs="宋体"/>
              </w:rPr>
            </w:pPr>
            <w:r>
              <w:rPr>
                <w:rFonts w:hint="eastAsia" w:ascii="宋体" w:hAnsi="宋体" w:cs="宋体"/>
              </w:rPr>
              <w:t>3206</w:t>
            </w:r>
          </w:p>
        </w:tc>
        <w:tc>
          <w:tcPr>
            <w:tcW w:w="1397" w:type="dxa"/>
            <w:shd w:val="clear" w:color="auto" w:fill="auto"/>
            <w:noWrap/>
            <w:tcMar>
              <w:top w:w="15" w:type="dxa"/>
              <w:left w:w="15" w:type="dxa"/>
              <w:right w:w="15" w:type="dxa"/>
            </w:tcMar>
            <w:vAlign w:val="bottom"/>
          </w:tcPr>
          <w:p w14:paraId="4287AA1A">
            <w:pPr>
              <w:pStyle w:val="34"/>
              <w:jc w:val="center"/>
              <w:rPr>
                <w:rFonts w:ascii="宋体" w:hAnsi="宋体" w:cs="宋体"/>
              </w:rPr>
            </w:pPr>
            <w:r>
              <w:rPr>
                <w:rFonts w:hint="eastAsia" w:ascii="宋体" w:hAnsi="宋体" w:cs="宋体"/>
              </w:rPr>
              <w:t>3.85</w:t>
            </w:r>
          </w:p>
        </w:tc>
        <w:tc>
          <w:tcPr>
            <w:tcW w:w="523" w:type="dxa"/>
            <w:shd w:val="clear" w:color="auto" w:fill="auto"/>
            <w:noWrap/>
            <w:tcMar>
              <w:top w:w="15" w:type="dxa"/>
              <w:left w:w="15" w:type="dxa"/>
              <w:right w:w="15" w:type="dxa"/>
            </w:tcMar>
            <w:vAlign w:val="bottom"/>
          </w:tcPr>
          <w:p w14:paraId="7D7AB685">
            <w:pPr>
              <w:pStyle w:val="34"/>
              <w:jc w:val="center"/>
              <w:rPr>
                <w:rFonts w:ascii="宋体" w:hAnsi="宋体" w:cs="宋体"/>
              </w:rPr>
            </w:pPr>
            <w:r>
              <w:rPr>
                <w:rFonts w:hint="eastAsia" w:ascii="宋体" w:hAnsi="宋体" w:cs="宋体"/>
              </w:rPr>
              <w:t>35</w:t>
            </w:r>
          </w:p>
        </w:tc>
        <w:tc>
          <w:tcPr>
            <w:tcW w:w="960" w:type="dxa"/>
            <w:shd w:val="clear" w:color="auto" w:fill="auto"/>
            <w:noWrap/>
            <w:tcMar>
              <w:top w:w="15" w:type="dxa"/>
              <w:left w:w="15" w:type="dxa"/>
              <w:right w:w="15" w:type="dxa"/>
            </w:tcMar>
            <w:vAlign w:val="bottom"/>
          </w:tcPr>
          <w:p w14:paraId="14C0B647">
            <w:pPr>
              <w:pStyle w:val="34"/>
              <w:jc w:val="center"/>
              <w:rPr>
                <w:rFonts w:ascii="宋体" w:hAnsi="宋体" w:cs="宋体"/>
              </w:rPr>
            </w:pPr>
            <w:r>
              <w:rPr>
                <w:rFonts w:hint="eastAsia" w:ascii="宋体" w:hAnsi="宋体" w:cs="宋体"/>
              </w:rPr>
              <w:t>聂</w:t>
            </w:r>
          </w:p>
        </w:tc>
        <w:tc>
          <w:tcPr>
            <w:tcW w:w="960" w:type="dxa"/>
            <w:shd w:val="clear" w:color="auto" w:fill="auto"/>
            <w:noWrap/>
            <w:tcMar>
              <w:top w:w="15" w:type="dxa"/>
              <w:left w:w="15" w:type="dxa"/>
              <w:right w:w="15" w:type="dxa"/>
            </w:tcMar>
            <w:vAlign w:val="bottom"/>
          </w:tcPr>
          <w:p w14:paraId="42147339">
            <w:pPr>
              <w:pStyle w:val="34"/>
              <w:jc w:val="center"/>
              <w:rPr>
                <w:rFonts w:ascii="宋体" w:hAnsi="宋体" w:cs="宋体"/>
              </w:rPr>
            </w:pPr>
            <w:r>
              <w:rPr>
                <w:rFonts w:hint="eastAsia" w:ascii="宋体" w:hAnsi="宋体" w:cs="宋体"/>
              </w:rPr>
              <w:t>599</w:t>
            </w:r>
          </w:p>
        </w:tc>
        <w:tc>
          <w:tcPr>
            <w:tcW w:w="1296" w:type="dxa"/>
            <w:tcBorders>
              <w:right w:val="nil"/>
            </w:tcBorders>
            <w:shd w:val="clear" w:color="auto" w:fill="auto"/>
            <w:noWrap/>
            <w:tcMar>
              <w:top w:w="15" w:type="dxa"/>
              <w:left w:w="15" w:type="dxa"/>
              <w:right w:w="15" w:type="dxa"/>
            </w:tcMar>
            <w:vAlign w:val="bottom"/>
          </w:tcPr>
          <w:p w14:paraId="3FFA1B12">
            <w:pPr>
              <w:pStyle w:val="34"/>
              <w:jc w:val="center"/>
              <w:rPr>
                <w:rFonts w:ascii="宋体" w:hAnsi="宋体" w:cs="宋体"/>
              </w:rPr>
            </w:pPr>
            <w:r>
              <w:rPr>
                <w:rFonts w:hint="eastAsia" w:ascii="宋体" w:hAnsi="宋体" w:cs="宋体"/>
              </w:rPr>
              <w:t>0.72</w:t>
            </w:r>
          </w:p>
        </w:tc>
      </w:tr>
      <w:tr w14:paraId="706C3655">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960" w:type="dxa"/>
            <w:tcBorders>
              <w:left w:val="nil"/>
            </w:tcBorders>
            <w:shd w:val="clear" w:color="auto" w:fill="auto"/>
            <w:noWrap/>
            <w:tcMar>
              <w:top w:w="15" w:type="dxa"/>
              <w:left w:w="15" w:type="dxa"/>
              <w:right w:w="15" w:type="dxa"/>
            </w:tcMar>
            <w:vAlign w:val="bottom"/>
          </w:tcPr>
          <w:p w14:paraId="37CD677F">
            <w:pPr>
              <w:pStyle w:val="34"/>
              <w:jc w:val="center"/>
              <w:rPr>
                <w:rFonts w:ascii="宋体" w:hAnsi="宋体" w:cs="宋体"/>
              </w:rPr>
            </w:pPr>
            <w:r>
              <w:rPr>
                <w:rFonts w:hint="eastAsia" w:ascii="宋体" w:hAnsi="宋体" w:cs="宋体"/>
              </w:rPr>
              <w:t>8</w:t>
            </w:r>
          </w:p>
        </w:tc>
        <w:tc>
          <w:tcPr>
            <w:tcW w:w="960" w:type="dxa"/>
            <w:shd w:val="clear" w:color="auto" w:fill="auto"/>
            <w:noWrap/>
            <w:tcMar>
              <w:top w:w="15" w:type="dxa"/>
              <w:left w:w="15" w:type="dxa"/>
              <w:right w:w="15" w:type="dxa"/>
            </w:tcMar>
            <w:vAlign w:val="bottom"/>
          </w:tcPr>
          <w:p w14:paraId="3146A648">
            <w:pPr>
              <w:pStyle w:val="34"/>
              <w:jc w:val="center"/>
              <w:rPr>
                <w:rFonts w:ascii="宋体" w:hAnsi="宋体" w:cs="宋体"/>
              </w:rPr>
            </w:pPr>
            <w:r>
              <w:rPr>
                <w:rFonts w:hint="eastAsia" w:ascii="宋体" w:hAnsi="宋体" w:cs="宋体"/>
              </w:rPr>
              <w:t>何</w:t>
            </w:r>
          </w:p>
        </w:tc>
        <w:tc>
          <w:tcPr>
            <w:tcW w:w="960" w:type="dxa"/>
            <w:shd w:val="clear" w:color="auto" w:fill="auto"/>
            <w:noWrap/>
            <w:tcMar>
              <w:top w:w="15" w:type="dxa"/>
              <w:left w:w="15" w:type="dxa"/>
              <w:right w:w="15" w:type="dxa"/>
            </w:tcMar>
            <w:vAlign w:val="bottom"/>
          </w:tcPr>
          <w:p w14:paraId="5E76095D">
            <w:pPr>
              <w:pStyle w:val="34"/>
              <w:jc w:val="center"/>
              <w:rPr>
                <w:rFonts w:ascii="宋体" w:hAnsi="宋体" w:cs="宋体"/>
              </w:rPr>
            </w:pPr>
            <w:r>
              <w:rPr>
                <w:rFonts w:hint="eastAsia" w:ascii="宋体" w:hAnsi="宋体" w:cs="宋体"/>
              </w:rPr>
              <w:t>3021</w:t>
            </w:r>
          </w:p>
        </w:tc>
        <w:tc>
          <w:tcPr>
            <w:tcW w:w="1397" w:type="dxa"/>
            <w:shd w:val="clear" w:color="auto" w:fill="auto"/>
            <w:noWrap/>
            <w:tcMar>
              <w:top w:w="15" w:type="dxa"/>
              <w:left w:w="15" w:type="dxa"/>
              <w:right w:w="15" w:type="dxa"/>
            </w:tcMar>
            <w:vAlign w:val="bottom"/>
          </w:tcPr>
          <w:p w14:paraId="68B41715">
            <w:pPr>
              <w:pStyle w:val="34"/>
              <w:jc w:val="center"/>
              <w:rPr>
                <w:rFonts w:ascii="宋体" w:hAnsi="宋体" w:cs="宋体"/>
              </w:rPr>
            </w:pPr>
            <w:r>
              <w:rPr>
                <w:rFonts w:hint="eastAsia" w:ascii="宋体" w:hAnsi="宋体" w:cs="宋体"/>
              </w:rPr>
              <w:t>3.63</w:t>
            </w:r>
          </w:p>
        </w:tc>
        <w:tc>
          <w:tcPr>
            <w:tcW w:w="523" w:type="dxa"/>
            <w:shd w:val="clear" w:color="auto" w:fill="auto"/>
            <w:noWrap/>
            <w:tcMar>
              <w:top w:w="15" w:type="dxa"/>
              <w:left w:w="15" w:type="dxa"/>
              <w:right w:w="15" w:type="dxa"/>
            </w:tcMar>
            <w:vAlign w:val="bottom"/>
          </w:tcPr>
          <w:p w14:paraId="7C919282">
            <w:pPr>
              <w:pStyle w:val="34"/>
              <w:jc w:val="center"/>
              <w:rPr>
                <w:rFonts w:ascii="宋体" w:hAnsi="宋体" w:cs="宋体"/>
              </w:rPr>
            </w:pPr>
            <w:r>
              <w:rPr>
                <w:rFonts w:hint="eastAsia" w:ascii="宋体" w:hAnsi="宋体" w:cs="宋体"/>
              </w:rPr>
              <w:t>36</w:t>
            </w:r>
          </w:p>
        </w:tc>
        <w:tc>
          <w:tcPr>
            <w:tcW w:w="960" w:type="dxa"/>
            <w:shd w:val="clear" w:color="auto" w:fill="auto"/>
            <w:noWrap/>
            <w:tcMar>
              <w:top w:w="15" w:type="dxa"/>
              <w:left w:w="15" w:type="dxa"/>
              <w:right w:w="15" w:type="dxa"/>
            </w:tcMar>
            <w:vAlign w:val="bottom"/>
          </w:tcPr>
          <w:p w14:paraId="65CDAAD2">
            <w:pPr>
              <w:pStyle w:val="34"/>
              <w:jc w:val="center"/>
              <w:rPr>
                <w:rFonts w:ascii="宋体" w:hAnsi="宋体" w:cs="宋体"/>
              </w:rPr>
            </w:pPr>
            <w:r>
              <w:rPr>
                <w:rFonts w:hint="eastAsia" w:ascii="宋体" w:hAnsi="宋体" w:cs="宋体"/>
              </w:rPr>
              <w:t>雷</w:t>
            </w:r>
          </w:p>
        </w:tc>
        <w:tc>
          <w:tcPr>
            <w:tcW w:w="960" w:type="dxa"/>
            <w:shd w:val="clear" w:color="auto" w:fill="auto"/>
            <w:noWrap/>
            <w:tcMar>
              <w:top w:w="15" w:type="dxa"/>
              <w:left w:w="15" w:type="dxa"/>
              <w:right w:w="15" w:type="dxa"/>
            </w:tcMar>
            <w:vAlign w:val="bottom"/>
          </w:tcPr>
          <w:p w14:paraId="164D40AB">
            <w:pPr>
              <w:pStyle w:val="34"/>
              <w:jc w:val="center"/>
              <w:rPr>
                <w:rFonts w:ascii="宋体" w:hAnsi="宋体" w:cs="宋体"/>
              </w:rPr>
            </w:pPr>
            <w:r>
              <w:rPr>
                <w:rFonts w:hint="eastAsia" w:ascii="宋体" w:hAnsi="宋体" w:cs="宋体"/>
              </w:rPr>
              <w:t>597</w:t>
            </w:r>
          </w:p>
        </w:tc>
        <w:tc>
          <w:tcPr>
            <w:tcW w:w="1296" w:type="dxa"/>
            <w:tcBorders>
              <w:right w:val="nil"/>
            </w:tcBorders>
            <w:shd w:val="clear" w:color="auto" w:fill="auto"/>
            <w:noWrap/>
            <w:tcMar>
              <w:top w:w="15" w:type="dxa"/>
              <w:left w:w="15" w:type="dxa"/>
              <w:right w:w="15" w:type="dxa"/>
            </w:tcMar>
            <w:vAlign w:val="bottom"/>
          </w:tcPr>
          <w:p w14:paraId="64711D9A">
            <w:pPr>
              <w:pStyle w:val="34"/>
              <w:jc w:val="center"/>
              <w:rPr>
                <w:rFonts w:ascii="宋体" w:hAnsi="宋体" w:cs="宋体"/>
              </w:rPr>
            </w:pPr>
            <w:r>
              <w:rPr>
                <w:rFonts w:hint="eastAsia" w:ascii="宋体" w:hAnsi="宋体" w:cs="宋体"/>
              </w:rPr>
              <w:t>0.71</w:t>
            </w:r>
          </w:p>
        </w:tc>
      </w:tr>
      <w:tr w14:paraId="6B3872CD">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960" w:type="dxa"/>
            <w:tcBorders>
              <w:left w:val="nil"/>
            </w:tcBorders>
            <w:shd w:val="clear" w:color="auto" w:fill="auto"/>
            <w:noWrap/>
            <w:tcMar>
              <w:top w:w="15" w:type="dxa"/>
              <w:left w:w="15" w:type="dxa"/>
              <w:right w:w="15" w:type="dxa"/>
            </w:tcMar>
            <w:vAlign w:val="bottom"/>
          </w:tcPr>
          <w:p w14:paraId="4A697A01">
            <w:pPr>
              <w:pStyle w:val="34"/>
              <w:jc w:val="center"/>
              <w:rPr>
                <w:rFonts w:ascii="宋体" w:hAnsi="宋体" w:cs="宋体"/>
              </w:rPr>
            </w:pPr>
            <w:r>
              <w:rPr>
                <w:rFonts w:hint="eastAsia" w:ascii="宋体" w:hAnsi="宋体" w:cs="宋体"/>
              </w:rPr>
              <w:t>9</w:t>
            </w:r>
          </w:p>
        </w:tc>
        <w:tc>
          <w:tcPr>
            <w:tcW w:w="960" w:type="dxa"/>
            <w:shd w:val="clear" w:color="auto" w:fill="auto"/>
            <w:noWrap/>
            <w:tcMar>
              <w:top w:w="15" w:type="dxa"/>
              <w:left w:w="15" w:type="dxa"/>
              <w:right w:w="15" w:type="dxa"/>
            </w:tcMar>
            <w:vAlign w:val="bottom"/>
          </w:tcPr>
          <w:p w14:paraId="794AFC40">
            <w:pPr>
              <w:pStyle w:val="34"/>
              <w:jc w:val="center"/>
              <w:rPr>
                <w:rFonts w:ascii="宋体" w:hAnsi="宋体" w:cs="宋体"/>
              </w:rPr>
            </w:pPr>
            <w:r>
              <w:rPr>
                <w:rFonts w:hint="eastAsia" w:ascii="宋体" w:hAnsi="宋体" w:cs="宋体"/>
              </w:rPr>
              <w:t>钟</w:t>
            </w:r>
          </w:p>
        </w:tc>
        <w:tc>
          <w:tcPr>
            <w:tcW w:w="960" w:type="dxa"/>
            <w:shd w:val="clear" w:color="auto" w:fill="auto"/>
            <w:noWrap/>
            <w:tcMar>
              <w:top w:w="15" w:type="dxa"/>
              <w:left w:w="15" w:type="dxa"/>
              <w:right w:w="15" w:type="dxa"/>
            </w:tcMar>
            <w:vAlign w:val="bottom"/>
          </w:tcPr>
          <w:p w14:paraId="4C0174D3">
            <w:pPr>
              <w:pStyle w:val="34"/>
              <w:jc w:val="center"/>
              <w:rPr>
                <w:rFonts w:ascii="宋体" w:hAnsi="宋体" w:cs="宋体"/>
              </w:rPr>
            </w:pPr>
            <w:r>
              <w:rPr>
                <w:rFonts w:hint="eastAsia" w:ascii="宋体" w:hAnsi="宋体" w:cs="宋体"/>
              </w:rPr>
              <w:t>2399</w:t>
            </w:r>
          </w:p>
        </w:tc>
        <w:tc>
          <w:tcPr>
            <w:tcW w:w="1397" w:type="dxa"/>
            <w:shd w:val="clear" w:color="auto" w:fill="auto"/>
            <w:noWrap/>
            <w:tcMar>
              <w:top w:w="15" w:type="dxa"/>
              <w:left w:w="15" w:type="dxa"/>
              <w:right w:w="15" w:type="dxa"/>
            </w:tcMar>
            <w:vAlign w:val="bottom"/>
          </w:tcPr>
          <w:p w14:paraId="447679DC">
            <w:pPr>
              <w:pStyle w:val="34"/>
              <w:jc w:val="center"/>
              <w:rPr>
                <w:rFonts w:ascii="宋体" w:hAnsi="宋体" w:cs="宋体"/>
              </w:rPr>
            </w:pPr>
            <w:r>
              <w:rPr>
                <w:rFonts w:hint="eastAsia" w:ascii="宋体" w:hAnsi="宋体" w:cs="宋体"/>
              </w:rPr>
              <w:t>2.88</w:t>
            </w:r>
          </w:p>
        </w:tc>
        <w:tc>
          <w:tcPr>
            <w:tcW w:w="523" w:type="dxa"/>
            <w:shd w:val="clear" w:color="auto" w:fill="auto"/>
            <w:noWrap/>
            <w:tcMar>
              <w:top w:w="15" w:type="dxa"/>
              <w:left w:w="15" w:type="dxa"/>
              <w:right w:w="15" w:type="dxa"/>
            </w:tcMar>
            <w:vAlign w:val="bottom"/>
          </w:tcPr>
          <w:p w14:paraId="5BD294EB">
            <w:pPr>
              <w:pStyle w:val="34"/>
              <w:jc w:val="center"/>
              <w:rPr>
                <w:rFonts w:ascii="宋体" w:hAnsi="宋体" w:cs="宋体"/>
              </w:rPr>
            </w:pPr>
            <w:r>
              <w:rPr>
                <w:rFonts w:hint="eastAsia" w:ascii="宋体" w:hAnsi="宋体" w:cs="宋体"/>
              </w:rPr>
              <w:t>37</w:t>
            </w:r>
          </w:p>
        </w:tc>
        <w:tc>
          <w:tcPr>
            <w:tcW w:w="960" w:type="dxa"/>
            <w:shd w:val="clear" w:color="auto" w:fill="auto"/>
            <w:noWrap/>
            <w:tcMar>
              <w:top w:w="15" w:type="dxa"/>
              <w:left w:w="15" w:type="dxa"/>
              <w:right w:w="15" w:type="dxa"/>
            </w:tcMar>
            <w:vAlign w:val="bottom"/>
          </w:tcPr>
          <w:p w14:paraId="7A1FEE99">
            <w:pPr>
              <w:pStyle w:val="34"/>
              <w:jc w:val="center"/>
              <w:rPr>
                <w:rFonts w:ascii="宋体" w:hAnsi="宋体" w:cs="宋体"/>
              </w:rPr>
            </w:pPr>
            <w:r>
              <w:rPr>
                <w:rFonts w:hint="eastAsia" w:ascii="宋体" w:hAnsi="宋体" w:cs="宋体"/>
              </w:rPr>
              <w:t>蓝</w:t>
            </w:r>
          </w:p>
        </w:tc>
        <w:tc>
          <w:tcPr>
            <w:tcW w:w="960" w:type="dxa"/>
            <w:shd w:val="clear" w:color="auto" w:fill="auto"/>
            <w:noWrap/>
            <w:tcMar>
              <w:top w:w="15" w:type="dxa"/>
              <w:left w:w="15" w:type="dxa"/>
              <w:right w:w="15" w:type="dxa"/>
            </w:tcMar>
            <w:vAlign w:val="bottom"/>
          </w:tcPr>
          <w:p w14:paraId="7BF4B9A8">
            <w:pPr>
              <w:pStyle w:val="34"/>
              <w:jc w:val="center"/>
              <w:rPr>
                <w:rFonts w:ascii="宋体" w:hAnsi="宋体" w:cs="宋体"/>
              </w:rPr>
            </w:pPr>
            <w:r>
              <w:rPr>
                <w:rFonts w:hint="eastAsia" w:ascii="宋体" w:hAnsi="宋体" w:cs="宋体"/>
              </w:rPr>
              <w:t>588</w:t>
            </w:r>
          </w:p>
        </w:tc>
        <w:tc>
          <w:tcPr>
            <w:tcW w:w="1296" w:type="dxa"/>
            <w:tcBorders>
              <w:right w:val="nil"/>
            </w:tcBorders>
            <w:shd w:val="clear" w:color="auto" w:fill="auto"/>
            <w:noWrap/>
            <w:tcMar>
              <w:top w:w="15" w:type="dxa"/>
              <w:left w:w="15" w:type="dxa"/>
              <w:right w:w="15" w:type="dxa"/>
            </w:tcMar>
            <w:vAlign w:val="bottom"/>
          </w:tcPr>
          <w:p w14:paraId="0A8E6A00">
            <w:pPr>
              <w:pStyle w:val="34"/>
              <w:jc w:val="center"/>
              <w:rPr>
                <w:rFonts w:ascii="宋体" w:hAnsi="宋体" w:cs="宋体"/>
              </w:rPr>
            </w:pPr>
            <w:r>
              <w:rPr>
                <w:rFonts w:hint="eastAsia" w:ascii="宋体" w:hAnsi="宋体" w:cs="宋体"/>
              </w:rPr>
              <w:t>0.70</w:t>
            </w:r>
          </w:p>
        </w:tc>
      </w:tr>
      <w:tr w14:paraId="49AAA41C">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960" w:type="dxa"/>
            <w:tcBorders>
              <w:left w:val="nil"/>
            </w:tcBorders>
            <w:shd w:val="clear" w:color="auto" w:fill="auto"/>
            <w:noWrap/>
            <w:tcMar>
              <w:top w:w="15" w:type="dxa"/>
              <w:left w:w="15" w:type="dxa"/>
              <w:right w:w="15" w:type="dxa"/>
            </w:tcMar>
            <w:vAlign w:val="bottom"/>
          </w:tcPr>
          <w:p w14:paraId="40FE76F4">
            <w:pPr>
              <w:pStyle w:val="34"/>
              <w:jc w:val="center"/>
              <w:rPr>
                <w:rFonts w:ascii="宋体" w:hAnsi="宋体" w:cs="宋体"/>
              </w:rPr>
            </w:pPr>
            <w:r>
              <w:rPr>
                <w:rFonts w:hint="eastAsia" w:ascii="宋体" w:hAnsi="宋体" w:cs="宋体"/>
              </w:rPr>
              <w:t>0</w:t>
            </w:r>
          </w:p>
        </w:tc>
        <w:tc>
          <w:tcPr>
            <w:tcW w:w="960" w:type="dxa"/>
            <w:shd w:val="clear" w:color="auto" w:fill="auto"/>
            <w:noWrap/>
            <w:tcMar>
              <w:top w:w="15" w:type="dxa"/>
              <w:left w:w="15" w:type="dxa"/>
              <w:right w:w="15" w:type="dxa"/>
            </w:tcMar>
            <w:vAlign w:val="bottom"/>
          </w:tcPr>
          <w:p w14:paraId="440BD325">
            <w:pPr>
              <w:pStyle w:val="34"/>
              <w:jc w:val="center"/>
              <w:rPr>
                <w:rFonts w:ascii="宋体" w:hAnsi="宋体" w:cs="宋体"/>
              </w:rPr>
            </w:pPr>
            <w:r>
              <w:rPr>
                <w:rFonts w:hint="eastAsia" w:ascii="宋体" w:hAnsi="宋体" w:cs="宋体"/>
              </w:rPr>
              <w:t>王</w:t>
            </w:r>
          </w:p>
        </w:tc>
        <w:tc>
          <w:tcPr>
            <w:tcW w:w="960" w:type="dxa"/>
            <w:shd w:val="clear" w:color="auto" w:fill="auto"/>
            <w:noWrap/>
            <w:tcMar>
              <w:top w:w="15" w:type="dxa"/>
              <w:left w:w="15" w:type="dxa"/>
              <w:right w:w="15" w:type="dxa"/>
            </w:tcMar>
            <w:vAlign w:val="bottom"/>
          </w:tcPr>
          <w:p w14:paraId="0CE7AB49">
            <w:pPr>
              <w:pStyle w:val="34"/>
              <w:jc w:val="center"/>
              <w:rPr>
                <w:rFonts w:ascii="宋体" w:hAnsi="宋体" w:cs="宋体"/>
              </w:rPr>
            </w:pPr>
            <w:r>
              <w:rPr>
                <w:rFonts w:hint="eastAsia" w:ascii="宋体" w:hAnsi="宋体" w:cs="宋体"/>
              </w:rPr>
              <w:t>2337</w:t>
            </w:r>
          </w:p>
        </w:tc>
        <w:tc>
          <w:tcPr>
            <w:tcW w:w="1397" w:type="dxa"/>
            <w:shd w:val="clear" w:color="auto" w:fill="auto"/>
            <w:noWrap/>
            <w:tcMar>
              <w:top w:w="15" w:type="dxa"/>
              <w:left w:w="15" w:type="dxa"/>
              <w:right w:w="15" w:type="dxa"/>
            </w:tcMar>
            <w:vAlign w:val="bottom"/>
          </w:tcPr>
          <w:p w14:paraId="6F385EEF">
            <w:pPr>
              <w:pStyle w:val="34"/>
              <w:jc w:val="center"/>
              <w:rPr>
                <w:rFonts w:ascii="宋体" w:hAnsi="宋体" w:cs="宋体"/>
              </w:rPr>
            </w:pPr>
            <w:r>
              <w:rPr>
                <w:rFonts w:hint="eastAsia" w:ascii="宋体" w:hAnsi="宋体" w:cs="宋体"/>
              </w:rPr>
              <w:t>2.81</w:t>
            </w:r>
          </w:p>
        </w:tc>
        <w:tc>
          <w:tcPr>
            <w:tcW w:w="523" w:type="dxa"/>
            <w:shd w:val="clear" w:color="auto" w:fill="auto"/>
            <w:noWrap/>
            <w:tcMar>
              <w:top w:w="15" w:type="dxa"/>
              <w:left w:w="15" w:type="dxa"/>
              <w:right w:w="15" w:type="dxa"/>
            </w:tcMar>
            <w:vAlign w:val="bottom"/>
          </w:tcPr>
          <w:p w14:paraId="4A86E940">
            <w:pPr>
              <w:pStyle w:val="34"/>
              <w:jc w:val="center"/>
              <w:rPr>
                <w:rFonts w:ascii="宋体" w:hAnsi="宋体" w:cs="宋体"/>
              </w:rPr>
            </w:pPr>
            <w:r>
              <w:rPr>
                <w:rFonts w:hint="eastAsia" w:ascii="宋体" w:hAnsi="宋体" w:cs="宋体"/>
              </w:rPr>
              <w:t>38</w:t>
            </w:r>
          </w:p>
        </w:tc>
        <w:tc>
          <w:tcPr>
            <w:tcW w:w="960" w:type="dxa"/>
            <w:shd w:val="clear" w:color="auto" w:fill="auto"/>
            <w:noWrap/>
            <w:tcMar>
              <w:top w:w="15" w:type="dxa"/>
              <w:left w:w="15" w:type="dxa"/>
              <w:right w:w="15" w:type="dxa"/>
            </w:tcMar>
            <w:vAlign w:val="bottom"/>
          </w:tcPr>
          <w:p w14:paraId="0B68233B">
            <w:pPr>
              <w:pStyle w:val="34"/>
              <w:jc w:val="center"/>
              <w:rPr>
                <w:rFonts w:ascii="宋体" w:hAnsi="宋体" w:cs="宋体"/>
              </w:rPr>
            </w:pPr>
            <w:r>
              <w:rPr>
                <w:rFonts w:hint="eastAsia" w:ascii="宋体" w:hAnsi="宋体" w:cs="宋体"/>
              </w:rPr>
              <w:t>周</w:t>
            </w:r>
          </w:p>
        </w:tc>
        <w:tc>
          <w:tcPr>
            <w:tcW w:w="960" w:type="dxa"/>
            <w:shd w:val="clear" w:color="auto" w:fill="auto"/>
            <w:noWrap/>
            <w:tcMar>
              <w:top w:w="15" w:type="dxa"/>
              <w:left w:w="15" w:type="dxa"/>
              <w:right w:w="15" w:type="dxa"/>
            </w:tcMar>
            <w:vAlign w:val="bottom"/>
          </w:tcPr>
          <w:p w14:paraId="5A5EDC6B">
            <w:pPr>
              <w:pStyle w:val="34"/>
              <w:jc w:val="center"/>
              <w:rPr>
                <w:rFonts w:ascii="宋体" w:hAnsi="宋体" w:cs="宋体"/>
              </w:rPr>
            </w:pPr>
            <w:r>
              <w:rPr>
                <w:rFonts w:hint="eastAsia" w:ascii="宋体" w:hAnsi="宋体" w:cs="宋体"/>
              </w:rPr>
              <w:t>519</w:t>
            </w:r>
          </w:p>
        </w:tc>
        <w:tc>
          <w:tcPr>
            <w:tcW w:w="1296" w:type="dxa"/>
            <w:tcBorders>
              <w:right w:val="nil"/>
            </w:tcBorders>
            <w:shd w:val="clear" w:color="auto" w:fill="auto"/>
            <w:noWrap/>
            <w:tcMar>
              <w:top w:w="15" w:type="dxa"/>
              <w:left w:w="15" w:type="dxa"/>
              <w:right w:w="15" w:type="dxa"/>
            </w:tcMar>
            <w:vAlign w:val="bottom"/>
          </w:tcPr>
          <w:p w14:paraId="74A14945">
            <w:pPr>
              <w:pStyle w:val="34"/>
              <w:jc w:val="center"/>
              <w:rPr>
                <w:rFonts w:ascii="宋体" w:hAnsi="宋体" w:cs="宋体"/>
              </w:rPr>
            </w:pPr>
            <w:r>
              <w:rPr>
                <w:rFonts w:hint="eastAsia" w:ascii="宋体" w:hAnsi="宋体" w:cs="宋体"/>
              </w:rPr>
              <w:t>0.62</w:t>
            </w:r>
          </w:p>
        </w:tc>
      </w:tr>
      <w:tr w14:paraId="6ED5DE09">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960" w:type="dxa"/>
            <w:tcBorders>
              <w:left w:val="nil"/>
            </w:tcBorders>
            <w:shd w:val="clear" w:color="auto" w:fill="auto"/>
            <w:noWrap/>
            <w:tcMar>
              <w:top w:w="15" w:type="dxa"/>
              <w:left w:w="15" w:type="dxa"/>
              <w:right w:w="15" w:type="dxa"/>
            </w:tcMar>
            <w:vAlign w:val="bottom"/>
          </w:tcPr>
          <w:p w14:paraId="1D704AEE">
            <w:pPr>
              <w:pStyle w:val="34"/>
              <w:jc w:val="center"/>
              <w:rPr>
                <w:rFonts w:ascii="宋体" w:hAnsi="宋体" w:cs="宋体"/>
              </w:rPr>
            </w:pPr>
            <w:r>
              <w:rPr>
                <w:rFonts w:hint="eastAsia" w:ascii="宋体" w:hAnsi="宋体" w:cs="宋体"/>
              </w:rPr>
              <w:t>1</w:t>
            </w:r>
          </w:p>
        </w:tc>
        <w:tc>
          <w:tcPr>
            <w:tcW w:w="960" w:type="dxa"/>
            <w:shd w:val="clear" w:color="auto" w:fill="auto"/>
            <w:noWrap/>
            <w:tcMar>
              <w:top w:w="15" w:type="dxa"/>
              <w:left w:w="15" w:type="dxa"/>
              <w:right w:w="15" w:type="dxa"/>
            </w:tcMar>
            <w:vAlign w:val="bottom"/>
          </w:tcPr>
          <w:p w14:paraId="5FC2E92D">
            <w:pPr>
              <w:pStyle w:val="34"/>
              <w:jc w:val="center"/>
              <w:rPr>
                <w:rFonts w:ascii="宋体" w:hAnsi="宋体" w:cs="宋体"/>
              </w:rPr>
            </w:pPr>
            <w:r>
              <w:rPr>
                <w:rFonts w:hint="eastAsia" w:ascii="宋体" w:hAnsi="宋体" w:cs="宋体"/>
              </w:rPr>
              <w:t>曾</w:t>
            </w:r>
          </w:p>
        </w:tc>
        <w:tc>
          <w:tcPr>
            <w:tcW w:w="960" w:type="dxa"/>
            <w:shd w:val="clear" w:color="auto" w:fill="auto"/>
            <w:noWrap/>
            <w:tcMar>
              <w:top w:w="15" w:type="dxa"/>
              <w:left w:w="15" w:type="dxa"/>
              <w:right w:w="15" w:type="dxa"/>
            </w:tcMar>
            <w:vAlign w:val="bottom"/>
          </w:tcPr>
          <w:p w14:paraId="1AAA66C7">
            <w:pPr>
              <w:pStyle w:val="34"/>
              <w:jc w:val="center"/>
              <w:rPr>
                <w:rFonts w:ascii="宋体" w:hAnsi="宋体" w:cs="宋体"/>
              </w:rPr>
            </w:pPr>
            <w:r>
              <w:rPr>
                <w:rFonts w:hint="eastAsia" w:ascii="宋体" w:hAnsi="宋体" w:cs="宋体"/>
              </w:rPr>
              <w:t>2108</w:t>
            </w:r>
          </w:p>
        </w:tc>
        <w:tc>
          <w:tcPr>
            <w:tcW w:w="1397" w:type="dxa"/>
            <w:shd w:val="clear" w:color="auto" w:fill="auto"/>
            <w:noWrap/>
            <w:tcMar>
              <w:top w:w="15" w:type="dxa"/>
              <w:left w:w="15" w:type="dxa"/>
              <w:right w:w="15" w:type="dxa"/>
            </w:tcMar>
            <w:vAlign w:val="bottom"/>
          </w:tcPr>
          <w:p w14:paraId="72C03918">
            <w:pPr>
              <w:pStyle w:val="34"/>
              <w:jc w:val="center"/>
              <w:rPr>
                <w:rFonts w:ascii="宋体" w:hAnsi="宋体" w:cs="宋体"/>
              </w:rPr>
            </w:pPr>
            <w:r>
              <w:rPr>
                <w:rFonts w:hint="eastAsia" w:ascii="宋体" w:hAnsi="宋体" w:cs="宋体"/>
              </w:rPr>
              <w:t>2.53</w:t>
            </w:r>
          </w:p>
        </w:tc>
        <w:tc>
          <w:tcPr>
            <w:tcW w:w="523" w:type="dxa"/>
            <w:shd w:val="clear" w:color="auto" w:fill="auto"/>
            <w:noWrap/>
            <w:tcMar>
              <w:top w:w="15" w:type="dxa"/>
              <w:left w:w="15" w:type="dxa"/>
              <w:right w:w="15" w:type="dxa"/>
            </w:tcMar>
            <w:vAlign w:val="bottom"/>
          </w:tcPr>
          <w:p w14:paraId="4710F994">
            <w:pPr>
              <w:pStyle w:val="34"/>
              <w:jc w:val="center"/>
              <w:rPr>
                <w:rFonts w:ascii="宋体" w:hAnsi="宋体" w:cs="宋体"/>
              </w:rPr>
            </w:pPr>
            <w:r>
              <w:rPr>
                <w:rFonts w:hint="eastAsia" w:ascii="宋体" w:hAnsi="宋体" w:cs="宋体"/>
              </w:rPr>
              <w:t>39</w:t>
            </w:r>
          </w:p>
        </w:tc>
        <w:tc>
          <w:tcPr>
            <w:tcW w:w="960" w:type="dxa"/>
            <w:shd w:val="clear" w:color="auto" w:fill="auto"/>
            <w:noWrap/>
            <w:tcMar>
              <w:top w:w="15" w:type="dxa"/>
              <w:left w:w="15" w:type="dxa"/>
              <w:right w:w="15" w:type="dxa"/>
            </w:tcMar>
            <w:vAlign w:val="bottom"/>
          </w:tcPr>
          <w:p w14:paraId="6FEFD2F2">
            <w:pPr>
              <w:pStyle w:val="34"/>
              <w:jc w:val="center"/>
              <w:rPr>
                <w:rFonts w:ascii="宋体" w:hAnsi="宋体" w:cs="宋体"/>
              </w:rPr>
            </w:pPr>
            <w:r>
              <w:rPr>
                <w:rFonts w:hint="eastAsia" w:ascii="宋体" w:hAnsi="宋体" w:cs="宋体"/>
              </w:rPr>
              <w:t>姚</w:t>
            </w:r>
          </w:p>
        </w:tc>
        <w:tc>
          <w:tcPr>
            <w:tcW w:w="960" w:type="dxa"/>
            <w:shd w:val="clear" w:color="auto" w:fill="auto"/>
            <w:noWrap/>
            <w:tcMar>
              <w:top w:w="15" w:type="dxa"/>
              <w:left w:w="15" w:type="dxa"/>
              <w:right w:w="15" w:type="dxa"/>
            </w:tcMar>
            <w:vAlign w:val="bottom"/>
          </w:tcPr>
          <w:p w14:paraId="7A178FBE">
            <w:pPr>
              <w:pStyle w:val="34"/>
              <w:jc w:val="center"/>
              <w:rPr>
                <w:rFonts w:ascii="宋体" w:hAnsi="宋体" w:cs="宋体"/>
              </w:rPr>
            </w:pPr>
            <w:r>
              <w:rPr>
                <w:rFonts w:hint="eastAsia" w:ascii="宋体" w:hAnsi="宋体" w:cs="宋体"/>
              </w:rPr>
              <w:t>413</w:t>
            </w:r>
          </w:p>
        </w:tc>
        <w:tc>
          <w:tcPr>
            <w:tcW w:w="1296" w:type="dxa"/>
            <w:tcBorders>
              <w:right w:val="nil"/>
            </w:tcBorders>
            <w:shd w:val="clear" w:color="auto" w:fill="auto"/>
            <w:noWrap/>
            <w:tcMar>
              <w:top w:w="15" w:type="dxa"/>
              <w:left w:w="15" w:type="dxa"/>
              <w:right w:w="15" w:type="dxa"/>
            </w:tcMar>
            <w:vAlign w:val="bottom"/>
          </w:tcPr>
          <w:p w14:paraId="1AFE2A4D">
            <w:pPr>
              <w:pStyle w:val="34"/>
              <w:jc w:val="center"/>
              <w:rPr>
                <w:rFonts w:ascii="宋体" w:hAnsi="宋体" w:cs="宋体"/>
              </w:rPr>
            </w:pPr>
            <w:r>
              <w:rPr>
                <w:rFonts w:hint="eastAsia" w:ascii="宋体" w:hAnsi="宋体" w:cs="宋体"/>
              </w:rPr>
              <w:t>0.50</w:t>
            </w:r>
          </w:p>
        </w:tc>
      </w:tr>
      <w:tr w14:paraId="6F3F2384">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960" w:type="dxa"/>
            <w:tcBorders>
              <w:left w:val="nil"/>
            </w:tcBorders>
            <w:shd w:val="clear" w:color="auto" w:fill="auto"/>
            <w:noWrap/>
            <w:tcMar>
              <w:top w:w="15" w:type="dxa"/>
              <w:left w:w="15" w:type="dxa"/>
              <w:right w:w="15" w:type="dxa"/>
            </w:tcMar>
            <w:vAlign w:val="bottom"/>
          </w:tcPr>
          <w:p w14:paraId="40BBBE07">
            <w:pPr>
              <w:pStyle w:val="34"/>
              <w:jc w:val="center"/>
              <w:rPr>
                <w:rFonts w:ascii="宋体" w:hAnsi="宋体" w:cs="宋体"/>
              </w:rPr>
            </w:pPr>
            <w:r>
              <w:rPr>
                <w:rFonts w:hint="eastAsia" w:ascii="宋体" w:hAnsi="宋体" w:cs="宋体"/>
              </w:rPr>
              <w:t>12</w:t>
            </w:r>
          </w:p>
        </w:tc>
        <w:tc>
          <w:tcPr>
            <w:tcW w:w="960" w:type="dxa"/>
            <w:shd w:val="clear" w:color="auto" w:fill="auto"/>
            <w:noWrap/>
            <w:tcMar>
              <w:top w:w="15" w:type="dxa"/>
              <w:left w:w="15" w:type="dxa"/>
              <w:right w:w="15" w:type="dxa"/>
            </w:tcMar>
            <w:vAlign w:val="bottom"/>
          </w:tcPr>
          <w:p w14:paraId="3F5F57B1">
            <w:pPr>
              <w:pStyle w:val="34"/>
              <w:jc w:val="center"/>
              <w:rPr>
                <w:rFonts w:ascii="宋体" w:hAnsi="宋体" w:cs="宋体"/>
              </w:rPr>
            </w:pPr>
            <w:r>
              <w:rPr>
                <w:rFonts w:hint="eastAsia" w:ascii="宋体" w:hAnsi="宋体" w:cs="宋体"/>
              </w:rPr>
              <w:t>赖赖</w:t>
            </w:r>
          </w:p>
        </w:tc>
        <w:tc>
          <w:tcPr>
            <w:tcW w:w="960" w:type="dxa"/>
            <w:shd w:val="clear" w:color="auto" w:fill="auto"/>
            <w:noWrap/>
            <w:tcMar>
              <w:top w:w="15" w:type="dxa"/>
              <w:left w:w="15" w:type="dxa"/>
              <w:right w:w="15" w:type="dxa"/>
            </w:tcMar>
            <w:vAlign w:val="bottom"/>
          </w:tcPr>
          <w:p w14:paraId="2449A227">
            <w:pPr>
              <w:pStyle w:val="34"/>
              <w:jc w:val="center"/>
              <w:rPr>
                <w:rFonts w:ascii="宋体" w:hAnsi="宋体" w:cs="宋体"/>
              </w:rPr>
            </w:pPr>
            <w:r>
              <w:rPr>
                <w:rFonts w:hint="eastAsia" w:ascii="宋体" w:hAnsi="宋体" w:cs="宋体"/>
              </w:rPr>
              <w:t>2069</w:t>
            </w:r>
          </w:p>
        </w:tc>
        <w:tc>
          <w:tcPr>
            <w:tcW w:w="1397" w:type="dxa"/>
            <w:shd w:val="clear" w:color="auto" w:fill="auto"/>
            <w:noWrap/>
            <w:tcMar>
              <w:top w:w="15" w:type="dxa"/>
              <w:left w:w="15" w:type="dxa"/>
              <w:right w:w="15" w:type="dxa"/>
            </w:tcMar>
            <w:vAlign w:val="bottom"/>
          </w:tcPr>
          <w:p w14:paraId="7EA3BF40">
            <w:pPr>
              <w:pStyle w:val="34"/>
              <w:jc w:val="center"/>
              <w:rPr>
                <w:rFonts w:ascii="宋体" w:hAnsi="宋体" w:cs="宋体"/>
              </w:rPr>
            </w:pPr>
            <w:r>
              <w:rPr>
                <w:rFonts w:hint="eastAsia" w:ascii="宋体" w:hAnsi="宋体" w:cs="宋体"/>
              </w:rPr>
              <w:t>2.48</w:t>
            </w:r>
          </w:p>
        </w:tc>
        <w:tc>
          <w:tcPr>
            <w:tcW w:w="523" w:type="dxa"/>
            <w:shd w:val="clear" w:color="auto" w:fill="auto"/>
            <w:noWrap/>
            <w:tcMar>
              <w:top w:w="15" w:type="dxa"/>
              <w:left w:w="15" w:type="dxa"/>
              <w:right w:w="15" w:type="dxa"/>
            </w:tcMar>
            <w:vAlign w:val="bottom"/>
          </w:tcPr>
          <w:p w14:paraId="01EC75D1">
            <w:pPr>
              <w:pStyle w:val="34"/>
              <w:jc w:val="center"/>
              <w:rPr>
                <w:rFonts w:ascii="宋体" w:hAnsi="宋体" w:cs="宋体"/>
              </w:rPr>
            </w:pPr>
            <w:r>
              <w:rPr>
                <w:rFonts w:hint="eastAsia" w:ascii="宋体" w:hAnsi="宋体" w:cs="宋体"/>
              </w:rPr>
              <w:t>40</w:t>
            </w:r>
          </w:p>
        </w:tc>
        <w:tc>
          <w:tcPr>
            <w:tcW w:w="960" w:type="dxa"/>
            <w:shd w:val="clear" w:color="auto" w:fill="auto"/>
            <w:noWrap/>
            <w:tcMar>
              <w:top w:w="15" w:type="dxa"/>
              <w:left w:w="15" w:type="dxa"/>
              <w:right w:w="15" w:type="dxa"/>
            </w:tcMar>
            <w:vAlign w:val="bottom"/>
          </w:tcPr>
          <w:p w14:paraId="728F0FC0">
            <w:pPr>
              <w:pStyle w:val="34"/>
              <w:jc w:val="center"/>
              <w:rPr>
                <w:rFonts w:ascii="宋体" w:hAnsi="宋体" w:cs="宋体"/>
              </w:rPr>
            </w:pPr>
            <w:r>
              <w:rPr>
                <w:rFonts w:hint="eastAsia" w:ascii="宋体" w:hAnsi="宋体" w:cs="宋体"/>
              </w:rPr>
              <w:t>欧阳</w:t>
            </w:r>
          </w:p>
        </w:tc>
        <w:tc>
          <w:tcPr>
            <w:tcW w:w="960" w:type="dxa"/>
            <w:shd w:val="clear" w:color="auto" w:fill="auto"/>
            <w:noWrap/>
            <w:tcMar>
              <w:top w:w="15" w:type="dxa"/>
              <w:left w:w="15" w:type="dxa"/>
              <w:right w:w="15" w:type="dxa"/>
            </w:tcMar>
            <w:vAlign w:val="bottom"/>
          </w:tcPr>
          <w:p w14:paraId="37A0232A">
            <w:pPr>
              <w:pStyle w:val="34"/>
              <w:jc w:val="center"/>
              <w:rPr>
                <w:rFonts w:ascii="宋体" w:hAnsi="宋体" w:cs="宋体"/>
              </w:rPr>
            </w:pPr>
            <w:r>
              <w:rPr>
                <w:rFonts w:hint="eastAsia" w:ascii="宋体" w:hAnsi="宋体" w:cs="宋体"/>
              </w:rPr>
              <w:t>394</w:t>
            </w:r>
          </w:p>
        </w:tc>
        <w:tc>
          <w:tcPr>
            <w:tcW w:w="1296" w:type="dxa"/>
            <w:tcBorders>
              <w:right w:val="nil"/>
            </w:tcBorders>
            <w:shd w:val="clear" w:color="auto" w:fill="auto"/>
            <w:noWrap/>
            <w:tcMar>
              <w:top w:w="15" w:type="dxa"/>
              <w:left w:w="15" w:type="dxa"/>
              <w:right w:w="15" w:type="dxa"/>
            </w:tcMar>
            <w:vAlign w:val="bottom"/>
          </w:tcPr>
          <w:p w14:paraId="6D09CEC8">
            <w:pPr>
              <w:pStyle w:val="34"/>
              <w:jc w:val="center"/>
              <w:rPr>
                <w:rFonts w:ascii="宋体" w:hAnsi="宋体" w:cs="宋体"/>
              </w:rPr>
            </w:pPr>
            <w:r>
              <w:rPr>
                <w:rFonts w:hint="eastAsia" w:ascii="宋体" w:hAnsi="宋体" w:cs="宋体"/>
              </w:rPr>
              <w:t>0.47</w:t>
            </w:r>
          </w:p>
        </w:tc>
      </w:tr>
      <w:tr w14:paraId="54043BEE">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960" w:type="dxa"/>
            <w:tcBorders>
              <w:left w:val="nil"/>
            </w:tcBorders>
            <w:shd w:val="clear" w:color="auto" w:fill="auto"/>
            <w:noWrap/>
            <w:tcMar>
              <w:top w:w="15" w:type="dxa"/>
              <w:left w:w="15" w:type="dxa"/>
              <w:right w:w="15" w:type="dxa"/>
            </w:tcMar>
            <w:vAlign w:val="bottom"/>
          </w:tcPr>
          <w:p w14:paraId="79B2F0E2">
            <w:pPr>
              <w:pStyle w:val="34"/>
              <w:jc w:val="center"/>
              <w:rPr>
                <w:rFonts w:ascii="宋体" w:hAnsi="宋体" w:cs="宋体"/>
              </w:rPr>
            </w:pPr>
            <w:r>
              <w:rPr>
                <w:rFonts w:hint="eastAsia" w:ascii="宋体" w:hAnsi="宋体" w:cs="宋体"/>
              </w:rPr>
              <w:t>13</w:t>
            </w:r>
          </w:p>
        </w:tc>
        <w:tc>
          <w:tcPr>
            <w:tcW w:w="960" w:type="dxa"/>
            <w:shd w:val="clear" w:color="auto" w:fill="auto"/>
            <w:noWrap/>
            <w:tcMar>
              <w:top w:w="15" w:type="dxa"/>
              <w:left w:w="15" w:type="dxa"/>
              <w:right w:w="15" w:type="dxa"/>
            </w:tcMar>
            <w:vAlign w:val="bottom"/>
          </w:tcPr>
          <w:p w14:paraId="3C69753E">
            <w:pPr>
              <w:pStyle w:val="34"/>
              <w:jc w:val="center"/>
              <w:rPr>
                <w:rFonts w:ascii="宋体" w:hAnsi="宋体" w:cs="宋体"/>
              </w:rPr>
            </w:pPr>
            <w:r>
              <w:rPr>
                <w:rFonts w:hint="eastAsia" w:ascii="宋体" w:hAnsi="宋体" w:cs="宋体"/>
              </w:rPr>
              <w:t>吴吴</w:t>
            </w:r>
          </w:p>
        </w:tc>
        <w:tc>
          <w:tcPr>
            <w:tcW w:w="960" w:type="dxa"/>
            <w:shd w:val="clear" w:color="auto" w:fill="auto"/>
            <w:noWrap/>
            <w:tcMar>
              <w:top w:w="15" w:type="dxa"/>
              <w:left w:w="15" w:type="dxa"/>
              <w:right w:w="15" w:type="dxa"/>
            </w:tcMar>
            <w:vAlign w:val="bottom"/>
          </w:tcPr>
          <w:p w14:paraId="6AAA7514">
            <w:pPr>
              <w:pStyle w:val="34"/>
              <w:jc w:val="center"/>
              <w:rPr>
                <w:rFonts w:ascii="宋体" w:hAnsi="宋体" w:cs="宋体"/>
              </w:rPr>
            </w:pPr>
            <w:r>
              <w:rPr>
                <w:rFonts w:hint="eastAsia" w:ascii="宋体" w:hAnsi="宋体" w:cs="宋体"/>
              </w:rPr>
              <w:t>2063</w:t>
            </w:r>
          </w:p>
        </w:tc>
        <w:tc>
          <w:tcPr>
            <w:tcW w:w="1397" w:type="dxa"/>
            <w:shd w:val="clear" w:color="auto" w:fill="auto"/>
            <w:noWrap/>
            <w:tcMar>
              <w:top w:w="15" w:type="dxa"/>
              <w:left w:w="15" w:type="dxa"/>
              <w:right w:w="15" w:type="dxa"/>
            </w:tcMar>
            <w:vAlign w:val="bottom"/>
          </w:tcPr>
          <w:p w14:paraId="1FEE357B">
            <w:pPr>
              <w:pStyle w:val="34"/>
              <w:jc w:val="center"/>
              <w:rPr>
                <w:rFonts w:ascii="宋体" w:hAnsi="宋体" w:cs="宋体"/>
              </w:rPr>
            </w:pPr>
            <w:r>
              <w:rPr>
                <w:rFonts w:hint="eastAsia" w:ascii="宋体" w:hAnsi="宋体" w:cs="宋体"/>
              </w:rPr>
              <w:t>2.48</w:t>
            </w:r>
          </w:p>
        </w:tc>
        <w:tc>
          <w:tcPr>
            <w:tcW w:w="523" w:type="dxa"/>
            <w:shd w:val="clear" w:color="auto" w:fill="auto"/>
            <w:noWrap/>
            <w:tcMar>
              <w:top w:w="15" w:type="dxa"/>
              <w:left w:w="15" w:type="dxa"/>
              <w:right w:w="15" w:type="dxa"/>
            </w:tcMar>
            <w:vAlign w:val="bottom"/>
          </w:tcPr>
          <w:p w14:paraId="592F14B7">
            <w:pPr>
              <w:pStyle w:val="34"/>
              <w:jc w:val="center"/>
              <w:rPr>
                <w:rFonts w:ascii="宋体" w:hAnsi="宋体" w:cs="宋体"/>
              </w:rPr>
            </w:pPr>
            <w:r>
              <w:rPr>
                <w:rFonts w:hint="eastAsia" w:ascii="宋体" w:hAnsi="宋体" w:cs="宋体"/>
              </w:rPr>
              <w:t>41</w:t>
            </w:r>
          </w:p>
        </w:tc>
        <w:tc>
          <w:tcPr>
            <w:tcW w:w="960" w:type="dxa"/>
            <w:shd w:val="clear" w:color="auto" w:fill="auto"/>
            <w:noWrap/>
            <w:tcMar>
              <w:top w:w="15" w:type="dxa"/>
              <w:left w:w="15" w:type="dxa"/>
              <w:right w:w="15" w:type="dxa"/>
            </w:tcMar>
            <w:vAlign w:val="bottom"/>
          </w:tcPr>
          <w:p w14:paraId="5FCA8838">
            <w:pPr>
              <w:pStyle w:val="34"/>
              <w:jc w:val="center"/>
              <w:rPr>
                <w:rFonts w:ascii="宋体" w:hAnsi="宋体" w:cs="宋体"/>
              </w:rPr>
            </w:pPr>
            <w:r>
              <w:rPr>
                <w:rFonts w:hint="eastAsia" w:ascii="宋体" w:hAnsi="宋体" w:cs="宋体"/>
              </w:rPr>
              <w:t>饶</w:t>
            </w:r>
          </w:p>
        </w:tc>
        <w:tc>
          <w:tcPr>
            <w:tcW w:w="960" w:type="dxa"/>
            <w:shd w:val="clear" w:color="auto" w:fill="auto"/>
            <w:noWrap/>
            <w:tcMar>
              <w:top w:w="15" w:type="dxa"/>
              <w:left w:w="15" w:type="dxa"/>
              <w:right w:w="15" w:type="dxa"/>
            </w:tcMar>
            <w:vAlign w:val="bottom"/>
          </w:tcPr>
          <w:p w14:paraId="419CEF6C">
            <w:pPr>
              <w:pStyle w:val="34"/>
              <w:jc w:val="center"/>
              <w:rPr>
                <w:rFonts w:ascii="宋体" w:hAnsi="宋体" w:cs="宋体"/>
              </w:rPr>
            </w:pPr>
            <w:r>
              <w:rPr>
                <w:rFonts w:hint="eastAsia" w:ascii="宋体" w:hAnsi="宋体" w:cs="宋体"/>
              </w:rPr>
              <w:t>408</w:t>
            </w:r>
          </w:p>
        </w:tc>
        <w:tc>
          <w:tcPr>
            <w:tcW w:w="1296" w:type="dxa"/>
            <w:tcBorders>
              <w:right w:val="nil"/>
            </w:tcBorders>
            <w:shd w:val="clear" w:color="auto" w:fill="auto"/>
            <w:noWrap/>
            <w:tcMar>
              <w:top w:w="15" w:type="dxa"/>
              <w:left w:w="15" w:type="dxa"/>
              <w:right w:w="15" w:type="dxa"/>
            </w:tcMar>
            <w:vAlign w:val="bottom"/>
          </w:tcPr>
          <w:p w14:paraId="6D54D695">
            <w:pPr>
              <w:pStyle w:val="34"/>
              <w:jc w:val="center"/>
              <w:rPr>
                <w:rFonts w:ascii="宋体" w:hAnsi="宋体" w:cs="宋体"/>
              </w:rPr>
            </w:pPr>
            <w:r>
              <w:rPr>
                <w:rFonts w:hint="eastAsia" w:ascii="宋体" w:hAnsi="宋体" w:cs="宋体"/>
              </w:rPr>
              <w:t>0.49</w:t>
            </w:r>
          </w:p>
        </w:tc>
      </w:tr>
      <w:tr w14:paraId="6505E021">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960" w:type="dxa"/>
            <w:tcBorders>
              <w:left w:val="nil"/>
            </w:tcBorders>
            <w:shd w:val="clear" w:color="auto" w:fill="auto"/>
            <w:noWrap/>
            <w:tcMar>
              <w:top w:w="15" w:type="dxa"/>
              <w:left w:w="15" w:type="dxa"/>
              <w:right w:w="15" w:type="dxa"/>
            </w:tcMar>
            <w:vAlign w:val="bottom"/>
          </w:tcPr>
          <w:p w14:paraId="43799EDF">
            <w:pPr>
              <w:pStyle w:val="34"/>
              <w:jc w:val="center"/>
              <w:rPr>
                <w:rFonts w:ascii="宋体" w:hAnsi="宋体" w:cs="宋体"/>
              </w:rPr>
            </w:pPr>
            <w:r>
              <w:rPr>
                <w:rFonts w:hint="eastAsia" w:ascii="宋体" w:hAnsi="宋体" w:cs="宋体"/>
              </w:rPr>
              <w:t>14</w:t>
            </w:r>
          </w:p>
        </w:tc>
        <w:tc>
          <w:tcPr>
            <w:tcW w:w="960" w:type="dxa"/>
            <w:shd w:val="clear" w:color="auto" w:fill="auto"/>
            <w:noWrap/>
            <w:tcMar>
              <w:top w:w="15" w:type="dxa"/>
              <w:left w:w="15" w:type="dxa"/>
              <w:right w:w="15" w:type="dxa"/>
            </w:tcMar>
            <w:vAlign w:val="bottom"/>
          </w:tcPr>
          <w:p w14:paraId="66986EC1">
            <w:pPr>
              <w:pStyle w:val="34"/>
              <w:jc w:val="center"/>
              <w:rPr>
                <w:rFonts w:ascii="宋体" w:hAnsi="宋体" w:cs="宋体"/>
              </w:rPr>
            </w:pPr>
            <w:r>
              <w:rPr>
                <w:rFonts w:hint="eastAsia" w:ascii="宋体" w:hAnsi="宋体" w:cs="宋体"/>
              </w:rPr>
              <w:t>郭郭</w:t>
            </w:r>
          </w:p>
        </w:tc>
        <w:tc>
          <w:tcPr>
            <w:tcW w:w="960" w:type="dxa"/>
            <w:shd w:val="clear" w:color="auto" w:fill="auto"/>
            <w:noWrap/>
            <w:tcMar>
              <w:top w:w="15" w:type="dxa"/>
              <w:left w:w="15" w:type="dxa"/>
              <w:right w:w="15" w:type="dxa"/>
            </w:tcMar>
            <w:vAlign w:val="bottom"/>
          </w:tcPr>
          <w:p w14:paraId="0612B9D6">
            <w:pPr>
              <w:pStyle w:val="34"/>
              <w:jc w:val="center"/>
              <w:rPr>
                <w:rFonts w:ascii="宋体" w:hAnsi="宋体" w:cs="宋体"/>
              </w:rPr>
            </w:pPr>
            <w:r>
              <w:rPr>
                <w:rFonts w:hint="eastAsia" w:ascii="宋体" w:hAnsi="宋体" w:cs="宋体"/>
              </w:rPr>
              <w:t>1760</w:t>
            </w:r>
          </w:p>
        </w:tc>
        <w:tc>
          <w:tcPr>
            <w:tcW w:w="1397" w:type="dxa"/>
            <w:shd w:val="clear" w:color="auto" w:fill="auto"/>
            <w:noWrap/>
            <w:tcMar>
              <w:top w:w="15" w:type="dxa"/>
              <w:left w:w="15" w:type="dxa"/>
              <w:right w:w="15" w:type="dxa"/>
            </w:tcMar>
            <w:vAlign w:val="bottom"/>
          </w:tcPr>
          <w:p w14:paraId="4E2AA8A8">
            <w:pPr>
              <w:pStyle w:val="34"/>
              <w:jc w:val="center"/>
              <w:rPr>
                <w:rFonts w:ascii="宋体" w:hAnsi="宋体" w:cs="宋体"/>
              </w:rPr>
            </w:pPr>
            <w:r>
              <w:rPr>
                <w:rFonts w:hint="eastAsia" w:ascii="宋体" w:hAnsi="宋体" w:cs="宋体"/>
              </w:rPr>
              <w:t>2.11</w:t>
            </w:r>
          </w:p>
        </w:tc>
        <w:tc>
          <w:tcPr>
            <w:tcW w:w="523" w:type="dxa"/>
            <w:shd w:val="clear" w:color="auto" w:fill="auto"/>
            <w:noWrap/>
            <w:tcMar>
              <w:top w:w="15" w:type="dxa"/>
              <w:left w:w="15" w:type="dxa"/>
              <w:right w:w="15" w:type="dxa"/>
            </w:tcMar>
            <w:vAlign w:val="bottom"/>
          </w:tcPr>
          <w:p w14:paraId="50FA5717">
            <w:pPr>
              <w:pStyle w:val="34"/>
              <w:jc w:val="center"/>
              <w:rPr>
                <w:rFonts w:ascii="宋体" w:hAnsi="宋体" w:cs="宋体"/>
              </w:rPr>
            </w:pPr>
            <w:r>
              <w:rPr>
                <w:rFonts w:hint="eastAsia" w:ascii="宋体" w:hAnsi="宋体" w:cs="宋体"/>
              </w:rPr>
              <w:t>42</w:t>
            </w:r>
          </w:p>
        </w:tc>
        <w:tc>
          <w:tcPr>
            <w:tcW w:w="960" w:type="dxa"/>
            <w:shd w:val="clear" w:color="auto" w:fill="auto"/>
            <w:noWrap/>
            <w:tcMar>
              <w:top w:w="15" w:type="dxa"/>
              <w:left w:w="15" w:type="dxa"/>
              <w:right w:w="15" w:type="dxa"/>
            </w:tcMar>
            <w:vAlign w:val="bottom"/>
          </w:tcPr>
          <w:p w14:paraId="7D4086DF">
            <w:pPr>
              <w:pStyle w:val="34"/>
              <w:jc w:val="center"/>
              <w:rPr>
                <w:rFonts w:ascii="宋体" w:hAnsi="宋体" w:cs="宋体"/>
              </w:rPr>
            </w:pPr>
            <w:r>
              <w:rPr>
                <w:rFonts w:hint="eastAsia" w:ascii="宋体" w:hAnsi="宋体" w:cs="宋体"/>
              </w:rPr>
              <w:t>冯</w:t>
            </w:r>
          </w:p>
        </w:tc>
        <w:tc>
          <w:tcPr>
            <w:tcW w:w="960" w:type="dxa"/>
            <w:shd w:val="clear" w:color="auto" w:fill="auto"/>
            <w:noWrap/>
            <w:tcMar>
              <w:top w:w="15" w:type="dxa"/>
              <w:left w:w="15" w:type="dxa"/>
              <w:right w:w="15" w:type="dxa"/>
            </w:tcMar>
            <w:vAlign w:val="bottom"/>
          </w:tcPr>
          <w:p w14:paraId="753DFE5E">
            <w:pPr>
              <w:pStyle w:val="34"/>
              <w:jc w:val="center"/>
              <w:rPr>
                <w:rFonts w:ascii="宋体" w:hAnsi="宋体" w:cs="宋体"/>
              </w:rPr>
            </w:pPr>
            <w:r>
              <w:rPr>
                <w:rFonts w:hint="eastAsia" w:ascii="宋体" w:hAnsi="宋体" w:cs="宋体"/>
              </w:rPr>
              <w:t>397</w:t>
            </w:r>
          </w:p>
        </w:tc>
        <w:tc>
          <w:tcPr>
            <w:tcW w:w="1296" w:type="dxa"/>
            <w:tcBorders>
              <w:right w:val="nil"/>
            </w:tcBorders>
            <w:shd w:val="clear" w:color="auto" w:fill="auto"/>
            <w:noWrap/>
            <w:tcMar>
              <w:top w:w="15" w:type="dxa"/>
              <w:left w:w="15" w:type="dxa"/>
              <w:right w:w="15" w:type="dxa"/>
            </w:tcMar>
            <w:vAlign w:val="bottom"/>
          </w:tcPr>
          <w:p w14:paraId="3B1495F2">
            <w:pPr>
              <w:pStyle w:val="34"/>
              <w:jc w:val="center"/>
              <w:rPr>
                <w:rFonts w:ascii="宋体" w:hAnsi="宋体" w:cs="宋体"/>
              </w:rPr>
            </w:pPr>
            <w:r>
              <w:rPr>
                <w:rFonts w:hint="eastAsia" w:ascii="宋体" w:hAnsi="宋体" w:cs="宋体"/>
              </w:rPr>
              <w:t>0.48</w:t>
            </w:r>
          </w:p>
        </w:tc>
      </w:tr>
      <w:tr w14:paraId="771DF6CF">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960" w:type="dxa"/>
            <w:tcBorders>
              <w:left w:val="nil"/>
            </w:tcBorders>
            <w:shd w:val="clear" w:color="auto" w:fill="auto"/>
            <w:noWrap/>
            <w:tcMar>
              <w:top w:w="15" w:type="dxa"/>
              <w:left w:w="15" w:type="dxa"/>
              <w:right w:w="15" w:type="dxa"/>
            </w:tcMar>
            <w:vAlign w:val="bottom"/>
          </w:tcPr>
          <w:p w14:paraId="6E053141">
            <w:pPr>
              <w:pStyle w:val="34"/>
              <w:jc w:val="center"/>
              <w:rPr>
                <w:rFonts w:ascii="宋体" w:hAnsi="宋体" w:cs="宋体"/>
              </w:rPr>
            </w:pPr>
            <w:r>
              <w:rPr>
                <w:rFonts w:hint="eastAsia" w:ascii="宋体" w:hAnsi="宋体" w:cs="宋体"/>
              </w:rPr>
              <w:t>15</w:t>
            </w:r>
          </w:p>
        </w:tc>
        <w:tc>
          <w:tcPr>
            <w:tcW w:w="960" w:type="dxa"/>
            <w:shd w:val="clear" w:color="auto" w:fill="auto"/>
            <w:noWrap/>
            <w:tcMar>
              <w:top w:w="15" w:type="dxa"/>
              <w:left w:w="15" w:type="dxa"/>
              <w:right w:w="15" w:type="dxa"/>
            </w:tcMar>
            <w:vAlign w:val="bottom"/>
          </w:tcPr>
          <w:p w14:paraId="1FD6C5A2">
            <w:pPr>
              <w:pStyle w:val="34"/>
              <w:jc w:val="center"/>
              <w:rPr>
                <w:rFonts w:ascii="宋体" w:hAnsi="宋体" w:cs="宋体"/>
              </w:rPr>
            </w:pPr>
            <w:r>
              <w:rPr>
                <w:rFonts w:hint="eastAsia" w:ascii="宋体" w:hAnsi="宋体" w:cs="宋体"/>
              </w:rPr>
              <w:t>谢</w:t>
            </w:r>
          </w:p>
        </w:tc>
        <w:tc>
          <w:tcPr>
            <w:tcW w:w="960" w:type="dxa"/>
            <w:shd w:val="clear" w:color="auto" w:fill="auto"/>
            <w:noWrap/>
            <w:tcMar>
              <w:top w:w="15" w:type="dxa"/>
              <w:left w:w="15" w:type="dxa"/>
              <w:right w:w="15" w:type="dxa"/>
            </w:tcMar>
            <w:vAlign w:val="bottom"/>
          </w:tcPr>
          <w:p w14:paraId="351AF546">
            <w:pPr>
              <w:pStyle w:val="34"/>
              <w:jc w:val="center"/>
              <w:rPr>
                <w:rFonts w:ascii="宋体" w:hAnsi="宋体" w:cs="宋体"/>
              </w:rPr>
            </w:pPr>
            <w:r>
              <w:rPr>
                <w:rFonts w:hint="eastAsia" w:ascii="宋体" w:hAnsi="宋体" w:cs="宋体"/>
              </w:rPr>
              <w:t>1744</w:t>
            </w:r>
          </w:p>
        </w:tc>
        <w:tc>
          <w:tcPr>
            <w:tcW w:w="1397" w:type="dxa"/>
            <w:shd w:val="clear" w:color="auto" w:fill="auto"/>
            <w:noWrap/>
            <w:tcMar>
              <w:top w:w="15" w:type="dxa"/>
              <w:left w:w="15" w:type="dxa"/>
              <w:right w:w="15" w:type="dxa"/>
            </w:tcMar>
            <w:vAlign w:val="bottom"/>
          </w:tcPr>
          <w:p w14:paraId="29AB5DC3">
            <w:pPr>
              <w:pStyle w:val="34"/>
              <w:jc w:val="center"/>
              <w:rPr>
                <w:rFonts w:ascii="宋体" w:hAnsi="宋体" w:cs="宋体"/>
              </w:rPr>
            </w:pPr>
            <w:r>
              <w:rPr>
                <w:rFonts w:hint="eastAsia" w:ascii="宋体" w:hAnsi="宋体" w:cs="宋体"/>
              </w:rPr>
              <w:t>2.10</w:t>
            </w:r>
          </w:p>
        </w:tc>
        <w:tc>
          <w:tcPr>
            <w:tcW w:w="523" w:type="dxa"/>
            <w:shd w:val="clear" w:color="auto" w:fill="auto"/>
            <w:noWrap/>
            <w:tcMar>
              <w:top w:w="15" w:type="dxa"/>
              <w:left w:w="15" w:type="dxa"/>
              <w:right w:w="15" w:type="dxa"/>
            </w:tcMar>
            <w:vAlign w:val="bottom"/>
          </w:tcPr>
          <w:p w14:paraId="44E7A7BA">
            <w:pPr>
              <w:pStyle w:val="34"/>
              <w:jc w:val="center"/>
              <w:rPr>
                <w:rFonts w:ascii="宋体" w:hAnsi="宋体" w:cs="宋体"/>
              </w:rPr>
            </w:pPr>
            <w:r>
              <w:rPr>
                <w:rFonts w:hint="eastAsia" w:ascii="宋体" w:hAnsi="宋体" w:cs="宋体"/>
              </w:rPr>
              <w:t>43</w:t>
            </w:r>
          </w:p>
        </w:tc>
        <w:tc>
          <w:tcPr>
            <w:tcW w:w="960" w:type="dxa"/>
            <w:shd w:val="clear" w:color="auto" w:fill="auto"/>
            <w:noWrap/>
            <w:tcMar>
              <w:top w:w="15" w:type="dxa"/>
              <w:left w:w="15" w:type="dxa"/>
              <w:right w:w="15" w:type="dxa"/>
            </w:tcMar>
            <w:vAlign w:val="bottom"/>
          </w:tcPr>
          <w:p w14:paraId="3117672A">
            <w:pPr>
              <w:pStyle w:val="34"/>
              <w:jc w:val="center"/>
              <w:rPr>
                <w:rFonts w:ascii="宋体" w:hAnsi="宋体" w:cs="宋体"/>
              </w:rPr>
            </w:pPr>
            <w:r>
              <w:rPr>
                <w:rFonts w:hint="eastAsia" w:ascii="宋体" w:hAnsi="宋体" w:cs="宋体"/>
              </w:rPr>
              <w:t>郑</w:t>
            </w:r>
          </w:p>
        </w:tc>
        <w:tc>
          <w:tcPr>
            <w:tcW w:w="960" w:type="dxa"/>
            <w:shd w:val="clear" w:color="auto" w:fill="auto"/>
            <w:noWrap/>
            <w:tcMar>
              <w:top w:w="15" w:type="dxa"/>
              <w:left w:w="15" w:type="dxa"/>
              <w:right w:w="15" w:type="dxa"/>
            </w:tcMar>
            <w:vAlign w:val="bottom"/>
          </w:tcPr>
          <w:p w14:paraId="34FC3BCC">
            <w:pPr>
              <w:pStyle w:val="34"/>
              <w:jc w:val="center"/>
              <w:rPr>
                <w:rFonts w:ascii="宋体" w:hAnsi="宋体" w:cs="宋体"/>
              </w:rPr>
            </w:pPr>
            <w:r>
              <w:rPr>
                <w:rFonts w:hint="eastAsia" w:ascii="宋体" w:hAnsi="宋体" w:cs="宋体"/>
              </w:rPr>
              <w:t>378</w:t>
            </w:r>
          </w:p>
        </w:tc>
        <w:tc>
          <w:tcPr>
            <w:tcW w:w="1296" w:type="dxa"/>
            <w:tcBorders>
              <w:right w:val="nil"/>
            </w:tcBorders>
            <w:shd w:val="clear" w:color="auto" w:fill="auto"/>
            <w:noWrap/>
            <w:tcMar>
              <w:top w:w="15" w:type="dxa"/>
              <w:left w:w="15" w:type="dxa"/>
              <w:right w:w="15" w:type="dxa"/>
            </w:tcMar>
            <w:vAlign w:val="bottom"/>
          </w:tcPr>
          <w:p w14:paraId="4EEA36D3">
            <w:pPr>
              <w:pStyle w:val="34"/>
              <w:jc w:val="center"/>
              <w:rPr>
                <w:rFonts w:ascii="宋体" w:hAnsi="宋体" w:cs="宋体"/>
              </w:rPr>
            </w:pPr>
            <w:r>
              <w:rPr>
                <w:rFonts w:hint="eastAsia" w:ascii="宋体" w:hAnsi="宋体" w:cs="宋体"/>
              </w:rPr>
              <w:t>0.45</w:t>
            </w:r>
          </w:p>
        </w:tc>
      </w:tr>
      <w:tr w14:paraId="59A08E8C">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960" w:type="dxa"/>
            <w:tcBorders>
              <w:left w:val="nil"/>
            </w:tcBorders>
            <w:shd w:val="clear" w:color="auto" w:fill="auto"/>
            <w:noWrap/>
            <w:tcMar>
              <w:top w:w="15" w:type="dxa"/>
              <w:left w:w="15" w:type="dxa"/>
              <w:right w:w="15" w:type="dxa"/>
            </w:tcMar>
            <w:vAlign w:val="bottom"/>
          </w:tcPr>
          <w:p w14:paraId="2ECF15CB">
            <w:pPr>
              <w:pStyle w:val="34"/>
              <w:jc w:val="center"/>
              <w:rPr>
                <w:rFonts w:ascii="宋体" w:hAnsi="宋体" w:cs="宋体"/>
              </w:rPr>
            </w:pPr>
            <w:r>
              <w:rPr>
                <w:rFonts w:hint="eastAsia" w:ascii="宋体" w:hAnsi="宋体" w:cs="宋体"/>
              </w:rPr>
              <w:t>16</w:t>
            </w:r>
          </w:p>
        </w:tc>
        <w:tc>
          <w:tcPr>
            <w:tcW w:w="960" w:type="dxa"/>
            <w:shd w:val="clear" w:color="auto" w:fill="auto"/>
            <w:noWrap/>
            <w:tcMar>
              <w:top w:w="15" w:type="dxa"/>
              <w:left w:w="15" w:type="dxa"/>
              <w:right w:w="15" w:type="dxa"/>
            </w:tcMar>
            <w:vAlign w:val="bottom"/>
          </w:tcPr>
          <w:p w14:paraId="672941E2">
            <w:pPr>
              <w:pStyle w:val="34"/>
              <w:jc w:val="center"/>
              <w:rPr>
                <w:rFonts w:ascii="宋体" w:hAnsi="宋体" w:cs="宋体"/>
              </w:rPr>
            </w:pPr>
            <w:r>
              <w:rPr>
                <w:rFonts w:hint="eastAsia" w:ascii="宋体" w:hAnsi="宋体" w:cs="宋体"/>
              </w:rPr>
              <w:t>董</w:t>
            </w:r>
          </w:p>
        </w:tc>
        <w:tc>
          <w:tcPr>
            <w:tcW w:w="960" w:type="dxa"/>
            <w:shd w:val="clear" w:color="auto" w:fill="auto"/>
            <w:noWrap/>
            <w:tcMar>
              <w:top w:w="15" w:type="dxa"/>
              <w:left w:w="15" w:type="dxa"/>
              <w:right w:w="15" w:type="dxa"/>
            </w:tcMar>
            <w:vAlign w:val="bottom"/>
          </w:tcPr>
          <w:p w14:paraId="40BBF70B">
            <w:pPr>
              <w:pStyle w:val="34"/>
              <w:jc w:val="center"/>
              <w:rPr>
                <w:rFonts w:ascii="宋体" w:hAnsi="宋体" w:cs="宋体"/>
              </w:rPr>
            </w:pPr>
            <w:r>
              <w:rPr>
                <w:rFonts w:hint="eastAsia" w:ascii="宋体" w:hAnsi="宋体" w:cs="宋体"/>
              </w:rPr>
              <w:t>1699</w:t>
            </w:r>
          </w:p>
        </w:tc>
        <w:tc>
          <w:tcPr>
            <w:tcW w:w="1397" w:type="dxa"/>
            <w:shd w:val="clear" w:color="auto" w:fill="auto"/>
            <w:noWrap/>
            <w:tcMar>
              <w:top w:w="15" w:type="dxa"/>
              <w:left w:w="15" w:type="dxa"/>
              <w:right w:w="15" w:type="dxa"/>
            </w:tcMar>
            <w:vAlign w:val="bottom"/>
          </w:tcPr>
          <w:p w14:paraId="4ED32A75">
            <w:pPr>
              <w:pStyle w:val="34"/>
              <w:jc w:val="center"/>
              <w:rPr>
                <w:rFonts w:ascii="宋体" w:hAnsi="宋体" w:cs="宋体"/>
              </w:rPr>
            </w:pPr>
            <w:r>
              <w:rPr>
                <w:rFonts w:hint="eastAsia" w:ascii="宋体" w:hAnsi="宋体" w:cs="宋体"/>
              </w:rPr>
              <w:t>2.04</w:t>
            </w:r>
          </w:p>
        </w:tc>
        <w:tc>
          <w:tcPr>
            <w:tcW w:w="523" w:type="dxa"/>
            <w:shd w:val="clear" w:color="auto" w:fill="auto"/>
            <w:noWrap/>
            <w:tcMar>
              <w:top w:w="15" w:type="dxa"/>
              <w:left w:w="15" w:type="dxa"/>
              <w:right w:w="15" w:type="dxa"/>
            </w:tcMar>
            <w:vAlign w:val="bottom"/>
          </w:tcPr>
          <w:p w14:paraId="64E5D83F">
            <w:pPr>
              <w:pStyle w:val="34"/>
              <w:jc w:val="center"/>
              <w:rPr>
                <w:rFonts w:ascii="宋体" w:hAnsi="宋体" w:cs="宋体"/>
              </w:rPr>
            </w:pPr>
            <w:r>
              <w:rPr>
                <w:rFonts w:hint="eastAsia" w:ascii="宋体" w:hAnsi="宋体" w:cs="宋体"/>
              </w:rPr>
              <w:t>44</w:t>
            </w:r>
          </w:p>
        </w:tc>
        <w:tc>
          <w:tcPr>
            <w:tcW w:w="960" w:type="dxa"/>
            <w:shd w:val="clear" w:color="auto" w:fill="auto"/>
            <w:noWrap/>
            <w:tcMar>
              <w:top w:w="15" w:type="dxa"/>
              <w:left w:w="15" w:type="dxa"/>
              <w:right w:w="15" w:type="dxa"/>
            </w:tcMar>
            <w:vAlign w:val="bottom"/>
          </w:tcPr>
          <w:p w14:paraId="3BECD754">
            <w:pPr>
              <w:pStyle w:val="34"/>
              <w:jc w:val="center"/>
              <w:rPr>
                <w:rFonts w:ascii="宋体" w:hAnsi="宋体" w:cs="宋体"/>
              </w:rPr>
            </w:pPr>
            <w:r>
              <w:rPr>
                <w:rFonts w:hint="eastAsia" w:ascii="宋体" w:hAnsi="宋体" w:cs="宋体"/>
              </w:rPr>
              <w:t>江</w:t>
            </w:r>
          </w:p>
        </w:tc>
        <w:tc>
          <w:tcPr>
            <w:tcW w:w="960" w:type="dxa"/>
            <w:shd w:val="clear" w:color="auto" w:fill="auto"/>
            <w:noWrap/>
            <w:tcMar>
              <w:top w:w="15" w:type="dxa"/>
              <w:left w:w="15" w:type="dxa"/>
              <w:right w:w="15" w:type="dxa"/>
            </w:tcMar>
            <w:vAlign w:val="bottom"/>
          </w:tcPr>
          <w:p w14:paraId="2B1E6FDD">
            <w:pPr>
              <w:pStyle w:val="34"/>
              <w:jc w:val="center"/>
              <w:rPr>
                <w:rFonts w:ascii="宋体" w:hAnsi="宋体" w:cs="宋体"/>
              </w:rPr>
            </w:pPr>
            <w:r>
              <w:rPr>
                <w:rFonts w:hint="eastAsia" w:ascii="宋体" w:hAnsi="宋体" w:cs="宋体"/>
              </w:rPr>
              <w:t>370</w:t>
            </w:r>
          </w:p>
        </w:tc>
        <w:tc>
          <w:tcPr>
            <w:tcW w:w="1296" w:type="dxa"/>
            <w:tcBorders>
              <w:right w:val="nil"/>
            </w:tcBorders>
            <w:shd w:val="clear" w:color="auto" w:fill="auto"/>
            <w:noWrap/>
            <w:tcMar>
              <w:top w:w="15" w:type="dxa"/>
              <w:left w:w="15" w:type="dxa"/>
              <w:right w:w="15" w:type="dxa"/>
            </w:tcMar>
            <w:vAlign w:val="bottom"/>
          </w:tcPr>
          <w:p w14:paraId="0C6DCD44">
            <w:pPr>
              <w:pStyle w:val="34"/>
              <w:jc w:val="center"/>
              <w:rPr>
                <w:rFonts w:ascii="宋体" w:hAnsi="宋体" w:cs="宋体"/>
              </w:rPr>
            </w:pPr>
            <w:r>
              <w:rPr>
                <w:rFonts w:hint="eastAsia" w:ascii="宋体" w:hAnsi="宋体" w:cs="宋体"/>
              </w:rPr>
              <w:t>0.44</w:t>
            </w:r>
          </w:p>
        </w:tc>
      </w:tr>
      <w:tr w14:paraId="50521E04">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960" w:type="dxa"/>
            <w:tcBorders>
              <w:left w:val="nil"/>
            </w:tcBorders>
            <w:shd w:val="clear" w:color="auto" w:fill="auto"/>
            <w:noWrap/>
            <w:tcMar>
              <w:top w:w="15" w:type="dxa"/>
              <w:left w:w="15" w:type="dxa"/>
              <w:right w:w="15" w:type="dxa"/>
            </w:tcMar>
            <w:vAlign w:val="bottom"/>
          </w:tcPr>
          <w:p w14:paraId="10D95DC6">
            <w:pPr>
              <w:pStyle w:val="34"/>
              <w:jc w:val="center"/>
              <w:rPr>
                <w:rFonts w:ascii="宋体" w:hAnsi="宋体" w:cs="宋体"/>
              </w:rPr>
            </w:pPr>
            <w:r>
              <w:rPr>
                <w:rFonts w:hint="eastAsia" w:ascii="宋体" w:hAnsi="宋体" w:cs="宋体"/>
              </w:rPr>
              <w:t>17</w:t>
            </w:r>
          </w:p>
        </w:tc>
        <w:tc>
          <w:tcPr>
            <w:tcW w:w="960" w:type="dxa"/>
            <w:shd w:val="clear" w:color="auto" w:fill="auto"/>
            <w:noWrap/>
            <w:tcMar>
              <w:top w:w="15" w:type="dxa"/>
              <w:left w:w="15" w:type="dxa"/>
              <w:right w:w="15" w:type="dxa"/>
            </w:tcMar>
            <w:vAlign w:val="bottom"/>
          </w:tcPr>
          <w:p w14:paraId="0273F6C6">
            <w:pPr>
              <w:pStyle w:val="34"/>
              <w:jc w:val="center"/>
              <w:rPr>
                <w:rFonts w:ascii="宋体" w:hAnsi="宋体" w:cs="宋体"/>
              </w:rPr>
            </w:pPr>
            <w:r>
              <w:rPr>
                <w:rFonts w:hint="eastAsia" w:ascii="宋体" w:hAnsi="宋体" w:cs="宋体"/>
              </w:rPr>
              <w:t>沈</w:t>
            </w:r>
          </w:p>
        </w:tc>
        <w:tc>
          <w:tcPr>
            <w:tcW w:w="960" w:type="dxa"/>
            <w:shd w:val="clear" w:color="auto" w:fill="auto"/>
            <w:noWrap/>
            <w:tcMar>
              <w:top w:w="15" w:type="dxa"/>
              <w:left w:w="15" w:type="dxa"/>
              <w:right w:w="15" w:type="dxa"/>
            </w:tcMar>
            <w:vAlign w:val="bottom"/>
          </w:tcPr>
          <w:p w14:paraId="09B8F7C5">
            <w:pPr>
              <w:pStyle w:val="34"/>
              <w:jc w:val="center"/>
              <w:rPr>
                <w:rFonts w:ascii="宋体" w:hAnsi="宋体" w:cs="宋体"/>
              </w:rPr>
            </w:pPr>
            <w:r>
              <w:rPr>
                <w:rFonts w:hint="eastAsia" w:ascii="宋体" w:hAnsi="宋体" w:cs="宋体"/>
              </w:rPr>
              <w:t>1645</w:t>
            </w:r>
          </w:p>
        </w:tc>
        <w:tc>
          <w:tcPr>
            <w:tcW w:w="1397" w:type="dxa"/>
            <w:shd w:val="clear" w:color="auto" w:fill="auto"/>
            <w:noWrap/>
            <w:tcMar>
              <w:top w:w="15" w:type="dxa"/>
              <w:left w:w="15" w:type="dxa"/>
              <w:right w:w="15" w:type="dxa"/>
            </w:tcMar>
            <w:vAlign w:val="bottom"/>
          </w:tcPr>
          <w:p w14:paraId="47EA74CB">
            <w:pPr>
              <w:pStyle w:val="34"/>
              <w:jc w:val="center"/>
              <w:rPr>
                <w:rFonts w:ascii="宋体" w:hAnsi="宋体" w:cs="宋体"/>
              </w:rPr>
            </w:pPr>
            <w:r>
              <w:rPr>
                <w:rFonts w:hint="eastAsia" w:ascii="宋体" w:hAnsi="宋体" w:cs="宋体"/>
              </w:rPr>
              <w:t>1.98</w:t>
            </w:r>
          </w:p>
        </w:tc>
        <w:tc>
          <w:tcPr>
            <w:tcW w:w="523" w:type="dxa"/>
            <w:shd w:val="clear" w:color="auto" w:fill="auto"/>
            <w:noWrap/>
            <w:tcMar>
              <w:top w:w="15" w:type="dxa"/>
              <w:left w:w="15" w:type="dxa"/>
              <w:right w:w="15" w:type="dxa"/>
            </w:tcMar>
            <w:vAlign w:val="bottom"/>
          </w:tcPr>
          <w:p w14:paraId="60BDC04D">
            <w:pPr>
              <w:pStyle w:val="34"/>
              <w:jc w:val="center"/>
              <w:rPr>
                <w:rFonts w:ascii="宋体" w:hAnsi="宋体" w:cs="宋体"/>
              </w:rPr>
            </w:pPr>
            <w:r>
              <w:rPr>
                <w:rFonts w:hint="eastAsia" w:ascii="宋体" w:hAnsi="宋体" w:cs="宋体"/>
              </w:rPr>
              <w:t>45</w:t>
            </w:r>
          </w:p>
        </w:tc>
        <w:tc>
          <w:tcPr>
            <w:tcW w:w="960" w:type="dxa"/>
            <w:shd w:val="clear" w:color="auto" w:fill="auto"/>
            <w:noWrap/>
            <w:tcMar>
              <w:top w:w="15" w:type="dxa"/>
              <w:left w:w="15" w:type="dxa"/>
              <w:right w:w="15" w:type="dxa"/>
            </w:tcMar>
            <w:vAlign w:val="bottom"/>
          </w:tcPr>
          <w:p w14:paraId="1E003090">
            <w:pPr>
              <w:pStyle w:val="34"/>
              <w:jc w:val="center"/>
              <w:rPr>
                <w:rFonts w:ascii="宋体" w:hAnsi="宋体" w:cs="宋体"/>
              </w:rPr>
            </w:pPr>
            <w:r>
              <w:rPr>
                <w:rFonts w:hint="eastAsia" w:ascii="宋体" w:hAnsi="宋体" w:cs="宋体"/>
              </w:rPr>
              <w:t>梁</w:t>
            </w:r>
          </w:p>
        </w:tc>
        <w:tc>
          <w:tcPr>
            <w:tcW w:w="960" w:type="dxa"/>
            <w:shd w:val="clear" w:color="auto" w:fill="auto"/>
            <w:noWrap/>
            <w:tcMar>
              <w:top w:w="15" w:type="dxa"/>
              <w:left w:w="15" w:type="dxa"/>
              <w:right w:w="15" w:type="dxa"/>
            </w:tcMar>
            <w:vAlign w:val="bottom"/>
          </w:tcPr>
          <w:p w14:paraId="7C440E2A">
            <w:pPr>
              <w:pStyle w:val="34"/>
              <w:jc w:val="center"/>
              <w:rPr>
                <w:rFonts w:ascii="宋体" w:hAnsi="宋体" w:cs="宋体"/>
              </w:rPr>
            </w:pPr>
            <w:r>
              <w:rPr>
                <w:rFonts w:hint="eastAsia" w:ascii="宋体" w:hAnsi="宋体" w:cs="宋体"/>
              </w:rPr>
              <w:t>369</w:t>
            </w:r>
          </w:p>
        </w:tc>
        <w:tc>
          <w:tcPr>
            <w:tcW w:w="1296" w:type="dxa"/>
            <w:tcBorders>
              <w:right w:val="nil"/>
            </w:tcBorders>
            <w:shd w:val="clear" w:color="auto" w:fill="auto"/>
            <w:noWrap/>
            <w:tcMar>
              <w:top w:w="15" w:type="dxa"/>
              <w:left w:w="15" w:type="dxa"/>
              <w:right w:w="15" w:type="dxa"/>
            </w:tcMar>
            <w:vAlign w:val="bottom"/>
          </w:tcPr>
          <w:p w14:paraId="3DB1B21D">
            <w:pPr>
              <w:pStyle w:val="34"/>
              <w:jc w:val="center"/>
              <w:rPr>
                <w:rFonts w:ascii="宋体" w:hAnsi="宋体" w:cs="宋体"/>
              </w:rPr>
            </w:pPr>
            <w:r>
              <w:rPr>
                <w:rFonts w:hint="eastAsia" w:ascii="宋体" w:hAnsi="宋体" w:cs="宋体"/>
              </w:rPr>
              <w:t>0.44</w:t>
            </w:r>
          </w:p>
        </w:tc>
      </w:tr>
      <w:tr w14:paraId="2CA290B7">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960" w:type="dxa"/>
            <w:tcBorders>
              <w:left w:val="nil"/>
            </w:tcBorders>
            <w:shd w:val="clear" w:color="auto" w:fill="auto"/>
            <w:noWrap/>
            <w:tcMar>
              <w:top w:w="15" w:type="dxa"/>
              <w:left w:w="15" w:type="dxa"/>
              <w:right w:w="15" w:type="dxa"/>
            </w:tcMar>
            <w:vAlign w:val="bottom"/>
          </w:tcPr>
          <w:p w14:paraId="2BF9076E">
            <w:pPr>
              <w:pStyle w:val="34"/>
              <w:jc w:val="center"/>
              <w:rPr>
                <w:rFonts w:ascii="宋体" w:hAnsi="宋体" w:cs="宋体"/>
              </w:rPr>
            </w:pPr>
            <w:r>
              <w:rPr>
                <w:rFonts w:hint="eastAsia" w:ascii="宋体" w:hAnsi="宋体" w:cs="宋体"/>
              </w:rPr>
              <w:t>18</w:t>
            </w:r>
          </w:p>
        </w:tc>
        <w:tc>
          <w:tcPr>
            <w:tcW w:w="960" w:type="dxa"/>
            <w:shd w:val="clear" w:color="auto" w:fill="auto"/>
            <w:noWrap/>
            <w:tcMar>
              <w:top w:w="15" w:type="dxa"/>
              <w:left w:w="15" w:type="dxa"/>
              <w:right w:w="15" w:type="dxa"/>
            </w:tcMar>
            <w:vAlign w:val="bottom"/>
          </w:tcPr>
          <w:p w14:paraId="0975D79D">
            <w:pPr>
              <w:pStyle w:val="34"/>
              <w:jc w:val="center"/>
              <w:rPr>
                <w:rFonts w:ascii="宋体" w:hAnsi="宋体" w:cs="宋体"/>
              </w:rPr>
            </w:pPr>
            <w:r>
              <w:rPr>
                <w:rFonts w:hint="eastAsia" w:ascii="宋体" w:hAnsi="宋体" w:cs="宋体"/>
              </w:rPr>
              <w:t>朱</w:t>
            </w:r>
          </w:p>
        </w:tc>
        <w:tc>
          <w:tcPr>
            <w:tcW w:w="960" w:type="dxa"/>
            <w:shd w:val="clear" w:color="auto" w:fill="auto"/>
            <w:noWrap/>
            <w:tcMar>
              <w:top w:w="15" w:type="dxa"/>
              <w:left w:w="15" w:type="dxa"/>
              <w:right w:w="15" w:type="dxa"/>
            </w:tcMar>
            <w:vAlign w:val="bottom"/>
          </w:tcPr>
          <w:p w14:paraId="4F743C35">
            <w:pPr>
              <w:pStyle w:val="34"/>
              <w:jc w:val="center"/>
              <w:rPr>
                <w:rFonts w:ascii="宋体" w:hAnsi="宋体" w:cs="宋体"/>
              </w:rPr>
            </w:pPr>
            <w:r>
              <w:rPr>
                <w:rFonts w:hint="eastAsia" w:ascii="宋体" w:hAnsi="宋体" w:cs="宋体"/>
              </w:rPr>
              <w:t>1459</w:t>
            </w:r>
          </w:p>
        </w:tc>
        <w:tc>
          <w:tcPr>
            <w:tcW w:w="1397" w:type="dxa"/>
            <w:shd w:val="clear" w:color="auto" w:fill="auto"/>
            <w:noWrap/>
            <w:tcMar>
              <w:top w:w="15" w:type="dxa"/>
              <w:left w:w="15" w:type="dxa"/>
              <w:right w:w="15" w:type="dxa"/>
            </w:tcMar>
            <w:vAlign w:val="bottom"/>
          </w:tcPr>
          <w:p w14:paraId="5EFC52E2">
            <w:pPr>
              <w:pStyle w:val="34"/>
              <w:jc w:val="center"/>
              <w:rPr>
                <w:rFonts w:ascii="宋体" w:hAnsi="宋体" w:cs="宋体"/>
              </w:rPr>
            </w:pPr>
            <w:r>
              <w:rPr>
                <w:rFonts w:hint="eastAsia" w:ascii="宋体" w:hAnsi="宋体" w:cs="宋体"/>
              </w:rPr>
              <w:t>1.75</w:t>
            </w:r>
          </w:p>
        </w:tc>
        <w:tc>
          <w:tcPr>
            <w:tcW w:w="523" w:type="dxa"/>
            <w:shd w:val="clear" w:color="auto" w:fill="auto"/>
            <w:noWrap/>
            <w:tcMar>
              <w:top w:w="15" w:type="dxa"/>
              <w:left w:w="15" w:type="dxa"/>
              <w:right w:w="15" w:type="dxa"/>
            </w:tcMar>
            <w:vAlign w:val="bottom"/>
          </w:tcPr>
          <w:p w14:paraId="698A6527">
            <w:pPr>
              <w:pStyle w:val="34"/>
              <w:jc w:val="center"/>
              <w:rPr>
                <w:rFonts w:ascii="宋体" w:hAnsi="宋体" w:cs="宋体"/>
              </w:rPr>
            </w:pPr>
            <w:r>
              <w:rPr>
                <w:rFonts w:hint="eastAsia" w:ascii="宋体" w:hAnsi="宋体" w:cs="宋体"/>
              </w:rPr>
              <w:t>46</w:t>
            </w:r>
          </w:p>
        </w:tc>
        <w:tc>
          <w:tcPr>
            <w:tcW w:w="960" w:type="dxa"/>
            <w:shd w:val="clear" w:color="auto" w:fill="auto"/>
            <w:noWrap/>
            <w:tcMar>
              <w:top w:w="15" w:type="dxa"/>
              <w:left w:w="15" w:type="dxa"/>
              <w:right w:w="15" w:type="dxa"/>
            </w:tcMar>
            <w:vAlign w:val="bottom"/>
          </w:tcPr>
          <w:p w14:paraId="0E5FA14E">
            <w:pPr>
              <w:pStyle w:val="34"/>
              <w:jc w:val="center"/>
              <w:rPr>
                <w:rFonts w:ascii="宋体" w:hAnsi="宋体" w:cs="宋体"/>
              </w:rPr>
            </w:pPr>
            <w:r>
              <w:rPr>
                <w:rFonts w:hint="eastAsia" w:ascii="宋体" w:hAnsi="宋体" w:cs="宋体"/>
              </w:rPr>
              <w:t>孔</w:t>
            </w:r>
          </w:p>
        </w:tc>
        <w:tc>
          <w:tcPr>
            <w:tcW w:w="960" w:type="dxa"/>
            <w:shd w:val="clear" w:color="auto" w:fill="auto"/>
            <w:noWrap/>
            <w:tcMar>
              <w:top w:w="15" w:type="dxa"/>
              <w:left w:w="15" w:type="dxa"/>
              <w:right w:w="15" w:type="dxa"/>
            </w:tcMar>
            <w:vAlign w:val="bottom"/>
          </w:tcPr>
          <w:p w14:paraId="5F0AD8A4">
            <w:pPr>
              <w:pStyle w:val="34"/>
              <w:jc w:val="center"/>
              <w:rPr>
                <w:rFonts w:ascii="宋体" w:hAnsi="宋体" w:cs="宋体"/>
              </w:rPr>
            </w:pPr>
            <w:r>
              <w:rPr>
                <w:rFonts w:hint="eastAsia" w:ascii="宋体" w:hAnsi="宋体" w:cs="宋体"/>
              </w:rPr>
              <w:t>343</w:t>
            </w:r>
          </w:p>
        </w:tc>
        <w:tc>
          <w:tcPr>
            <w:tcW w:w="1296" w:type="dxa"/>
            <w:tcBorders>
              <w:right w:val="nil"/>
            </w:tcBorders>
            <w:shd w:val="clear" w:color="auto" w:fill="auto"/>
            <w:noWrap/>
            <w:tcMar>
              <w:top w:w="15" w:type="dxa"/>
              <w:left w:w="15" w:type="dxa"/>
              <w:right w:w="15" w:type="dxa"/>
            </w:tcMar>
            <w:vAlign w:val="bottom"/>
          </w:tcPr>
          <w:p w14:paraId="087B995A">
            <w:pPr>
              <w:pStyle w:val="34"/>
              <w:jc w:val="center"/>
              <w:rPr>
                <w:rFonts w:ascii="宋体" w:hAnsi="宋体" w:cs="宋体"/>
              </w:rPr>
            </w:pPr>
            <w:r>
              <w:rPr>
                <w:rFonts w:hint="eastAsia" w:ascii="宋体" w:hAnsi="宋体" w:cs="宋体"/>
              </w:rPr>
              <w:t>0.41</w:t>
            </w:r>
          </w:p>
        </w:tc>
      </w:tr>
      <w:tr w14:paraId="34ED8127">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960" w:type="dxa"/>
            <w:tcBorders>
              <w:left w:val="nil"/>
            </w:tcBorders>
            <w:shd w:val="clear" w:color="auto" w:fill="auto"/>
            <w:noWrap/>
            <w:tcMar>
              <w:top w:w="15" w:type="dxa"/>
              <w:left w:w="15" w:type="dxa"/>
              <w:right w:w="15" w:type="dxa"/>
            </w:tcMar>
            <w:vAlign w:val="bottom"/>
          </w:tcPr>
          <w:p w14:paraId="2AB947F0">
            <w:pPr>
              <w:pStyle w:val="34"/>
              <w:jc w:val="center"/>
              <w:rPr>
                <w:rFonts w:ascii="宋体" w:hAnsi="宋体" w:cs="宋体"/>
              </w:rPr>
            </w:pPr>
            <w:r>
              <w:rPr>
                <w:rFonts w:hint="eastAsia" w:ascii="宋体" w:hAnsi="宋体" w:cs="宋体"/>
              </w:rPr>
              <w:t>19</w:t>
            </w:r>
          </w:p>
        </w:tc>
        <w:tc>
          <w:tcPr>
            <w:tcW w:w="960" w:type="dxa"/>
            <w:shd w:val="clear" w:color="auto" w:fill="auto"/>
            <w:noWrap/>
            <w:tcMar>
              <w:top w:w="15" w:type="dxa"/>
              <w:left w:w="15" w:type="dxa"/>
              <w:right w:w="15" w:type="dxa"/>
            </w:tcMar>
            <w:vAlign w:val="bottom"/>
          </w:tcPr>
          <w:p w14:paraId="0D420DB1">
            <w:pPr>
              <w:pStyle w:val="34"/>
              <w:jc w:val="center"/>
              <w:rPr>
                <w:rFonts w:ascii="宋体" w:hAnsi="宋体" w:cs="宋体"/>
              </w:rPr>
            </w:pPr>
            <w:r>
              <w:rPr>
                <w:rFonts w:hint="eastAsia" w:ascii="宋体" w:hAnsi="宋体" w:cs="宋体"/>
              </w:rPr>
              <w:t>彭</w:t>
            </w:r>
          </w:p>
        </w:tc>
        <w:tc>
          <w:tcPr>
            <w:tcW w:w="960" w:type="dxa"/>
            <w:shd w:val="clear" w:color="auto" w:fill="auto"/>
            <w:noWrap/>
            <w:tcMar>
              <w:top w:w="15" w:type="dxa"/>
              <w:left w:w="15" w:type="dxa"/>
              <w:right w:w="15" w:type="dxa"/>
            </w:tcMar>
            <w:vAlign w:val="bottom"/>
          </w:tcPr>
          <w:p w14:paraId="2B76CA02">
            <w:pPr>
              <w:pStyle w:val="34"/>
              <w:jc w:val="center"/>
              <w:rPr>
                <w:rFonts w:ascii="宋体" w:hAnsi="宋体" w:cs="宋体"/>
              </w:rPr>
            </w:pPr>
            <w:r>
              <w:rPr>
                <w:rFonts w:hint="eastAsia" w:ascii="宋体" w:hAnsi="宋体" w:cs="宋体"/>
              </w:rPr>
              <w:t>1395</w:t>
            </w:r>
          </w:p>
        </w:tc>
        <w:tc>
          <w:tcPr>
            <w:tcW w:w="1397" w:type="dxa"/>
            <w:shd w:val="clear" w:color="auto" w:fill="auto"/>
            <w:noWrap/>
            <w:tcMar>
              <w:top w:w="15" w:type="dxa"/>
              <w:left w:w="15" w:type="dxa"/>
              <w:right w:w="15" w:type="dxa"/>
            </w:tcMar>
            <w:vAlign w:val="bottom"/>
          </w:tcPr>
          <w:p w14:paraId="7E55C39F">
            <w:pPr>
              <w:pStyle w:val="34"/>
              <w:jc w:val="center"/>
              <w:rPr>
                <w:rFonts w:ascii="宋体" w:hAnsi="宋体" w:cs="宋体"/>
              </w:rPr>
            </w:pPr>
            <w:r>
              <w:rPr>
                <w:rFonts w:hint="eastAsia" w:ascii="宋体" w:hAnsi="宋体" w:cs="宋体"/>
              </w:rPr>
              <w:t>1.68</w:t>
            </w:r>
          </w:p>
        </w:tc>
        <w:tc>
          <w:tcPr>
            <w:tcW w:w="523" w:type="dxa"/>
            <w:shd w:val="clear" w:color="auto" w:fill="auto"/>
            <w:noWrap/>
            <w:tcMar>
              <w:top w:w="15" w:type="dxa"/>
              <w:left w:w="15" w:type="dxa"/>
              <w:right w:w="15" w:type="dxa"/>
            </w:tcMar>
            <w:vAlign w:val="bottom"/>
          </w:tcPr>
          <w:p w14:paraId="1D197F20">
            <w:pPr>
              <w:pStyle w:val="34"/>
              <w:jc w:val="center"/>
              <w:rPr>
                <w:rFonts w:ascii="宋体" w:hAnsi="宋体" w:cs="宋体"/>
              </w:rPr>
            </w:pPr>
            <w:r>
              <w:rPr>
                <w:rFonts w:hint="eastAsia" w:ascii="宋体" w:hAnsi="宋体" w:cs="宋体"/>
              </w:rPr>
              <w:t>47</w:t>
            </w:r>
          </w:p>
        </w:tc>
        <w:tc>
          <w:tcPr>
            <w:tcW w:w="960" w:type="dxa"/>
            <w:shd w:val="clear" w:color="auto" w:fill="auto"/>
            <w:noWrap/>
            <w:tcMar>
              <w:top w:w="15" w:type="dxa"/>
              <w:left w:w="15" w:type="dxa"/>
              <w:right w:w="15" w:type="dxa"/>
            </w:tcMar>
            <w:vAlign w:val="bottom"/>
          </w:tcPr>
          <w:p w14:paraId="3B5D1E54">
            <w:pPr>
              <w:pStyle w:val="34"/>
              <w:jc w:val="center"/>
              <w:rPr>
                <w:rFonts w:ascii="宋体" w:hAnsi="宋体" w:cs="宋体"/>
              </w:rPr>
            </w:pPr>
            <w:r>
              <w:rPr>
                <w:rFonts w:hint="eastAsia" w:ascii="宋体" w:hAnsi="宋体" w:cs="宋体"/>
              </w:rPr>
              <w:t>蔡</w:t>
            </w:r>
          </w:p>
        </w:tc>
        <w:tc>
          <w:tcPr>
            <w:tcW w:w="960" w:type="dxa"/>
            <w:shd w:val="clear" w:color="auto" w:fill="auto"/>
            <w:noWrap/>
            <w:tcMar>
              <w:top w:w="15" w:type="dxa"/>
              <w:left w:w="15" w:type="dxa"/>
              <w:right w:w="15" w:type="dxa"/>
            </w:tcMar>
            <w:vAlign w:val="bottom"/>
          </w:tcPr>
          <w:p w14:paraId="47D6BBC1">
            <w:pPr>
              <w:pStyle w:val="34"/>
              <w:jc w:val="center"/>
              <w:rPr>
                <w:rFonts w:ascii="宋体" w:hAnsi="宋体" w:cs="宋体"/>
              </w:rPr>
            </w:pPr>
            <w:r>
              <w:rPr>
                <w:rFonts w:hint="eastAsia" w:ascii="宋体" w:hAnsi="宋体" w:cs="宋体"/>
              </w:rPr>
              <w:t>327</w:t>
            </w:r>
          </w:p>
        </w:tc>
        <w:tc>
          <w:tcPr>
            <w:tcW w:w="1296" w:type="dxa"/>
            <w:tcBorders>
              <w:right w:val="nil"/>
            </w:tcBorders>
            <w:shd w:val="clear" w:color="auto" w:fill="auto"/>
            <w:noWrap/>
            <w:tcMar>
              <w:top w:w="15" w:type="dxa"/>
              <w:left w:w="15" w:type="dxa"/>
              <w:right w:w="15" w:type="dxa"/>
            </w:tcMar>
            <w:vAlign w:val="bottom"/>
          </w:tcPr>
          <w:p w14:paraId="765EF822">
            <w:pPr>
              <w:pStyle w:val="34"/>
              <w:jc w:val="center"/>
              <w:rPr>
                <w:rFonts w:ascii="宋体" w:hAnsi="宋体" w:cs="宋体"/>
              </w:rPr>
            </w:pPr>
            <w:r>
              <w:rPr>
                <w:rFonts w:hint="eastAsia" w:ascii="宋体" w:hAnsi="宋体" w:cs="宋体"/>
              </w:rPr>
              <w:t>0.39</w:t>
            </w:r>
          </w:p>
        </w:tc>
      </w:tr>
      <w:tr w14:paraId="182B06CB">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960" w:type="dxa"/>
            <w:tcBorders>
              <w:left w:val="nil"/>
            </w:tcBorders>
            <w:shd w:val="clear" w:color="auto" w:fill="auto"/>
            <w:noWrap/>
            <w:tcMar>
              <w:top w:w="15" w:type="dxa"/>
              <w:left w:w="15" w:type="dxa"/>
              <w:right w:w="15" w:type="dxa"/>
            </w:tcMar>
            <w:vAlign w:val="bottom"/>
          </w:tcPr>
          <w:p w14:paraId="3D0559D9">
            <w:pPr>
              <w:pStyle w:val="34"/>
              <w:jc w:val="center"/>
              <w:rPr>
                <w:rFonts w:ascii="宋体" w:hAnsi="宋体" w:cs="宋体"/>
              </w:rPr>
            </w:pPr>
            <w:r>
              <w:rPr>
                <w:rFonts w:hint="eastAsia" w:ascii="宋体" w:hAnsi="宋体" w:cs="宋体"/>
              </w:rPr>
              <w:t>20</w:t>
            </w:r>
          </w:p>
        </w:tc>
        <w:tc>
          <w:tcPr>
            <w:tcW w:w="960" w:type="dxa"/>
            <w:shd w:val="clear" w:color="auto" w:fill="auto"/>
            <w:noWrap/>
            <w:tcMar>
              <w:top w:w="15" w:type="dxa"/>
              <w:left w:w="15" w:type="dxa"/>
              <w:right w:w="15" w:type="dxa"/>
            </w:tcMar>
            <w:vAlign w:val="bottom"/>
          </w:tcPr>
          <w:p w14:paraId="56F2566B">
            <w:pPr>
              <w:pStyle w:val="34"/>
              <w:jc w:val="center"/>
              <w:rPr>
                <w:rFonts w:ascii="宋体" w:hAnsi="宋体" w:cs="宋体"/>
              </w:rPr>
            </w:pPr>
            <w:r>
              <w:rPr>
                <w:rFonts w:hint="eastAsia" w:ascii="宋体" w:hAnsi="宋体" w:cs="宋体"/>
              </w:rPr>
              <w:t>赵</w:t>
            </w:r>
          </w:p>
        </w:tc>
        <w:tc>
          <w:tcPr>
            <w:tcW w:w="960" w:type="dxa"/>
            <w:shd w:val="clear" w:color="auto" w:fill="auto"/>
            <w:noWrap/>
            <w:tcMar>
              <w:top w:w="15" w:type="dxa"/>
              <w:left w:w="15" w:type="dxa"/>
              <w:right w:w="15" w:type="dxa"/>
            </w:tcMar>
            <w:vAlign w:val="bottom"/>
          </w:tcPr>
          <w:p w14:paraId="4409D1B9">
            <w:pPr>
              <w:pStyle w:val="34"/>
              <w:jc w:val="center"/>
              <w:rPr>
                <w:rFonts w:ascii="宋体" w:hAnsi="宋体" w:cs="宋体"/>
              </w:rPr>
            </w:pPr>
            <w:r>
              <w:rPr>
                <w:rFonts w:hint="eastAsia" w:ascii="宋体" w:hAnsi="宋体" w:cs="宋体"/>
              </w:rPr>
              <w:t>1361</w:t>
            </w:r>
          </w:p>
        </w:tc>
        <w:tc>
          <w:tcPr>
            <w:tcW w:w="1397" w:type="dxa"/>
            <w:shd w:val="clear" w:color="auto" w:fill="auto"/>
            <w:noWrap/>
            <w:tcMar>
              <w:top w:w="15" w:type="dxa"/>
              <w:left w:w="15" w:type="dxa"/>
              <w:right w:w="15" w:type="dxa"/>
            </w:tcMar>
            <w:vAlign w:val="bottom"/>
          </w:tcPr>
          <w:p w14:paraId="2ECBD14F">
            <w:pPr>
              <w:pStyle w:val="34"/>
              <w:jc w:val="center"/>
              <w:rPr>
                <w:rFonts w:ascii="宋体" w:hAnsi="宋体" w:cs="宋体"/>
              </w:rPr>
            </w:pPr>
            <w:r>
              <w:rPr>
                <w:rFonts w:hint="eastAsia" w:ascii="宋体" w:hAnsi="宋体" w:cs="宋体"/>
              </w:rPr>
              <w:t>1.63</w:t>
            </w:r>
          </w:p>
        </w:tc>
        <w:tc>
          <w:tcPr>
            <w:tcW w:w="523" w:type="dxa"/>
            <w:shd w:val="clear" w:color="auto" w:fill="auto"/>
            <w:noWrap/>
            <w:tcMar>
              <w:top w:w="15" w:type="dxa"/>
              <w:left w:w="15" w:type="dxa"/>
              <w:right w:w="15" w:type="dxa"/>
            </w:tcMar>
            <w:vAlign w:val="bottom"/>
          </w:tcPr>
          <w:p w14:paraId="176D24E2">
            <w:pPr>
              <w:pStyle w:val="34"/>
              <w:jc w:val="center"/>
              <w:rPr>
                <w:rFonts w:ascii="宋体" w:hAnsi="宋体" w:cs="宋体"/>
              </w:rPr>
            </w:pPr>
            <w:r>
              <w:rPr>
                <w:rFonts w:hint="eastAsia" w:ascii="宋体" w:hAnsi="宋体" w:cs="宋体"/>
              </w:rPr>
              <w:t>48</w:t>
            </w:r>
          </w:p>
        </w:tc>
        <w:tc>
          <w:tcPr>
            <w:tcW w:w="960" w:type="dxa"/>
            <w:shd w:val="clear" w:color="auto" w:fill="auto"/>
            <w:noWrap/>
            <w:tcMar>
              <w:top w:w="15" w:type="dxa"/>
              <w:left w:w="15" w:type="dxa"/>
              <w:right w:w="15" w:type="dxa"/>
            </w:tcMar>
            <w:vAlign w:val="bottom"/>
          </w:tcPr>
          <w:p w14:paraId="0E351136">
            <w:pPr>
              <w:pStyle w:val="34"/>
              <w:jc w:val="center"/>
              <w:rPr>
                <w:rFonts w:ascii="宋体" w:hAnsi="宋体" w:cs="宋体"/>
              </w:rPr>
            </w:pPr>
            <w:r>
              <w:rPr>
                <w:rFonts w:hint="eastAsia" w:ascii="宋体" w:hAnsi="宋体" w:cs="宋体"/>
              </w:rPr>
              <w:t>凌</w:t>
            </w:r>
          </w:p>
        </w:tc>
        <w:tc>
          <w:tcPr>
            <w:tcW w:w="960" w:type="dxa"/>
            <w:shd w:val="clear" w:color="auto" w:fill="auto"/>
            <w:noWrap/>
            <w:tcMar>
              <w:top w:w="15" w:type="dxa"/>
              <w:left w:w="15" w:type="dxa"/>
              <w:right w:w="15" w:type="dxa"/>
            </w:tcMar>
            <w:vAlign w:val="bottom"/>
          </w:tcPr>
          <w:p w14:paraId="0CC5413A">
            <w:pPr>
              <w:pStyle w:val="34"/>
              <w:jc w:val="center"/>
              <w:rPr>
                <w:rFonts w:ascii="宋体" w:hAnsi="宋体" w:cs="宋体"/>
              </w:rPr>
            </w:pPr>
            <w:r>
              <w:rPr>
                <w:rFonts w:hint="eastAsia" w:ascii="宋体" w:hAnsi="宋体" w:cs="宋体"/>
              </w:rPr>
              <w:t>297</w:t>
            </w:r>
          </w:p>
        </w:tc>
        <w:tc>
          <w:tcPr>
            <w:tcW w:w="1296" w:type="dxa"/>
            <w:tcBorders>
              <w:right w:val="nil"/>
            </w:tcBorders>
            <w:shd w:val="clear" w:color="auto" w:fill="auto"/>
            <w:noWrap/>
            <w:tcMar>
              <w:top w:w="15" w:type="dxa"/>
              <w:left w:w="15" w:type="dxa"/>
              <w:right w:w="15" w:type="dxa"/>
            </w:tcMar>
            <w:vAlign w:val="bottom"/>
          </w:tcPr>
          <w:p w14:paraId="3B655DAC">
            <w:pPr>
              <w:pStyle w:val="34"/>
              <w:jc w:val="center"/>
              <w:rPr>
                <w:rFonts w:ascii="宋体" w:hAnsi="宋体" w:cs="宋体"/>
              </w:rPr>
            </w:pPr>
            <w:r>
              <w:rPr>
                <w:rFonts w:hint="eastAsia" w:ascii="宋体" w:hAnsi="宋体" w:cs="宋体"/>
              </w:rPr>
              <w:t>0.36</w:t>
            </w:r>
          </w:p>
        </w:tc>
      </w:tr>
      <w:tr w14:paraId="662E51DB">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960" w:type="dxa"/>
            <w:tcBorders>
              <w:left w:val="nil"/>
            </w:tcBorders>
            <w:shd w:val="clear" w:color="auto" w:fill="auto"/>
            <w:noWrap/>
            <w:tcMar>
              <w:top w:w="15" w:type="dxa"/>
              <w:left w:w="15" w:type="dxa"/>
              <w:right w:w="15" w:type="dxa"/>
            </w:tcMar>
            <w:vAlign w:val="bottom"/>
          </w:tcPr>
          <w:p w14:paraId="1F1B3945">
            <w:pPr>
              <w:pStyle w:val="34"/>
              <w:jc w:val="center"/>
              <w:rPr>
                <w:rFonts w:ascii="宋体" w:hAnsi="宋体" w:cs="宋体"/>
              </w:rPr>
            </w:pPr>
            <w:r>
              <w:rPr>
                <w:rFonts w:hint="eastAsia" w:ascii="宋体" w:hAnsi="宋体" w:cs="宋体"/>
              </w:rPr>
              <w:t>21</w:t>
            </w:r>
          </w:p>
        </w:tc>
        <w:tc>
          <w:tcPr>
            <w:tcW w:w="960" w:type="dxa"/>
            <w:shd w:val="clear" w:color="auto" w:fill="auto"/>
            <w:noWrap/>
            <w:tcMar>
              <w:top w:w="15" w:type="dxa"/>
              <w:left w:w="15" w:type="dxa"/>
              <w:right w:w="15" w:type="dxa"/>
            </w:tcMar>
            <w:vAlign w:val="bottom"/>
          </w:tcPr>
          <w:p w14:paraId="0D501EF6">
            <w:pPr>
              <w:pStyle w:val="34"/>
              <w:jc w:val="center"/>
              <w:rPr>
                <w:rFonts w:ascii="宋体" w:hAnsi="宋体" w:cs="宋体"/>
              </w:rPr>
            </w:pPr>
            <w:r>
              <w:rPr>
                <w:rFonts w:hint="eastAsia" w:ascii="宋体" w:hAnsi="宋体" w:cs="宋体"/>
              </w:rPr>
              <w:t>林</w:t>
            </w:r>
          </w:p>
        </w:tc>
        <w:tc>
          <w:tcPr>
            <w:tcW w:w="960" w:type="dxa"/>
            <w:shd w:val="clear" w:color="auto" w:fill="auto"/>
            <w:noWrap/>
            <w:tcMar>
              <w:top w:w="15" w:type="dxa"/>
              <w:left w:w="15" w:type="dxa"/>
              <w:right w:w="15" w:type="dxa"/>
            </w:tcMar>
            <w:vAlign w:val="bottom"/>
          </w:tcPr>
          <w:p w14:paraId="4D1A897C">
            <w:pPr>
              <w:pStyle w:val="34"/>
              <w:jc w:val="center"/>
              <w:rPr>
                <w:rFonts w:ascii="宋体" w:hAnsi="宋体" w:cs="宋体"/>
              </w:rPr>
            </w:pPr>
            <w:r>
              <w:rPr>
                <w:rFonts w:hint="eastAsia" w:ascii="宋体" w:hAnsi="宋体" w:cs="宋体"/>
              </w:rPr>
              <w:t>1223</w:t>
            </w:r>
          </w:p>
        </w:tc>
        <w:tc>
          <w:tcPr>
            <w:tcW w:w="1397" w:type="dxa"/>
            <w:shd w:val="clear" w:color="auto" w:fill="auto"/>
            <w:noWrap/>
            <w:tcMar>
              <w:top w:w="15" w:type="dxa"/>
              <w:left w:w="15" w:type="dxa"/>
              <w:right w:w="15" w:type="dxa"/>
            </w:tcMar>
            <w:vAlign w:val="bottom"/>
          </w:tcPr>
          <w:p w14:paraId="117A7198">
            <w:pPr>
              <w:pStyle w:val="34"/>
              <w:jc w:val="center"/>
              <w:rPr>
                <w:rFonts w:ascii="宋体" w:hAnsi="宋体" w:cs="宋体"/>
              </w:rPr>
            </w:pPr>
            <w:r>
              <w:rPr>
                <w:rFonts w:hint="eastAsia" w:ascii="宋体" w:hAnsi="宋体" w:cs="宋体"/>
              </w:rPr>
              <w:t>1.47</w:t>
            </w:r>
          </w:p>
        </w:tc>
        <w:tc>
          <w:tcPr>
            <w:tcW w:w="523" w:type="dxa"/>
            <w:shd w:val="clear" w:color="auto" w:fill="auto"/>
            <w:noWrap/>
            <w:tcMar>
              <w:top w:w="15" w:type="dxa"/>
              <w:left w:w="15" w:type="dxa"/>
              <w:right w:w="15" w:type="dxa"/>
            </w:tcMar>
            <w:vAlign w:val="bottom"/>
          </w:tcPr>
          <w:p w14:paraId="0C5EA2A6">
            <w:pPr>
              <w:pStyle w:val="34"/>
              <w:jc w:val="center"/>
              <w:rPr>
                <w:rFonts w:ascii="宋体" w:hAnsi="宋体" w:cs="宋体"/>
              </w:rPr>
            </w:pPr>
            <w:r>
              <w:rPr>
                <w:rFonts w:hint="eastAsia" w:ascii="宋体" w:hAnsi="宋体" w:cs="宋体"/>
              </w:rPr>
              <w:t>49</w:t>
            </w:r>
          </w:p>
        </w:tc>
        <w:tc>
          <w:tcPr>
            <w:tcW w:w="960" w:type="dxa"/>
            <w:shd w:val="clear" w:color="auto" w:fill="auto"/>
            <w:noWrap/>
            <w:tcMar>
              <w:top w:w="15" w:type="dxa"/>
              <w:left w:w="15" w:type="dxa"/>
              <w:right w:w="15" w:type="dxa"/>
            </w:tcMar>
            <w:vAlign w:val="bottom"/>
          </w:tcPr>
          <w:p w14:paraId="1FAA4F36">
            <w:pPr>
              <w:pStyle w:val="34"/>
              <w:jc w:val="center"/>
              <w:rPr>
                <w:rFonts w:ascii="宋体" w:hAnsi="宋体" w:cs="宋体"/>
              </w:rPr>
            </w:pPr>
            <w:r>
              <w:rPr>
                <w:rFonts w:hint="eastAsia" w:ascii="宋体" w:hAnsi="宋体" w:cs="宋体"/>
              </w:rPr>
              <w:t>丁</w:t>
            </w:r>
          </w:p>
        </w:tc>
        <w:tc>
          <w:tcPr>
            <w:tcW w:w="960" w:type="dxa"/>
            <w:shd w:val="clear" w:color="auto" w:fill="auto"/>
            <w:noWrap/>
            <w:tcMar>
              <w:top w:w="15" w:type="dxa"/>
              <w:left w:w="15" w:type="dxa"/>
              <w:right w:w="15" w:type="dxa"/>
            </w:tcMar>
            <w:vAlign w:val="bottom"/>
          </w:tcPr>
          <w:p w14:paraId="7C04E246">
            <w:pPr>
              <w:pStyle w:val="34"/>
              <w:jc w:val="center"/>
              <w:rPr>
                <w:rFonts w:ascii="宋体" w:hAnsi="宋体" w:cs="宋体"/>
              </w:rPr>
            </w:pPr>
            <w:r>
              <w:rPr>
                <w:rFonts w:hint="eastAsia" w:ascii="宋体" w:hAnsi="宋体" w:cs="宋体"/>
              </w:rPr>
              <w:t>289</w:t>
            </w:r>
          </w:p>
        </w:tc>
        <w:tc>
          <w:tcPr>
            <w:tcW w:w="1296" w:type="dxa"/>
            <w:tcBorders>
              <w:right w:val="nil"/>
            </w:tcBorders>
            <w:shd w:val="clear" w:color="auto" w:fill="auto"/>
            <w:noWrap/>
            <w:tcMar>
              <w:top w:w="15" w:type="dxa"/>
              <w:left w:w="15" w:type="dxa"/>
              <w:right w:w="15" w:type="dxa"/>
            </w:tcMar>
            <w:vAlign w:val="bottom"/>
          </w:tcPr>
          <w:p w14:paraId="443E2324">
            <w:pPr>
              <w:pStyle w:val="34"/>
              <w:jc w:val="center"/>
              <w:rPr>
                <w:rFonts w:ascii="宋体" w:hAnsi="宋体" w:cs="宋体"/>
              </w:rPr>
            </w:pPr>
            <w:r>
              <w:rPr>
                <w:rFonts w:hint="eastAsia" w:ascii="宋体" w:hAnsi="宋体" w:cs="宋体"/>
              </w:rPr>
              <w:t>0.35</w:t>
            </w:r>
          </w:p>
        </w:tc>
      </w:tr>
      <w:tr w14:paraId="279A380C">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960" w:type="dxa"/>
            <w:tcBorders>
              <w:left w:val="nil"/>
            </w:tcBorders>
            <w:shd w:val="clear" w:color="auto" w:fill="auto"/>
            <w:noWrap/>
            <w:tcMar>
              <w:top w:w="15" w:type="dxa"/>
              <w:left w:w="15" w:type="dxa"/>
              <w:right w:w="15" w:type="dxa"/>
            </w:tcMar>
            <w:vAlign w:val="bottom"/>
          </w:tcPr>
          <w:p w14:paraId="5C3492D0">
            <w:pPr>
              <w:pStyle w:val="34"/>
              <w:jc w:val="center"/>
              <w:rPr>
                <w:rFonts w:ascii="宋体" w:hAnsi="宋体" w:cs="宋体"/>
              </w:rPr>
            </w:pPr>
            <w:r>
              <w:rPr>
                <w:rFonts w:hint="eastAsia" w:ascii="宋体" w:hAnsi="宋体" w:cs="宋体"/>
              </w:rPr>
              <w:t>22</w:t>
            </w:r>
          </w:p>
        </w:tc>
        <w:tc>
          <w:tcPr>
            <w:tcW w:w="960" w:type="dxa"/>
            <w:shd w:val="clear" w:color="auto" w:fill="auto"/>
            <w:noWrap/>
            <w:tcMar>
              <w:top w:w="15" w:type="dxa"/>
              <w:left w:w="15" w:type="dxa"/>
              <w:right w:w="15" w:type="dxa"/>
            </w:tcMar>
            <w:vAlign w:val="bottom"/>
          </w:tcPr>
          <w:p w14:paraId="3E48EB62">
            <w:pPr>
              <w:pStyle w:val="34"/>
              <w:jc w:val="center"/>
              <w:rPr>
                <w:rFonts w:ascii="宋体" w:hAnsi="宋体" w:cs="宋体"/>
              </w:rPr>
            </w:pPr>
            <w:r>
              <w:rPr>
                <w:rFonts w:hint="eastAsia" w:ascii="宋体" w:hAnsi="宋体" w:cs="宋体"/>
              </w:rPr>
              <w:t>卢卢</w:t>
            </w:r>
          </w:p>
        </w:tc>
        <w:tc>
          <w:tcPr>
            <w:tcW w:w="960" w:type="dxa"/>
            <w:shd w:val="clear" w:color="auto" w:fill="auto"/>
            <w:noWrap/>
            <w:tcMar>
              <w:top w:w="15" w:type="dxa"/>
              <w:left w:w="15" w:type="dxa"/>
              <w:right w:w="15" w:type="dxa"/>
            </w:tcMar>
            <w:vAlign w:val="bottom"/>
          </w:tcPr>
          <w:p w14:paraId="651FFAEB">
            <w:pPr>
              <w:pStyle w:val="34"/>
              <w:jc w:val="center"/>
              <w:rPr>
                <w:rFonts w:ascii="宋体" w:hAnsi="宋体" w:cs="宋体"/>
              </w:rPr>
            </w:pPr>
            <w:r>
              <w:rPr>
                <w:rFonts w:hint="eastAsia" w:ascii="宋体" w:hAnsi="宋体" w:cs="宋体"/>
              </w:rPr>
              <w:t>1173</w:t>
            </w:r>
          </w:p>
        </w:tc>
        <w:tc>
          <w:tcPr>
            <w:tcW w:w="1397" w:type="dxa"/>
            <w:shd w:val="clear" w:color="auto" w:fill="auto"/>
            <w:noWrap/>
            <w:tcMar>
              <w:top w:w="15" w:type="dxa"/>
              <w:left w:w="15" w:type="dxa"/>
              <w:right w:w="15" w:type="dxa"/>
            </w:tcMar>
            <w:vAlign w:val="bottom"/>
          </w:tcPr>
          <w:p w14:paraId="2A3ED7EB">
            <w:pPr>
              <w:pStyle w:val="34"/>
              <w:jc w:val="center"/>
              <w:rPr>
                <w:rFonts w:ascii="宋体" w:hAnsi="宋体" w:cs="宋体"/>
              </w:rPr>
            </w:pPr>
            <w:r>
              <w:rPr>
                <w:rFonts w:hint="eastAsia" w:ascii="宋体" w:hAnsi="宋体" w:cs="宋体"/>
              </w:rPr>
              <w:t>1.41</w:t>
            </w:r>
          </w:p>
        </w:tc>
        <w:tc>
          <w:tcPr>
            <w:tcW w:w="523" w:type="dxa"/>
            <w:shd w:val="clear" w:color="auto" w:fill="auto"/>
            <w:noWrap/>
            <w:tcMar>
              <w:top w:w="15" w:type="dxa"/>
              <w:left w:w="15" w:type="dxa"/>
              <w:right w:w="15" w:type="dxa"/>
            </w:tcMar>
            <w:vAlign w:val="bottom"/>
          </w:tcPr>
          <w:p w14:paraId="625ED658">
            <w:pPr>
              <w:pStyle w:val="34"/>
              <w:jc w:val="center"/>
              <w:rPr>
                <w:rFonts w:ascii="宋体" w:hAnsi="宋体" w:cs="宋体"/>
              </w:rPr>
            </w:pPr>
            <w:r>
              <w:rPr>
                <w:rFonts w:hint="eastAsia" w:ascii="宋体" w:hAnsi="宋体" w:cs="宋体"/>
              </w:rPr>
              <w:t>50</w:t>
            </w:r>
          </w:p>
        </w:tc>
        <w:tc>
          <w:tcPr>
            <w:tcW w:w="960" w:type="dxa"/>
            <w:shd w:val="clear" w:color="auto" w:fill="auto"/>
            <w:noWrap/>
            <w:tcMar>
              <w:top w:w="15" w:type="dxa"/>
              <w:left w:w="15" w:type="dxa"/>
              <w:right w:w="15" w:type="dxa"/>
            </w:tcMar>
            <w:vAlign w:val="bottom"/>
          </w:tcPr>
          <w:p w14:paraId="5EE303E2">
            <w:pPr>
              <w:pStyle w:val="34"/>
              <w:jc w:val="center"/>
              <w:rPr>
                <w:rFonts w:ascii="宋体" w:hAnsi="宋体" w:cs="宋体"/>
              </w:rPr>
            </w:pPr>
            <w:r>
              <w:rPr>
                <w:rFonts w:hint="eastAsia" w:ascii="宋体" w:hAnsi="宋体" w:cs="宋体"/>
              </w:rPr>
              <w:t>高</w:t>
            </w:r>
          </w:p>
        </w:tc>
        <w:tc>
          <w:tcPr>
            <w:tcW w:w="960" w:type="dxa"/>
            <w:shd w:val="clear" w:color="auto" w:fill="auto"/>
            <w:noWrap/>
            <w:tcMar>
              <w:top w:w="15" w:type="dxa"/>
              <w:left w:w="15" w:type="dxa"/>
              <w:right w:w="15" w:type="dxa"/>
            </w:tcMar>
            <w:vAlign w:val="bottom"/>
          </w:tcPr>
          <w:p w14:paraId="6880CB28">
            <w:pPr>
              <w:pStyle w:val="34"/>
              <w:jc w:val="center"/>
              <w:rPr>
                <w:rFonts w:ascii="宋体" w:hAnsi="宋体" w:cs="宋体"/>
              </w:rPr>
            </w:pPr>
            <w:r>
              <w:rPr>
                <w:rFonts w:hint="eastAsia" w:ascii="宋体" w:hAnsi="宋体" w:cs="宋体"/>
              </w:rPr>
              <w:t>247</w:t>
            </w:r>
          </w:p>
        </w:tc>
        <w:tc>
          <w:tcPr>
            <w:tcW w:w="1296" w:type="dxa"/>
            <w:tcBorders>
              <w:right w:val="nil"/>
            </w:tcBorders>
            <w:shd w:val="clear" w:color="auto" w:fill="auto"/>
            <w:noWrap/>
            <w:tcMar>
              <w:top w:w="15" w:type="dxa"/>
              <w:left w:w="15" w:type="dxa"/>
              <w:right w:w="15" w:type="dxa"/>
            </w:tcMar>
            <w:vAlign w:val="bottom"/>
          </w:tcPr>
          <w:p w14:paraId="51DC4AE9">
            <w:pPr>
              <w:pStyle w:val="34"/>
              <w:jc w:val="center"/>
              <w:rPr>
                <w:rFonts w:ascii="宋体" w:hAnsi="宋体" w:cs="宋体"/>
              </w:rPr>
            </w:pPr>
            <w:r>
              <w:rPr>
                <w:rFonts w:hint="eastAsia" w:ascii="宋体" w:hAnsi="宋体" w:cs="宋体"/>
              </w:rPr>
              <w:t>0.30</w:t>
            </w:r>
          </w:p>
        </w:tc>
      </w:tr>
      <w:tr w14:paraId="1AFAF58E">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960" w:type="dxa"/>
            <w:tcBorders>
              <w:left w:val="nil"/>
            </w:tcBorders>
            <w:shd w:val="clear" w:color="auto" w:fill="auto"/>
            <w:noWrap/>
            <w:tcMar>
              <w:top w:w="15" w:type="dxa"/>
              <w:left w:w="15" w:type="dxa"/>
              <w:right w:w="15" w:type="dxa"/>
            </w:tcMar>
            <w:vAlign w:val="bottom"/>
          </w:tcPr>
          <w:p w14:paraId="79CE0ED9">
            <w:pPr>
              <w:pStyle w:val="34"/>
              <w:jc w:val="center"/>
              <w:rPr>
                <w:rFonts w:ascii="宋体" w:hAnsi="宋体" w:cs="宋体"/>
              </w:rPr>
            </w:pPr>
            <w:r>
              <w:rPr>
                <w:rFonts w:hint="eastAsia" w:ascii="宋体" w:hAnsi="宋体" w:cs="宋体"/>
              </w:rPr>
              <w:t>23</w:t>
            </w:r>
          </w:p>
        </w:tc>
        <w:tc>
          <w:tcPr>
            <w:tcW w:w="960" w:type="dxa"/>
            <w:shd w:val="clear" w:color="auto" w:fill="auto"/>
            <w:noWrap/>
            <w:tcMar>
              <w:top w:w="15" w:type="dxa"/>
              <w:left w:w="15" w:type="dxa"/>
              <w:right w:w="15" w:type="dxa"/>
            </w:tcMar>
            <w:vAlign w:val="bottom"/>
          </w:tcPr>
          <w:p w14:paraId="293BE9D5">
            <w:pPr>
              <w:pStyle w:val="34"/>
              <w:jc w:val="center"/>
              <w:rPr>
                <w:rFonts w:ascii="宋体" w:hAnsi="宋体" w:cs="宋体"/>
              </w:rPr>
            </w:pPr>
            <w:r>
              <w:rPr>
                <w:rFonts w:hint="eastAsia" w:ascii="宋体" w:hAnsi="宋体" w:cs="宋体"/>
              </w:rPr>
              <w:t>徐</w:t>
            </w:r>
          </w:p>
        </w:tc>
        <w:tc>
          <w:tcPr>
            <w:tcW w:w="960" w:type="dxa"/>
            <w:shd w:val="clear" w:color="auto" w:fill="auto"/>
            <w:noWrap/>
            <w:tcMar>
              <w:top w:w="15" w:type="dxa"/>
              <w:left w:w="15" w:type="dxa"/>
              <w:right w:w="15" w:type="dxa"/>
            </w:tcMar>
            <w:vAlign w:val="bottom"/>
          </w:tcPr>
          <w:p w14:paraId="685FE66A">
            <w:pPr>
              <w:pStyle w:val="34"/>
              <w:jc w:val="center"/>
              <w:rPr>
                <w:rFonts w:ascii="宋体" w:hAnsi="宋体" w:cs="宋体"/>
              </w:rPr>
            </w:pPr>
            <w:r>
              <w:rPr>
                <w:rFonts w:hint="eastAsia" w:ascii="宋体" w:hAnsi="宋体" w:cs="宋体"/>
              </w:rPr>
              <w:t>1077</w:t>
            </w:r>
          </w:p>
        </w:tc>
        <w:tc>
          <w:tcPr>
            <w:tcW w:w="1397" w:type="dxa"/>
            <w:shd w:val="clear" w:color="auto" w:fill="auto"/>
            <w:noWrap/>
            <w:tcMar>
              <w:top w:w="15" w:type="dxa"/>
              <w:left w:w="15" w:type="dxa"/>
              <w:right w:w="15" w:type="dxa"/>
            </w:tcMar>
            <w:vAlign w:val="bottom"/>
          </w:tcPr>
          <w:p w14:paraId="0F6FA8A3">
            <w:pPr>
              <w:pStyle w:val="34"/>
              <w:jc w:val="center"/>
              <w:rPr>
                <w:rFonts w:ascii="宋体" w:hAnsi="宋体" w:cs="宋体"/>
              </w:rPr>
            </w:pPr>
            <w:r>
              <w:rPr>
                <w:rFonts w:hint="eastAsia" w:ascii="宋体" w:hAnsi="宋体" w:cs="宋体"/>
              </w:rPr>
              <w:t>1.29</w:t>
            </w:r>
          </w:p>
        </w:tc>
        <w:tc>
          <w:tcPr>
            <w:tcW w:w="523" w:type="dxa"/>
            <w:shd w:val="clear" w:color="auto" w:fill="auto"/>
            <w:noWrap/>
            <w:tcMar>
              <w:top w:w="15" w:type="dxa"/>
              <w:left w:w="15" w:type="dxa"/>
              <w:right w:w="15" w:type="dxa"/>
            </w:tcMar>
            <w:vAlign w:val="bottom"/>
          </w:tcPr>
          <w:p w14:paraId="73072C80">
            <w:pPr>
              <w:pStyle w:val="34"/>
              <w:jc w:val="center"/>
              <w:rPr>
                <w:rFonts w:ascii="宋体" w:hAnsi="宋体" w:cs="宋体"/>
              </w:rPr>
            </w:pPr>
            <w:r>
              <w:rPr>
                <w:rFonts w:hint="eastAsia" w:ascii="宋体" w:hAnsi="宋体" w:cs="宋体"/>
              </w:rPr>
              <w:t>51</w:t>
            </w:r>
          </w:p>
        </w:tc>
        <w:tc>
          <w:tcPr>
            <w:tcW w:w="960" w:type="dxa"/>
            <w:shd w:val="clear" w:color="auto" w:fill="auto"/>
            <w:noWrap/>
            <w:tcMar>
              <w:top w:w="15" w:type="dxa"/>
              <w:left w:w="15" w:type="dxa"/>
              <w:right w:w="15" w:type="dxa"/>
            </w:tcMar>
            <w:vAlign w:val="bottom"/>
          </w:tcPr>
          <w:p w14:paraId="7D13C8DB">
            <w:pPr>
              <w:pStyle w:val="34"/>
              <w:jc w:val="center"/>
              <w:rPr>
                <w:rFonts w:ascii="宋体" w:hAnsi="宋体" w:cs="宋体"/>
              </w:rPr>
            </w:pPr>
            <w:r>
              <w:rPr>
                <w:rFonts w:hint="eastAsia" w:ascii="宋体" w:hAnsi="宋体" w:cs="宋体"/>
              </w:rPr>
              <w:t>戴</w:t>
            </w:r>
          </w:p>
        </w:tc>
        <w:tc>
          <w:tcPr>
            <w:tcW w:w="960" w:type="dxa"/>
            <w:shd w:val="clear" w:color="auto" w:fill="auto"/>
            <w:noWrap/>
            <w:tcMar>
              <w:top w:w="15" w:type="dxa"/>
              <w:left w:w="15" w:type="dxa"/>
              <w:right w:w="15" w:type="dxa"/>
            </w:tcMar>
            <w:vAlign w:val="bottom"/>
          </w:tcPr>
          <w:p w14:paraId="0C7483BC">
            <w:pPr>
              <w:pStyle w:val="34"/>
              <w:jc w:val="center"/>
              <w:rPr>
                <w:rFonts w:ascii="宋体" w:hAnsi="宋体" w:cs="宋体"/>
              </w:rPr>
            </w:pPr>
            <w:r>
              <w:rPr>
                <w:rFonts w:hint="eastAsia" w:ascii="宋体" w:hAnsi="宋体" w:cs="宋体"/>
              </w:rPr>
              <w:t>242</w:t>
            </w:r>
          </w:p>
        </w:tc>
        <w:tc>
          <w:tcPr>
            <w:tcW w:w="1296" w:type="dxa"/>
            <w:tcBorders>
              <w:right w:val="nil"/>
            </w:tcBorders>
            <w:shd w:val="clear" w:color="auto" w:fill="auto"/>
            <w:noWrap/>
            <w:tcMar>
              <w:top w:w="15" w:type="dxa"/>
              <w:left w:w="15" w:type="dxa"/>
              <w:right w:w="15" w:type="dxa"/>
            </w:tcMar>
            <w:vAlign w:val="bottom"/>
          </w:tcPr>
          <w:p w14:paraId="76BF92D3">
            <w:pPr>
              <w:pStyle w:val="34"/>
              <w:jc w:val="center"/>
              <w:rPr>
                <w:rFonts w:ascii="宋体" w:hAnsi="宋体" w:cs="宋体"/>
              </w:rPr>
            </w:pPr>
            <w:r>
              <w:rPr>
                <w:rFonts w:hint="eastAsia" w:ascii="宋体" w:hAnsi="宋体" w:cs="宋体"/>
              </w:rPr>
              <w:t>0.29</w:t>
            </w:r>
          </w:p>
        </w:tc>
      </w:tr>
      <w:tr w14:paraId="3DFF7EEF">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960" w:type="dxa"/>
            <w:tcBorders>
              <w:left w:val="nil"/>
            </w:tcBorders>
            <w:shd w:val="clear" w:color="auto" w:fill="auto"/>
            <w:noWrap/>
            <w:tcMar>
              <w:top w:w="15" w:type="dxa"/>
              <w:left w:w="15" w:type="dxa"/>
              <w:right w:w="15" w:type="dxa"/>
            </w:tcMar>
            <w:vAlign w:val="bottom"/>
          </w:tcPr>
          <w:p w14:paraId="0ADD9CFF">
            <w:pPr>
              <w:pStyle w:val="34"/>
              <w:jc w:val="center"/>
              <w:rPr>
                <w:rFonts w:ascii="宋体" w:hAnsi="宋体" w:cs="宋体"/>
              </w:rPr>
            </w:pPr>
            <w:r>
              <w:rPr>
                <w:rFonts w:hint="eastAsia" w:ascii="宋体" w:hAnsi="宋体" w:cs="宋体"/>
              </w:rPr>
              <w:t>24</w:t>
            </w:r>
          </w:p>
        </w:tc>
        <w:tc>
          <w:tcPr>
            <w:tcW w:w="960" w:type="dxa"/>
            <w:shd w:val="clear" w:color="auto" w:fill="auto"/>
            <w:noWrap/>
            <w:tcMar>
              <w:top w:w="15" w:type="dxa"/>
              <w:left w:w="15" w:type="dxa"/>
              <w:right w:w="15" w:type="dxa"/>
            </w:tcMar>
            <w:vAlign w:val="bottom"/>
          </w:tcPr>
          <w:p w14:paraId="39DE695D">
            <w:pPr>
              <w:pStyle w:val="34"/>
              <w:jc w:val="center"/>
              <w:rPr>
                <w:rFonts w:ascii="宋体" w:hAnsi="宋体" w:cs="宋体"/>
              </w:rPr>
            </w:pPr>
            <w:r>
              <w:rPr>
                <w:rFonts w:hint="eastAsia" w:ascii="宋体" w:hAnsi="宋体" w:cs="宋体"/>
              </w:rPr>
              <w:t>罗</w:t>
            </w:r>
          </w:p>
        </w:tc>
        <w:tc>
          <w:tcPr>
            <w:tcW w:w="960" w:type="dxa"/>
            <w:shd w:val="clear" w:color="auto" w:fill="auto"/>
            <w:noWrap/>
            <w:tcMar>
              <w:top w:w="15" w:type="dxa"/>
              <w:left w:w="15" w:type="dxa"/>
              <w:right w:w="15" w:type="dxa"/>
            </w:tcMar>
            <w:vAlign w:val="bottom"/>
          </w:tcPr>
          <w:p w14:paraId="2FD13E72">
            <w:pPr>
              <w:pStyle w:val="34"/>
              <w:jc w:val="center"/>
              <w:rPr>
                <w:rFonts w:ascii="宋体" w:hAnsi="宋体" w:cs="宋体"/>
              </w:rPr>
            </w:pPr>
            <w:r>
              <w:rPr>
                <w:rFonts w:hint="eastAsia" w:ascii="宋体" w:hAnsi="宋体" w:cs="宋体"/>
              </w:rPr>
              <w:t>1004</w:t>
            </w:r>
          </w:p>
        </w:tc>
        <w:tc>
          <w:tcPr>
            <w:tcW w:w="1397" w:type="dxa"/>
            <w:shd w:val="clear" w:color="auto" w:fill="auto"/>
            <w:noWrap/>
            <w:tcMar>
              <w:top w:w="15" w:type="dxa"/>
              <w:left w:w="15" w:type="dxa"/>
              <w:right w:w="15" w:type="dxa"/>
            </w:tcMar>
            <w:vAlign w:val="bottom"/>
          </w:tcPr>
          <w:p w14:paraId="37B1C36F">
            <w:pPr>
              <w:pStyle w:val="34"/>
              <w:jc w:val="center"/>
              <w:rPr>
                <w:rFonts w:ascii="宋体" w:hAnsi="宋体" w:cs="宋体"/>
              </w:rPr>
            </w:pPr>
            <w:r>
              <w:rPr>
                <w:rFonts w:hint="eastAsia" w:ascii="宋体" w:hAnsi="宋体" w:cs="宋体"/>
              </w:rPr>
              <w:t>1.21</w:t>
            </w:r>
          </w:p>
        </w:tc>
        <w:tc>
          <w:tcPr>
            <w:tcW w:w="523" w:type="dxa"/>
            <w:shd w:val="clear" w:color="auto" w:fill="auto"/>
            <w:noWrap/>
            <w:tcMar>
              <w:top w:w="15" w:type="dxa"/>
              <w:left w:w="15" w:type="dxa"/>
              <w:right w:w="15" w:type="dxa"/>
            </w:tcMar>
            <w:vAlign w:val="bottom"/>
          </w:tcPr>
          <w:p w14:paraId="44FA6CB3">
            <w:pPr>
              <w:pStyle w:val="34"/>
              <w:jc w:val="center"/>
              <w:rPr>
                <w:rFonts w:ascii="宋体" w:hAnsi="宋体" w:cs="宋体"/>
              </w:rPr>
            </w:pPr>
            <w:r>
              <w:rPr>
                <w:rFonts w:hint="eastAsia" w:ascii="宋体" w:hAnsi="宋体" w:cs="宋体"/>
              </w:rPr>
              <w:t>52</w:t>
            </w:r>
          </w:p>
        </w:tc>
        <w:tc>
          <w:tcPr>
            <w:tcW w:w="960" w:type="dxa"/>
            <w:shd w:val="clear" w:color="auto" w:fill="auto"/>
            <w:noWrap/>
            <w:tcMar>
              <w:top w:w="15" w:type="dxa"/>
              <w:left w:w="15" w:type="dxa"/>
              <w:right w:w="15" w:type="dxa"/>
            </w:tcMar>
            <w:vAlign w:val="bottom"/>
          </w:tcPr>
          <w:p w14:paraId="456A6F58">
            <w:pPr>
              <w:pStyle w:val="34"/>
              <w:jc w:val="center"/>
              <w:rPr>
                <w:rFonts w:ascii="宋体" w:hAnsi="宋体" w:cs="宋体"/>
              </w:rPr>
            </w:pPr>
            <w:r>
              <w:rPr>
                <w:rFonts w:hint="eastAsia" w:ascii="宋体" w:hAnsi="宋体" w:cs="宋体"/>
              </w:rPr>
              <w:t>欧</w:t>
            </w:r>
          </w:p>
        </w:tc>
        <w:tc>
          <w:tcPr>
            <w:tcW w:w="960" w:type="dxa"/>
            <w:shd w:val="clear" w:color="auto" w:fill="auto"/>
            <w:noWrap/>
            <w:tcMar>
              <w:top w:w="15" w:type="dxa"/>
              <w:left w:w="15" w:type="dxa"/>
              <w:right w:w="15" w:type="dxa"/>
            </w:tcMar>
            <w:vAlign w:val="bottom"/>
          </w:tcPr>
          <w:p w14:paraId="20201AD8">
            <w:pPr>
              <w:pStyle w:val="34"/>
              <w:jc w:val="center"/>
              <w:rPr>
                <w:rFonts w:ascii="宋体" w:hAnsi="宋体" w:cs="宋体"/>
              </w:rPr>
            </w:pPr>
            <w:r>
              <w:rPr>
                <w:rFonts w:hint="eastAsia" w:ascii="宋体" w:hAnsi="宋体" w:cs="宋体"/>
              </w:rPr>
              <w:t>222</w:t>
            </w:r>
          </w:p>
        </w:tc>
        <w:tc>
          <w:tcPr>
            <w:tcW w:w="1296" w:type="dxa"/>
            <w:tcBorders>
              <w:right w:val="nil"/>
            </w:tcBorders>
            <w:shd w:val="clear" w:color="auto" w:fill="auto"/>
            <w:noWrap/>
            <w:tcMar>
              <w:top w:w="15" w:type="dxa"/>
              <w:left w:w="15" w:type="dxa"/>
              <w:right w:w="15" w:type="dxa"/>
            </w:tcMar>
            <w:vAlign w:val="bottom"/>
          </w:tcPr>
          <w:p w14:paraId="4F69E100">
            <w:pPr>
              <w:pStyle w:val="34"/>
              <w:jc w:val="center"/>
              <w:rPr>
                <w:rFonts w:ascii="宋体" w:hAnsi="宋体" w:cs="宋体"/>
              </w:rPr>
            </w:pPr>
            <w:r>
              <w:rPr>
                <w:rFonts w:hint="eastAsia" w:ascii="宋体" w:hAnsi="宋体" w:cs="宋体"/>
              </w:rPr>
              <w:t>0.27</w:t>
            </w:r>
          </w:p>
        </w:tc>
      </w:tr>
      <w:tr w14:paraId="731B0150">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960" w:type="dxa"/>
            <w:tcBorders>
              <w:left w:val="nil"/>
            </w:tcBorders>
            <w:shd w:val="clear" w:color="auto" w:fill="auto"/>
            <w:noWrap/>
            <w:tcMar>
              <w:top w:w="15" w:type="dxa"/>
              <w:left w:w="15" w:type="dxa"/>
              <w:right w:w="15" w:type="dxa"/>
            </w:tcMar>
            <w:vAlign w:val="bottom"/>
          </w:tcPr>
          <w:p w14:paraId="5FD37F7C">
            <w:pPr>
              <w:pStyle w:val="34"/>
              <w:jc w:val="center"/>
              <w:rPr>
                <w:rFonts w:ascii="宋体" w:hAnsi="宋体" w:cs="宋体"/>
              </w:rPr>
            </w:pPr>
            <w:r>
              <w:rPr>
                <w:rFonts w:hint="eastAsia" w:ascii="宋体" w:hAnsi="宋体" w:cs="宋体"/>
              </w:rPr>
              <w:t>25</w:t>
            </w:r>
          </w:p>
        </w:tc>
        <w:tc>
          <w:tcPr>
            <w:tcW w:w="960" w:type="dxa"/>
            <w:shd w:val="clear" w:color="auto" w:fill="auto"/>
            <w:noWrap/>
            <w:tcMar>
              <w:top w:w="15" w:type="dxa"/>
              <w:left w:w="15" w:type="dxa"/>
              <w:right w:w="15" w:type="dxa"/>
            </w:tcMar>
            <w:vAlign w:val="bottom"/>
          </w:tcPr>
          <w:p w14:paraId="4E5C77A0">
            <w:pPr>
              <w:pStyle w:val="34"/>
              <w:jc w:val="center"/>
              <w:rPr>
                <w:rFonts w:ascii="宋体" w:hAnsi="宋体" w:cs="宋体"/>
              </w:rPr>
            </w:pPr>
            <w:r>
              <w:rPr>
                <w:rFonts w:hint="eastAsia" w:ascii="宋体" w:hAnsi="宋体" w:cs="宋体"/>
              </w:rPr>
              <w:t>肖</w:t>
            </w:r>
          </w:p>
        </w:tc>
        <w:tc>
          <w:tcPr>
            <w:tcW w:w="960" w:type="dxa"/>
            <w:shd w:val="clear" w:color="auto" w:fill="auto"/>
            <w:noWrap/>
            <w:tcMar>
              <w:top w:w="15" w:type="dxa"/>
              <w:left w:w="15" w:type="dxa"/>
              <w:right w:w="15" w:type="dxa"/>
            </w:tcMar>
            <w:vAlign w:val="bottom"/>
          </w:tcPr>
          <w:p w14:paraId="79D16452">
            <w:pPr>
              <w:pStyle w:val="34"/>
              <w:jc w:val="center"/>
              <w:rPr>
                <w:rFonts w:ascii="宋体" w:hAnsi="宋体" w:cs="宋体"/>
              </w:rPr>
            </w:pPr>
            <w:r>
              <w:rPr>
                <w:rFonts w:hint="eastAsia" w:ascii="宋体" w:hAnsi="宋体" w:cs="宋体"/>
              </w:rPr>
              <w:t>995</w:t>
            </w:r>
          </w:p>
        </w:tc>
        <w:tc>
          <w:tcPr>
            <w:tcW w:w="1397" w:type="dxa"/>
            <w:shd w:val="clear" w:color="auto" w:fill="auto"/>
            <w:noWrap/>
            <w:tcMar>
              <w:top w:w="15" w:type="dxa"/>
              <w:left w:w="15" w:type="dxa"/>
              <w:right w:w="15" w:type="dxa"/>
            </w:tcMar>
            <w:vAlign w:val="bottom"/>
          </w:tcPr>
          <w:p w14:paraId="20508292">
            <w:pPr>
              <w:pStyle w:val="34"/>
              <w:jc w:val="center"/>
              <w:rPr>
                <w:rFonts w:ascii="宋体" w:hAnsi="宋体" w:cs="宋体"/>
              </w:rPr>
            </w:pPr>
            <w:r>
              <w:rPr>
                <w:rFonts w:hint="eastAsia" w:ascii="宋体" w:hAnsi="宋体" w:cs="宋体"/>
              </w:rPr>
              <w:t>1.20</w:t>
            </w:r>
          </w:p>
        </w:tc>
        <w:tc>
          <w:tcPr>
            <w:tcW w:w="523" w:type="dxa"/>
            <w:shd w:val="clear" w:color="auto" w:fill="auto"/>
            <w:noWrap/>
            <w:tcMar>
              <w:top w:w="15" w:type="dxa"/>
              <w:left w:w="15" w:type="dxa"/>
              <w:right w:w="15" w:type="dxa"/>
            </w:tcMar>
            <w:vAlign w:val="bottom"/>
          </w:tcPr>
          <w:p w14:paraId="0A1121DD">
            <w:pPr>
              <w:pStyle w:val="34"/>
              <w:jc w:val="center"/>
              <w:rPr>
                <w:rFonts w:ascii="宋体" w:hAnsi="宋体" w:cs="宋体"/>
              </w:rPr>
            </w:pPr>
            <w:r>
              <w:rPr>
                <w:rFonts w:hint="eastAsia" w:ascii="宋体" w:hAnsi="宋体" w:cs="宋体"/>
              </w:rPr>
              <w:t>53</w:t>
            </w:r>
          </w:p>
        </w:tc>
        <w:tc>
          <w:tcPr>
            <w:tcW w:w="960" w:type="dxa"/>
            <w:shd w:val="clear" w:color="auto" w:fill="auto"/>
            <w:noWrap/>
            <w:tcMar>
              <w:top w:w="15" w:type="dxa"/>
              <w:left w:w="15" w:type="dxa"/>
              <w:right w:w="15" w:type="dxa"/>
            </w:tcMar>
            <w:vAlign w:val="bottom"/>
          </w:tcPr>
          <w:p w14:paraId="528DF146">
            <w:pPr>
              <w:pStyle w:val="34"/>
              <w:jc w:val="center"/>
              <w:rPr>
                <w:rFonts w:ascii="宋体" w:hAnsi="宋体" w:cs="宋体"/>
              </w:rPr>
            </w:pPr>
            <w:r>
              <w:rPr>
                <w:rFonts w:hint="eastAsia" w:ascii="宋体" w:hAnsi="宋体" w:cs="宋体"/>
              </w:rPr>
              <w:t>侯</w:t>
            </w:r>
          </w:p>
        </w:tc>
        <w:tc>
          <w:tcPr>
            <w:tcW w:w="960" w:type="dxa"/>
            <w:shd w:val="clear" w:color="auto" w:fill="auto"/>
            <w:noWrap/>
            <w:tcMar>
              <w:top w:w="15" w:type="dxa"/>
              <w:left w:w="15" w:type="dxa"/>
              <w:right w:w="15" w:type="dxa"/>
            </w:tcMar>
            <w:vAlign w:val="bottom"/>
          </w:tcPr>
          <w:p w14:paraId="28E11553">
            <w:pPr>
              <w:pStyle w:val="34"/>
              <w:jc w:val="center"/>
              <w:rPr>
                <w:rFonts w:ascii="宋体" w:hAnsi="宋体" w:cs="宋体"/>
              </w:rPr>
            </w:pPr>
            <w:r>
              <w:rPr>
                <w:rFonts w:hint="eastAsia" w:ascii="宋体" w:hAnsi="宋体" w:cs="宋体"/>
              </w:rPr>
              <w:t>219</w:t>
            </w:r>
          </w:p>
        </w:tc>
        <w:tc>
          <w:tcPr>
            <w:tcW w:w="1296" w:type="dxa"/>
            <w:tcBorders>
              <w:right w:val="nil"/>
            </w:tcBorders>
            <w:shd w:val="clear" w:color="auto" w:fill="auto"/>
            <w:noWrap/>
            <w:tcMar>
              <w:top w:w="15" w:type="dxa"/>
              <w:left w:w="15" w:type="dxa"/>
              <w:right w:w="15" w:type="dxa"/>
            </w:tcMar>
            <w:vAlign w:val="bottom"/>
          </w:tcPr>
          <w:p w14:paraId="419F9BE1">
            <w:pPr>
              <w:pStyle w:val="34"/>
              <w:jc w:val="center"/>
              <w:rPr>
                <w:rFonts w:ascii="宋体" w:hAnsi="宋体" w:cs="宋体"/>
              </w:rPr>
            </w:pPr>
            <w:r>
              <w:rPr>
                <w:rFonts w:hint="eastAsia" w:ascii="宋体" w:hAnsi="宋体" w:cs="宋体"/>
              </w:rPr>
              <w:t>0.26</w:t>
            </w:r>
          </w:p>
        </w:tc>
      </w:tr>
      <w:tr w14:paraId="6DCDD777">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960" w:type="dxa"/>
            <w:tcBorders>
              <w:left w:val="nil"/>
            </w:tcBorders>
            <w:shd w:val="clear" w:color="auto" w:fill="auto"/>
            <w:noWrap/>
            <w:tcMar>
              <w:top w:w="15" w:type="dxa"/>
              <w:left w:w="15" w:type="dxa"/>
              <w:right w:w="15" w:type="dxa"/>
            </w:tcMar>
            <w:vAlign w:val="bottom"/>
          </w:tcPr>
          <w:p w14:paraId="46459A22">
            <w:pPr>
              <w:pStyle w:val="34"/>
              <w:jc w:val="center"/>
              <w:rPr>
                <w:rFonts w:ascii="宋体" w:hAnsi="宋体" w:cs="宋体"/>
              </w:rPr>
            </w:pPr>
            <w:r>
              <w:rPr>
                <w:rFonts w:hint="eastAsia" w:ascii="宋体" w:hAnsi="宋体" w:cs="宋体"/>
              </w:rPr>
              <w:t>26</w:t>
            </w:r>
          </w:p>
        </w:tc>
        <w:tc>
          <w:tcPr>
            <w:tcW w:w="960" w:type="dxa"/>
            <w:shd w:val="clear" w:color="auto" w:fill="auto"/>
            <w:noWrap/>
            <w:tcMar>
              <w:top w:w="15" w:type="dxa"/>
              <w:left w:w="15" w:type="dxa"/>
              <w:right w:w="15" w:type="dxa"/>
            </w:tcMar>
            <w:vAlign w:val="bottom"/>
          </w:tcPr>
          <w:p w14:paraId="43989745">
            <w:pPr>
              <w:pStyle w:val="34"/>
              <w:jc w:val="center"/>
              <w:rPr>
                <w:rFonts w:ascii="宋体" w:hAnsi="宋体" w:cs="宋体"/>
              </w:rPr>
            </w:pPr>
            <w:r>
              <w:rPr>
                <w:rFonts w:hint="eastAsia" w:ascii="宋体" w:hAnsi="宋体" w:cs="宋体"/>
              </w:rPr>
              <w:t>邱</w:t>
            </w:r>
          </w:p>
        </w:tc>
        <w:tc>
          <w:tcPr>
            <w:tcW w:w="960" w:type="dxa"/>
            <w:shd w:val="clear" w:color="auto" w:fill="auto"/>
            <w:noWrap/>
            <w:tcMar>
              <w:top w:w="15" w:type="dxa"/>
              <w:left w:w="15" w:type="dxa"/>
              <w:right w:w="15" w:type="dxa"/>
            </w:tcMar>
            <w:vAlign w:val="bottom"/>
          </w:tcPr>
          <w:p w14:paraId="7065574E">
            <w:pPr>
              <w:pStyle w:val="34"/>
              <w:jc w:val="center"/>
              <w:rPr>
                <w:rFonts w:ascii="宋体" w:hAnsi="宋体" w:cs="宋体"/>
              </w:rPr>
            </w:pPr>
            <w:r>
              <w:rPr>
                <w:rFonts w:hint="eastAsia" w:ascii="宋体" w:hAnsi="宋体" w:cs="宋体"/>
              </w:rPr>
              <w:t>976</w:t>
            </w:r>
          </w:p>
        </w:tc>
        <w:tc>
          <w:tcPr>
            <w:tcW w:w="1397" w:type="dxa"/>
            <w:shd w:val="clear" w:color="auto" w:fill="auto"/>
            <w:noWrap/>
            <w:tcMar>
              <w:top w:w="15" w:type="dxa"/>
              <w:left w:w="15" w:type="dxa"/>
              <w:right w:w="15" w:type="dxa"/>
            </w:tcMar>
            <w:vAlign w:val="bottom"/>
          </w:tcPr>
          <w:p w14:paraId="25B781B9">
            <w:pPr>
              <w:pStyle w:val="34"/>
              <w:jc w:val="center"/>
              <w:rPr>
                <w:rFonts w:ascii="宋体" w:hAnsi="宋体" w:cs="宋体"/>
              </w:rPr>
            </w:pPr>
            <w:r>
              <w:rPr>
                <w:rFonts w:hint="eastAsia" w:ascii="宋体" w:hAnsi="宋体" w:cs="宋体"/>
              </w:rPr>
              <w:t>1.17</w:t>
            </w:r>
          </w:p>
        </w:tc>
        <w:tc>
          <w:tcPr>
            <w:tcW w:w="523" w:type="dxa"/>
            <w:shd w:val="clear" w:color="auto" w:fill="auto"/>
            <w:noWrap/>
            <w:tcMar>
              <w:top w:w="15" w:type="dxa"/>
              <w:left w:w="15" w:type="dxa"/>
              <w:right w:w="15" w:type="dxa"/>
            </w:tcMar>
            <w:vAlign w:val="bottom"/>
          </w:tcPr>
          <w:p w14:paraId="3EDDF216">
            <w:pPr>
              <w:pStyle w:val="34"/>
              <w:jc w:val="center"/>
              <w:rPr>
                <w:rFonts w:ascii="宋体" w:hAnsi="宋体" w:cs="宋体"/>
              </w:rPr>
            </w:pPr>
            <w:r>
              <w:rPr>
                <w:rFonts w:hint="eastAsia" w:ascii="宋体" w:hAnsi="宋体" w:cs="宋体"/>
              </w:rPr>
              <w:t>54</w:t>
            </w:r>
          </w:p>
        </w:tc>
        <w:tc>
          <w:tcPr>
            <w:tcW w:w="960" w:type="dxa"/>
            <w:shd w:val="clear" w:color="auto" w:fill="auto"/>
            <w:noWrap/>
            <w:tcMar>
              <w:top w:w="15" w:type="dxa"/>
              <w:left w:w="15" w:type="dxa"/>
              <w:right w:w="15" w:type="dxa"/>
            </w:tcMar>
            <w:vAlign w:val="bottom"/>
          </w:tcPr>
          <w:p w14:paraId="06E75FCC">
            <w:pPr>
              <w:pStyle w:val="34"/>
              <w:jc w:val="center"/>
              <w:rPr>
                <w:rFonts w:ascii="宋体" w:hAnsi="宋体" w:cs="宋体"/>
              </w:rPr>
            </w:pPr>
            <w:r>
              <w:rPr>
                <w:rFonts w:hint="eastAsia" w:ascii="宋体" w:hAnsi="宋体" w:cs="宋体"/>
              </w:rPr>
              <w:t>唐</w:t>
            </w:r>
          </w:p>
        </w:tc>
        <w:tc>
          <w:tcPr>
            <w:tcW w:w="960" w:type="dxa"/>
            <w:shd w:val="clear" w:color="auto" w:fill="auto"/>
            <w:noWrap/>
            <w:tcMar>
              <w:top w:w="15" w:type="dxa"/>
              <w:left w:w="15" w:type="dxa"/>
              <w:right w:w="15" w:type="dxa"/>
            </w:tcMar>
            <w:vAlign w:val="bottom"/>
          </w:tcPr>
          <w:p w14:paraId="2BADA446">
            <w:pPr>
              <w:pStyle w:val="34"/>
              <w:jc w:val="center"/>
              <w:rPr>
                <w:rFonts w:ascii="宋体" w:hAnsi="宋体" w:cs="宋体"/>
              </w:rPr>
            </w:pPr>
            <w:r>
              <w:rPr>
                <w:rFonts w:hint="eastAsia" w:ascii="宋体" w:hAnsi="宋体" w:cs="宋体"/>
              </w:rPr>
              <w:t>177</w:t>
            </w:r>
          </w:p>
        </w:tc>
        <w:tc>
          <w:tcPr>
            <w:tcW w:w="1296" w:type="dxa"/>
            <w:tcBorders>
              <w:right w:val="nil"/>
            </w:tcBorders>
            <w:shd w:val="clear" w:color="auto" w:fill="auto"/>
            <w:noWrap/>
            <w:tcMar>
              <w:top w:w="15" w:type="dxa"/>
              <w:left w:w="15" w:type="dxa"/>
              <w:right w:w="15" w:type="dxa"/>
            </w:tcMar>
            <w:vAlign w:val="bottom"/>
          </w:tcPr>
          <w:p w14:paraId="49494699">
            <w:pPr>
              <w:pStyle w:val="34"/>
              <w:jc w:val="center"/>
              <w:rPr>
                <w:rFonts w:ascii="宋体" w:hAnsi="宋体" w:cs="宋体"/>
              </w:rPr>
            </w:pPr>
            <w:r>
              <w:rPr>
                <w:rFonts w:hint="eastAsia" w:ascii="宋体" w:hAnsi="宋体" w:cs="宋体"/>
              </w:rPr>
              <w:t>0.21</w:t>
            </w:r>
          </w:p>
        </w:tc>
      </w:tr>
      <w:tr w14:paraId="77846B04">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960" w:type="dxa"/>
            <w:tcBorders>
              <w:left w:val="nil"/>
            </w:tcBorders>
            <w:shd w:val="clear" w:color="auto" w:fill="auto"/>
            <w:noWrap/>
            <w:tcMar>
              <w:top w:w="15" w:type="dxa"/>
              <w:left w:w="15" w:type="dxa"/>
              <w:right w:w="15" w:type="dxa"/>
            </w:tcMar>
            <w:vAlign w:val="bottom"/>
          </w:tcPr>
          <w:p w14:paraId="62663E7A">
            <w:pPr>
              <w:pStyle w:val="34"/>
              <w:jc w:val="center"/>
              <w:rPr>
                <w:rFonts w:ascii="宋体" w:hAnsi="宋体" w:cs="宋体"/>
              </w:rPr>
            </w:pPr>
            <w:r>
              <w:rPr>
                <w:rFonts w:hint="eastAsia" w:ascii="宋体" w:hAnsi="宋体" w:cs="宋体"/>
              </w:rPr>
              <w:t>27</w:t>
            </w:r>
          </w:p>
        </w:tc>
        <w:tc>
          <w:tcPr>
            <w:tcW w:w="960" w:type="dxa"/>
            <w:shd w:val="clear" w:color="auto" w:fill="auto"/>
            <w:noWrap/>
            <w:tcMar>
              <w:top w:w="15" w:type="dxa"/>
              <w:left w:w="15" w:type="dxa"/>
              <w:right w:w="15" w:type="dxa"/>
            </w:tcMar>
            <w:vAlign w:val="bottom"/>
          </w:tcPr>
          <w:p w14:paraId="02A90DEC">
            <w:pPr>
              <w:pStyle w:val="34"/>
              <w:jc w:val="center"/>
              <w:rPr>
                <w:rFonts w:ascii="宋体" w:hAnsi="宋体" w:cs="宋体"/>
              </w:rPr>
            </w:pPr>
            <w:r>
              <w:rPr>
                <w:rFonts w:hint="eastAsia" w:ascii="宋体" w:hAnsi="宋体" w:cs="宋体"/>
              </w:rPr>
              <w:t>马</w:t>
            </w:r>
          </w:p>
        </w:tc>
        <w:tc>
          <w:tcPr>
            <w:tcW w:w="960" w:type="dxa"/>
            <w:shd w:val="clear" w:color="auto" w:fill="auto"/>
            <w:noWrap/>
            <w:tcMar>
              <w:top w:w="15" w:type="dxa"/>
              <w:left w:w="15" w:type="dxa"/>
              <w:right w:w="15" w:type="dxa"/>
            </w:tcMar>
            <w:vAlign w:val="bottom"/>
          </w:tcPr>
          <w:p w14:paraId="256BFD3A">
            <w:pPr>
              <w:pStyle w:val="34"/>
              <w:jc w:val="center"/>
              <w:rPr>
                <w:rFonts w:ascii="宋体" w:hAnsi="宋体" w:cs="宋体"/>
              </w:rPr>
            </w:pPr>
            <w:r>
              <w:rPr>
                <w:rFonts w:hint="eastAsia" w:ascii="宋体" w:hAnsi="宋体" w:cs="宋体"/>
              </w:rPr>
              <w:t>963</w:t>
            </w:r>
          </w:p>
        </w:tc>
        <w:tc>
          <w:tcPr>
            <w:tcW w:w="1397" w:type="dxa"/>
            <w:shd w:val="clear" w:color="auto" w:fill="auto"/>
            <w:noWrap/>
            <w:tcMar>
              <w:top w:w="15" w:type="dxa"/>
              <w:left w:w="15" w:type="dxa"/>
              <w:right w:w="15" w:type="dxa"/>
            </w:tcMar>
            <w:vAlign w:val="bottom"/>
          </w:tcPr>
          <w:p w14:paraId="79DB92C7">
            <w:pPr>
              <w:pStyle w:val="34"/>
              <w:jc w:val="center"/>
              <w:rPr>
                <w:rFonts w:ascii="宋体" w:hAnsi="宋体" w:cs="宋体"/>
              </w:rPr>
            </w:pPr>
            <w:r>
              <w:rPr>
                <w:rFonts w:hint="eastAsia" w:ascii="宋体" w:hAnsi="宋体" w:cs="宋体"/>
              </w:rPr>
              <w:t>1.16</w:t>
            </w:r>
          </w:p>
        </w:tc>
        <w:tc>
          <w:tcPr>
            <w:tcW w:w="523" w:type="dxa"/>
            <w:shd w:val="clear" w:color="auto" w:fill="auto"/>
            <w:noWrap/>
            <w:tcMar>
              <w:top w:w="15" w:type="dxa"/>
              <w:left w:w="15" w:type="dxa"/>
              <w:right w:w="15" w:type="dxa"/>
            </w:tcMar>
            <w:vAlign w:val="bottom"/>
          </w:tcPr>
          <w:p w14:paraId="629CF6F9">
            <w:pPr>
              <w:pStyle w:val="34"/>
              <w:jc w:val="center"/>
              <w:rPr>
                <w:rFonts w:ascii="宋体" w:hAnsi="宋体" w:cs="宋体"/>
              </w:rPr>
            </w:pPr>
            <w:r>
              <w:rPr>
                <w:rFonts w:hint="eastAsia" w:ascii="宋体" w:hAnsi="宋体" w:cs="宋体"/>
              </w:rPr>
              <w:t>55</w:t>
            </w:r>
          </w:p>
        </w:tc>
        <w:tc>
          <w:tcPr>
            <w:tcW w:w="960" w:type="dxa"/>
            <w:shd w:val="clear" w:color="auto" w:fill="auto"/>
            <w:noWrap/>
            <w:tcMar>
              <w:top w:w="15" w:type="dxa"/>
              <w:left w:w="15" w:type="dxa"/>
              <w:right w:w="15" w:type="dxa"/>
            </w:tcMar>
            <w:vAlign w:val="bottom"/>
          </w:tcPr>
          <w:p w14:paraId="54EAD5F4">
            <w:pPr>
              <w:pStyle w:val="34"/>
              <w:jc w:val="center"/>
              <w:rPr>
                <w:rFonts w:ascii="宋体" w:hAnsi="宋体" w:cs="宋体"/>
              </w:rPr>
            </w:pPr>
            <w:r>
              <w:rPr>
                <w:rFonts w:hint="eastAsia" w:ascii="宋体" w:hAnsi="宋体" w:cs="宋体"/>
              </w:rPr>
              <w:t>杜</w:t>
            </w:r>
          </w:p>
        </w:tc>
        <w:tc>
          <w:tcPr>
            <w:tcW w:w="960" w:type="dxa"/>
            <w:shd w:val="clear" w:color="auto" w:fill="auto"/>
            <w:noWrap/>
            <w:tcMar>
              <w:top w:w="15" w:type="dxa"/>
              <w:left w:w="15" w:type="dxa"/>
              <w:right w:w="15" w:type="dxa"/>
            </w:tcMar>
            <w:vAlign w:val="bottom"/>
          </w:tcPr>
          <w:p w14:paraId="49C43529">
            <w:pPr>
              <w:pStyle w:val="34"/>
              <w:jc w:val="center"/>
              <w:rPr>
                <w:rFonts w:ascii="宋体" w:hAnsi="宋体" w:cs="宋体"/>
              </w:rPr>
            </w:pPr>
            <w:r>
              <w:rPr>
                <w:rFonts w:hint="eastAsia" w:ascii="宋体" w:hAnsi="宋体" w:cs="宋体"/>
              </w:rPr>
              <w:t>165</w:t>
            </w:r>
          </w:p>
        </w:tc>
        <w:tc>
          <w:tcPr>
            <w:tcW w:w="1296" w:type="dxa"/>
            <w:tcBorders>
              <w:right w:val="nil"/>
            </w:tcBorders>
            <w:shd w:val="clear" w:color="auto" w:fill="auto"/>
            <w:noWrap/>
            <w:tcMar>
              <w:top w:w="15" w:type="dxa"/>
              <w:left w:w="15" w:type="dxa"/>
              <w:right w:w="15" w:type="dxa"/>
            </w:tcMar>
            <w:vAlign w:val="bottom"/>
          </w:tcPr>
          <w:p w14:paraId="44C8F828">
            <w:pPr>
              <w:pStyle w:val="34"/>
              <w:jc w:val="center"/>
              <w:rPr>
                <w:rFonts w:ascii="宋体" w:hAnsi="宋体" w:cs="宋体"/>
              </w:rPr>
            </w:pPr>
            <w:r>
              <w:rPr>
                <w:rFonts w:hint="eastAsia" w:ascii="宋体" w:hAnsi="宋体" w:cs="宋体"/>
              </w:rPr>
              <w:t>0.20</w:t>
            </w:r>
          </w:p>
        </w:tc>
      </w:tr>
      <w:tr w14:paraId="65185DFE">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960" w:type="dxa"/>
            <w:tcBorders>
              <w:left w:val="nil"/>
            </w:tcBorders>
            <w:shd w:val="clear" w:color="auto" w:fill="auto"/>
            <w:noWrap/>
            <w:tcMar>
              <w:top w:w="15" w:type="dxa"/>
              <w:left w:w="15" w:type="dxa"/>
              <w:right w:w="15" w:type="dxa"/>
            </w:tcMar>
            <w:vAlign w:val="bottom"/>
          </w:tcPr>
          <w:p w14:paraId="38E5D17F">
            <w:pPr>
              <w:pStyle w:val="34"/>
              <w:jc w:val="center"/>
              <w:rPr>
                <w:rFonts w:ascii="宋体" w:hAnsi="宋体" w:cs="宋体"/>
              </w:rPr>
            </w:pPr>
            <w:r>
              <w:rPr>
                <w:rFonts w:hint="eastAsia" w:ascii="宋体" w:hAnsi="宋体" w:cs="宋体"/>
              </w:rPr>
              <w:t>28</w:t>
            </w:r>
          </w:p>
        </w:tc>
        <w:tc>
          <w:tcPr>
            <w:tcW w:w="960" w:type="dxa"/>
            <w:shd w:val="clear" w:color="auto" w:fill="auto"/>
            <w:noWrap/>
            <w:tcMar>
              <w:top w:w="15" w:type="dxa"/>
              <w:left w:w="15" w:type="dxa"/>
              <w:right w:w="15" w:type="dxa"/>
            </w:tcMar>
            <w:vAlign w:val="bottom"/>
          </w:tcPr>
          <w:p w14:paraId="20E8E739">
            <w:pPr>
              <w:pStyle w:val="34"/>
              <w:jc w:val="center"/>
              <w:rPr>
                <w:rFonts w:ascii="宋体" w:hAnsi="宋体" w:cs="宋体"/>
              </w:rPr>
            </w:pPr>
            <w:r>
              <w:rPr>
                <w:rFonts w:hint="eastAsia" w:ascii="宋体" w:hAnsi="宋体" w:cs="宋体"/>
              </w:rPr>
              <w:t>杨</w:t>
            </w:r>
          </w:p>
        </w:tc>
        <w:tc>
          <w:tcPr>
            <w:tcW w:w="960" w:type="dxa"/>
            <w:shd w:val="clear" w:color="auto" w:fill="auto"/>
            <w:noWrap/>
            <w:tcMar>
              <w:top w:w="15" w:type="dxa"/>
              <w:left w:w="15" w:type="dxa"/>
              <w:right w:w="15" w:type="dxa"/>
            </w:tcMar>
            <w:vAlign w:val="bottom"/>
          </w:tcPr>
          <w:p w14:paraId="1536B3FE">
            <w:pPr>
              <w:pStyle w:val="34"/>
              <w:jc w:val="center"/>
              <w:rPr>
                <w:rFonts w:ascii="宋体" w:hAnsi="宋体" w:cs="宋体"/>
              </w:rPr>
            </w:pPr>
            <w:r>
              <w:rPr>
                <w:rFonts w:hint="eastAsia" w:ascii="宋体" w:hAnsi="宋体" w:cs="宋体"/>
              </w:rPr>
              <w:t>945</w:t>
            </w:r>
          </w:p>
        </w:tc>
        <w:tc>
          <w:tcPr>
            <w:tcW w:w="1397" w:type="dxa"/>
            <w:shd w:val="clear" w:color="auto" w:fill="auto"/>
            <w:noWrap/>
            <w:tcMar>
              <w:top w:w="15" w:type="dxa"/>
              <w:left w:w="15" w:type="dxa"/>
              <w:right w:w="15" w:type="dxa"/>
            </w:tcMar>
            <w:vAlign w:val="bottom"/>
          </w:tcPr>
          <w:p w14:paraId="442E2DA8">
            <w:pPr>
              <w:pStyle w:val="34"/>
              <w:jc w:val="center"/>
              <w:rPr>
                <w:rFonts w:ascii="宋体" w:hAnsi="宋体" w:cs="宋体"/>
              </w:rPr>
            </w:pPr>
            <w:r>
              <w:rPr>
                <w:rFonts w:hint="eastAsia" w:ascii="宋体" w:hAnsi="宋体" w:cs="宋体"/>
              </w:rPr>
              <w:t>1.14</w:t>
            </w:r>
          </w:p>
        </w:tc>
        <w:tc>
          <w:tcPr>
            <w:tcW w:w="523" w:type="dxa"/>
            <w:shd w:val="clear" w:color="auto" w:fill="auto"/>
            <w:noWrap/>
            <w:tcMar>
              <w:top w:w="15" w:type="dxa"/>
              <w:left w:w="15" w:type="dxa"/>
              <w:right w:w="15" w:type="dxa"/>
            </w:tcMar>
            <w:vAlign w:val="bottom"/>
          </w:tcPr>
          <w:p w14:paraId="3D985069">
            <w:pPr>
              <w:pStyle w:val="34"/>
              <w:jc w:val="center"/>
              <w:rPr>
                <w:rFonts w:ascii="宋体" w:hAnsi="宋体" w:cs="宋体"/>
              </w:rPr>
            </w:pPr>
            <w:r>
              <w:rPr>
                <w:rFonts w:hint="eastAsia" w:ascii="宋体" w:hAnsi="宋体" w:cs="宋体"/>
              </w:rPr>
              <w:t>56</w:t>
            </w:r>
          </w:p>
        </w:tc>
        <w:tc>
          <w:tcPr>
            <w:tcW w:w="960" w:type="dxa"/>
            <w:shd w:val="clear" w:color="auto" w:fill="auto"/>
            <w:noWrap/>
            <w:tcMar>
              <w:top w:w="15" w:type="dxa"/>
              <w:left w:w="15" w:type="dxa"/>
              <w:right w:w="15" w:type="dxa"/>
            </w:tcMar>
            <w:vAlign w:val="bottom"/>
          </w:tcPr>
          <w:p w14:paraId="2E654DD9">
            <w:pPr>
              <w:pStyle w:val="34"/>
              <w:jc w:val="center"/>
              <w:rPr>
                <w:rFonts w:ascii="宋体" w:hAnsi="宋体" w:cs="宋体"/>
              </w:rPr>
            </w:pPr>
            <w:r>
              <w:rPr>
                <w:rFonts w:hint="eastAsia" w:ascii="宋体" w:hAnsi="宋体" w:cs="宋体"/>
              </w:rPr>
              <w:t>麦</w:t>
            </w:r>
          </w:p>
        </w:tc>
        <w:tc>
          <w:tcPr>
            <w:tcW w:w="960" w:type="dxa"/>
            <w:shd w:val="clear" w:color="auto" w:fill="auto"/>
            <w:noWrap/>
            <w:tcMar>
              <w:top w:w="15" w:type="dxa"/>
              <w:left w:w="15" w:type="dxa"/>
              <w:right w:w="15" w:type="dxa"/>
            </w:tcMar>
            <w:vAlign w:val="bottom"/>
          </w:tcPr>
          <w:p w14:paraId="03F8A95A">
            <w:pPr>
              <w:pStyle w:val="34"/>
              <w:jc w:val="center"/>
              <w:rPr>
                <w:rFonts w:ascii="宋体" w:hAnsi="宋体" w:cs="宋体"/>
              </w:rPr>
            </w:pPr>
            <w:r>
              <w:rPr>
                <w:rFonts w:hint="eastAsia" w:ascii="宋体" w:hAnsi="宋体" w:cs="宋体"/>
              </w:rPr>
              <w:t>147</w:t>
            </w:r>
          </w:p>
        </w:tc>
        <w:tc>
          <w:tcPr>
            <w:tcW w:w="1296" w:type="dxa"/>
            <w:tcBorders>
              <w:right w:val="nil"/>
            </w:tcBorders>
            <w:shd w:val="clear" w:color="auto" w:fill="auto"/>
            <w:noWrap/>
            <w:tcMar>
              <w:top w:w="15" w:type="dxa"/>
              <w:left w:w="15" w:type="dxa"/>
              <w:right w:w="15" w:type="dxa"/>
            </w:tcMar>
            <w:vAlign w:val="bottom"/>
          </w:tcPr>
          <w:p w14:paraId="3F2036EB">
            <w:pPr>
              <w:pStyle w:val="34"/>
              <w:jc w:val="center"/>
              <w:rPr>
                <w:rFonts w:ascii="宋体" w:hAnsi="宋体" w:cs="宋体"/>
              </w:rPr>
            </w:pPr>
            <w:r>
              <w:rPr>
                <w:rFonts w:hint="eastAsia" w:ascii="宋体" w:hAnsi="宋体" w:cs="宋体"/>
              </w:rPr>
              <w:t>0.18</w:t>
            </w:r>
          </w:p>
        </w:tc>
      </w:tr>
      <w:tr w14:paraId="3CF03D14">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960" w:type="dxa"/>
            <w:tcBorders>
              <w:left w:val="nil"/>
            </w:tcBorders>
            <w:shd w:val="clear" w:color="auto" w:fill="auto"/>
            <w:noWrap/>
            <w:tcMar>
              <w:top w:w="15" w:type="dxa"/>
              <w:left w:w="15" w:type="dxa"/>
              <w:right w:w="15" w:type="dxa"/>
            </w:tcMar>
            <w:vAlign w:val="bottom"/>
          </w:tcPr>
          <w:p w14:paraId="71867F34">
            <w:pPr>
              <w:pStyle w:val="34"/>
              <w:jc w:val="center"/>
              <w:rPr>
                <w:rFonts w:ascii="宋体" w:hAnsi="宋体" w:cs="宋体"/>
              </w:rPr>
            </w:pPr>
            <w:r>
              <w:rPr>
                <w:rFonts w:hint="eastAsia" w:ascii="宋体" w:hAnsi="宋体" w:cs="宋体"/>
              </w:rPr>
              <w:t>57</w:t>
            </w:r>
          </w:p>
        </w:tc>
        <w:tc>
          <w:tcPr>
            <w:tcW w:w="960" w:type="dxa"/>
            <w:shd w:val="clear" w:color="auto" w:fill="auto"/>
            <w:noWrap/>
            <w:tcMar>
              <w:top w:w="15" w:type="dxa"/>
              <w:left w:w="15" w:type="dxa"/>
              <w:right w:w="15" w:type="dxa"/>
            </w:tcMar>
            <w:vAlign w:val="bottom"/>
          </w:tcPr>
          <w:p w14:paraId="4E7EC3DD">
            <w:pPr>
              <w:pStyle w:val="34"/>
              <w:jc w:val="center"/>
              <w:rPr>
                <w:rFonts w:ascii="宋体" w:hAnsi="宋体" w:cs="宋体"/>
              </w:rPr>
            </w:pPr>
            <w:r>
              <w:rPr>
                <w:rFonts w:hint="eastAsia" w:ascii="宋体" w:hAnsi="宋体" w:cs="宋体"/>
              </w:rPr>
              <w:t>邬</w:t>
            </w:r>
          </w:p>
        </w:tc>
        <w:tc>
          <w:tcPr>
            <w:tcW w:w="960" w:type="dxa"/>
            <w:shd w:val="clear" w:color="auto" w:fill="auto"/>
            <w:noWrap/>
            <w:tcMar>
              <w:top w:w="15" w:type="dxa"/>
              <w:left w:w="15" w:type="dxa"/>
              <w:right w:w="15" w:type="dxa"/>
            </w:tcMar>
            <w:vAlign w:val="bottom"/>
          </w:tcPr>
          <w:p w14:paraId="01C187FE">
            <w:pPr>
              <w:pStyle w:val="34"/>
              <w:jc w:val="center"/>
              <w:rPr>
                <w:rFonts w:ascii="宋体" w:hAnsi="宋体" w:cs="宋体"/>
              </w:rPr>
            </w:pPr>
            <w:r>
              <w:rPr>
                <w:rFonts w:hint="eastAsia" w:ascii="宋体" w:hAnsi="宋体" w:cs="宋体"/>
              </w:rPr>
              <w:t>143</w:t>
            </w:r>
          </w:p>
        </w:tc>
        <w:tc>
          <w:tcPr>
            <w:tcW w:w="1397" w:type="dxa"/>
            <w:shd w:val="clear" w:color="auto" w:fill="auto"/>
            <w:noWrap/>
            <w:tcMar>
              <w:top w:w="15" w:type="dxa"/>
              <w:left w:w="15" w:type="dxa"/>
              <w:right w:w="15" w:type="dxa"/>
            </w:tcMar>
            <w:vAlign w:val="bottom"/>
          </w:tcPr>
          <w:p w14:paraId="452C0CF4">
            <w:pPr>
              <w:pStyle w:val="34"/>
              <w:jc w:val="center"/>
              <w:rPr>
                <w:rFonts w:ascii="宋体" w:hAnsi="宋体" w:cs="宋体"/>
              </w:rPr>
            </w:pPr>
            <w:r>
              <w:rPr>
                <w:rFonts w:hint="eastAsia" w:ascii="宋体" w:hAnsi="宋体" w:cs="宋体"/>
              </w:rPr>
              <w:t>0.17</w:t>
            </w:r>
          </w:p>
        </w:tc>
        <w:tc>
          <w:tcPr>
            <w:tcW w:w="523" w:type="dxa"/>
            <w:shd w:val="clear" w:color="auto" w:fill="auto"/>
            <w:noWrap/>
            <w:tcMar>
              <w:top w:w="15" w:type="dxa"/>
              <w:left w:w="15" w:type="dxa"/>
              <w:right w:w="15" w:type="dxa"/>
            </w:tcMar>
            <w:vAlign w:val="bottom"/>
          </w:tcPr>
          <w:p w14:paraId="0B0BE7C4">
            <w:pPr>
              <w:pStyle w:val="34"/>
              <w:jc w:val="center"/>
              <w:rPr>
                <w:rFonts w:ascii="宋体" w:hAnsi="宋体" w:cs="宋体"/>
              </w:rPr>
            </w:pPr>
            <w:r>
              <w:rPr>
                <w:rFonts w:hint="eastAsia" w:ascii="宋体" w:hAnsi="宋体" w:cs="宋体"/>
              </w:rPr>
              <w:t>85</w:t>
            </w:r>
          </w:p>
        </w:tc>
        <w:tc>
          <w:tcPr>
            <w:tcW w:w="960" w:type="dxa"/>
            <w:shd w:val="clear" w:color="auto" w:fill="auto"/>
            <w:noWrap/>
            <w:tcMar>
              <w:top w:w="15" w:type="dxa"/>
              <w:left w:w="15" w:type="dxa"/>
              <w:right w:w="15" w:type="dxa"/>
            </w:tcMar>
            <w:vAlign w:val="bottom"/>
          </w:tcPr>
          <w:p w14:paraId="0616503D">
            <w:pPr>
              <w:pStyle w:val="34"/>
              <w:jc w:val="center"/>
              <w:rPr>
                <w:rFonts w:ascii="宋体" w:hAnsi="宋体" w:cs="宋体"/>
              </w:rPr>
            </w:pPr>
            <w:r>
              <w:rPr>
                <w:rFonts w:hint="eastAsia" w:ascii="宋体" w:hAnsi="宋体" w:cs="宋体"/>
              </w:rPr>
              <w:t>石</w:t>
            </w:r>
          </w:p>
        </w:tc>
        <w:tc>
          <w:tcPr>
            <w:tcW w:w="960" w:type="dxa"/>
            <w:shd w:val="clear" w:color="auto" w:fill="auto"/>
            <w:noWrap/>
            <w:tcMar>
              <w:top w:w="15" w:type="dxa"/>
              <w:left w:w="15" w:type="dxa"/>
              <w:right w:w="15" w:type="dxa"/>
            </w:tcMar>
            <w:vAlign w:val="bottom"/>
          </w:tcPr>
          <w:p w14:paraId="39557962">
            <w:pPr>
              <w:pStyle w:val="34"/>
              <w:jc w:val="center"/>
              <w:rPr>
                <w:rFonts w:ascii="宋体" w:hAnsi="宋体" w:cs="宋体"/>
              </w:rPr>
            </w:pPr>
            <w:r>
              <w:rPr>
                <w:rFonts w:hint="eastAsia" w:ascii="宋体" w:hAnsi="宋体" w:cs="宋体"/>
              </w:rPr>
              <w:t>45</w:t>
            </w:r>
          </w:p>
        </w:tc>
        <w:tc>
          <w:tcPr>
            <w:tcW w:w="1296" w:type="dxa"/>
            <w:tcBorders>
              <w:right w:val="nil"/>
            </w:tcBorders>
            <w:shd w:val="clear" w:color="auto" w:fill="auto"/>
            <w:noWrap/>
            <w:tcMar>
              <w:top w:w="15" w:type="dxa"/>
              <w:left w:w="15" w:type="dxa"/>
              <w:right w:w="15" w:type="dxa"/>
            </w:tcMar>
            <w:vAlign w:val="bottom"/>
          </w:tcPr>
          <w:p w14:paraId="6D516161">
            <w:pPr>
              <w:pStyle w:val="34"/>
              <w:jc w:val="center"/>
              <w:rPr>
                <w:rFonts w:ascii="宋体" w:hAnsi="宋体" w:cs="宋体"/>
              </w:rPr>
            </w:pPr>
            <w:r>
              <w:rPr>
                <w:rFonts w:hint="eastAsia" w:ascii="宋体" w:hAnsi="宋体" w:cs="宋体"/>
              </w:rPr>
              <w:t>0.05</w:t>
            </w:r>
          </w:p>
        </w:tc>
      </w:tr>
      <w:tr w14:paraId="038CCAEF">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960" w:type="dxa"/>
            <w:tcBorders>
              <w:left w:val="nil"/>
            </w:tcBorders>
            <w:shd w:val="clear" w:color="auto" w:fill="auto"/>
            <w:noWrap/>
            <w:tcMar>
              <w:top w:w="15" w:type="dxa"/>
              <w:left w:w="15" w:type="dxa"/>
              <w:right w:w="15" w:type="dxa"/>
            </w:tcMar>
            <w:vAlign w:val="bottom"/>
          </w:tcPr>
          <w:p w14:paraId="133536D7">
            <w:pPr>
              <w:pStyle w:val="34"/>
              <w:jc w:val="center"/>
              <w:rPr>
                <w:rFonts w:ascii="宋体" w:hAnsi="宋体" w:cs="宋体"/>
              </w:rPr>
            </w:pPr>
            <w:r>
              <w:rPr>
                <w:rFonts w:hint="eastAsia" w:ascii="宋体" w:hAnsi="宋体" w:cs="宋体"/>
              </w:rPr>
              <w:t>58</w:t>
            </w:r>
          </w:p>
        </w:tc>
        <w:tc>
          <w:tcPr>
            <w:tcW w:w="960" w:type="dxa"/>
            <w:shd w:val="clear" w:color="auto" w:fill="auto"/>
            <w:noWrap/>
            <w:tcMar>
              <w:top w:w="15" w:type="dxa"/>
              <w:left w:w="15" w:type="dxa"/>
              <w:right w:w="15" w:type="dxa"/>
            </w:tcMar>
            <w:vAlign w:val="bottom"/>
          </w:tcPr>
          <w:p w14:paraId="26B261D9">
            <w:pPr>
              <w:pStyle w:val="34"/>
              <w:jc w:val="center"/>
              <w:rPr>
                <w:rFonts w:ascii="宋体" w:hAnsi="宋体" w:cs="宋体"/>
              </w:rPr>
            </w:pPr>
            <w:r>
              <w:rPr>
                <w:rFonts w:hint="eastAsia" w:ascii="宋体" w:hAnsi="宋体" w:cs="宋体"/>
              </w:rPr>
              <w:t>邹</w:t>
            </w:r>
          </w:p>
        </w:tc>
        <w:tc>
          <w:tcPr>
            <w:tcW w:w="960" w:type="dxa"/>
            <w:shd w:val="clear" w:color="auto" w:fill="auto"/>
            <w:noWrap/>
            <w:tcMar>
              <w:top w:w="15" w:type="dxa"/>
              <w:left w:w="15" w:type="dxa"/>
              <w:right w:w="15" w:type="dxa"/>
            </w:tcMar>
            <w:vAlign w:val="bottom"/>
          </w:tcPr>
          <w:p w14:paraId="3E6F472F">
            <w:pPr>
              <w:pStyle w:val="34"/>
              <w:jc w:val="center"/>
              <w:rPr>
                <w:rFonts w:ascii="宋体" w:hAnsi="宋体" w:cs="宋体"/>
              </w:rPr>
            </w:pPr>
            <w:r>
              <w:rPr>
                <w:rFonts w:hint="eastAsia" w:ascii="宋体" w:hAnsi="宋体" w:cs="宋体"/>
              </w:rPr>
              <w:t>142</w:t>
            </w:r>
          </w:p>
        </w:tc>
        <w:tc>
          <w:tcPr>
            <w:tcW w:w="1397" w:type="dxa"/>
            <w:shd w:val="clear" w:color="auto" w:fill="auto"/>
            <w:noWrap/>
            <w:tcMar>
              <w:top w:w="15" w:type="dxa"/>
              <w:left w:w="15" w:type="dxa"/>
              <w:right w:w="15" w:type="dxa"/>
            </w:tcMar>
            <w:vAlign w:val="bottom"/>
          </w:tcPr>
          <w:p w14:paraId="5231A629">
            <w:pPr>
              <w:pStyle w:val="34"/>
              <w:jc w:val="center"/>
              <w:rPr>
                <w:rFonts w:ascii="宋体" w:hAnsi="宋体" w:cs="宋体"/>
              </w:rPr>
            </w:pPr>
            <w:r>
              <w:rPr>
                <w:rFonts w:hint="eastAsia" w:ascii="宋体" w:hAnsi="宋体" w:cs="宋体"/>
              </w:rPr>
              <w:t>0.17</w:t>
            </w:r>
          </w:p>
        </w:tc>
        <w:tc>
          <w:tcPr>
            <w:tcW w:w="523" w:type="dxa"/>
            <w:shd w:val="clear" w:color="auto" w:fill="auto"/>
            <w:noWrap/>
            <w:tcMar>
              <w:top w:w="15" w:type="dxa"/>
              <w:left w:w="15" w:type="dxa"/>
              <w:right w:w="15" w:type="dxa"/>
            </w:tcMar>
            <w:vAlign w:val="bottom"/>
          </w:tcPr>
          <w:p w14:paraId="60FE8A7B">
            <w:pPr>
              <w:pStyle w:val="34"/>
              <w:jc w:val="center"/>
              <w:rPr>
                <w:rFonts w:ascii="宋体" w:hAnsi="宋体" w:cs="宋体"/>
              </w:rPr>
            </w:pPr>
            <w:r>
              <w:rPr>
                <w:rFonts w:hint="eastAsia" w:ascii="宋体" w:hAnsi="宋体" w:cs="宋体"/>
              </w:rPr>
              <w:t>86</w:t>
            </w:r>
          </w:p>
        </w:tc>
        <w:tc>
          <w:tcPr>
            <w:tcW w:w="960" w:type="dxa"/>
            <w:shd w:val="clear" w:color="auto" w:fill="auto"/>
            <w:noWrap/>
            <w:tcMar>
              <w:top w:w="15" w:type="dxa"/>
              <w:left w:w="15" w:type="dxa"/>
              <w:right w:w="15" w:type="dxa"/>
            </w:tcMar>
            <w:vAlign w:val="bottom"/>
          </w:tcPr>
          <w:p w14:paraId="22555331">
            <w:pPr>
              <w:pStyle w:val="34"/>
              <w:jc w:val="center"/>
              <w:rPr>
                <w:rFonts w:ascii="宋体" w:hAnsi="宋体" w:cs="宋体"/>
              </w:rPr>
            </w:pPr>
            <w:r>
              <w:rPr>
                <w:rFonts w:hint="eastAsia" w:ascii="宋体" w:hAnsi="宋体" w:cs="宋体"/>
              </w:rPr>
              <w:t>巫</w:t>
            </w:r>
          </w:p>
        </w:tc>
        <w:tc>
          <w:tcPr>
            <w:tcW w:w="960" w:type="dxa"/>
            <w:shd w:val="clear" w:color="auto" w:fill="auto"/>
            <w:noWrap/>
            <w:tcMar>
              <w:top w:w="15" w:type="dxa"/>
              <w:left w:w="15" w:type="dxa"/>
              <w:right w:w="15" w:type="dxa"/>
            </w:tcMar>
            <w:vAlign w:val="bottom"/>
          </w:tcPr>
          <w:p w14:paraId="1E34CE4B">
            <w:pPr>
              <w:pStyle w:val="34"/>
              <w:jc w:val="center"/>
              <w:rPr>
                <w:rFonts w:ascii="宋体" w:hAnsi="宋体" w:cs="宋体"/>
              </w:rPr>
            </w:pPr>
            <w:r>
              <w:rPr>
                <w:rFonts w:hint="eastAsia" w:ascii="宋体" w:hAnsi="宋体" w:cs="宋体"/>
              </w:rPr>
              <w:t>43</w:t>
            </w:r>
          </w:p>
        </w:tc>
        <w:tc>
          <w:tcPr>
            <w:tcW w:w="1296" w:type="dxa"/>
            <w:tcBorders>
              <w:right w:val="nil"/>
            </w:tcBorders>
            <w:shd w:val="clear" w:color="auto" w:fill="auto"/>
            <w:noWrap/>
            <w:tcMar>
              <w:top w:w="15" w:type="dxa"/>
              <w:left w:w="15" w:type="dxa"/>
              <w:right w:w="15" w:type="dxa"/>
            </w:tcMar>
            <w:vAlign w:val="bottom"/>
          </w:tcPr>
          <w:p w14:paraId="3F5D1DC8">
            <w:pPr>
              <w:pStyle w:val="34"/>
              <w:jc w:val="center"/>
              <w:rPr>
                <w:rFonts w:ascii="宋体" w:hAnsi="宋体" w:cs="宋体"/>
              </w:rPr>
            </w:pPr>
            <w:r>
              <w:rPr>
                <w:rFonts w:hint="eastAsia" w:ascii="宋体" w:hAnsi="宋体" w:cs="宋体"/>
              </w:rPr>
              <w:t>0.05</w:t>
            </w:r>
          </w:p>
        </w:tc>
      </w:tr>
      <w:tr w14:paraId="76C22CB8">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960" w:type="dxa"/>
            <w:tcBorders>
              <w:left w:val="nil"/>
            </w:tcBorders>
            <w:shd w:val="clear" w:color="auto" w:fill="auto"/>
            <w:noWrap/>
            <w:tcMar>
              <w:top w:w="15" w:type="dxa"/>
              <w:left w:w="15" w:type="dxa"/>
              <w:right w:w="15" w:type="dxa"/>
            </w:tcMar>
            <w:vAlign w:val="bottom"/>
          </w:tcPr>
          <w:p w14:paraId="39EB900A">
            <w:pPr>
              <w:pStyle w:val="34"/>
              <w:jc w:val="center"/>
              <w:rPr>
                <w:rFonts w:ascii="宋体" w:hAnsi="宋体" w:cs="宋体"/>
              </w:rPr>
            </w:pPr>
            <w:r>
              <w:rPr>
                <w:rFonts w:hint="eastAsia" w:ascii="宋体" w:hAnsi="宋体" w:cs="宋体"/>
              </w:rPr>
              <w:t>59</w:t>
            </w:r>
          </w:p>
        </w:tc>
        <w:tc>
          <w:tcPr>
            <w:tcW w:w="960" w:type="dxa"/>
            <w:shd w:val="clear" w:color="auto" w:fill="auto"/>
            <w:noWrap/>
            <w:tcMar>
              <w:top w:w="15" w:type="dxa"/>
              <w:left w:w="15" w:type="dxa"/>
              <w:right w:w="15" w:type="dxa"/>
            </w:tcMar>
            <w:vAlign w:val="bottom"/>
          </w:tcPr>
          <w:p w14:paraId="1D5379CF">
            <w:pPr>
              <w:pStyle w:val="34"/>
              <w:jc w:val="center"/>
              <w:rPr>
                <w:rFonts w:ascii="宋体" w:hAnsi="宋体" w:cs="宋体"/>
              </w:rPr>
            </w:pPr>
            <w:r>
              <w:rPr>
                <w:rFonts w:hint="eastAsia" w:ascii="宋体" w:hAnsi="宋体" w:cs="宋体"/>
              </w:rPr>
              <w:t>余</w:t>
            </w:r>
          </w:p>
        </w:tc>
        <w:tc>
          <w:tcPr>
            <w:tcW w:w="960" w:type="dxa"/>
            <w:shd w:val="clear" w:color="auto" w:fill="auto"/>
            <w:noWrap/>
            <w:tcMar>
              <w:top w:w="15" w:type="dxa"/>
              <w:left w:w="15" w:type="dxa"/>
              <w:right w:w="15" w:type="dxa"/>
            </w:tcMar>
            <w:vAlign w:val="bottom"/>
          </w:tcPr>
          <w:p w14:paraId="01241B4D">
            <w:pPr>
              <w:pStyle w:val="34"/>
              <w:jc w:val="center"/>
              <w:rPr>
                <w:rFonts w:ascii="宋体" w:hAnsi="宋体" w:cs="宋体"/>
              </w:rPr>
            </w:pPr>
            <w:r>
              <w:rPr>
                <w:rFonts w:hint="eastAsia" w:ascii="宋体" w:hAnsi="宋体" w:cs="宋体"/>
              </w:rPr>
              <w:t>138</w:t>
            </w:r>
          </w:p>
        </w:tc>
        <w:tc>
          <w:tcPr>
            <w:tcW w:w="1397" w:type="dxa"/>
            <w:shd w:val="clear" w:color="auto" w:fill="auto"/>
            <w:noWrap/>
            <w:tcMar>
              <w:top w:w="15" w:type="dxa"/>
              <w:left w:w="15" w:type="dxa"/>
              <w:right w:w="15" w:type="dxa"/>
            </w:tcMar>
            <w:vAlign w:val="bottom"/>
          </w:tcPr>
          <w:p w14:paraId="6B173165">
            <w:pPr>
              <w:pStyle w:val="34"/>
              <w:jc w:val="center"/>
              <w:rPr>
                <w:rFonts w:ascii="宋体" w:hAnsi="宋体" w:cs="宋体"/>
              </w:rPr>
            </w:pPr>
            <w:r>
              <w:rPr>
                <w:rFonts w:hint="eastAsia" w:ascii="宋体" w:hAnsi="宋体" w:cs="宋体"/>
              </w:rPr>
              <w:t>0.17</w:t>
            </w:r>
          </w:p>
        </w:tc>
        <w:tc>
          <w:tcPr>
            <w:tcW w:w="523" w:type="dxa"/>
            <w:shd w:val="clear" w:color="auto" w:fill="auto"/>
            <w:noWrap/>
            <w:tcMar>
              <w:top w:w="15" w:type="dxa"/>
              <w:left w:w="15" w:type="dxa"/>
              <w:right w:w="15" w:type="dxa"/>
            </w:tcMar>
            <w:vAlign w:val="bottom"/>
          </w:tcPr>
          <w:p w14:paraId="539866F4">
            <w:pPr>
              <w:pStyle w:val="34"/>
              <w:jc w:val="center"/>
              <w:rPr>
                <w:rFonts w:ascii="宋体" w:hAnsi="宋体" w:cs="宋体"/>
              </w:rPr>
            </w:pPr>
            <w:r>
              <w:rPr>
                <w:rFonts w:hint="eastAsia" w:ascii="宋体" w:hAnsi="宋体" w:cs="宋体"/>
              </w:rPr>
              <w:t>87</w:t>
            </w:r>
          </w:p>
        </w:tc>
        <w:tc>
          <w:tcPr>
            <w:tcW w:w="960" w:type="dxa"/>
            <w:shd w:val="clear" w:color="auto" w:fill="auto"/>
            <w:noWrap/>
            <w:tcMar>
              <w:top w:w="15" w:type="dxa"/>
              <w:left w:w="15" w:type="dxa"/>
              <w:right w:w="15" w:type="dxa"/>
            </w:tcMar>
            <w:vAlign w:val="bottom"/>
          </w:tcPr>
          <w:p w14:paraId="78C9DCF5">
            <w:pPr>
              <w:pStyle w:val="34"/>
              <w:jc w:val="center"/>
              <w:rPr>
                <w:rFonts w:ascii="宋体" w:hAnsi="宋体" w:cs="宋体"/>
              </w:rPr>
            </w:pPr>
            <w:r>
              <w:rPr>
                <w:rFonts w:hint="eastAsia" w:ascii="宋体" w:hAnsi="宋体" w:cs="宋体"/>
              </w:rPr>
              <w:t>荣</w:t>
            </w:r>
          </w:p>
        </w:tc>
        <w:tc>
          <w:tcPr>
            <w:tcW w:w="960" w:type="dxa"/>
            <w:shd w:val="clear" w:color="auto" w:fill="auto"/>
            <w:noWrap/>
            <w:tcMar>
              <w:top w:w="15" w:type="dxa"/>
              <w:left w:w="15" w:type="dxa"/>
              <w:right w:w="15" w:type="dxa"/>
            </w:tcMar>
            <w:vAlign w:val="bottom"/>
          </w:tcPr>
          <w:p w14:paraId="1CCD6EA5">
            <w:pPr>
              <w:pStyle w:val="34"/>
              <w:jc w:val="center"/>
              <w:rPr>
                <w:rFonts w:ascii="宋体" w:hAnsi="宋体" w:cs="宋体"/>
              </w:rPr>
            </w:pPr>
            <w:r>
              <w:rPr>
                <w:rFonts w:hint="eastAsia" w:ascii="宋体" w:hAnsi="宋体" w:cs="宋体"/>
              </w:rPr>
              <w:t>41</w:t>
            </w:r>
          </w:p>
        </w:tc>
        <w:tc>
          <w:tcPr>
            <w:tcW w:w="1296" w:type="dxa"/>
            <w:tcBorders>
              <w:right w:val="nil"/>
            </w:tcBorders>
            <w:shd w:val="clear" w:color="auto" w:fill="auto"/>
            <w:noWrap/>
            <w:tcMar>
              <w:top w:w="15" w:type="dxa"/>
              <w:left w:w="15" w:type="dxa"/>
              <w:right w:w="15" w:type="dxa"/>
            </w:tcMar>
            <w:vAlign w:val="bottom"/>
          </w:tcPr>
          <w:p w14:paraId="21AE7033">
            <w:pPr>
              <w:pStyle w:val="34"/>
              <w:jc w:val="center"/>
              <w:rPr>
                <w:rFonts w:ascii="宋体" w:hAnsi="宋体" w:cs="宋体"/>
              </w:rPr>
            </w:pPr>
            <w:r>
              <w:rPr>
                <w:rFonts w:hint="eastAsia" w:ascii="宋体" w:hAnsi="宋体" w:cs="宋体"/>
              </w:rPr>
              <w:t>0.05</w:t>
            </w:r>
          </w:p>
        </w:tc>
      </w:tr>
      <w:tr w14:paraId="31980750">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960" w:type="dxa"/>
            <w:tcBorders>
              <w:left w:val="nil"/>
            </w:tcBorders>
            <w:shd w:val="clear" w:color="auto" w:fill="auto"/>
            <w:noWrap/>
            <w:tcMar>
              <w:top w:w="15" w:type="dxa"/>
              <w:left w:w="15" w:type="dxa"/>
              <w:right w:w="15" w:type="dxa"/>
            </w:tcMar>
            <w:vAlign w:val="bottom"/>
          </w:tcPr>
          <w:p w14:paraId="17BB2A6A">
            <w:pPr>
              <w:pStyle w:val="34"/>
              <w:jc w:val="center"/>
              <w:rPr>
                <w:rFonts w:ascii="宋体" w:hAnsi="宋体" w:cs="宋体"/>
              </w:rPr>
            </w:pPr>
            <w:r>
              <w:rPr>
                <w:rFonts w:hint="eastAsia" w:ascii="宋体" w:hAnsi="宋体" w:cs="宋体"/>
              </w:rPr>
              <w:t>60</w:t>
            </w:r>
          </w:p>
        </w:tc>
        <w:tc>
          <w:tcPr>
            <w:tcW w:w="960" w:type="dxa"/>
            <w:shd w:val="clear" w:color="auto" w:fill="auto"/>
            <w:noWrap/>
            <w:tcMar>
              <w:top w:w="15" w:type="dxa"/>
              <w:left w:w="15" w:type="dxa"/>
              <w:right w:w="15" w:type="dxa"/>
            </w:tcMar>
            <w:vAlign w:val="bottom"/>
          </w:tcPr>
          <w:p w14:paraId="222E229B">
            <w:pPr>
              <w:pStyle w:val="34"/>
              <w:jc w:val="center"/>
              <w:rPr>
                <w:rFonts w:ascii="宋体" w:hAnsi="宋体" w:cs="宋体"/>
              </w:rPr>
            </w:pPr>
            <w:r>
              <w:rPr>
                <w:rFonts w:hint="eastAsia" w:ascii="宋体" w:hAnsi="宋体" w:cs="宋体"/>
              </w:rPr>
              <w:t>苏</w:t>
            </w:r>
          </w:p>
        </w:tc>
        <w:tc>
          <w:tcPr>
            <w:tcW w:w="960" w:type="dxa"/>
            <w:shd w:val="clear" w:color="auto" w:fill="auto"/>
            <w:noWrap/>
            <w:tcMar>
              <w:top w:w="15" w:type="dxa"/>
              <w:left w:w="15" w:type="dxa"/>
              <w:right w:w="15" w:type="dxa"/>
            </w:tcMar>
            <w:vAlign w:val="bottom"/>
          </w:tcPr>
          <w:p w14:paraId="2C38E84C">
            <w:pPr>
              <w:pStyle w:val="34"/>
              <w:jc w:val="center"/>
              <w:rPr>
                <w:rFonts w:ascii="宋体" w:hAnsi="宋体" w:cs="宋体"/>
              </w:rPr>
            </w:pPr>
            <w:r>
              <w:rPr>
                <w:rFonts w:hint="eastAsia" w:ascii="宋体" w:hAnsi="宋体" w:cs="宋体"/>
              </w:rPr>
              <w:t>130</w:t>
            </w:r>
          </w:p>
        </w:tc>
        <w:tc>
          <w:tcPr>
            <w:tcW w:w="1397" w:type="dxa"/>
            <w:shd w:val="clear" w:color="auto" w:fill="auto"/>
            <w:noWrap/>
            <w:tcMar>
              <w:top w:w="15" w:type="dxa"/>
              <w:left w:w="15" w:type="dxa"/>
              <w:right w:w="15" w:type="dxa"/>
            </w:tcMar>
            <w:vAlign w:val="bottom"/>
          </w:tcPr>
          <w:p w14:paraId="47AB00E1">
            <w:pPr>
              <w:pStyle w:val="34"/>
              <w:jc w:val="center"/>
              <w:rPr>
                <w:rFonts w:ascii="宋体" w:hAnsi="宋体" w:cs="宋体"/>
              </w:rPr>
            </w:pPr>
            <w:r>
              <w:rPr>
                <w:rFonts w:hint="eastAsia" w:ascii="宋体" w:hAnsi="宋体" w:cs="宋体"/>
              </w:rPr>
              <w:t>0.16</w:t>
            </w:r>
          </w:p>
        </w:tc>
        <w:tc>
          <w:tcPr>
            <w:tcW w:w="523" w:type="dxa"/>
            <w:shd w:val="clear" w:color="auto" w:fill="auto"/>
            <w:noWrap/>
            <w:tcMar>
              <w:top w:w="15" w:type="dxa"/>
              <w:left w:w="15" w:type="dxa"/>
              <w:right w:w="15" w:type="dxa"/>
            </w:tcMar>
            <w:vAlign w:val="bottom"/>
          </w:tcPr>
          <w:p w14:paraId="51329895">
            <w:pPr>
              <w:pStyle w:val="34"/>
              <w:jc w:val="center"/>
              <w:rPr>
                <w:rFonts w:ascii="宋体" w:hAnsi="宋体" w:cs="宋体"/>
              </w:rPr>
            </w:pPr>
            <w:r>
              <w:rPr>
                <w:rFonts w:hint="eastAsia" w:ascii="宋体" w:hAnsi="宋体" w:cs="宋体"/>
              </w:rPr>
              <w:t>88</w:t>
            </w:r>
          </w:p>
        </w:tc>
        <w:tc>
          <w:tcPr>
            <w:tcW w:w="960" w:type="dxa"/>
            <w:shd w:val="clear" w:color="auto" w:fill="auto"/>
            <w:noWrap/>
            <w:tcMar>
              <w:top w:w="15" w:type="dxa"/>
              <w:left w:w="15" w:type="dxa"/>
              <w:right w:w="15" w:type="dxa"/>
            </w:tcMar>
            <w:vAlign w:val="bottom"/>
          </w:tcPr>
          <w:p w14:paraId="1DF4B9B9">
            <w:pPr>
              <w:pStyle w:val="34"/>
              <w:jc w:val="center"/>
              <w:rPr>
                <w:rFonts w:ascii="宋体" w:hAnsi="宋体" w:cs="宋体"/>
              </w:rPr>
            </w:pPr>
            <w:r>
              <w:rPr>
                <w:rFonts w:hint="eastAsia" w:ascii="宋体" w:hAnsi="宋体" w:cs="宋体"/>
              </w:rPr>
              <w:t>许</w:t>
            </w:r>
          </w:p>
        </w:tc>
        <w:tc>
          <w:tcPr>
            <w:tcW w:w="960" w:type="dxa"/>
            <w:shd w:val="clear" w:color="auto" w:fill="auto"/>
            <w:noWrap/>
            <w:tcMar>
              <w:top w:w="15" w:type="dxa"/>
              <w:left w:w="15" w:type="dxa"/>
              <w:right w:w="15" w:type="dxa"/>
            </w:tcMar>
            <w:vAlign w:val="bottom"/>
          </w:tcPr>
          <w:p w14:paraId="619B8442">
            <w:pPr>
              <w:pStyle w:val="34"/>
              <w:jc w:val="center"/>
              <w:rPr>
                <w:rFonts w:ascii="宋体" w:hAnsi="宋体" w:cs="宋体"/>
              </w:rPr>
            </w:pPr>
            <w:r>
              <w:rPr>
                <w:rFonts w:hint="eastAsia" w:ascii="宋体" w:hAnsi="宋体" w:cs="宋体"/>
              </w:rPr>
              <w:t>36</w:t>
            </w:r>
          </w:p>
        </w:tc>
        <w:tc>
          <w:tcPr>
            <w:tcW w:w="1296" w:type="dxa"/>
            <w:tcBorders>
              <w:right w:val="nil"/>
            </w:tcBorders>
            <w:shd w:val="clear" w:color="auto" w:fill="auto"/>
            <w:noWrap/>
            <w:tcMar>
              <w:top w:w="15" w:type="dxa"/>
              <w:left w:w="15" w:type="dxa"/>
              <w:right w:w="15" w:type="dxa"/>
            </w:tcMar>
            <w:vAlign w:val="bottom"/>
          </w:tcPr>
          <w:p w14:paraId="5604ACF4">
            <w:pPr>
              <w:pStyle w:val="34"/>
              <w:jc w:val="center"/>
              <w:rPr>
                <w:rFonts w:ascii="宋体" w:hAnsi="宋体" w:cs="宋体"/>
              </w:rPr>
            </w:pPr>
            <w:r>
              <w:rPr>
                <w:rFonts w:hint="eastAsia" w:ascii="宋体" w:hAnsi="宋体" w:cs="宋体"/>
              </w:rPr>
              <w:t>0.04</w:t>
            </w:r>
          </w:p>
        </w:tc>
      </w:tr>
      <w:tr w14:paraId="119DDDB4">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960" w:type="dxa"/>
            <w:tcBorders>
              <w:left w:val="nil"/>
            </w:tcBorders>
            <w:shd w:val="clear" w:color="auto" w:fill="auto"/>
            <w:noWrap/>
            <w:tcMar>
              <w:top w:w="15" w:type="dxa"/>
              <w:left w:w="15" w:type="dxa"/>
              <w:right w:w="15" w:type="dxa"/>
            </w:tcMar>
            <w:vAlign w:val="bottom"/>
          </w:tcPr>
          <w:p w14:paraId="65DF9AD6">
            <w:pPr>
              <w:pStyle w:val="34"/>
              <w:jc w:val="center"/>
              <w:rPr>
                <w:rFonts w:ascii="宋体" w:hAnsi="宋体" w:cs="宋体"/>
              </w:rPr>
            </w:pPr>
            <w:r>
              <w:rPr>
                <w:rFonts w:hint="eastAsia" w:ascii="宋体" w:hAnsi="宋体" w:cs="宋体"/>
              </w:rPr>
              <w:t>61</w:t>
            </w:r>
          </w:p>
        </w:tc>
        <w:tc>
          <w:tcPr>
            <w:tcW w:w="960" w:type="dxa"/>
            <w:shd w:val="clear" w:color="auto" w:fill="auto"/>
            <w:noWrap/>
            <w:tcMar>
              <w:top w:w="15" w:type="dxa"/>
              <w:left w:w="15" w:type="dxa"/>
              <w:right w:w="15" w:type="dxa"/>
            </w:tcMar>
            <w:vAlign w:val="bottom"/>
          </w:tcPr>
          <w:p w14:paraId="045DE9CA">
            <w:pPr>
              <w:pStyle w:val="34"/>
              <w:jc w:val="center"/>
              <w:rPr>
                <w:rFonts w:ascii="宋体" w:hAnsi="宋体" w:cs="宋体"/>
              </w:rPr>
            </w:pPr>
            <w:r>
              <w:rPr>
                <w:rFonts w:hint="eastAsia" w:ascii="宋体" w:hAnsi="宋体" w:cs="宋体"/>
              </w:rPr>
              <w:t>华</w:t>
            </w:r>
          </w:p>
        </w:tc>
        <w:tc>
          <w:tcPr>
            <w:tcW w:w="960" w:type="dxa"/>
            <w:shd w:val="clear" w:color="auto" w:fill="auto"/>
            <w:noWrap/>
            <w:tcMar>
              <w:top w:w="15" w:type="dxa"/>
              <w:left w:w="15" w:type="dxa"/>
              <w:right w:w="15" w:type="dxa"/>
            </w:tcMar>
            <w:vAlign w:val="bottom"/>
          </w:tcPr>
          <w:p w14:paraId="55AA8DFF">
            <w:pPr>
              <w:pStyle w:val="34"/>
              <w:jc w:val="center"/>
              <w:rPr>
                <w:rFonts w:ascii="宋体" w:hAnsi="宋体" w:cs="宋体"/>
              </w:rPr>
            </w:pPr>
            <w:r>
              <w:rPr>
                <w:rFonts w:hint="eastAsia" w:ascii="宋体" w:hAnsi="宋体" w:cs="宋体"/>
              </w:rPr>
              <w:t>129</w:t>
            </w:r>
          </w:p>
        </w:tc>
        <w:tc>
          <w:tcPr>
            <w:tcW w:w="1397" w:type="dxa"/>
            <w:shd w:val="clear" w:color="auto" w:fill="auto"/>
            <w:noWrap/>
            <w:tcMar>
              <w:top w:w="15" w:type="dxa"/>
              <w:left w:w="15" w:type="dxa"/>
              <w:right w:w="15" w:type="dxa"/>
            </w:tcMar>
            <w:vAlign w:val="bottom"/>
          </w:tcPr>
          <w:p w14:paraId="7CD6F24F">
            <w:pPr>
              <w:pStyle w:val="34"/>
              <w:jc w:val="center"/>
              <w:rPr>
                <w:rFonts w:ascii="宋体" w:hAnsi="宋体" w:cs="宋体"/>
              </w:rPr>
            </w:pPr>
            <w:r>
              <w:rPr>
                <w:rFonts w:hint="eastAsia" w:ascii="宋体" w:hAnsi="宋体" w:cs="宋体"/>
              </w:rPr>
              <w:t>0.16</w:t>
            </w:r>
          </w:p>
        </w:tc>
        <w:tc>
          <w:tcPr>
            <w:tcW w:w="523" w:type="dxa"/>
            <w:shd w:val="clear" w:color="auto" w:fill="auto"/>
            <w:noWrap/>
            <w:tcMar>
              <w:top w:w="15" w:type="dxa"/>
              <w:left w:w="15" w:type="dxa"/>
              <w:right w:w="15" w:type="dxa"/>
            </w:tcMar>
            <w:vAlign w:val="bottom"/>
          </w:tcPr>
          <w:p w14:paraId="53219771">
            <w:pPr>
              <w:pStyle w:val="34"/>
              <w:jc w:val="center"/>
              <w:rPr>
                <w:rFonts w:ascii="宋体" w:hAnsi="宋体" w:cs="宋体"/>
              </w:rPr>
            </w:pPr>
            <w:r>
              <w:rPr>
                <w:rFonts w:hint="eastAsia" w:ascii="宋体" w:hAnsi="宋体" w:cs="宋体"/>
              </w:rPr>
              <w:t>89</w:t>
            </w:r>
          </w:p>
        </w:tc>
        <w:tc>
          <w:tcPr>
            <w:tcW w:w="960" w:type="dxa"/>
            <w:shd w:val="clear" w:color="auto" w:fill="auto"/>
            <w:noWrap/>
            <w:tcMar>
              <w:top w:w="15" w:type="dxa"/>
              <w:left w:w="15" w:type="dxa"/>
              <w:right w:w="15" w:type="dxa"/>
            </w:tcMar>
            <w:vAlign w:val="bottom"/>
          </w:tcPr>
          <w:p w14:paraId="4D722E6E">
            <w:pPr>
              <w:pStyle w:val="34"/>
              <w:jc w:val="center"/>
              <w:rPr>
                <w:rFonts w:ascii="宋体" w:hAnsi="宋体" w:cs="宋体"/>
              </w:rPr>
            </w:pPr>
            <w:r>
              <w:rPr>
                <w:rFonts w:hint="eastAsia" w:ascii="宋体" w:hAnsi="宋体" w:cs="宋体"/>
              </w:rPr>
              <w:t>殷</w:t>
            </w:r>
          </w:p>
        </w:tc>
        <w:tc>
          <w:tcPr>
            <w:tcW w:w="960" w:type="dxa"/>
            <w:shd w:val="clear" w:color="auto" w:fill="auto"/>
            <w:noWrap/>
            <w:tcMar>
              <w:top w:w="15" w:type="dxa"/>
              <w:left w:w="15" w:type="dxa"/>
              <w:right w:w="15" w:type="dxa"/>
            </w:tcMar>
            <w:vAlign w:val="bottom"/>
          </w:tcPr>
          <w:p w14:paraId="5C5540B1">
            <w:pPr>
              <w:pStyle w:val="34"/>
              <w:jc w:val="center"/>
              <w:rPr>
                <w:rFonts w:ascii="宋体" w:hAnsi="宋体" w:cs="宋体"/>
              </w:rPr>
            </w:pPr>
            <w:r>
              <w:rPr>
                <w:rFonts w:hint="eastAsia" w:ascii="宋体" w:hAnsi="宋体" w:cs="宋体"/>
              </w:rPr>
              <w:t>35</w:t>
            </w:r>
          </w:p>
        </w:tc>
        <w:tc>
          <w:tcPr>
            <w:tcW w:w="1296" w:type="dxa"/>
            <w:tcBorders>
              <w:right w:val="nil"/>
            </w:tcBorders>
            <w:shd w:val="clear" w:color="auto" w:fill="auto"/>
            <w:noWrap/>
            <w:tcMar>
              <w:top w:w="15" w:type="dxa"/>
              <w:left w:w="15" w:type="dxa"/>
              <w:right w:w="15" w:type="dxa"/>
            </w:tcMar>
            <w:vAlign w:val="bottom"/>
          </w:tcPr>
          <w:p w14:paraId="495B51F3">
            <w:pPr>
              <w:pStyle w:val="34"/>
              <w:jc w:val="center"/>
              <w:rPr>
                <w:rFonts w:ascii="宋体" w:hAnsi="宋体" w:cs="宋体"/>
              </w:rPr>
            </w:pPr>
            <w:r>
              <w:rPr>
                <w:rFonts w:hint="eastAsia" w:ascii="宋体" w:hAnsi="宋体" w:cs="宋体"/>
              </w:rPr>
              <w:t>0.04</w:t>
            </w:r>
          </w:p>
        </w:tc>
      </w:tr>
      <w:tr w14:paraId="1CB1A14D">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960" w:type="dxa"/>
            <w:tcBorders>
              <w:left w:val="nil"/>
            </w:tcBorders>
            <w:shd w:val="clear" w:color="auto" w:fill="auto"/>
            <w:noWrap/>
            <w:tcMar>
              <w:top w:w="15" w:type="dxa"/>
              <w:left w:w="15" w:type="dxa"/>
              <w:right w:w="15" w:type="dxa"/>
            </w:tcMar>
            <w:vAlign w:val="bottom"/>
          </w:tcPr>
          <w:p w14:paraId="5DF56E9E">
            <w:pPr>
              <w:pStyle w:val="34"/>
              <w:jc w:val="center"/>
              <w:rPr>
                <w:rFonts w:ascii="宋体" w:hAnsi="宋体" w:cs="宋体"/>
              </w:rPr>
            </w:pPr>
            <w:r>
              <w:rPr>
                <w:rFonts w:hint="eastAsia" w:ascii="宋体" w:hAnsi="宋体" w:cs="宋体"/>
              </w:rPr>
              <w:t>62</w:t>
            </w:r>
          </w:p>
        </w:tc>
        <w:tc>
          <w:tcPr>
            <w:tcW w:w="960" w:type="dxa"/>
            <w:shd w:val="clear" w:color="auto" w:fill="auto"/>
            <w:noWrap/>
            <w:tcMar>
              <w:top w:w="15" w:type="dxa"/>
              <w:left w:w="15" w:type="dxa"/>
              <w:right w:w="15" w:type="dxa"/>
            </w:tcMar>
            <w:vAlign w:val="bottom"/>
          </w:tcPr>
          <w:p w14:paraId="16E05E75">
            <w:pPr>
              <w:pStyle w:val="34"/>
              <w:jc w:val="center"/>
              <w:rPr>
                <w:rFonts w:ascii="宋体" w:hAnsi="宋体" w:cs="宋体"/>
              </w:rPr>
            </w:pPr>
            <w:r>
              <w:rPr>
                <w:rFonts w:hint="eastAsia" w:ascii="宋体" w:hAnsi="宋体" w:cs="宋体"/>
              </w:rPr>
              <w:t>游</w:t>
            </w:r>
          </w:p>
        </w:tc>
        <w:tc>
          <w:tcPr>
            <w:tcW w:w="960" w:type="dxa"/>
            <w:shd w:val="clear" w:color="auto" w:fill="auto"/>
            <w:noWrap/>
            <w:tcMar>
              <w:top w:w="15" w:type="dxa"/>
              <w:left w:w="15" w:type="dxa"/>
              <w:right w:w="15" w:type="dxa"/>
            </w:tcMar>
            <w:vAlign w:val="bottom"/>
          </w:tcPr>
          <w:p w14:paraId="576E0E24">
            <w:pPr>
              <w:pStyle w:val="34"/>
              <w:jc w:val="center"/>
              <w:rPr>
                <w:rFonts w:ascii="宋体" w:hAnsi="宋体" w:cs="宋体"/>
              </w:rPr>
            </w:pPr>
            <w:r>
              <w:rPr>
                <w:rFonts w:hint="eastAsia" w:ascii="宋体" w:hAnsi="宋体" w:cs="宋体"/>
              </w:rPr>
              <w:t>124</w:t>
            </w:r>
          </w:p>
        </w:tc>
        <w:tc>
          <w:tcPr>
            <w:tcW w:w="1397" w:type="dxa"/>
            <w:shd w:val="clear" w:color="auto" w:fill="auto"/>
            <w:noWrap/>
            <w:tcMar>
              <w:top w:w="15" w:type="dxa"/>
              <w:left w:w="15" w:type="dxa"/>
              <w:right w:w="15" w:type="dxa"/>
            </w:tcMar>
            <w:vAlign w:val="bottom"/>
          </w:tcPr>
          <w:p w14:paraId="33BBF13F">
            <w:pPr>
              <w:pStyle w:val="34"/>
              <w:jc w:val="center"/>
              <w:rPr>
                <w:rFonts w:ascii="宋体" w:hAnsi="宋体" w:cs="宋体"/>
              </w:rPr>
            </w:pPr>
            <w:r>
              <w:rPr>
                <w:rFonts w:hint="eastAsia" w:ascii="宋体" w:hAnsi="宋体" w:cs="宋体"/>
              </w:rPr>
              <w:t>0.15</w:t>
            </w:r>
          </w:p>
        </w:tc>
        <w:tc>
          <w:tcPr>
            <w:tcW w:w="523" w:type="dxa"/>
            <w:shd w:val="clear" w:color="auto" w:fill="auto"/>
            <w:noWrap/>
            <w:tcMar>
              <w:top w:w="15" w:type="dxa"/>
              <w:left w:w="15" w:type="dxa"/>
              <w:right w:w="15" w:type="dxa"/>
            </w:tcMar>
            <w:vAlign w:val="bottom"/>
          </w:tcPr>
          <w:p w14:paraId="48F96A55">
            <w:pPr>
              <w:pStyle w:val="34"/>
              <w:jc w:val="center"/>
              <w:rPr>
                <w:rFonts w:ascii="宋体" w:hAnsi="宋体" w:cs="宋体"/>
              </w:rPr>
            </w:pPr>
            <w:r>
              <w:rPr>
                <w:rFonts w:hint="eastAsia" w:ascii="宋体" w:hAnsi="宋体" w:cs="宋体"/>
              </w:rPr>
              <w:t>90</w:t>
            </w:r>
          </w:p>
        </w:tc>
        <w:tc>
          <w:tcPr>
            <w:tcW w:w="960" w:type="dxa"/>
            <w:shd w:val="clear" w:color="auto" w:fill="auto"/>
            <w:noWrap/>
            <w:tcMar>
              <w:top w:w="15" w:type="dxa"/>
              <w:left w:w="15" w:type="dxa"/>
              <w:right w:w="15" w:type="dxa"/>
            </w:tcMar>
            <w:vAlign w:val="bottom"/>
          </w:tcPr>
          <w:p w14:paraId="53A244EE">
            <w:pPr>
              <w:pStyle w:val="34"/>
              <w:jc w:val="center"/>
              <w:rPr>
                <w:rFonts w:ascii="宋体" w:hAnsi="宋体" w:cs="宋体"/>
              </w:rPr>
            </w:pPr>
            <w:r>
              <w:rPr>
                <w:rFonts w:hint="eastAsia" w:ascii="宋体" w:hAnsi="宋体" w:cs="宋体"/>
              </w:rPr>
              <w:t>康</w:t>
            </w:r>
          </w:p>
        </w:tc>
        <w:tc>
          <w:tcPr>
            <w:tcW w:w="960" w:type="dxa"/>
            <w:shd w:val="clear" w:color="auto" w:fill="auto"/>
            <w:noWrap/>
            <w:tcMar>
              <w:top w:w="15" w:type="dxa"/>
              <w:left w:w="15" w:type="dxa"/>
              <w:right w:w="15" w:type="dxa"/>
            </w:tcMar>
            <w:vAlign w:val="bottom"/>
          </w:tcPr>
          <w:p w14:paraId="28F5A5B5">
            <w:pPr>
              <w:pStyle w:val="34"/>
              <w:jc w:val="center"/>
              <w:rPr>
                <w:rFonts w:ascii="宋体" w:hAnsi="宋体" w:cs="宋体"/>
              </w:rPr>
            </w:pPr>
            <w:r>
              <w:rPr>
                <w:rFonts w:hint="eastAsia" w:ascii="宋体" w:hAnsi="宋体" w:cs="宋体"/>
              </w:rPr>
              <w:t>34</w:t>
            </w:r>
          </w:p>
        </w:tc>
        <w:tc>
          <w:tcPr>
            <w:tcW w:w="1296" w:type="dxa"/>
            <w:tcBorders>
              <w:right w:val="nil"/>
            </w:tcBorders>
            <w:shd w:val="clear" w:color="auto" w:fill="auto"/>
            <w:noWrap/>
            <w:tcMar>
              <w:top w:w="15" w:type="dxa"/>
              <w:left w:w="15" w:type="dxa"/>
              <w:right w:w="15" w:type="dxa"/>
            </w:tcMar>
            <w:vAlign w:val="bottom"/>
          </w:tcPr>
          <w:p w14:paraId="67555C61">
            <w:pPr>
              <w:pStyle w:val="34"/>
              <w:jc w:val="center"/>
              <w:rPr>
                <w:rFonts w:ascii="宋体" w:hAnsi="宋体" w:cs="宋体"/>
              </w:rPr>
            </w:pPr>
            <w:r>
              <w:rPr>
                <w:rFonts w:hint="eastAsia" w:ascii="宋体" w:hAnsi="宋体" w:cs="宋体"/>
              </w:rPr>
              <w:t>0.04</w:t>
            </w:r>
          </w:p>
        </w:tc>
      </w:tr>
      <w:tr w14:paraId="341C2371">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960" w:type="dxa"/>
            <w:tcBorders>
              <w:left w:val="nil"/>
            </w:tcBorders>
            <w:shd w:val="clear" w:color="auto" w:fill="auto"/>
            <w:noWrap/>
            <w:tcMar>
              <w:top w:w="15" w:type="dxa"/>
              <w:left w:w="15" w:type="dxa"/>
              <w:right w:w="15" w:type="dxa"/>
            </w:tcMar>
            <w:vAlign w:val="bottom"/>
          </w:tcPr>
          <w:p w14:paraId="092D7876">
            <w:pPr>
              <w:pStyle w:val="34"/>
              <w:jc w:val="center"/>
              <w:rPr>
                <w:rFonts w:ascii="宋体" w:hAnsi="宋体" w:cs="宋体"/>
              </w:rPr>
            </w:pPr>
            <w:r>
              <w:rPr>
                <w:rFonts w:hint="eastAsia" w:ascii="宋体" w:hAnsi="宋体" w:cs="宋体"/>
              </w:rPr>
              <w:t>63</w:t>
            </w:r>
          </w:p>
        </w:tc>
        <w:tc>
          <w:tcPr>
            <w:tcW w:w="960" w:type="dxa"/>
            <w:shd w:val="clear" w:color="auto" w:fill="auto"/>
            <w:noWrap/>
            <w:tcMar>
              <w:top w:w="15" w:type="dxa"/>
              <w:left w:w="15" w:type="dxa"/>
              <w:right w:w="15" w:type="dxa"/>
            </w:tcMar>
            <w:vAlign w:val="bottom"/>
          </w:tcPr>
          <w:p w14:paraId="413FF81E">
            <w:pPr>
              <w:pStyle w:val="34"/>
              <w:jc w:val="center"/>
              <w:rPr>
                <w:rFonts w:ascii="宋体" w:hAnsi="宋体" w:cs="宋体"/>
              </w:rPr>
            </w:pPr>
            <w:r>
              <w:rPr>
                <w:rFonts w:hint="eastAsia" w:ascii="宋体" w:hAnsi="宋体" w:cs="宋体"/>
              </w:rPr>
              <w:t>曹</w:t>
            </w:r>
          </w:p>
        </w:tc>
        <w:tc>
          <w:tcPr>
            <w:tcW w:w="960" w:type="dxa"/>
            <w:shd w:val="clear" w:color="auto" w:fill="auto"/>
            <w:noWrap/>
            <w:tcMar>
              <w:top w:w="15" w:type="dxa"/>
              <w:left w:w="15" w:type="dxa"/>
              <w:right w:w="15" w:type="dxa"/>
            </w:tcMar>
            <w:vAlign w:val="bottom"/>
          </w:tcPr>
          <w:p w14:paraId="47BB6299">
            <w:pPr>
              <w:pStyle w:val="34"/>
              <w:jc w:val="center"/>
              <w:rPr>
                <w:rFonts w:ascii="宋体" w:hAnsi="宋体" w:cs="宋体"/>
              </w:rPr>
            </w:pPr>
            <w:r>
              <w:rPr>
                <w:rFonts w:hint="eastAsia" w:ascii="宋体" w:hAnsi="宋体" w:cs="宋体"/>
              </w:rPr>
              <w:t>121</w:t>
            </w:r>
          </w:p>
        </w:tc>
        <w:tc>
          <w:tcPr>
            <w:tcW w:w="1397" w:type="dxa"/>
            <w:shd w:val="clear" w:color="auto" w:fill="auto"/>
            <w:noWrap/>
            <w:tcMar>
              <w:top w:w="15" w:type="dxa"/>
              <w:left w:w="15" w:type="dxa"/>
              <w:right w:w="15" w:type="dxa"/>
            </w:tcMar>
            <w:vAlign w:val="bottom"/>
          </w:tcPr>
          <w:p w14:paraId="4C44FF10">
            <w:pPr>
              <w:pStyle w:val="34"/>
              <w:jc w:val="center"/>
              <w:rPr>
                <w:rFonts w:ascii="宋体" w:hAnsi="宋体" w:cs="宋体"/>
              </w:rPr>
            </w:pPr>
            <w:r>
              <w:rPr>
                <w:rFonts w:hint="eastAsia" w:ascii="宋体" w:hAnsi="宋体" w:cs="宋体"/>
              </w:rPr>
              <w:t>0.15</w:t>
            </w:r>
          </w:p>
        </w:tc>
        <w:tc>
          <w:tcPr>
            <w:tcW w:w="523" w:type="dxa"/>
            <w:shd w:val="clear" w:color="auto" w:fill="auto"/>
            <w:noWrap/>
            <w:tcMar>
              <w:top w:w="15" w:type="dxa"/>
              <w:left w:w="15" w:type="dxa"/>
              <w:right w:w="15" w:type="dxa"/>
            </w:tcMar>
            <w:vAlign w:val="bottom"/>
          </w:tcPr>
          <w:p w14:paraId="3E17DD94">
            <w:pPr>
              <w:pStyle w:val="34"/>
              <w:jc w:val="center"/>
              <w:rPr>
                <w:rFonts w:ascii="宋体" w:hAnsi="宋体" w:cs="宋体"/>
              </w:rPr>
            </w:pPr>
            <w:r>
              <w:rPr>
                <w:rFonts w:hint="eastAsia" w:ascii="宋体" w:hAnsi="宋体" w:cs="宋体"/>
              </w:rPr>
              <w:t>91</w:t>
            </w:r>
          </w:p>
        </w:tc>
        <w:tc>
          <w:tcPr>
            <w:tcW w:w="960" w:type="dxa"/>
            <w:shd w:val="clear" w:color="auto" w:fill="auto"/>
            <w:noWrap/>
            <w:tcMar>
              <w:top w:w="15" w:type="dxa"/>
              <w:left w:w="15" w:type="dxa"/>
              <w:right w:w="15" w:type="dxa"/>
            </w:tcMar>
            <w:vAlign w:val="bottom"/>
          </w:tcPr>
          <w:p w14:paraId="79CCA05C">
            <w:pPr>
              <w:pStyle w:val="34"/>
              <w:jc w:val="center"/>
              <w:rPr>
                <w:rFonts w:ascii="宋体" w:hAnsi="宋体" w:cs="宋体"/>
              </w:rPr>
            </w:pPr>
            <w:r>
              <w:rPr>
                <w:rFonts w:hint="eastAsia" w:ascii="宋体" w:hAnsi="宋体" w:cs="宋体"/>
              </w:rPr>
              <w:t>伍</w:t>
            </w:r>
          </w:p>
        </w:tc>
        <w:tc>
          <w:tcPr>
            <w:tcW w:w="960" w:type="dxa"/>
            <w:shd w:val="clear" w:color="auto" w:fill="auto"/>
            <w:noWrap/>
            <w:tcMar>
              <w:top w:w="15" w:type="dxa"/>
              <w:left w:w="15" w:type="dxa"/>
              <w:right w:w="15" w:type="dxa"/>
            </w:tcMar>
            <w:vAlign w:val="bottom"/>
          </w:tcPr>
          <w:p w14:paraId="6EB03FB2">
            <w:pPr>
              <w:pStyle w:val="34"/>
              <w:jc w:val="center"/>
              <w:rPr>
                <w:rFonts w:ascii="宋体" w:hAnsi="宋体" w:cs="宋体"/>
              </w:rPr>
            </w:pPr>
            <w:r>
              <w:rPr>
                <w:rFonts w:hint="eastAsia" w:ascii="宋体" w:hAnsi="宋体" w:cs="宋体"/>
              </w:rPr>
              <w:t>33</w:t>
            </w:r>
          </w:p>
        </w:tc>
        <w:tc>
          <w:tcPr>
            <w:tcW w:w="1296" w:type="dxa"/>
            <w:tcBorders>
              <w:right w:val="nil"/>
            </w:tcBorders>
            <w:shd w:val="clear" w:color="auto" w:fill="auto"/>
            <w:noWrap/>
            <w:tcMar>
              <w:top w:w="15" w:type="dxa"/>
              <w:left w:w="15" w:type="dxa"/>
              <w:right w:w="15" w:type="dxa"/>
            </w:tcMar>
            <w:vAlign w:val="bottom"/>
          </w:tcPr>
          <w:p w14:paraId="15AC267B">
            <w:pPr>
              <w:pStyle w:val="34"/>
              <w:jc w:val="center"/>
              <w:rPr>
                <w:rFonts w:ascii="宋体" w:hAnsi="宋体" w:cs="宋体"/>
              </w:rPr>
            </w:pPr>
            <w:r>
              <w:rPr>
                <w:rFonts w:hint="eastAsia" w:ascii="宋体" w:hAnsi="宋体" w:cs="宋体"/>
              </w:rPr>
              <w:t>0.04</w:t>
            </w:r>
          </w:p>
        </w:tc>
      </w:tr>
      <w:tr w14:paraId="7A09B0A1">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960" w:type="dxa"/>
            <w:tcBorders>
              <w:left w:val="nil"/>
            </w:tcBorders>
            <w:shd w:val="clear" w:color="auto" w:fill="auto"/>
            <w:noWrap/>
            <w:tcMar>
              <w:top w:w="15" w:type="dxa"/>
              <w:left w:w="15" w:type="dxa"/>
              <w:right w:w="15" w:type="dxa"/>
            </w:tcMar>
            <w:vAlign w:val="bottom"/>
          </w:tcPr>
          <w:p w14:paraId="0A5BEE2C">
            <w:pPr>
              <w:pStyle w:val="34"/>
              <w:jc w:val="center"/>
              <w:rPr>
                <w:rFonts w:ascii="宋体" w:hAnsi="宋体" w:cs="宋体"/>
              </w:rPr>
            </w:pPr>
            <w:r>
              <w:rPr>
                <w:rFonts w:hint="eastAsia" w:ascii="宋体" w:hAnsi="宋体" w:cs="宋体"/>
              </w:rPr>
              <w:t>64</w:t>
            </w:r>
          </w:p>
        </w:tc>
        <w:tc>
          <w:tcPr>
            <w:tcW w:w="960" w:type="dxa"/>
            <w:shd w:val="clear" w:color="auto" w:fill="auto"/>
            <w:noWrap/>
            <w:tcMar>
              <w:top w:w="15" w:type="dxa"/>
              <w:left w:w="15" w:type="dxa"/>
              <w:right w:w="15" w:type="dxa"/>
            </w:tcMar>
            <w:vAlign w:val="bottom"/>
          </w:tcPr>
          <w:p w14:paraId="5CCA8AE0">
            <w:pPr>
              <w:pStyle w:val="34"/>
              <w:jc w:val="center"/>
              <w:rPr>
                <w:rFonts w:ascii="宋体" w:hAnsi="宋体" w:cs="宋体"/>
              </w:rPr>
            </w:pPr>
            <w:r>
              <w:rPr>
                <w:rFonts w:hint="eastAsia" w:ascii="宋体" w:hAnsi="宋体" w:cs="宋体"/>
              </w:rPr>
              <w:t>魏</w:t>
            </w:r>
          </w:p>
        </w:tc>
        <w:tc>
          <w:tcPr>
            <w:tcW w:w="960" w:type="dxa"/>
            <w:shd w:val="clear" w:color="auto" w:fill="auto"/>
            <w:noWrap/>
            <w:tcMar>
              <w:top w:w="15" w:type="dxa"/>
              <w:left w:w="15" w:type="dxa"/>
              <w:right w:w="15" w:type="dxa"/>
            </w:tcMar>
            <w:vAlign w:val="bottom"/>
          </w:tcPr>
          <w:p w14:paraId="39FFE12F">
            <w:pPr>
              <w:pStyle w:val="34"/>
              <w:jc w:val="center"/>
              <w:rPr>
                <w:rFonts w:ascii="宋体" w:hAnsi="宋体" w:cs="宋体"/>
              </w:rPr>
            </w:pPr>
            <w:r>
              <w:rPr>
                <w:rFonts w:hint="eastAsia" w:ascii="宋体" w:hAnsi="宋体" w:cs="宋体"/>
              </w:rPr>
              <w:t>110</w:t>
            </w:r>
          </w:p>
        </w:tc>
        <w:tc>
          <w:tcPr>
            <w:tcW w:w="1397" w:type="dxa"/>
            <w:shd w:val="clear" w:color="auto" w:fill="auto"/>
            <w:noWrap/>
            <w:tcMar>
              <w:top w:w="15" w:type="dxa"/>
              <w:left w:w="15" w:type="dxa"/>
              <w:right w:w="15" w:type="dxa"/>
            </w:tcMar>
            <w:vAlign w:val="bottom"/>
          </w:tcPr>
          <w:p w14:paraId="6566B26E">
            <w:pPr>
              <w:pStyle w:val="34"/>
              <w:jc w:val="center"/>
              <w:rPr>
                <w:rFonts w:ascii="宋体" w:hAnsi="宋体" w:cs="宋体"/>
              </w:rPr>
            </w:pPr>
            <w:r>
              <w:rPr>
                <w:rFonts w:hint="eastAsia" w:ascii="宋体" w:hAnsi="宋体" w:cs="宋体"/>
              </w:rPr>
              <w:t>0.13</w:t>
            </w:r>
          </w:p>
        </w:tc>
        <w:tc>
          <w:tcPr>
            <w:tcW w:w="523" w:type="dxa"/>
            <w:shd w:val="clear" w:color="auto" w:fill="auto"/>
            <w:noWrap/>
            <w:tcMar>
              <w:top w:w="15" w:type="dxa"/>
              <w:left w:w="15" w:type="dxa"/>
              <w:right w:w="15" w:type="dxa"/>
            </w:tcMar>
            <w:vAlign w:val="bottom"/>
          </w:tcPr>
          <w:p w14:paraId="597A072E">
            <w:pPr>
              <w:pStyle w:val="34"/>
              <w:jc w:val="center"/>
              <w:rPr>
                <w:rFonts w:ascii="宋体" w:hAnsi="宋体" w:cs="宋体"/>
              </w:rPr>
            </w:pPr>
            <w:r>
              <w:rPr>
                <w:rFonts w:hint="eastAsia" w:ascii="宋体" w:hAnsi="宋体" w:cs="宋体"/>
              </w:rPr>
              <w:t>92</w:t>
            </w:r>
          </w:p>
        </w:tc>
        <w:tc>
          <w:tcPr>
            <w:tcW w:w="960" w:type="dxa"/>
            <w:shd w:val="clear" w:color="auto" w:fill="auto"/>
            <w:noWrap/>
            <w:tcMar>
              <w:top w:w="15" w:type="dxa"/>
              <w:left w:w="15" w:type="dxa"/>
              <w:right w:w="15" w:type="dxa"/>
            </w:tcMar>
            <w:vAlign w:val="bottom"/>
          </w:tcPr>
          <w:p w14:paraId="4A997164">
            <w:pPr>
              <w:pStyle w:val="34"/>
              <w:jc w:val="center"/>
              <w:rPr>
                <w:rFonts w:ascii="宋体" w:hAnsi="宋体" w:cs="宋体"/>
              </w:rPr>
            </w:pPr>
            <w:r>
              <w:rPr>
                <w:rFonts w:hint="eastAsia" w:ascii="宋体" w:hAnsi="宋体" w:cs="宋体"/>
              </w:rPr>
              <w:t>甘</w:t>
            </w:r>
          </w:p>
        </w:tc>
        <w:tc>
          <w:tcPr>
            <w:tcW w:w="960" w:type="dxa"/>
            <w:shd w:val="clear" w:color="auto" w:fill="auto"/>
            <w:noWrap/>
            <w:tcMar>
              <w:top w:w="15" w:type="dxa"/>
              <w:left w:w="15" w:type="dxa"/>
              <w:right w:w="15" w:type="dxa"/>
            </w:tcMar>
            <w:vAlign w:val="bottom"/>
          </w:tcPr>
          <w:p w14:paraId="4F4560AE">
            <w:pPr>
              <w:pStyle w:val="34"/>
              <w:jc w:val="center"/>
              <w:rPr>
                <w:rFonts w:ascii="宋体" w:hAnsi="宋体" w:cs="宋体"/>
              </w:rPr>
            </w:pPr>
            <w:r>
              <w:rPr>
                <w:rFonts w:hint="eastAsia" w:ascii="宋体" w:hAnsi="宋体" w:cs="宋体"/>
              </w:rPr>
              <w:t>31</w:t>
            </w:r>
          </w:p>
        </w:tc>
        <w:tc>
          <w:tcPr>
            <w:tcW w:w="1296" w:type="dxa"/>
            <w:tcBorders>
              <w:right w:val="nil"/>
            </w:tcBorders>
            <w:shd w:val="clear" w:color="auto" w:fill="auto"/>
            <w:noWrap/>
            <w:tcMar>
              <w:top w:w="15" w:type="dxa"/>
              <w:left w:w="15" w:type="dxa"/>
              <w:right w:w="15" w:type="dxa"/>
            </w:tcMar>
            <w:vAlign w:val="bottom"/>
          </w:tcPr>
          <w:p w14:paraId="7E80B596">
            <w:pPr>
              <w:pStyle w:val="34"/>
              <w:jc w:val="center"/>
              <w:rPr>
                <w:rFonts w:ascii="宋体" w:hAnsi="宋体" w:cs="宋体"/>
              </w:rPr>
            </w:pPr>
            <w:r>
              <w:rPr>
                <w:rFonts w:hint="eastAsia" w:ascii="宋体" w:hAnsi="宋体" w:cs="宋体"/>
              </w:rPr>
              <w:t>0.04</w:t>
            </w:r>
          </w:p>
        </w:tc>
      </w:tr>
      <w:tr w14:paraId="49B55219">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960" w:type="dxa"/>
            <w:tcBorders>
              <w:left w:val="nil"/>
            </w:tcBorders>
            <w:shd w:val="clear" w:color="auto" w:fill="auto"/>
            <w:noWrap/>
            <w:tcMar>
              <w:top w:w="15" w:type="dxa"/>
              <w:left w:w="15" w:type="dxa"/>
              <w:right w:w="15" w:type="dxa"/>
            </w:tcMar>
            <w:vAlign w:val="bottom"/>
          </w:tcPr>
          <w:p w14:paraId="33DC0C19">
            <w:pPr>
              <w:pStyle w:val="34"/>
              <w:jc w:val="center"/>
              <w:rPr>
                <w:rFonts w:ascii="宋体" w:hAnsi="宋体" w:cs="宋体"/>
              </w:rPr>
            </w:pPr>
            <w:r>
              <w:rPr>
                <w:rFonts w:hint="eastAsia" w:ascii="宋体" w:hAnsi="宋体" w:cs="宋体"/>
              </w:rPr>
              <w:t>65</w:t>
            </w:r>
          </w:p>
        </w:tc>
        <w:tc>
          <w:tcPr>
            <w:tcW w:w="960" w:type="dxa"/>
            <w:shd w:val="clear" w:color="auto" w:fill="auto"/>
            <w:noWrap/>
            <w:tcMar>
              <w:top w:w="15" w:type="dxa"/>
              <w:left w:w="15" w:type="dxa"/>
              <w:right w:w="15" w:type="dxa"/>
            </w:tcMar>
            <w:vAlign w:val="bottom"/>
          </w:tcPr>
          <w:p w14:paraId="456F3BB4">
            <w:pPr>
              <w:pStyle w:val="34"/>
              <w:jc w:val="center"/>
              <w:rPr>
                <w:rFonts w:ascii="宋体" w:hAnsi="宋体" w:cs="宋体"/>
              </w:rPr>
            </w:pPr>
            <w:r>
              <w:rPr>
                <w:rFonts w:hint="eastAsia" w:ascii="宋体" w:hAnsi="宋体" w:cs="宋体"/>
              </w:rPr>
              <w:t>傅</w:t>
            </w:r>
          </w:p>
        </w:tc>
        <w:tc>
          <w:tcPr>
            <w:tcW w:w="960" w:type="dxa"/>
            <w:shd w:val="clear" w:color="auto" w:fill="auto"/>
            <w:noWrap/>
            <w:tcMar>
              <w:top w:w="15" w:type="dxa"/>
              <w:left w:w="15" w:type="dxa"/>
              <w:right w:w="15" w:type="dxa"/>
            </w:tcMar>
            <w:vAlign w:val="bottom"/>
          </w:tcPr>
          <w:p w14:paraId="10FC6537">
            <w:pPr>
              <w:pStyle w:val="34"/>
              <w:jc w:val="center"/>
              <w:rPr>
                <w:rFonts w:ascii="宋体" w:hAnsi="宋体" w:cs="宋体"/>
              </w:rPr>
            </w:pPr>
            <w:r>
              <w:rPr>
                <w:rFonts w:hint="eastAsia" w:ascii="宋体" w:hAnsi="宋体" w:cs="宋体"/>
              </w:rPr>
              <w:t>108</w:t>
            </w:r>
          </w:p>
        </w:tc>
        <w:tc>
          <w:tcPr>
            <w:tcW w:w="1397" w:type="dxa"/>
            <w:shd w:val="clear" w:color="auto" w:fill="auto"/>
            <w:noWrap/>
            <w:tcMar>
              <w:top w:w="15" w:type="dxa"/>
              <w:left w:w="15" w:type="dxa"/>
              <w:right w:w="15" w:type="dxa"/>
            </w:tcMar>
            <w:vAlign w:val="bottom"/>
          </w:tcPr>
          <w:p w14:paraId="4380939E">
            <w:pPr>
              <w:pStyle w:val="34"/>
              <w:jc w:val="center"/>
              <w:rPr>
                <w:rFonts w:ascii="宋体" w:hAnsi="宋体" w:cs="宋体"/>
              </w:rPr>
            </w:pPr>
            <w:r>
              <w:rPr>
                <w:rFonts w:hint="eastAsia" w:ascii="宋体" w:hAnsi="宋体" w:cs="宋体"/>
              </w:rPr>
              <w:t>0.13</w:t>
            </w:r>
          </w:p>
        </w:tc>
        <w:tc>
          <w:tcPr>
            <w:tcW w:w="523" w:type="dxa"/>
            <w:shd w:val="clear" w:color="auto" w:fill="auto"/>
            <w:noWrap/>
            <w:tcMar>
              <w:top w:w="15" w:type="dxa"/>
              <w:left w:w="15" w:type="dxa"/>
              <w:right w:w="15" w:type="dxa"/>
            </w:tcMar>
            <w:vAlign w:val="bottom"/>
          </w:tcPr>
          <w:p w14:paraId="5529381B">
            <w:pPr>
              <w:pStyle w:val="34"/>
              <w:jc w:val="center"/>
              <w:rPr>
                <w:rFonts w:ascii="宋体" w:hAnsi="宋体" w:cs="宋体"/>
              </w:rPr>
            </w:pPr>
            <w:r>
              <w:rPr>
                <w:rFonts w:hint="eastAsia" w:ascii="宋体" w:hAnsi="宋体" w:cs="宋体"/>
              </w:rPr>
              <w:t>93</w:t>
            </w:r>
          </w:p>
        </w:tc>
        <w:tc>
          <w:tcPr>
            <w:tcW w:w="960" w:type="dxa"/>
            <w:shd w:val="clear" w:color="auto" w:fill="auto"/>
            <w:noWrap/>
            <w:tcMar>
              <w:top w:w="15" w:type="dxa"/>
              <w:left w:w="15" w:type="dxa"/>
              <w:right w:w="15" w:type="dxa"/>
            </w:tcMar>
            <w:vAlign w:val="bottom"/>
          </w:tcPr>
          <w:p w14:paraId="1FC4EAA5">
            <w:pPr>
              <w:pStyle w:val="34"/>
              <w:jc w:val="center"/>
              <w:rPr>
                <w:rFonts w:ascii="宋体" w:hAnsi="宋体" w:cs="宋体"/>
              </w:rPr>
            </w:pPr>
            <w:r>
              <w:rPr>
                <w:rFonts w:hint="eastAsia" w:ascii="宋体" w:hAnsi="宋体" w:cs="宋体"/>
              </w:rPr>
              <w:t>陶</w:t>
            </w:r>
          </w:p>
        </w:tc>
        <w:tc>
          <w:tcPr>
            <w:tcW w:w="960" w:type="dxa"/>
            <w:shd w:val="clear" w:color="auto" w:fill="auto"/>
            <w:noWrap/>
            <w:tcMar>
              <w:top w:w="15" w:type="dxa"/>
              <w:left w:w="15" w:type="dxa"/>
              <w:right w:w="15" w:type="dxa"/>
            </w:tcMar>
            <w:vAlign w:val="bottom"/>
          </w:tcPr>
          <w:p w14:paraId="5BFC7554">
            <w:pPr>
              <w:pStyle w:val="34"/>
              <w:jc w:val="center"/>
              <w:rPr>
                <w:rFonts w:ascii="宋体" w:hAnsi="宋体" w:cs="宋体"/>
              </w:rPr>
            </w:pPr>
            <w:r>
              <w:rPr>
                <w:rFonts w:hint="eastAsia" w:ascii="宋体" w:hAnsi="宋体" w:cs="宋体"/>
              </w:rPr>
              <w:t>29</w:t>
            </w:r>
          </w:p>
        </w:tc>
        <w:tc>
          <w:tcPr>
            <w:tcW w:w="1296" w:type="dxa"/>
            <w:tcBorders>
              <w:right w:val="nil"/>
            </w:tcBorders>
            <w:shd w:val="clear" w:color="auto" w:fill="auto"/>
            <w:noWrap/>
            <w:tcMar>
              <w:top w:w="15" w:type="dxa"/>
              <w:left w:w="15" w:type="dxa"/>
              <w:right w:w="15" w:type="dxa"/>
            </w:tcMar>
            <w:vAlign w:val="bottom"/>
          </w:tcPr>
          <w:p w14:paraId="5D091D91">
            <w:pPr>
              <w:pStyle w:val="34"/>
              <w:jc w:val="center"/>
              <w:rPr>
                <w:rFonts w:ascii="宋体" w:hAnsi="宋体" w:cs="宋体"/>
              </w:rPr>
            </w:pPr>
            <w:r>
              <w:rPr>
                <w:rFonts w:hint="eastAsia" w:ascii="宋体" w:hAnsi="宋体" w:cs="宋体"/>
              </w:rPr>
              <w:t>0.03</w:t>
            </w:r>
          </w:p>
        </w:tc>
      </w:tr>
      <w:tr w14:paraId="70EA4D56">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960" w:type="dxa"/>
            <w:tcBorders>
              <w:left w:val="nil"/>
            </w:tcBorders>
            <w:shd w:val="clear" w:color="auto" w:fill="auto"/>
            <w:noWrap/>
            <w:tcMar>
              <w:top w:w="15" w:type="dxa"/>
              <w:left w:w="15" w:type="dxa"/>
              <w:right w:w="15" w:type="dxa"/>
            </w:tcMar>
            <w:vAlign w:val="bottom"/>
          </w:tcPr>
          <w:p w14:paraId="65758309">
            <w:pPr>
              <w:pStyle w:val="34"/>
              <w:jc w:val="center"/>
              <w:rPr>
                <w:rFonts w:ascii="宋体" w:hAnsi="宋体" w:cs="宋体"/>
              </w:rPr>
            </w:pPr>
            <w:r>
              <w:rPr>
                <w:rFonts w:hint="eastAsia" w:ascii="宋体" w:hAnsi="宋体" w:cs="宋体"/>
              </w:rPr>
              <w:t>66</w:t>
            </w:r>
          </w:p>
        </w:tc>
        <w:tc>
          <w:tcPr>
            <w:tcW w:w="960" w:type="dxa"/>
            <w:shd w:val="clear" w:color="auto" w:fill="auto"/>
            <w:noWrap/>
            <w:tcMar>
              <w:top w:w="15" w:type="dxa"/>
              <w:left w:w="15" w:type="dxa"/>
              <w:right w:w="15" w:type="dxa"/>
            </w:tcMar>
            <w:vAlign w:val="bottom"/>
          </w:tcPr>
          <w:p w14:paraId="31F21C28">
            <w:pPr>
              <w:pStyle w:val="34"/>
              <w:jc w:val="center"/>
              <w:rPr>
                <w:rFonts w:ascii="宋体" w:hAnsi="宋体" w:cs="宋体"/>
              </w:rPr>
            </w:pPr>
            <w:r>
              <w:rPr>
                <w:rFonts w:hint="eastAsia" w:ascii="宋体" w:hAnsi="宋体" w:cs="宋体"/>
              </w:rPr>
              <w:t>童</w:t>
            </w:r>
          </w:p>
        </w:tc>
        <w:tc>
          <w:tcPr>
            <w:tcW w:w="960" w:type="dxa"/>
            <w:shd w:val="clear" w:color="auto" w:fill="auto"/>
            <w:noWrap/>
            <w:tcMar>
              <w:top w:w="15" w:type="dxa"/>
              <w:left w:w="15" w:type="dxa"/>
              <w:right w:w="15" w:type="dxa"/>
            </w:tcMar>
            <w:vAlign w:val="bottom"/>
          </w:tcPr>
          <w:p w14:paraId="2C6DAC0E">
            <w:pPr>
              <w:pStyle w:val="34"/>
              <w:jc w:val="center"/>
              <w:rPr>
                <w:rFonts w:ascii="宋体" w:hAnsi="宋体" w:cs="宋体"/>
              </w:rPr>
            </w:pPr>
            <w:r>
              <w:rPr>
                <w:rFonts w:hint="eastAsia" w:ascii="宋体" w:hAnsi="宋体" w:cs="宋体"/>
              </w:rPr>
              <w:t>104</w:t>
            </w:r>
          </w:p>
        </w:tc>
        <w:tc>
          <w:tcPr>
            <w:tcW w:w="1397" w:type="dxa"/>
            <w:shd w:val="clear" w:color="auto" w:fill="auto"/>
            <w:noWrap/>
            <w:tcMar>
              <w:top w:w="15" w:type="dxa"/>
              <w:left w:w="15" w:type="dxa"/>
              <w:right w:w="15" w:type="dxa"/>
            </w:tcMar>
            <w:vAlign w:val="bottom"/>
          </w:tcPr>
          <w:p w14:paraId="6638F40B">
            <w:pPr>
              <w:pStyle w:val="34"/>
              <w:jc w:val="center"/>
              <w:rPr>
                <w:rFonts w:ascii="宋体" w:hAnsi="宋体" w:cs="宋体"/>
              </w:rPr>
            </w:pPr>
            <w:r>
              <w:rPr>
                <w:rFonts w:hint="eastAsia" w:ascii="宋体" w:hAnsi="宋体" w:cs="宋体"/>
              </w:rPr>
              <w:t>0.13</w:t>
            </w:r>
          </w:p>
        </w:tc>
        <w:tc>
          <w:tcPr>
            <w:tcW w:w="523" w:type="dxa"/>
            <w:shd w:val="clear" w:color="auto" w:fill="auto"/>
            <w:noWrap/>
            <w:tcMar>
              <w:top w:w="15" w:type="dxa"/>
              <w:left w:w="15" w:type="dxa"/>
              <w:right w:w="15" w:type="dxa"/>
            </w:tcMar>
            <w:vAlign w:val="bottom"/>
          </w:tcPr>
          <w:p w14:paraId="2228A629">
            <w:pPr>
              <w:pStyle w:val="34"/>
              <w:jc w:val="center"/>
              <w:rPr>
                <w:rFonts w:ascii="宋体" w:hAnsi="宋体" w:cs="宋体"/>
              </w:rPr>
            </w:pPr>
            <w:r>
              <w:rPr>
                <w:rFonts w:hint="eastAsia" w:ascii="宋体" w:hAnsi="宋体" w:cs="宋体"/>
              </w:rPr>
              <w:t>94</w:t>
            </w:r>
          </w:p>
        </w:tc>
        <w:tc>
          <w:tcPr>
            <w:tcW w:w="960" w:type="dxa"/>
            <w:shd w:val="clear" w:color="auto" w:fill="auto"/>
            <w:noWrap/>
            <w:tcMar>
              <w:top w:w="15" w:type="dxa"/>
              <w:left w:w="15" w:type="dxa"/>
              <w:right w:w="15" w:type="dxa"/>
            </w:tcMar>
            <w:vAlign w:val="bottom"/>
          </w:tcPr>
          <w:p w14:paraId="2C65A4B7">
            <w:pPr>
              <w:pStyle w:val="34"/>
              <w:jc w:val="center"/>
              <w:rPr>
                <w:rFonts w:ascii="宋体" w:hAnsi="宋体" w:cs="宋体"/>
              </w:rPr>
            </w:pPr>
            <w:r>
              <w:rPr>
                <w:rFonts w:hint="eastAsia" w:ascii="宋体" w:hAnsi="宋体" w:cs="宋体"/>
              </w:rPr>
              <w:t>汪</w:t>
            </w:r>
          </w:p>
        </w:tc>
        <w:tc>
          <w:tcPr>
            <w:tcW w:w="960" w:type="dxa"/>
            <w:shd w:val="clear" w:color="auto" w:fill="auto"/>
            <w:noWrap/>
            <w:tcMar>
              <w:top w:w="15" w:type="dxa"/>
              <w:left w:w="15" w:type="dxa"/>
              <w:right w:w="15" w:type="dxa"/>
            </w:tcMar>
            <w:vAlign w:val="bottom"/>
          </w:tcPr>
          <w:p w14:paraId="4B6FD9D6">
            <w:pPr>
              <w:pStyle w:val="34"/>
              <w:jc w:val="center"/>
              <w:rPr>
                <w:rFonts w:ascii="宋体" w:hAnsi="宋体" w:cs="宋体"/>
              </w:rPr>
            </w:pPr>
            <w:r>
              <w:rPr>
                <w:rFonts w:hint="eastAsia" w:ascii="宋体" w:hAnsi="宋体" w:cs="宋体"/>
              </w:rPr>
              <w:t>27</w:t>
            </w:r>
          </w:p>
        </w:tc>
        <w:tc>
          <w:tcPr>
            <w:tcW w:w="1296" w:type="dxa"/>
            <w:tcBorders>
              <w:right w:val="nil"/>
            </w:tcBorders>
            <w:shd w:val="clear" w:color="auto" w:fill="auto"/>
            <w:noWrap/>
            <w:tcMar>
              <w:top w:w="15" w:type="dxa"/>
              <w:left w:w="15" w:type="dxa"/>
              <w:right w:w="15" w:type="dxa"/>
            </w:tcMar>
            <w:vAlign w:val="bottom"/>
          </w:tcPr>
          <w:p w14:paraId="391EAA90">
            <w:pPr>
              <w:pStyle w:val="34"/>
              <w:jc w:val="center"/>
              <w:rPr>
                <w:rFonts w:ascii="宋体" w:hAnsi="宋体" w:cs="宋体"/>
              </w:rPr>
            </w:pPr>
            <w:r>
              <w:rPr>
                <w:rFonts w:hint="eastAsia" w:ascii="宋体" w:hAnsi="宋体" w:cs="宋体"/>
              </w:rPr>
              <w:t>0.03</w:t>
            </w:r>
          </w:p>
        </w:tc>
      </w:tr>
      <w:tr w14:paraId="1103884F">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960" w:type="dxa"/>
            <w:tcBorders>
              <w:left w:val="nil"/>
            </w:tcBorders>
            <w:shd w:val="clear" w:color="auto" w:fill="auto"/>
            <w:noWrap/>
            <w:tcMar>
              <w:top w:w="15" w:type="dxa"/>
              <w:left w:w="15" w:type="dxa"/>
              <w:right w:w="15" w:type="dxa"/>
            </w:tcMar>
            <w:vAlign w:val="bottom"/>
          </w:tcPr>
          <w:p w14:paraId="24718DC2">
            <w:pPr>
              <w:pStyle w:val="34"/>
              <w:jc w:val="center"/>
              <w:rPr>
                <w:rFonts w:ascii="宋体" w:hAnsi="宋体" w:cs="宋体"/>
              </w:rPr>
            </w:pPr>
            <w:r>
              <w:rPr>
                <w:rFonts w:hint="eastAsia" w:ascii="宋体" w:hAnsi="宋体" w:cs="宋体"/>
              </w:rPr>
              <w:t>67</w:t>
            </w:r>
          </w:p>
        </w:tc>
        <w:tc>
          <w:tcPr>
            <w:tcW w:w="960" w:type="dxa"/>
            <w:shd w:val="clear" w:color="auto" w:fill="auto"/>
            <w:noWrap/>
            <w:tcMar>
              <w:top w:w="15" w:type="dxa"/>
              <w:left w:w="15" w:type="dxa"/>
              <w:right w:w="15" w:type="dxa"/>
            </w:tcMar>
            <w:vAlign w:val="bottom"/>
          </w:tcPr>
          <w:p w14:paraId="2F1A92B0">
            <w:pPr>
              <w:pStyle w:val="34"/>
              <w:jc w:val="center"/>
              <w:rPr>
                <w:rFonts w:ascii="宋体" w:hAnsi="宋体" w:cs="宋体"/>
              </w:rPr>
            </w:pPr>
            <w:r>
              <w:rPr>
                <w:rFonts w:hint="eastAsia" w:ascii="宋体" w:hAnsi="宋体" w:cs="宋体"/>
              </w:rPr>
              <w:t>汤</w:t>
            </w:r>
          </w:p>
        </w:tc>
        <w:tc>
          <w:tcPr>
            <w:tcW w:w="960" w:type="dxa"/>
            <w:shd w:val="clear" w:color="auto" w:fill="auto"/>
            <w:noWrap/>
            <w:tcMar>
              <w:top w:w="15" w:type="dxa"/>
              <w:left w:w="15" w:type="dxa"/>
              <w:right w:w="15" w:type="dxa"/>
            </w:tcMar>
            <w:vAlign w:val="bottom"/>
          </w:tcPr>
          <w:p w14:paraId="70F82162">
            <w:pPr>
              <w:pStyle w:val="34"/>
              <w:jc w:val="center"/>
              <w:rPr>
                <w:rFonts w:ascii="宋体" w:hAnsi="宋体" w:cs="宋体"/>
              </w:rPr>
            </w:pPr>
            <w:r>
              <w:rPr>
                <w:rFonts w:hint="eastAsia" w:ascii="宋体" w:hAnsi="宋体" w:cs="宋体"/>
              </w:rPr>
              <w:t>101</w:t>
            </w:r>
          </w:p>
        </w:tc>
        <w:tc>
          <w:tcPr>
            <w:tcW w:w="1397" w:type="dxa"/>
            <w:shd w:val="clear" w:color="auto" w:fill="auto"/>
            <w:noWrap/>
            <w:tcMar>
              <w:top w:w="15" w:type="dxa"/>
              <w:left w:w="15" w:type="dxa"/>
              <w:right w:w="15" w:type="dxa"/>
            </w:tcMar>
            <w:vAlign w:val="bottom"/>
          </w:tcPr>
          <w:p w14:paraId="03A4D78A">
            <w:pPr>
              <w:pStyle w:val="34"/>
              <w:jc w:val="center"/>
              <w:rPr>
                <w:rFonts w:ascii="宋体" w:hAnsi="宋体" w:cs="宋体"/>
              </w:rPr>
            </w:pPr>
            <w:r>
              <w:rPr>
                <w:rFonts w:hint="eastAsia" w:ascii="宋体" w:hAnsi="宋体" w:cs="宋体"/>
              </w:rPr>
              <w:t>0.12</w:t>
            </w:r>
          </w:p>
        </w:tc>
        <w:tc>
          <w:tcPr>
            <w:tcW w:w="523" w:type="dxa"/>
            <w:shd w:val="clear" w:color="auto" w:fill="auto"/>
            <w:noWrap/>
            <w:tcMar>
              <w:top w:w="15" w:type="dxa"/>
              <w:left w:w="15" w:type="dxa"/>
              <w:right w:w="15" w:type="dxa"/>
            </w:tcMar>
            <w:vAlign w:val="bottom"/>
          </w:tcPr>
          <w:p w14:paraId="5DBE3B58">
            <w:pPr>
              <w:pStyle w:val="34"/>
              <w:jc w:val="center"/>
              <w:rPr>
                <w:rFonts w:ascii="宋体" w:hAnsi="宋体" w:cs="宋体"/>
              </w:rPr>
            </w:pPr>
            <w:r>
              <w:rPr>
                <w:rFonts w:hint="eastAsia" w:ascii="宋体" w:hAnsi="宋体" w:cs="宋体"/>
              </w:rPr>
              <w:t>95</w:t>
            </w:r>
          </w:p>
        </w:tc>
        <w:tc>
          <w:tcPr>
            <w:tcW w:w="960" w:type="dxa"/>
            <w:shd w:val="clear" w:color="auto" w:fill="auto"/>
            <w:noWrap/>
            <w:tcMar>
              <w:top w:w="15" w:type="dxa"/>
              <w:left w:w="15" w:type="dxa"/>
              <w:right w:w="15" w:type="dxa"/>
            </w:tcMar>
            <w:vAlign w:val="bottom"/>
          </w:tcPr>
          <w:p w14:paraId="1581B872">
            <w:pPr>
              <w:pStyle w:val="34"/>
              <w:jc w:val="center"/>
              <w:rPr>
                <w:rFonts w:ascii="宋体" w:hAnsi="宋体" w:cs="宋体"/>
              </w:rPr>
            </w:pPr>
            <w:r>
              <w:rPr>
                <w:rFonts w:hint="eastAsia" w:ascii="宋体" w:hAnsi="宋体" w:cs="宋体"/>
              </w:rPr>
              <w:t>孙</w:t>
            </w:r>
          </w:p>
        </w:tc>
        <w:tc>
          <w:tcPr>
            <w:tcW w:w="960" w:type="dxa"/>
            <w:shd w:val="clear" w:color="auto" w:fill="auto"/>
            <w:noWrap/>
            <w:tcMar>
              <w:top w:w="15" w:type="dxa"/>
              <w:left w:w="15" w:type="dxa"/>
              <w:right w:w="15" w:type="dxa"/>
            </w:tcMar>
            <w:vAlign w:val="bottom"/>
          </w:tcPr>
          <w:p w14:paraId="7ADD46EB">
            <w:pPr>
              <w:pStyle w:val="34"/>
              <w:jc w:val="center"/>
              <w:rPr>
                <w:rFonts w:ascii="宋体" w:hAnsi="宋体" w:cs="宋体"/>
              </w:rPr>
            </w:pPr>
            <w:r>
              <w:rPr>
                <w:rFonts w:hint="eastAsia" w:ascii="宋体" w:hAnsi="宋体" w:cs="宋体"/>
              </w:rPr>
              <w:t>25</w:t>
            </w:r>
          </w:p>
        </w:tc>
        <w:tc>
          <w:tcPr>
            <w:tcW w:w="1296" w:type="dxa"/>
            <w:tcBorders>
              <w:right w:val="nil"/>
            </w:tcBorders>
            <w:shd w:val="clear" w:color="auto" w:fill="auto"/>
            <w:noWrap/>
            <w:tcMar>
              <w:top w:w="15" w:type="dxa"/>
              <w:left w:w="15" w:type="dxa"/>
              <w:right w:w="15" w:type="dxa"/>
            </w:tcMar>
            <w:vAlign w:val="bottom"/>
          </w:tcPr>
          <w:p w14:paraId="75ADCB4C">
            <w:pPr>
              <w:pStyle w:val="34"/>
              <w:jc w:val="center"/>
              <w:rPr>
                <w:rFonts w:ascii="宋体" w:hAnsi="宋体" w:cs="宋体"/>
              </w:rPr>
            </w:pPr>
            <w:r>
              <w:rPr>
                <w:rFonts w:hint="eastAsia" w:ascii="宋体" w:hAnsi="宋体" w:cs="宋体"/>
              </w:rPr>
              <w:t>0.03</w:t>
            </w:r>
          </w:p>
        </w:tc>
      </w:tr>
      <w:tr w14:paraId="5D3E560C">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960" w:type="dxa"/>
            <w:tcBorders>
              <w:left w:val="nil"/>
            </w:tcBorders>
            <w:shd w:val="clear" w:color="auto" w:fill="auto"/>
            <w:noWrap/>
            <w:tcMar>
              <w:top w:w="15" w:type="dxa"/>
              <w:left w:w="15" w:type="dxa"/>
              <w:right w:w="15" w:type="dxa"/>
            </w:tcMar>
            <w:vAlign w:val="bottom"/>
          </w:tcPr>
          <w:p w14:paraId="5E449C13">
            <w:pPr>
              <w:pStyle w:val="34"/>
              <w:jc w:val="center"/>
              <w:rPr>
                <w:rFonts w:ascii="宋体" w:hAnsi="宋体" w:cs="宋体"/>
              </w:rPr>
            </w:pPr>
            <w:r>
              <w:rPr>
                <w:rFonts w:hint="eastAsia" w:ascii="宋体" w:hAnsi="宋体" w:cs="宋体"/>
              </w:rPr>
              <w:t>68</w:t>
            </w:r>
          </w:p>
        </w:tc>
        <w:tc>
          <w:tcPr>
            <w:tcW w:w="960" w:type="dxa"/>
            <w:shd w:val="clear" w:color="auto" w:fill="auto"/>
            <w:noWrap/>
            <w:tcMar>
              <w:top w:w="15" w:type="dxa"/>
              <w:left w:w="15" w:type="dxa"/>
              <w:right w:w="15" w:type="dxa"/>
            </w:tcMar>
            <w:vAlign w:val="bottom"/>
          </w:tcPr>
          <w:p w14:paraId="481B1597">
            <w:pPr>
              <w:pStyle w:val="34"/>
              <w:jc w:val="center"/>
              <w:rPr>
                <w:rFonts w:ascii="宋体" w:hAnsi="宋体" w:cs="宋体"/>
              </w:rPr>
            </w:pPr>
            <w:r>
              <w:rPr>
                <w:rFonts w:hint="eastAsia" w:ascii="宋体" w:hAnsi="宋体" w:cs="宋体"/>
              </w:rPr>
              <w:t>阳</w:t>
            </w:r>
          </w:p>
        </w:tc>
        <w:tc>
          <w:tcPr>
            <w:tcW w:w="960" w:type="dxa"/>
            <w:shd w:val="clear" w:color="auto" w:fill="auto"/>
            <w:noWrap/>
            <w:tcMar>
              <w:top w:w="15" w:type="dxa"/>
              <w:left w:w="15" w:type="dxa"/>
              <w:right w:w="15" w:type="dxa"/>
            </w:tcMar>
            <w:vAlign w:val="bottom"/>
          </w:tcPr>
          <w:p w14:paraId="13896EBD">
            <w:pPr>
              <w:pStyle w:val="34"/>
              <w:jc w:val="center"/>
              <w:rPr>
                <w:rFonts w:ascii="宋体" w:hAnsi="宋体" w:cs="宋体"/>
              </w:rPr>
            </w:pPr>
            <w:r>
              <w:rPr>
                <w:rFonts w:hint="eastAsia" w:ascii="宋体" w:hAnsi="宋体" w:cs="宋体"/>
              </w:rPr>
              <w:t>100</w:t>
            </w:r>
          </w:p>
        </w:tc>
        <w:tc>
          <w:tcPr>
            <w:tcW w:w="1397" w:type="dxa"/>
            <w:shd w:val="clear" w:color="auto" w:fill="auto"/>
            <w:noWrap/>
            <w:tcMar>
              <w:top w:w="15" w:type="dxa"/>
              <w:left w:w="15" w:type="dxa"/>
              <w:right w:w="15" w:type="dxa"/>
            </w:tcMar>
            <w:vAlign w:val="bottom"/>
          </w:tcPr>
          <w:p w14:paraId="221E982E">
            <w:pPr>
              <w:pStyle w:val="34"/>
              <w:jc w:val="center"/>
              <w:rPr>
                <w:rFonts w:ascii="宋体" w:hAnsi="宋体" w:cs="宋体"/>
              </w:rPr>
            </w:pPr>
            <w:r>
              <w:rPr>
                <w:rFonts w:hint="eastAsia" w:ascii="宋体" w:hAnsi="宋体" w:cs="宋体"/>
              </w:rPr>
              <w:t>0.12</w:t>
            </w:r>
          </w:p>
        </w:tc>
        <w:tc>
          <w:tcPr>
            <w:tcW w:w="523" w:type="dxa"/>
            <w:shd w:val="clear" w:color="auto" w:fill="auto"/>
            <w:noWrap/>
            <w:tcMar>
              <w:top w:w="15" w:type="dxa"/>
              <w:left w:w="15" w:type="dxa"/>
              <w:right w:w="15" w:type="dxa"/>
            </w:tcMar>
            <w:vAlign w:val="bottom"/>
          </w:tcPr>
          <w:p w14:paraId="62808DB1">
            <w:pPr>
              <w:pStyle w:val="34"/>
              <w:jc w:val="center"/>
              <w:rPr>
                <w:rFonts w:ascii="宋体" w:hAnsi="宋体" w:cs="宋体"/>
              </w:rPr>
            </w:pPr>
            <w:r>
              <w:rPr>
                <w:rFonts w:hint="eastAsia" w:ascii="宋体" w:hAnsi="宋体" w:cs="宋体"/>
              </w:rPr>
              <w:t>96</w:t>
            </w:r>
          </w:p>
        </w:tc>
        <w:tc>
          <w:tcPr>
            <w:tcW w:w="960" w:type="dxa"/>
            <w:shd w:val="clear" w:color="auto" w:fill="auto"/>
            <w:noWrap/>
            <w:tcMar>
              <w:top w:w="15" w:type="dxa"/>
              <w:left w:w="15" w:type="dxa"/>
              <w:right w:w="15" w:type="dxa"/>
            </w:tcMar>
            <w:vAlign w:val="bottom"/>
          </w:tcPr>
          <w:p w14:paraId="7A5D133B">
            <w:pPr>
              <w:pStyle w:val="34"/>
              <w:jc w:val="center"/>
              <w:rPr>
                <w:rFonts w:ascii="宋体" w:hAnsi="宋体" w:cs="宋体"/>
              </w:rPr>
            </w:pPr>
            <w:r>
              <w:rPr>
                <w:rFonts w:hint="eastAsia" w:ascii="宋体" w:hAnsi="宋体" w:cs="宋体"/>
              </w:rPr>
              <w:t>练</w:t>
            </w:r>
          </w:p>
        </w:tc>
        <w:tc>
          <w:tcPr>
            <w:tcW w:w="960" w:type="dxa"/>
            <w:shd w:val="clear" w:color="auto" w:fill="auto"/>
            <w:noWrap/>
            <w:tcMar>
              <w:top w:w="15" w:type="dxa"/>
              <w:left w:w="15" w:type="dxa"/>
              <w:right w:w="15" w:type="dxa"/>
            </w:tcMar>
            <w:vAlign w:val="bottom"/>
          </w:tcPr>
          <w:p w14:paraId="03A6BCD0">
            <w:pPr>
              <w:pStyle w:val="34"/>
              <w:jc w:val="center"/>
              <w:rPr>
                <w:rFonts w:ascii="宋体" w:hAnsi="宋体" w:cs="宋体"/>
              </w:rPr>
            </w:pPr>
            <w:r>
              <w:rPr>
                <w:rFonts w:hint="eastAsia" w:ascii="宋体" w:hAnsi="宋体" w:cs="宋体"/>
              </w:rPr>
              <w:t>25</w:t>
            </w:r>
          </w:p>
        </w:tc>
        <w:tc>
          <w:tcPr>
            <w:tcW w:w="1296" w:type="dxa"/>
            <w:tcBorders>
              <w:right w:val="nil"/>
            </w:tcBorders>
            <w:shd w:val="clear" w:color="auto" w:fill="auto"/>
            <w:noWrap/>
            <w:tcMar>
              <w:top w:w="15" w:type="dxa"/>
              <w:left w:w="15" w:type="dxa"/>
              <w:right w:w="15" w:type="dxa"/>
            </w:tcMar>
            <w:vAlign w:val="bottom"/>
          </w:tcPr>
          <w:p w14:paraId="74F23BD3">
            <w:pPr>
              <w:pStyle w:val="34"/>
              <w:jc w:val="center"/>
              <w:rPr>
                <w:rFonts w:ascii="宋体" w:hAnsi="宋体" w:cs="宋体"/>
              </w:rPr>
            </w:pPr>
            <w:r>
              <w:rPr>
                <w:rFonts w:hint="eastAsia" w:ascii="宋体" w:hAnsi="宋体" w:cs="宋体"/>
              </w:rPr>
              <w:t>0.03</w:t>
            </w:r>
          </w:p>
        </w:tc>
      </w:tr>
      <w:tr w14:paraId="39F60ABC">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960" w:type="dxa"/>
            <w:tcBorders>
              <w:left w:val="nil"/>
            </w:tcBorders>
            <w:shd w:val="clear" w:color="auto" w:fill="auto"/>
            <w:noWrap/>
            <w:tcMar>
              <w:top w:w="15" w:type="dxa"/>
              <w:left w:w="15" w:type="dxa"/>
              <w:right w:w="15" w:type="dxa"/>
            </w:tcMar>
            <w:vAlign w:val="bottom"/>
          </w:tcPr>
          <w:p w14:paraId="0247B696">
            <w:pPr>
              <w:pStyle w:val="34"/>
              <w:jc w:val="center"/>
              <w:rPr>
                <w:rFonts w:ascii="宋体" w:hAnsi="宋体" w:cs="宋体"/>
              </w:rPr>
            </w:pPr>
            <w:r>
              <w:rPr>
                <w:rFonts w:hint="eastAsia" w:ascii="宋体" w:hAnsi="宋体" w:cs="宋体"/>
              </w:rPr>
              <w:t>69</w:t>
            </w:r>
          </w:p>
        </w:tc>
        <w:tc>
          <w:tcPr>
            <w:tcW w:w="960" w:type="dxa"/>
            <w:shd w:val="clear" w:color="auto" w:fill="auto"/>
            <w:noWrap/>
            <w:tcMar>
              <w:top w:w="15" w:type="dxa"/>
              <w:left w:w="15" w:type="dxa"/>
              <w:right w:w="15" w:type="dxa"/>
            </w:tcMar>
            <w:vAlign w:val="bottom"/>
          </w:tcPr>
          <w:p w14:paraId="43477C6E">
            <w:pPr>
              <w:pStyle w:val="34"/>
              <w:jc w:val="center"/>
              <w:rPr>
                <w:rFonts w:ascii="宋体" w:hAnsi="宋体" w:cs="宋体"/>
              </w:rPr>
            </w:pPr>
            <w:r>
              <w:rPr>
                <w:rFonts w:hint="eastAsia" w:ascii="宋体" w:hAnsi="宋体" w:cs="宋体"/>
              </w:rPr>
              <w:t>尹</w:t>
            </w:r>
          </w:p>
        </w:tc>
        <w:tc>
          <w:tcPr>
            <w:tcW w:w="960" w:type="dxa"/>
            <w:shd w:val="clear" w:color="auto" w:fill="auto"/>
            <w:noWrap/>
            <w:tcMar>
              <w:top w:w="15" w:type="dxa"/>
              <w:left w:w="15" w:type="dxa"/>
              <w:right w:w="15" w:type="dxa"/>
            </w:tcMar>
            <w:vAlign w:val="bottom"/>
          </w:tcPr>
          <w:p w14:paraId="44C143C8">
            <w:pPr>
              <w:pStyle w:val="34"/>
              <w:jc w:val="center"/>
              <w:rPr>
                <w:rFonts w:ascii="宋体" w:hAnsi="宋体" w:cs="宋体"/>
              </w:rPr>
            </w:pPr>
            <w:r>
              <w:rPr>
                <w:rFonts w:hint="eastAsia" w:ascii="宋体" w:hAnsi="宋体" w:cs="宋体"/>
              </w:rPr>
              <w:t>93</w:t>
            </w:r>
          </w:p>
        </w:tc>
        <w:tc>
          <w:tcPr>
            <w:tcW w:w="1397" w:type="dxa"/>
            <w:shd w:val="clear" w:color="auto" w:fill="auto"/>
            <w:noWrap/>
            <w:tcMar>
              <w:top w:w="15" w:type="dxa"/>
              <w:left w:w="15" w:type="dxa"/>
              <w:right w:w="15" w:type="dxa"/>
            </w:tcMar>
            <w:vAlign w:val="bottom"/>
          </w:tcPr>
          <w:p w14:paraId="44F69B79">
            <w:pPr>
              <w:pStyle w:val="34"/>
              <w:jc w:val="center"/>
              <w:rPr>
                <w:rFonts w:ascii="宋体" w:hAnsi="宋体" w:cs="宋体"/>
              </w:rPr>
            </w:pPr>
            <w:r>
              <w:rPr>
                <w:rFonts w:hint="eastAsia" w:ascii="宋体" w:hAnsi="宋体" w:cs="宋体"/>
              </w:rPr>
              <w:t>0.11</w:t>
            </w:r>
          </w:p>
        </w:tc>
        <w:tc>
          <w:tcPr>
            <w:tcW w:w="523" w:type="dxa"/>
            <w:shd w:val="clear" w:color="auto" w:fill="auto"/>
            <w:noWrap/>
            <w:tcMar>
              <w:top w:w="15" w:type="dxa"/>
              <w:left w:w="15" w:type="dxa"/>
              <w:right w:w="15" w:type="dxa"/>
            </w:tcMar>
            <w:vAlign w:val="bottom"/>
          </w:tcPr>
          <w:p w14:paraId="0DDB3955">
            <w:pPr>
              <w:pStyle w:val="34"/>
              <w:jc w:val="center"/>
              <w:rPr>
                <w:rFonts w:ascii="宋体" w:hAnsi="宋体" w:cs="宋体"/>
              </w:rPr>
            </w:pPr>
            <w:r>
              <w:rPr>
                <w:rFonts w:hint="eastAsia" w:ascii="宋体" w:hAnsi="宋体" w:cs="宋体"/>
              </w:rPr>
              <w:t>9</w:t>
            </w:r>
          </w:p>
        </w:tc>
        <w:tc>
          <w:tcPr>
            <w:tcW w:w="960" w:type="dxa"/>
            <w:shd w:val="clear" w:color="auto" w:fill="auto"/>
            <w:noWrap/>
            <w:tcMar>
              <w:top w:w="15" w:type="dxa"/>
              <w:left w:w="15" w:type="dxa"/>
              <w:right w:w="15" w:type="dxa"/>
            </w:tcMar>
            <w:vAlign w:val="bottom"/>
          </w:tcPr>
          <w:p w14:paraId="185DDF44">
            <w:pPr>
              <w:pStyle w:val="34"/>
              <w:jc w:val="center"/>
              <w:rPr>
                <w:rFonts w:ascii="宋体" w:hAnsi="宋体" w:cs="宋体"/>
              </w:rPr>
            </w:pPr>
            <w:r>
              <w:rPr>
                <w:rFonts w:hint="eastAsia" w:ascii="宋体" w:hAnsi="宋体" w:cs="宋体"/>
              </w:rPr>
              <w:t>葛</w:t>
            </w:r>
          </w:p>
        </w:tc>
        <w:tc>
          <w:tcPr>
            <w:tcW w:w="960" w:type="dxa"/>
            <w:shd w:val="clear" w:color="auto" w:fill="auto"/>
            <w:noWrap/>
            <w:tcMar>
              <w:top w:w="15" w:type="dxa"/>
              <w:left w:w="15" w:type="dxa"/>
              <w:right w:w="15" w:type="dxa"/>
            </w:tcMar>
            <w:vAlign w:val="bottom"/>
          </w:tcPr>
          <w:p w14:paraId="6A37CD27">
            <w:pPr>
              <w:pStyle w:val="34"/>
              <w:jc w:val="center"/>
              <w:rPr>
                <w:rFonts w:ascii="宋体" w:hAnsi="宋体" w:cs="宋体"/>
              </w:rPr>
            </w:pPr>
            <w:r>
              <w:rPr>
                <w:rFonts w:hint="eastAsia" w:ascii="宋体" w:hAnsi="宋体" w:cs="宋体"/>
              </w:rPr>
              <w:t>24</w:t>
            </w:r>
          </w:p>
        </w:tc>
        <w:tc>
          <w:tcPr>
            <w:tcW w:w="1296" w:type="dxa"/>
            <w:tcBorders>
              <w:right w:val="nil"/>
            </w:tcBorders>
            <w:shd w:val="clear" w:color="auto" w:fill="auto"/>
            <w:noWrap/>
            <w:tcMar>
              <w:top w:w="15" w:type="dxa"/>
              <w:left w:w="15" w:type="dxa"/>
              <w:right w:w="15" w:type="dxa"/>
            </w:tcMar>
            <w:vAlign w:val="bottom"/>
          </w:tcPr>
          <w:p w14:paraId="272F46AA">
            <w:pPr>
              <w:pStyle w:val="34"/>
              <w:jc w:val="center"/>
              <w:rPr>
                <w:rFonts w:ascii="宋体" w:hAnsi="宋体" w:cs="宋体"/>
              </w:rPr>
            </w:pPr>
            <w:r>
              <w:rPr>
                <w:rFonts w:hint="eastAsia" w:ascii="宋体" w:hAnsi="宋体" w:cs="宋体"/>
              </w:rPr>
              <w:t>0.03</w:t>
            </w:r>
          </w:p>
        </w:tc>
      </w:tr>
      <w:tr w14:paraId="0AE02BAD">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960" w:type="dxa"/>
            <w:tcBorders>
              <w:left w:val="nil"/>
            </w:tcBorders>
            <w:shd w:val="clear" w:color="auto" w:fill="auto"/>
            <w:noWrap/>
            <w:tcMar>
              <w:top w:w="15" w:type="dxa"/>
              <w:left w:w="15" w:type="dxa"/>
              <w:right w:w="15" w:type="dxa"/>
            </w:tcMar>
            <w:vAlign w:val="bottom"/>
          </w:tcPr>
          <w:p w14:paraId="1566D345">
            <w:pPr>
              <w:pStyle w:val="34"/>
              <w:jc w:val="center"/>
              <w:rPr>
                <w:rFonts w:ascii="宋体" w:hAnsi="宋体" w:cs="宋体"/>
              </w:rPr>
            </w:pPr>
            <w:r>
              <w:rPr>
                <w:rFonts w:hint="eastAsia" w:ascii="宋体" w:hAnsi="宋体" w:cs="宋体"/>
              </w:rPr>
              <w:t>70</w:t>
            </w:r>
          </w:p>
        </w:tc>
        <w:tc>
          <w:tcPr>
            <w:tcW w:w="960" w:type="dxa"/>
            <w:shd w:val="clear" w:color="auto" w:fill="auto"/>
            <w:noWrap/>
            <w:tcMar>
              <w:top w:w="15" w:type="dxa"/>
              <w:left w:w="15" w:type="dxa"/>
              <w:right w:w="15" w:type="dxa"/>
            </w:tcMar>
            <w:vAlign w:val="bottom"/>
          </w:tcPr>
          <w:p w14:paraId="0A57D0F4">
            <w:pPr>
              <w:pStyle w:val="34"/>
              <w:jc w:val="center"/>
              <w:rPr>
                <w:rFonts w:ascii="宋体" w:hAnsi="宋体" w:cs="宋体"/>
              </w:rPr>
            </w:pPr>
            <w:r>
              <w:rPr>
                <w:rFonts w:hint="eastAsia" w:ascii="宋体" w:hAnsi="宋体" w:cs="宋体"/>
              </w:rPr>
              <w:t>田</w:t>
            </w:r>
          </w:p>
        </w:tc>
        <w:tc>
          <w:tcPr>
            <w:tcW w:w="960" w:type="dxa"/>
            <w:shd w:val="clear" w:color="auto" w:fill="auto"/>
            <w:noWrap/>
            <w:tcMar>
              <w:top w:w="15" w:type="dxa"/>
              <w:left w:w="15" w:type="dxa"/>
              <w:right w:w="15" w:type="dxa"/>
            </w:tcMar>
            <w:vAlign w:val="bottom"/>
          </w:tcPr>
          <w:p w14:paraId="6AC2603D">
            <w:pPr>
              <w:pStyle w:val="34"/>
              <w:jc w:val="center"/>
              <w:rPr>
                <w:rFonts w:ascii="宋体" w:hAnsi="宋体" w:cs="宋体"/>
              </w:rPr>
            </w:pPr>
            <w:r>
              <w:rPr>
                <w:rFonts w:hint="eastAsia" w:ascii="宋体" w:hAnsi="宋体" w:cs="宋体"/>
              </w:rPr>
              <w:t>91</w:t>
            </w:r>
          </w:p>
        </w:tc>
        <w:tc>
          <w:tcPr>
            <w:tcW w:w="1397" w:type="dxa"/>
            <w:shd w:val="clear" w:color="auto" w:fill="auto"/>
            <w:noWrap/>
            <w:tcMar>
              <w:top w:w="15" w:type="dxa"/>
              <w:left w:w="15" w:type="dxa"/>
              <w:right w:w="15" w:type="dxa"/>
            </w:tcMar>
            <w:vAlign w:val="bottom"/>
          </w:tcPr>
          <w:p w14:paraId="214653DF">
            <w:pPr>
              <w:pStyle w:val="34"/>
              <w:jc w:val="center"/>
              <w:rPr>
                <w:rFonts w:ascii="宋体" w:hAnsi="宋体" w:cs="宋体"/>
              </w:rPr>
            </w:pPr>
            <w:r>
              <w:rPr>
                <w:rFonts w:hint="eastAsia" w:ascii="宋体" w:hAnsi="宋体" w:cs="宋体"/>
              </w:rPr>
              <w:t>0.11</w:t>
            </w:r>
          </w:p>
        </w:tc>
        <w:tc>
          <w:tcPr>
            <w:tcW w:w="523" w:type="dxa"/>
            <w:shd w:val="clear" w:color="auto" w:fill="auto"/>
            <w:noWrap/>
            <w:tcMar>
              <w:top w:w="15" w:type="dxa"/>
              <w:left w:w="15" w:type="dxa"/>
              <w:right w:w="15" w:type="dxa"/>
            </w:tcMar>
            <w:vAlign w:val="bottom"/>
          </w:tcPr>
          <w:p w14:paraId="3EED8034">
            <w:pPr>
              <w:pStyle w:val="34"/>
              <w:jc w:val="center"/>
              <w:rPr>
                <w:rFonts w:ascii="宋体" w:hAnsi="宋体" w:cs="宋体"/>
              </w:rPr>
            </w:pPr>
            <w:r>
              <w:rPr>
                <w:rFonts w:hint="eastAsia" w:ascii="宋体" w:hAnsi="宋体" w:cs="宋体"/>
              </w:rPr>
              <w:t>9</w:t>
            </w:r>
          </w:p>
        </w:tc>
        <w:tc>
          <w:tcPr>
            <w:tcW w:w="960" w:type="dxa"/>
            <w:shd w:val="clear" w:color="auto" w:fill="auto"/>
            <w:noWrap/>
            <w:tcMar>
              <w:top w:w="15" w:type="dxa"/>
              <w:left w:w="15" w:type="dxa"/>
              <w:right w:w="15" w:type="dxa"/>
            </w:tcMar>
            <w:vAlign w:val="bottom"/>
          </w:tcPr>
          <w:p w14:paraId="3A509F05">
            <w:pPr>
              <w:pStyle w:val="34"/>
              <w:jc w:val="center"/>
              <w:rPr>
                <w:rFonts w:ascii="宋体" w:hAnsi="宋体" w:cs="宋体"/>
              </w:rPr>
            </w:pPr>
            <w:r>
              <w:rPr>
                <w:rFonts w:hint="eastAsia" w:ascii="宋体" w:hAnsi="宋体" w:cs="宋体"/>
              </w:rPr>
              <w:t>纪</w:t>
            </w:r>
          </w:p>
        </w:tc>
        <w:tc>
          <w:tcPr>
            <w:tcW w:w="960" w:type="dxa"/>
            <w:shd w:val="clear" w:color="auto" w:fill="auto"/>
            <w:noWrap/>
            <w:tcMar>
              <w:top w:w="15" w:type="dxa"/>
              <w:left w:w="15" w:type="dxa"/>
              <w:right w:w="15" w:type="dxa"/>
            </w:tcMar>
            <w:vAlign w:val="bottom"/>
          </w:tcPr>
          <w:p w14:paraId="6CDE289C">
            <w:pPr>
              <w:pStyle w:val="34"/>
              <w:jc w:val="center"/>
              <w:rPr>
                <w:rFonts w:ascii="宋体" w:hAnsi="宋体" w:cs="宋体"/>
              </w:rPr>
            </w:pPr>
            <w:r>
              <w:rPr>
                <w:rFonts w:hint="eastAsia" w:ascii="宋体" w:hAnsi="宋体" w:cs="宋体"/>
              </w:rPr>
              <w:t>24</w:t>
            </w:r>
          </w:p>
        </w:tc>
        <w:tc>
          <w:tcPr>
            <w:tcW w:w="1296" w:type="dxa"/>
            <w:tcBorders>
              <w:right w:val="nil"/>
            </w:tcBorders>
            <w:shd w:val="clear" w:color="auto" w:fill="auto"/>
            <w:noWrap/>
            <w:tcMar>
              <w:top w:w="15" w:type="dxa"/>
              <w:left w:w="15" w:type="dxa"/>
              <w:right w:w="15" w:type="dxa"/>
            </w:tcMar>
            <w:vAlign w:val="bottom"/>
          </w:tcPr>
          <w:p w14:paraId="376B6CFF">
            <w:pPr>
              <w:pStyle w:val="34"/>
              <w:jc w:val="center"/>
              <w:rPr>
                <w:rFonts w:ascii="宋体" w:hAnsi="宋体" w:cs="宋体"/>
              </w:rPr>
            </w:pPr>
            <w:r>
              <w:rPr>
                <w:rFonts w:hint="eastAsia" w:ascii="宋体" w:hAnsi="宋体" w:cs="宋体"/>
              </w:rPr>
              <w:t>0.03</w:t>
            </w:r>
          </w:p>
        </w:tc>
      </w:tr>
      <w:tr w14:paraId="3B7FACD5">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960" w:type="dxa"/>
            <w:tcBorders>
              <w:left w:val="nil"/>
            </w:tcBorders>
            <w:shd w:val="clear" w:color="auto" w:fill="auto"/>
            <w:noWrap/>
            <w:tcMar>
              <w:top w:w="15" w:type="dxa"/>
              <w:left w:w="15" w:type="dxa"/>
              <w:right w:w="15" w:type="dxa"/>
            </w:tcMar>
            <w:vAlign w:val="bottom"/>
          </w:tcPr>
          <w:p w14:paraId="26BAB119">
            <w:pPr>
              <w:pStyle w:val="34"/>
              <w:jc w:val="center"/>
              <w:rPr>
                <w:rFonts w:ascii="宋体" w:hAnsi="宋体" w:cs="宋体"/>
              </w:rPr>
            </w:pPr>
            <w:r>
              <w:rPr>
                <w:rFonts w:hint="eastAsia" w:ascii="宋体" w:hAnsi="宋体" w:cs="宋体"/>
              </w:rPr>
              <w:t>71</w:t>
            </w:r>
          </w:p>
        </w:tc>
        <w:tc>
          <w:tcPr>
            <w:tcW w:w="960" w:type="dxa"/>
            <w:shd w:val="clear" w:color="auto" w:fill="auto"/>
            <w:noWrap/>
            <w:tcMar>
              <w:top w:w="15" w:type="dxa"/>
              <w:left w:w="15" w:type="dxa"/>
              <w:right w:w="15" w:type="dxa"/>
            </w:tcMar>
            <w:vAlign w:val="bottom"/>
          </w:tcPr>
          <w:p w14:paraId="1F5244F3">
            <w:pPr>
              <w:pStyle w:val="34"/>
              <w:jc w:val="center"/>
              <w:rPr>
                <w:rFonts w:ascii="宋体" w:hAnsi="宋体" w:cs="宋体"/>
              </w:rPr>
            </w:pPr>
            <w:r>
              <w:rPr>
                <w:rFonts w:hint="eastAsia" w:ascii="宋体" w:hAnsi="宋体" w:cs="宋体"/>
              </w:rPr>
              <w:t>利</w:t>
            </w:r>
          </w:p>
        </w:tc>
        <w:tc>
          <w:tcPr>
            <w:tcW w:w="960" w:type="dxa"/>
            <w:shd w:val="clear" w:color="auto" w:fill="auto"/>
            <w:noWrap/>
            <w:tcMar>
              <w:top w:w="15" w:type="dxa"/>
              <w:left w:w="15" w:type="dxa"/>
              <w:right w:w="15" w:type="dxa"/>
            </w:tcMar>
            <w:vAlign w:val="bottom"/>
          </w:tcPr>
          <w:p w14:paraId="7C862EC6">
            <w:pPr>
              <w:pStyle w:val="34"/>
              <w:jc w:val="center"/>
              <w:rPr>
                <w:rFonts w:ascii="宋体" w:hAnsi="宋体" w:cs="宋体"/>
              </w:rPr>
            </w:pPr>
            <w:r>
              <w:rPr>
                <w:rFonts w:hint="eastAsia" w:ascii="宋体" w:hAnsi="宋体" w:cs="宋体"/>
              </w:rPr>
              <w:t>89</w:t>
            </w:r>
          </w:p>
        </w:tc>
        <w:tc>
          <w:tcPr>
            <w:tcW w:w="1397" w:type="dxa"/>
            <w:shd w:val="clear" w:color="auto" w:fill="auto"/>
            <w:noWrap/>
            <w:tcMar>
              <w:top w:w="15" w:type="dxa"/>
              <w:left w:w="15" w:type="dxa"/>
              <w:right w:w="15" w:type="dxa"/>
            </w:tcMar>
            <w:vAlign w:val="bottom"/>
          </w:tcPr>
          <w:p w14:paraId="6B55871E">
            <w:pPr>
              <w:pStyle w:val="34"/>
              <w:jc w:val="center"/>
              <w:rPr>
                <w:rFonts w:ascii="宋体" w:hAnsi="宋体" w:cs="宋体"/>
              </w:rPr>
            </w:pPr>
            <w:r>
              <w:rPr>
                <w:rFonts w:hint="eastAsia" w:ascii="宋体" w:hAnsi="宋体" w:cs="宋体"/>
              </w:rPr>
              <w:t>0.11</w:t>
            </w:r>
          </w:p>
        </w:tc>
        <w:tc>
          <w:tcPr>
            <w:tcW w:w="523" w:type="dxa"/>
            <w:shd w:val="clear" w:color="auto" w:fill="auto"/>
            <w:noWrap/>
            <w:tcMar>
              <w:top w:w="15" w:type="dxa"/>
              <w:left w:w="15" w:type="dxa"/>
              <w:right w:w="15" w:type="dxa"/>
            </w:tcMar>
            <w:vAlign w:val="bottom"/>
          </w:tcPr>
          <w:p w14:paraId="18314E60">
            <w:pPr>
              <w:pStyle w:val="34"/>
              <w:jc w:val="center"/>
              <w:rPr>
                <w:rFonts w:ascii="宋体" w:hAnsi="宋体" w:cs="宋体"/>
              </w:rPr>
            </w:pPr>
            <w:r>
              <w:rPr>
                <w:rFonts w:hint="eastAsia" w:ascii="宋体" w:hAnsi="宋体" w:cs="宋体"/>
              </w:rPr>
              <w:t>99</w:t>
            </w:r>
          </w:p>
        </w:tc>
        <w:tc>
          <w:tcPr>
            <w:tcW w:w="960" w:type="dxa"/>
            <w:shd w:val="clear" w:color="auto" w:fill="auto"/>
            <w:noWrap/>
            <w:tcMar>
              <w:top w:w="15" w:type="dxa"/>
              <w:left w:w="15" w:type="dxa"/>
              <w:right w:w="15" w:type="dxa"/>
            </w:tcMar>
            <w:vAlign w:val="bottom"/>
          </w:tcPr>
          <w:p w14:paraId="7C0AE5AD">
            <w:pPr>
              <w:pStyle w:val="34"/>
              <w:jc w:val="center"/>
              <w:rPr>
                <w:rFonts w:ascii="宋体" w:hAnsi="宋体" w:cs="宋体"/>
              </w:rPr>
            </w:pPr>
            <w:r>
              <w:rPr>
                <w:rFonts w:hint="eastAsia" w:ascii="宋体" w:hAnsi="宋体" w:cs="宋体"/>
              </w:rPr>
              <w:t>施</w:t>
            </w:r>
          </w:p>
        </w:tc>
        <w:tc>
          <w:tcPr>
            <w:tcW w:w="960" w:type="dxa"/>
            <w:shd w:val="clear" w:color="auto" w:fill="auto"/>
            <w:noWrap/>
            <w:tcMar>
              <w:top w:w="15" w:type="dxa"/>
              <w:left w:w="15" w:type="dxa"/>
              <w:right w:w="15" w:type="dxa"/>
            </w:tcMar>
            <w:vAlign w:val="bottom"/>
          </w:tcPr>
          <w:p w14:paraId="0FD16BBF">
            <w:pPr>
              <w:pStyle w:val="34"/>
              <w:jc w:val="center"/>
              <w:rPr>
                <w:rFonts w:ascii="宋体" w:hAnsi="宋体" w:cs="宋体"/>
              </w:rPr>
            </w:pPr>
            <w:r>
              <w:rPr>
                <w:rFonts w:hint="eastAsia" w:ascii="宋体" w:hAnsi="宋体" w:cs="宋体"/>
              </w:rPr>
              <w:t>20</w:t>
            </w:r>
          </w:p>
        </w:tc>
        <w:tc>
          <w:tcPr>
            <w:tcW w:w="1296" w:type="dxa"/>
            <w:tcBorders>
              <w:right w:val="nil"/>
            </w:tcBorders>
            <w:shd w:val="clear" w:color="auto" w:fill="auto"/>
            <w:noWrap/>
            <w:tcMar>
              <w:top w:w="15" w:type="dxa"/>
              <w:left w:w="15" w:type="dxa"/>
              <w:right w:w="15" w:type="dxa"/>
            </w:tcMar>
            <w:vAlign w:val="bottom"/>
          </w:tcPr>
          <w:p w14:paraId="7585DFDD">
            <w:pPr>
              <w:pStyle w:val="34"/>
              <w:jc w:val="center"/>
              <w:rPr>
                <w:rFonts w:ascii="宋体" w:hAnsi="宋体" w:cs="宋体"/>
              </w:rPr>
            </w:pPr>
            <w:r>
              <w:rPr>
                <w:rFonts w:hint="eastAsia" w:ascii="宋体" w:hAnsi="宋体" w:cs="宋体"/>
              </w:rPr>
              <w:t>0.02</w:t>
            </w:r>
          </w:p>
        </w:tc>
      </w:tr>
      <w:tr w14:paraId="4301D68D">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960" w:type="dxa"/>
            <w:tcBorders>
              <w:left w:val="nil"/>
            </w:tcBorders>
            <w:shd w:val="clear" w:color="auto" w:fill="auto"/>
            <w:noWrap/>
            <w:tcMar>
              <w:top w:w="15" w:type="dxa"/>
              <w:left w:w="15" w:type="dxa"/>
              <w:right w:w="15" w:type="dxa"/>
            </w:tcMar>
            <w:vAlign w:val="bottom"/>
          </w:tcPr>
          <w:p w14:paraId="14AC2B54">
            <w:pPr>
              <w:pStyle w:val="34"/>
              <w:jc w:val="center"/>
              <w:rPr>
                <w:rFonts w:ascii="宋体" w:hAnsi="宋体" w:cs="宋体"/>
              </w:rPr>
            </w:pPr>
            <w:r>
              <w:rPr>
                <w:rFonts w:hint="eastAsia" w:ascii="宋体" w:hAnsi="宋体" w:cs="宋体"/>
              </w:rPr>
              <w:t>72</w:t>
            </w:r>
          </w:p>
        </w:tc>
        <w:tc>
          <w:tcPr>
            <w:tcW w:w="960" w:type="dxa"/>
            <w:shd w:val="clear" w:color="auto" w:fill="auto"/>
            <w:noWrap/>
            <w:tcMar>
              <w:top w:w="15" w:type="dxa"/>
              <w:left w:w="15" w:type="dxa"/>
              <w:right w:w="15" w:type="dxa"/>
            </w:tcMar>
            <w:vAlign w:val="bottom"/>
          </w:tcPr>
          <w:p w14:paraId="6EA9A75F">
            <w:pPr>
              <w:pStyle w:val="34"/>
              <w:jc w:val="center"/>
              <w:rPr>
                <w:rFonts w:ascii="宋体" w:hAnsi="宋体" w:cs="宋体"/>
              </w:rPr>
            </w:pPr>
            <w:r>
              <w:rPr>
                <w:rFonts w:hint="eastAsia" w:ascii="宋体" w:hAnsi="宋体" w:cs="宋体"/>
              </w:rPr>
              <w:t>范</w:t>
            </w:r>
          </w:p>
        </w:tc>
        <w:tc>
          <w:tcPr>
            <w:tcW w:w="960" w:type="dxa"/>
            <w:shd w:val="clear" w:color="auto" w:fill="auto"/>
            <w:noWrap/>
            <w:tcMar>
              <w:top w:w="15" w:type="dxa"/>
              <w:left w:w="15" w:type="dxa"/>
              <w:right w:w="15" w:type="dxa"/>
            </w:tcMar>
            <w:vAlign w:val="bottom"/>
          </w:tcPr>
          <w:p w14:paraId="06F2B1AC">
            <w:pPr>
              <w:pStyle w:val="34"/>
              <w:jc w:val="center"/>
              <w:rPr>
                <w:rFonts w:ascii="宋体" w:hAnsi="宋体" w:cs="宋体"/>
              </w:rPr>
            </w:pPr>
            <w:r>
              <w:rPr>
                <w:rFonts w:hint="eastAsia" w:ascii="宋体" w:hAnsi="宋体" w:cs="宋体"/>
              </w:rPr>
              <w:t>74</w:t>
            </w:r>
          </w:p>
        </w:tc>
        <w:tc>
          <w:tcPr>
            <w:tcW w:w="1397" w:type="dxa"/>
            <w:shd w:val="clear" w:color="auto" w:fill="auto"/>
            <w:noWrap/>
            <w:tcMar>
              <w:top w:w="15" w:type="dxa"/>
              <w:left w:w="15" w:type="dxa"/>
              <w:right w:w="15" w:type="dxa"/>
            </w:tcMar>
            <w:vAlign w:val="bottom"/>
          </w:tcPr>
          <w:p w14:paraId="7ADE9BCC">
            <w:pPr>
              <w:pStyle w:val="34"/>
              <w:jc w:val="center"/>
              <w:rPr>
                <w:rFonts w:ascii="宋体" w:hAnsi="宋体" w:cs="宋体"/>
              </w:rPr>
            </w:pPr>
            <w:r>
              <w:rPr>
                <w:rFonts w:hint="eastAsia" w:ascii="宋体" w:hAnsi="宋体" w:cs="宋体"/>
              </w:rPr>
              <w:t>0.09</w:t>
            </w:r>
          </w:p>
        </w:tc>
        <w:tc>
          <w:tcPr>
            <w:tcW w:w="3739" w:type="dxa"/>
            <w:gridSpan w:val="4"/>
            <w:tcBorders>
              <w:right w:val="nil"/>
            </w:tcBorders>
            <w:shd w:val="clear" w:color="auto" w:fill="auto"/>
            <w:noWrap/>
            <w:tcMar>
              <w:top w:w="15" w:type="dxa"/>
              <w:left w:w="15" w:type="dxa"/>
              <w:right w:w="15" w:type="dxa"/>
            </w:tcMar>
            <w:vAlign w:val="bottom"/>
          </w:tcPr>
          <w:p w14:paraId="10FBB41A">
            <w:pPr>
              <w:pStyle w:val="34"/>
              <w:jc w:val="center"/>
              <w:rPr>
                <w:rFonts w:ascii="宋体" w:hAnsi="宋体" w:cs="宋体"/>
              </w:rPr>
            </w:pPr>
            <w:r>
              <w:rPr>
                <w:rFonts w:hint="eastAsia" w:ascii="宋体" w:hAnsi="宋体" w:cs="宋体"/>
              </w:rPr>
              <w:t>20户以下姓氏(右边数字为户数)</w:t>
            </w:r>
          </w:p>
        </w:tc>
      </w:tr>
      <w:tr w14:paraId="6BC9F7B0">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960" w:type="dxa"/>
            <w:tcBorders>
              <w:left w:val="nil"/>
            </w:tcBorders>
            <w:shd w:val="clear" w:color="auto" w:fill="auto"/>
            <w:noWrap/>
            <w:tcMar>
              <w:top w:w="15" w:type="dxa"/>
              <w:left w:w="15" w:type="dxa"/>
              <w:right w:w="15" w:type="dxa"/>
            </w:tcMar>
            <w:vAlign w:val="bottom"/>
          </w:tcPr>
          <w:p w14:paraId="2B16C54E">
            <w:pPr>
              <w:pStyle w:val="34"/>
              <w:jc w:val="center"/>
              <w:rPr>
                <w:rFonts w:ascii="宋体" w:hAnsi="宋体" w:cs="宋体"/>
              </w:rPr>
            </w:pPr>
            <w:r>
              <w:rPr>
                <w:rFonts w:hint="eastAsia" w:ascii="宋体" w:hAnsi="宋体" w:cs="宋体"/>
              </w:rPr>
              <w:t>73</w:t>
            </w:r>
          </w:p>
        </w:tc>
        <w:tc>
          <w:tcPr>
            <w:tcW w:w="960" w:type="dxa"/>
            <w:shd w:val="clear" w:color="auto" w:fill="auto"/>
            <w:noWrap/>
            <w:tcMar>
              <w:top w:w="15" w:type="dxa"/>
              <w:left w:w="15" w:type="dxa"/>
              <w:right w:w="15" w:type="dxa"/>
            </w:tcMar>
            <w:vAlign w:val="bottom"/>
          </w:tcPr>
          <w:p w14:paraId="4421B1A2">
            <w:pPr>
              <w:pStyle w:val="34"/>
              <w:jc w:val="center"/>
              <w:rPr>
                <w:rFonts w:ascii="宋体" w:hAnsi="宋体" w:cs="宋体"/>
              </w:rPr>
            </w:pPr>
            <w:r>
              <w:rPr>
                <w:rFonts w:hint="eastAsia" w:ascii="宋体" w:hAnsi="宋体" w:cs="宋体"/>
              </w:rPr>
              <w:t>袁</w:t>
            </w:r>
          </w:p>
        </w:tc>
        <w:tc>
          <w:tcPr>
            <w:tcW w:w="960" w:type="dxa"/>
            <w:shd w:val="clear" w:color="auto" w:fill="auto"/>
            <w:noWrap/>
            <w:tcMar>
              <w:top w:w="15" w:type="dxa"/>
              <w:left w:w="15" w:type="dxa"/>
              <w:right w:w="15" w:type="dxa"/>
            </w:tcMar>
            <w:vAlign w:val="bottom"/>
          </w:tcPr>
          <w:p w14:paraId="49970B5C">
            <w:pPr>
              <w:pStyle w:val="34"/>
              <w:jc w:val="center"/>
              <w:rPr>
                <w:rFonts w:ascii="宋体" w:hAnsi="宋体" w:cs="宋体"/>
              </w:rPr>
            </w:pPr>
            <w:r>
              <w:rPr>
                <w:rFonts w:hint="eastAsia" w:ascii="宋体" w:hAnsi="宋体" w:cs="宋体"/>
              </w:rPr>
              <w:t>72</w:t>
            </w:r>
          </w:p>
        </w:tc>
        <w:tc>
          <w:tcPr>
            <w:tcW w:w="1397" w:type="dxa"/>
            <w:shd w:val="clear" w:color="auto" w:fill="auto"/>
            <w:noWrap/>
            <w:tcMar>
              <w:top w:w="15" w:type="dxa"/>
              <w:left w:w="15" w:type="dxa"/>
              <w:right w:w="15" w:type="dxa"/>
            </w:tcMar>
            <w:vAlign w:val="bottom"/>
          </w:tcPr>
          <w:p w14:paraId="7D51CC51">
            <w:pPr>
              <w:pStyle w:val="34"/>
              <w:jc w:val="center"/>
              <w:rPr>
                <w:rFonts w:ascii="宋体" w:hAnsi="宋体" w:cs="宋体"/>
              </w:rPr>
            </w:pPr>
            <w:r>
              <w:rPr>
                <w:rFonts w:hint="eastAsia" w:ascii="宋体" w:hAnsi="宋体" w:cs="宋体"/>
              </w:rPr>
              <w:t>0.09</w:t>
            </w:r>
          </w:p>
        </w:tc>
        <w:tc>
          <w:tcPr>
            <w:tcW w:w="523" w:type="dxa"/>
            <w:shd w:val="clear" w:color="auto" w:fill="auto"/>
            <w:noWrap/>
            <w:tcMar>
              <w:top w:w="15" w:type="dxa"/>
              <w:left w:w="15" w:type="dxa"/>
              <w:right w:w="15" w:type="dxa"/>
            </w:tcMar>
            <w:vAlign w:val="bottom"/>
          </w:tcPr>
          <w:p w14:paraId="5C77C570">
            <w:pPr>
              <w:pStyle w:val="34"/>
              <w:jc w:val="center"/>
              <w:rPr>
                <w:rFonts w:ascii="宋体" w:hAnsi="宋体" w:cs="宋体"/>
              </w:rPr>
            </w:pPr>
            <w:r>
              <w:rPr>
                <w:rFonts w:hint="eastAsia" w:ascii="宋体" w:hAnsi="宋体" w:cs="宋体"/>
              </w:rPr>
              <w:t>顾19</w:t>
            </w:r>
          </w:p>
        </w:tc>
        <w:tc>
          <w:tcPr>
            <w:tcW w:w="960" w:type="dxa"/>
            <w:shd w:val="clear" w:color="auto" w:fill="auto"/>
            <w:noWrap/>
            <w:tcMar>
              <w:top w:w="15" w:type="dxa"/>
              <w:left w:w="15" w:type="dxa"/>
              <w:right w:w="15" w:type="dxa"/>
            </w:tcMar>
            <w:vAlign w:val="bottom"/>
          </w:tcPr>
          <w:p w14:paraId="0625DF06">
            <w:pPr>
              <w:pStyle w:val="34"/>
              <w:jc w:val="center"/>
              <w:rPr>
                <w:rFonts w:ascii="宋体" w:hAnsi="宋体" w:cs="宋体"/>
              </w:rPr>
            </w:pPr>
            <w:r>
              <w:rPr>
                <w:rFonts w:hint="eastAsia" w:ascii="宋体" w:hAnsi="宋体" w:cs="宋体"/>
              </w:rPr>
              <w:t>邝18</w:t>
            </w:r>
          </w:p>
        </w:tc>
        <w:tc>
          <w:tcPr>
            <w:tcW w:w="960" w:type="dxa"/>
            <w:shd w:val="clear" w:color="auto" w:fill="auto"/>
            <w:noWrap/>
            <w:tcMar>
              <w:top w:w="15" w:type="dxa"/>
              <w:left w:w="15" w:type="dxa"/>
              <w:right w:w="15" w:type="dxa"/>
            </w:tcMar>
            <w:vAlign w:val="bottom"/>
          </w:tcPr>
          <w:p w14:paraId="37DDCEC9">
            <w:pPr>
              <w:pStyle w:val="34"/>
              <w:jc w:val="center"/>
              <w:rPr>
                <w:rFonts w:ascii="宋体" w:hAnsi="宋体" w:cs="宋体"/>
              </w:rPr>
            </w:pPr>
            <w:r>
              <w:rPr>
                <w:rFonts w:hint="eastAsia" w:ascii="宋体" w:hAnsi="宋体" w:cs="宋体"/>
              </w:rPr>
              <w:t>崔17</w:t>
            </w:r>
          </w:p>
        </w:tc>
        <w:tc>
          <w:tcPr>
            <w:tcW w:w="1296" w:type="dxa"/>
            <w:tcBorders>
              <w:right w:val="nil"/>
            </w:tcBorders>
            <w:shd w:val="clear" w:color="auto" w:fill="auto"/>
            <w:noWrap/>
            <w:tcMar>
              <w:top w:w="15" w:type="dxa"/>
              <w:left w:w="15" w:type="dxa"/>
              <w:right w:w="15" w:type="dxa"/>
            </w:tcMar>
            <w:vAlign w:val="bottom"/>
          </w:tcPr>
          <w:p w14:paraId="3F1CEE78">
            <w:pPr>
              <w:pStyle w:val="34"/>
              <w:jc w:val="center"/>
              <w:rPr>
                <w:rFonts w:ascii="宋体" w:hAnsi="宋体" w:cs="宋体"/>
              </w:rPr>
            </w:pPr>
            <w:r>
              <w:rPr>
                <w:rFonts w:hint="eastAsia" w:ascii="宋体" w:hAnsi="宋体" w:cs="宋体"/>
              </w:rPr>
              <w:t>旷16</w:t>
            </w:r>
          </w:p>
        </w:tc>
      </w:tr>
      <w:tr w14:paraId="18BDF95A">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960" w:type="dxa"/>
            <w:tcBorders>
              <w:left w:val="nil"/>
            </w:tcBorders>
            <w:shd w:val="clear" w:color="auto" w:fill="auto"/>
            <w:noWrap/>
            <w:tcMar>
              <w:top w:w="15" w:type="dxa"/>
              <w:left w:w="15" w:type="dxa"/>
              <w:right w:w="15" w:type="dxa"/>
            </w:tcMar>
            <w:vAlign w:val="bottom"/>
          </w:tcPr>
          <w:p w14:paraId="45B415ED">
            <w:pPr>
              <w:pStyle w:val="34"/>
              <w:jc w:val="center"/>
              <w:rPr>
                <w:rFonts w:ascii="宋体" w:hAnsi="宋体" w:cs="宋体"/>
              </w:rPr>
            </w:pPr>
            <w:r>
              <w:rPr>
                <w:rFonts w:hint="eastAsia" w:ascii="宋体" w:hAnsi="宋体" w:cs="宋体"/>
              </w:rPr>
              <w:t>74</w:t>
            </w:r>
          </w:p>
        </w:tc>
        <w:tc>
          <w:tcPr>
            <w:tcW w:w="960" w:type="dxa"/>
            <w:shd w:val="clear" w:color="auto" w:fill="auto"/>
            <w:noWrap/>
            <w:tcMar>
              <w:top w:w="15" w:type="dxa"/>
              <w:left w:w="15" w:type="dxa"/>
              <w:right w:w="15" w:type="dxa"/>
            </w:tcMar>
            <w:vAlign w:val="bottom"/>
          </w:tcPr>
          <w:p w14:paraId="3CF807BE">
            <w:pPr>
              <w:pStyle w:val="34"/>
              <w:jc w:val="center"/>
              <w:rPr>
                <w:rFonts w:ascii="宋体" w:hAnsi="宋体" w:cs="宋体"/>
              </w:rPr>
            </w:pPr>
            <w:r>
              <w:rPr>
                <w:rFonts w:hint="eastAsia" w:ascii="宋体" w:hAnsi="宋体" w:cs="宋体"/>
              </w:rPr>
              <w:t>郝</w:t>
            </w:r>
          </w:p>
        </w:tc>
        <w:tc>
          <w:tcPr>
            <w:tcW w:w="960" w:type="dxa"/>
            <w:shd w:val="clear" w:color="auto" w:fill="auto"/>
            <w:noWrap/>
            <w:tcMar>
              <w:top w:w="15" w:type="dxa"/>
              <w:left w:w="15" w:type="dxa"/>
              <w:right w:w="15" w:type="dxa"/>
            </w:tcMar>
            <w:vAlign w:val="bottom"/>
          </w:tcPr>
          <w:p w14:paraId="7CBA3ADD">
            <w:pPr>
              <w:pStyle w:val="34"/>
              <w:jc w:val="center"/>
              <w:rPr>
                <w:rFonts w:ascii="宋体" w:hAnsi="宋体" w:cs="宋体"/>
              </w:rPr>
            </w:pPr>
            <w:r>
              <w:rPr>
                <w:rFonts w:hint="eastAsia" w:ascii="宋体" w:hAnsi="宋体" w:cs="宋体"/>
              </w:rPr>
              <w:t>70</w:t>
            </w:r>
          </w:p>
        </w:tc>
        <w:tc>
          <w:tcPr>
            <w:tcW w:w="1397" w:type="dxa"/>
            <w:shd w:val="clear" w:color="auto" w:fill="auto"/>
            <w:noWrap/>
            <w:tcMar>
              <w:top w:w="15" w:type="dxa"/>
              <w:left w:w="15" w:type="dxa"/>
              <w:right w:w="15" w:type="dxa"/>
            </w:tcMar>
            <w:vAlign w:val="bottom"/>
          </w:tcPr>
          <w:p w14:paraId="4F53DC8E">
            <w:pPr>
              <w:pStyle w:val="34"/>
              <w:jc w:val="center"/>
              <w:rPr>
                <w:rFonts w:ascii="宋体" w:hAnsi="宋体" w:cs="宋体"/>
              </w:rPr>
            </w:pPr>
            <w:r>
              <w:rPr>
                <w:rFonts w:hint="eastAsia" w:ascii="宋体" w:hAnsi="宋体" w:cs="宋体"/>
              </w:rPr>
              <w:t>0.08</w:t>
            </w:r>
          </w:p>
        </w:tc>
        <w:tc>
          <w:tcPr>
            <w:tcW w:w="523" w:type="dxa"/>
            <w:shd w:val="clear" w:color="auto" w:fill="auto"/>
            <w:noWrap/>
            <w:tcMar>
              <w:top w:w="15" w:type="dxa"/>
              <w:left w:w="15" w:type="dxa"/>
              <w:right w:w="15" w:type="dxa"/>
            </w:tcMar>
            <w:vAlign w:val="bottom"/>
          </w:tcPr>
          <w:p w14:paraId="42DD4BA8">
            <w:pPr>
              <w:pStyle w:val="34"/>
              <w:jc w:val="center"/>
              <w:rPr>
                <w:rFonts w:ascii="宋体" w:hAnsi="宋体" w:cs="宋体"/>
              </w:rPr>
            </w:pPr>
            <w:r>
              <w:rPr>
                <w:rFonts w:hint="eastAsia" w:ascii="宋体" w:hAnsi="宋体" w:cs="宋体"/>
              </w:rPr>
              <w:t>毛8</w:t>
            </w:r>
          </w:p>
        </w:tc>
        <w:tc>
          <w:tcPr>
            <w:tcW w:w="960" w:type="dxa"/>
            <w:shd w:val="clear" w:color="auto" w:fill="auto"/>
            <w:noWrap/>
            <w:tcMar>
              <w:top w:w="15" w:type="dxa"/>
              <w:left w:w="15" w:type="dxa"/>
              <w:right w:w="15" w:type="dxa"/>
            </w:tcMar>
            <w:vAlign w:val="bottom"/>
          </w:tcPr>
          <w:p w14:paraId="728BE990">
            <w:pPr>
              <w:pStyle w:val="34"/>
              <w:jc w:val="center"/>
              <w:rPr>
                <w:rFonts w:ascii="宋体" w:hAnsi="宋体" w:cs="宋体"/>
              </w:rPr>
            </w:pPr>
            <w:r>
              <w:rPr>
                <w:rFonts w:hint="eastAsia" w:ascii="宋体" w:hAnsi="宋体" w:cs="宋体"/>
              </w:rPr>
              <w:t>姜7</w:t>
            </w:r>
          </w:p>
        </w:tc>
        <w:tc>
          <w:tcPr>
            <w:tcW w:w="960" w:type="dxa"/>
            <w:shd w:val="clear" w:color="auto" w:fill="auto"/>
            <w:noWrap/>
            <w:tcMar>
              <w:top w:w="15" w:type="dxa"/>
              <w:left w:w="15" w:type="dxa"/>
              <w:right w:w="15" w:type="dxa"/>
            </w:tcMar>
            <w:vAlign w:val="bottom"/>
          </w:tcPr>
          <w:p w14:paraId="4BB48A35">
            <w:pPr>
              <w:pStyle w:val="34"/>
              <w:jc w:val="center"/>
              <w:rPr>
                <w:rFonts w:ascii="宋体" w:hAnsi="宋体" w:cs="宋体"/>
              </w:rPr>
            </w:pPr>
            <w:r>
              <w:rPr>
                <w:rFonts w:hint="eastAsia" w:ascii="宋体" w:hAnsi="宋体" w:cs="宋体"/>
              </w:rPr>
              <w:t>吉7</w:t>
            </w:r>
          </w:p>
        </w:tc>
        <w:tc>
          <w:tcPr>
            <w:tcW w:w="1296" w:type="dxa"/>
            <w:tcBorders>
              <w:right w:val="nil"/>
            </w:tcBorders>
            <w:shd w:val="clear" w:color="auto" w:fill="auto"/>
            <w:noWrap/>
            <w:tcMar>
              <w:top w:w="15" w:type="dxa"/>
              <w:left w:w="15" w:type="dxa"/>
              <w:right w:w="15" w:type="dxa"/>
            </w:tcMar>
            <w:vAlign w:val="bottom"/>
          </w:tcPr>
          <w:p w14:paraId="1AF171F7">
            <w:pPr>
              <w:pStyle w:val="34"/>
              <w:jc w:val="center"/>
              <w:rPr>
                <w:rFonts w:ascii="宋体" w:hAnsi="宋体" w:cs="宋体"/>
              </w:rPr>
            </w:pPr>
            <w:r>
              <w:rPr>
                <w:rFonts w:hint="eastAsia" w:ascii="宋体" w:hAnsi="宋体" w:cs="宋体"/>
              </w:rPr>
              <w:t>颜7</w:t>
            </w:r>
          </w:p>
        </w:tc>
      </w:tr>
      <w:tr w14:paraId="7F63509D">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960" w:type="dxa"/>
            <w:tcBorders>
              <w:left w:val="nil"/>
            </w:tcBorders>
            <w:shd w:val="clear" w:color="auto" w:fill="auto"/>
            <w:noWrap/>
            <w:tcMar>
              <w:top w:w="15" w:type="dxa"/>
              <w:left w:w="15" w:type="dxa"/>
              <w:right w:w="15" w:type="dxa"/>
            </w:tcMar>
            <w:vAlign w:val="bottom"/>
          </w:tcPr>
          <w:p w14:paraId="37DBEF55">
            <w:pPr>
              <w:pStyle w:val="34"/>
              <w:jc w:val="center"/>
              <w:rPr>
                <w:rFonts w:ascii="宋体" w:hAnsi="宋体" w:cs="宋体"/>
              </w:rPr>
            </w:pPr>
            <w:r>
              <w:rPr>
                <w:rFonts w:hint="eastAsia" w:ascii="宋体" w:hAnsi="宋体" w:cs="宋体"/>
              </w:rPr>
              <w:t>75</w:t>
            </w:r>
          </w:p>
        </w:tc>
        <w:tc>
          <w:tcPr>
            <w:tcW w:w="960" w:type="dxa"/>
            <w:shd w:val="clear" w:color="auto" w:fill="auto"/>
            <w:noWrap/>
            <w:tcMar>
              <w:top w:w="15" w:type="dxa"/>
              <w:left w:w="15" w:type="dxa"/>
              <w:right w:w="15" w:type="dxa"/>
            </w:tcMar>
            <w:vAlign w:val="bottom"/>
          </w:tcPr>
          <w:p w14:paraId="5B166306">
            <w:pPr>
              <w:pStyle w:val="34"/>
              <w:jc w:val="center"/>
              <w:rPr>
                <w:rFonts w:ascii="宋体" w:hAnsi="宋体" w:cs="宋体"/>
              </w:rPr>
            </w:pPr>
            <w:r>
              <w:rPr>
                <w:rFonts w:hint="eastAsia" w:ascii="宋体" w:hAnsi="宋体" w:cs="宋体"/>
              </w:rPr>
              <w:t>夏</w:t>
            </w:r>
          </w:p>
        </w:tc>
        <w:tc>
          <w:tcPr>
            <w:tcW w:w="960" w:type="dxa"/>
            <w:shd w:val="clear" w:color="auto" w:fill="auto"/>
            <w:noWrap/>
            <w:tcMar>
              <w:top w:w="15" w:type="dxa"/>
              <w:left w:w="15" w:type="dxa"/>
              <w:right w:w="15" w:type="dxa"/>
            </w:tcMar>
            <w:vAlign w:val="bottom"/>
          </w:tcPr>
          <w:p w14:paraId="25416987">
            <w:pPr>
              <w:pStyle w:val="34"/>
              <w:jc w:val="center"/>
              <w:rPr>
                <w:rFonts w:ascii="宋体" w:hAnsi="宋体" w:cs="宋体"/>
              </w:rPr>
            </w:pPr>
            <w:r>
              <w:rPr>
                <w:rFonts w:hint="eastAsia" w:ascii="宋体" w:hAnsi="宋体" w:cs="宋体"/>
              </w:rPr>
              <w:t>69</w:t>
            </w:r>
          </w:p>
        </w:tc>
        <w:tc>
          <w:tcPr>
            <w:tcW w:w="1397" w:type="dxa"/>
            <w:shd w:val="clear" w:color="auto" w:fill="auto"/>
            <w:noWrap/>
            <w:tcMar>
              <w:top w:w="15" w:type="dxa"/>
              <w:left w:w="15" w:type="dxa"/>
              <w:right w:w="15" w:type="dxa"/>
            </w:tcMar>
            <w:vAlign w:val="bottom"/>
          </w:tcPr>
          <w:p w14:paraId="06CB2B9E">
            <w:pPr>
              <w:pStyle w:val="34"/>
              <w:jc w:val="center"/>
              <w:rPr>
                <w:rFonts w:ascii="宋体" w:hAnsi="宋体" w:cs="宋体"/>
              </w:rPr>
            </w:pPr>
            <w:r>
              <w:rPr>
                <w:rFonts w:hint="eastAsia" w:ascii="宋体" w:hAnsi="宋体" w:cs="宋体"/>
              </w:rPr>
              <w:t>0.08</w:t>
            </w:r>
          </w:p>
        </w:tc>
        <w:tc>
          <w:tcPr>
            <w:tcW w:w="523" w:type="dxa"/>
            <w:shd w:val="clear" w:color="auto" w:fill="auto"/>
            <w:noWrap/>
            <w:tcMar>
              <w:top w:w="15" w:type="dxa"/>
              <w:left w:w="15" w:type="dxa"/>
              <w:right w:w="15" w:type="dxa"/>
            </w:tcMar>
            <w:vAlign w:val="bottom"/>
          </w:tcPr>
          <w:p w14:paraId="642DBB47">
            <w:pPr>
              <w:pStyle w:val="34"/>
              <w:jc w:val="center"/>
              <w:rPr>
                <w:rFonts w:ascii="宋体" w:hAnsi="宋体" w:cs="宋体"/>
              </w:rPr>
            </w:pPr>
            <w:r>
              <w:rPr>
                <w:rFonts w:hint="eastAsia" w:ascii="宋体" w:hAnsi="宋体" w:cs="宋体"/>
              </w:rPr>
              <w:t>屈6</w:t>
            </w:r>
          </w:p>
        </w:tc>
        <w:tc>
          <w:tcPr>
            <w:tcW w:w="960" w:type="dxa"/>
            <w:shd w:val="clear" w:color="auto" w:fill="auto"/>
            <w:noWrap/>
            <w:tcMar>
              <w:top w:w="15" w:type="dxa"/>
              <w:left w:w="15" w:type="dxa"/>
              <w:right w:w="15" w:type="dxa"/>
            </w:tcMar>
            <w:vAlign w:val="bottom"/>
          </w:tcPr>
          <w:p w14:paraId="0BFEFCC8">
            <w:pPr>
              <w:pStyle w:val="34"/>
              <w:jc w:val="center"/>
              <w:rPr>
                <w:rFonts w:ascii="宋体" w:hAnsi="宋体" w:cs="宋体"/>
              </w:rPr>
            </w:pPr>
            <w:r>
              <w:rPr>
                <w:rFonts w:hint="eastAsia" w:ascii="宋体" w:hAnsi="宋体" w:cs="宋体"/>
              </w:rPr>
              <w:t>武5</w:t>
            </w:r>
          </w:p>
        </w:tc>
        <w:tc>
          <w:tcPr>
            <w:tcW w:w="960" w:type="dxa"/>
            <w:shd w:val="clear" w:color="auto" w:fill="auto"/>
            <w:noWrap/>
            <w:tcMar>
              <w:top w:w="15" w:type="dxa"/>
              <w:left w:w="15" w:type="dxa"/>
              <w:right w:w="15" w:type="dxa"/>
            </w:tcMar>
            <w:vAlign w:val="bottom"/>
          </w:tcPr>
          <w:p w14:paraId="25E61F25">
            <w:pPr>
              <w:pStyle w:val="34"/>
              <w:jc w:val="center"/>
              <w:rPr>
                <w:rFonts w:ascii="宋体" w:hAnsi="宋体" w:cs="宋体"/>
              </w:rPr>
            </w:pPr>
            <w:r>
              <w:rPr>
                <w:rFonts w:hint="eastAsia" w:ascii="宋体" w:hAnsi="宋体" w:cs="宋体"/>
              </w:rPr>
              <w:t>卓5</w:t>
            </w:r>
          </w:p>
        </w:tc>
        <w:tc>
          <w:tcPr>
            <w:tcW w:w="1296" w:type="dxa"/>
            <w:tcBorders>
              <w:right w:val="nil"/>
            </w:tcBorders>
            <w:shd w:val="clear" w:color="auto" w:fill="auto"/>
            <w:noWrap/>
            <w:tcMar>
              <w:top w:w="15" w:type="dxa"/>
              <w:left w:w="15" w:type="dxa"/>
              <w:right w:w="15" w:type="dxa"/>
            </w:tcMar>
            <w:vAlign w:val="bottom"/>
          </w:tcPr>
          <w:p w14:paraId="2B31AA0F">
            <w:pPr>
              <w:pStyle w:val="34"/>
              <w:jc w:val="center"/>
              <w:rPr>
                <w:rFonts w:ascii="宋体" w:hAnsi="宋体" w:cs="宋体"/>
              </w:rPr>
            </w:pPr>
            <w:r>
              <w:rPr>
                <w:rFonts w:hint="eastAsia" w:ascii="宋体" w:hAnsi="宋体" w:cs="宋体"/>
              </w:rPr>
              <w:t>宋5</w:t>
            </w:r>
          </w:p>
        </w:tc>
      </w:tr>
      <w:tr w14:paraId="49102DE9">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960" w:type="dxa"/>
            <w:tcBorders>
              <w:left w:val="nil"/>
            </w:tcBorders>
            <w:shd w:val="clear" w:color="auto" w:fill="auto"/>
            <w:noWrap/>
            <w:tcMar>
              <w:top w:w="15" w:type="dxa"/>
              <w:left w:w="15" w:type="dxa"/>
              <w:right w:w="15" w:type="dxa"/>
            </w:tcMar>
            <w:vAlign w:val="bottom"/>
          </w:tcPr>
          <w:p w14:paraId="6B634E3B">
            <w:pPr>
              <w:pStyle w:val="34"/>
              <w:jc w:val="center"/>
              <w:rPr>
                <w:rFonts w:ascii="宋体" w:hAnsi="宋体" w:cs="宋体"/>
              </w:rPr>
            </w:pPr>
            <w:r>
              <w:rPr>
                <w:rFonts w:hint="eastAsia" w:ascii="宋体" w:hAnsi="宋体" w:cs="宋体"/>
              </w:rPr>
              <w:t>76</w:t>
            </w:r>
          </w:p>
        </w:tc>
        <w:tc>
          <w:tcPr>
            <w:tcW w:w="960" w:type="dxa"/>
            <w:shd w:val="clear" w:color="auto" w:fill="auto"/>
            <w:noWrap/>
            <w:tcMar>
              <w:top w:w="15" w:type="dxa"/>
              <w:left w:w="15" w:type="dxa"/>
              <w:right w:w="15" w:type="dxa"/>
            </w:tcMar>
            <w:vAlign w:val="bottom"/>
          </w:tcPr>
          <w:p w14:paraId="78BB5F2A">
            <w:pPr>
              <w:pStyle w:val="34"/>
              <w:jc w:val="center"/>
              <w:rPr>
                <w:rFonts w:ascii="宋体" w:hAnsi="宋体" w:cs="宋体"/>
              </w:rPr>
            </w:pPr>
            <w:r>
              <w:rPr>
                <w:rFonts w:hint="eastAsia" w:ascii="宋体" w:hAnsi="宋体" w:cs="宋体"/>
              </w:rPr>
              <w:t>潘</w:t>
            </w:r>
          </w:p>
        </w:tc>
        <w:tc>
          <w:tcPr>
            <w:tcW w:w="960" w:type="dxa"/>
            <w:shd w:val="clear" w:color="auto" w:fill="auto"/>
            <w:noWrap/>
            <w:tcMar>
              <w:top w:w="15" w:type="dxa"/>
              <w:left w:w="15" w:type="dxa"/>
              <w:right w:w="15" w:type="dxa"/>
            </w:tcMar>
            <w:vAlign w:val="bottom"/>
          </w:tcPr>
          <w:p w14:paraId="4A0DF5BC">
            <w:pPr>
              <w:pStyle w:val="34"/>
              <w:jc w:val="center"/>
              <w:rPr>
                <w:rFonts w:ascii="宋体" w:hAnsi="宋体" w:cs="宋体"/>
              </w:rPr>
            </w:pPr>
            <w:r>
              <w:rPr>
                <w:rFonts w:hint="eastAsia" w:ascii="宋体" w:hAnsi="宋体" w:cs="宋体"/>
              </w:rPr>
              <w:t>65</w:t>
            </w:r>
          </w:p>
        </w:tc>
        <w:tc>
          <w:tcPr>
            <w:tcW w:w="1397" w:type="dxa"/>
            <w:shd w:val="clear" w:color="auto" w:fill="auto"/>
            <w:noWrap/>
            <w:tcMar>
              <w:top w:w="15" w:type="dxa"/>
              <w:left w:w="15" w:type="dxa"/>
              <w:right w:w="15" w:type="dxa"/>
            </w:tcMar>
            <w:vAlign w:val="bottom"/>
          </w:tcPr>
          <w:p w14:paraId="27372383">
            <w:pPr>
              <w:pStyle w:val="34"/>
              <w:jc w:val="center"/>
              <w:rPr>
                <w:rFonts w:ascii="宋体" w:hAnsi="宋体" w:cs="宋体"/>
              </w:rPr>
            </w:pPr>
            <w:r>
              <w:rPr>
                <w:rFonts w:hint="eastAsia" w:ascii="宋体" w:hAnsi="宋体" w:cs="宋体"/>
              </w:rPr>
              <w:t>0.08</w:t>
            </w:r>
          </w:p>
        </w:tc>
        <w:tc>
          <w:tcPr>
            <w:tcW w:w="523" w:type="dxa"/>
            <w:shd w:val="clear" w:color="auto" w:fill="auto"/>
            <w:noWrap/>
            <w:tcMar>
              <w:top w:w="15" w:type="dxa"/>
              <w:left w:w="15" w:type="dxa"/>
              <w:right w:w="15" w:type="dxa"/>
            </w:tcMar>
            <w:vAlign w:val="bottom"/>
          </w:tcPr>
          <w:p w14:paraId="24E82B80">
            <w:pPr>
              <w:pStyle w:val="34"/>
              <w:jc w:val="center"/>
              <w:rPr>
                <w:rFonts w:ascii="宋体" w:hAnsi="宋体" w:cs="宋体"/>
              </w:rPr>
            </w:pPr>
            <w:r>
              <w:rPr>
                <w:rFonts w:hint="eastAsia" w:ascii="宋体" w:hAnsi="宋体" w:cs="宋体"/>
              </w:rPr>
              <w:t>方5</w:t>
            </w:r>
          </w:p>
        </w:tc>
        <w:tc>
          <w:tcPr>
            <w:tcW w:w="960" w:type="dxa"/>
            <w:shd w:val="clear" w:color="auto" w:fill="auto"/>
            <w:noWrap/>
            <w:tcMar>
              <w:top w:w="15" w:type="dxa"/>
              <w:left w:w="15" w:type="dxa"/>
              <w:right w:w="15" w:type="dxa"/>
            </w:tcMar>
            <w:vAlign w:val="bottom"/>
          </w:tcPr>
          <w:p w14:paraId="53C1E9FE">
            <w:pPr>
              <w:pStyle w:val="34"/>
              <w:jc w:val="center"/>
              <w:rPr>
                <w:rFonts w:ascii="宋体" w:hAnsi="宋体" w:cs="宋体"/>
              </w:rPr>
            </w:pPr>
            <w:r>
              <w:rPr>
                <w:rFonts w:hint="eastAsia" w:ascii="宋体" w:hAnsi="宋体" w:cs="宋体"/>
              </w:rPr>
              <w:t>金5</w:t>
            </w:r>
          </w:p>
        </w:tc>
        <w:tc>
          <w:tcPr>
            <w:tcW w:w="960" w:type="dxa"/>
            <w:shd w:val="clear" w:color="auto" w:fill="auto"/>
            <w:noWrap/>
            <w:tcMar>
              <w:top w:w="15" w:type="dxa"/>
              <w:left w:w="15" w:type="dxa"/>
              <w:right w:w="15" w:type="dxa"/>
            </w:tcMar>
            <w:vAlign w:val="bottom"/>
          </w:tcPr>
          <w:p w14:paraId="2C244B25">
            <w:pPr>
              <w:pStyle w:val="34"/>
              <w:jc w:val="center"/>
              <w:rPr>
                <w:rFonts w:ascii="宋体" w:hAnsi="宋体" w:cs="宋体"/>
              </w:rPr>
            </w:pPr>
            <w:r>
              <w:rPr>
                <w:rFonts w:hint="eastAsia" w:ascii="宋体" w:hAnsi="宋体" w:cs="宋体"/>
              </w:rPr>
              <w:t>宁4</w:t>
            </w:r>
          </w:p>
        </w:tc>
        <w:tc>
          <w:tcPr>
            <w:tcW w:w="1296" w:type="dxa"/>
            <w:tcBorders>
              <w:right w:val="nil"/>
            </w:tcBorders>
            <w:shd w:val="clear" w:color="auto" w:fill="auto"/>
            <w:noWrap/>
            <w:tcMar>
              <w:top w:w="15" w:type="dxa"/>
              <w:left w:w="15" w:type="dxa"/>
              <w:right w:w="15" w:type="dxa"/>
            </w:tcMar>
            <w:vAlign w:val="bottom"/>
          </w:tcPr>
          <w:p w14:paraId="3FB74F27">
            <w:pPr>
              <w:pStyle w:val="34"/>
              <w:jc w:val="center"/>
              <w:rPr>
                <w:rFonts w:ascii="宋体" w:hAnsi="宋体" w:cs="宋体"/>
              </w:rPr>
            </w:pPr>
            <w:r>
              <w:rPr>
                <w:rFonts w:hint="eastAsia" w:ascii="宋体" w:hAnsi="宋体" w:cs="宋体"/>
              </w:rPr>
              <w:t>虞4</w:t>
            </w:r>
          </w:p>
        </w:tc>
      </w:tr>
      <w:tr w14:paraId="3AB24BB4">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960" w:type="dxa"/>
            <w:tcBorders>
              <w:left w:val="nil"/>
            </w:tcBorders>
            <w:shd w:val="clear" w:color="auto" w:fill="auto"/>
            <w:noWrap/>
            <w:tcMar>
              <w:top w:w="15" w:type="dxa"/>
              <w:left w:w="15" w:type="dxa"/>
              <w:right w:w="15" w:type="dxa"/>
            </w:tcMar>
            <w:vAlign w:val="bottom"/>
          </w:tcPr>
          <w:p w14:paraId="3FBF3504">
            <w:pPr>
              <w:pStyle w:val="34"/>
              <w:jc w:val="center"/>
              <w:rPr>
                <w:rFonts w:ascii="宋体" w:hAnsi="宋体" w:cs="宋体"/>
              </w:rPr>
            </w:pPr>
            <w:r>
              <w:rPr>
                <w:rFonts w:hint="eastAsia" w:ascii="宋体" w:hAnsi="宋体" w:cs="宋体"/>
              </w:rPr>
              <w:t>77</w:t>
            </w:r>
          </w:p>
        </w:tc>
        <w:tc>
          <w:tcPr>
            <w:tcW w:w="960" w:type="dxa"/>
            <w:shd w:val="clear" w:color="auto" w:fill="auto"/>
            <w:noWrap/>
            <w:tcMar>
              <w:top w:w="15" w:type="dxa"/>
              <w:left w:w="15" w:type="dxa"/>
              <w:right w:w="15" w:type="dxa"/>
            </w:tcMar>
            <w:vAlign w:val="bottom"/>
          </w:tcPr>
          <w:p w14:paraId="35505CCF">
            <w:pPr>
              <w:pStyle w:val="34"/>
              <w:jc w:val="center"/>
              <w:rPr>
                <w:rFonts w:ascii="宋体" w:hAnsi="宋体" w:cs="宋体"/>
              </w:rPr>
            </w:pPr>
            <w:r>
              <w:rPr>
                <w:rFonts w:hint="eastAsia" w:ascii="宋体" w:hAnsi="宋体" w:cs="宋体"/>
              </w:rPr>
              <w:t>蒲</w:t>
            </w:r>
          </w:p>
        </w:tc>
        <w:tc>
          <w:tcPr>
            <w:tcW w:w="960" w:type="dxa"/>
            <w:shd w:val="clear" w:color="auto" w:fill="auto"/>
            <w:noWrap/>
            <w:tcMar>
              <w:top w:w="15" w:type="dxa"/>
              <w:left w:w="15" w:type="dxa"/>
              <w:right w:w="15" w:type="dxa"/>
            </w:tcMar>
            <w:vAlign w:val="bottom"/>
          </w:tcPr>
          <w:p w14:paraId="5BA0D45A">
            <w:pPr>
              <w:pStyle w:val="34"/>
              <w:jc w:val="center"/>
              <w:rPr>
                <w:rFonts w:ascii="宋体" w:hAnsi="宋体" w:cs="宋体"/>
              </w:rPr>
            </w:pPr>
            <w:r>
              <w:rPr>
                <w:rFonts w:hint="eastAsia" w:ascii="宋体" w:hAnsi="宋体" w:cs="宋体"/>
              </w:rPr>
              <w:t>65</w:t>
            </w:r>
          </w:p>
        </w:tc>
        <w:tc>
          <w:tcPr>
            <w:tcW w:w="1397" w:type="dxa"/>
            <w:shd w:val="clear" w:color="auto" w:fill="auto"/>
            <w:noWrap/>
            <w:tcMar>
              <w:top w:w="15" w:type="dxa"/>
              <w:left w:w="15" w:type="dxa"/>
              <w:right w:w="15" w:type="dxa"/>
            </w:tcMar>
            <w:vAlign w:val="bottom"/>
          </w:tcPr>
          <w:p w14:paraId="5D5F4840">
            <w:pPr>
              <w:pStyle w:val="34"/>
              <w:jc w:val="center"/>
              <w:rPr>
                <w:rFonts w:ascii="宋体" w:hAnsi="宋体" w:cs="宋体"/>
              </w:rPr>
            </w:pPr>
            <w:r>
              <w:rPr>
                <w:rFonts w:hint="eastAsia" w:ascii="宋体" w:hAnsi="宋体" w:cs="宋体"/>
              </w:rPr>
              <w:t>0.08</w:t>
            </w:r>
          </w:p>
        </w:tc>
        <w:tc>
          <w:tcPr>
            <w:tcW w:w="523" w:type="dxa"/>
            <w:shd w:val="clear" w:color="auto" w:fill="auto"/>
            <w:noWrap/>
            <w:tcMar>
              <w:top w:w="15" w:type="dxa"/>
              <w:left w:w="15" w:type="dxa"/>
              <w:right w:w="15" w:type="dxa"/>
            </w:tcMar>
            <w:vAlign w:val="bottom"/>
          </w:tcPr>
          <w:p w14:paraId="7CE3767F">
            <w:pPr>
              <w:pStyle w:val="34"/>
              <w:jc w:val="center"/>
              <w:rPr>
                <w:rFonts w:ascii="宋体" w:hAnsi="宋体" w:cs="宋体"/>
              </w:rPr>
            </w:pPr>
            <w:r>
              <w:rPr>
                <w:rFonts w:hint="eastAsia" w:ascii="宋体" w:hAnsi="宋体" w:cs="宋体"/>
              </w:rPr>
              <w:t>古4</w:t>
            </w:r>
          </w:p>
        </w:tc>
        <w:tc>
          <w:tcPr>
            <w:tcW w:w="960" w:type="dxa"/>
            <w:shd w:val="clear" w:color="auto" w:fill="auto"/>
            <w:noWrap/>
            <w:tcMar>
              <w:top w:w="15" w:type="dxa"/>
              <w:left w:w="15" w:type="dxa"/>
              <w:right w:w="15" w:type="dxa"/>
            </w:tcMar>
            <w:vAlign w:val="bottom"/>
          </w:tcPr>
          <w:p w14:paraId="7681EED2">
            <w:pPr>
              <w:pStyle w:val="34"/>
              <w:jc w:val="center"/>
              <w:rPr>
                <w:rFonts w:ascii="宋体" w:hAnsi="宋体" w:cs="宋体"/>
              </w:rPr>
            </w:pPr>
            <w:r>
              <w:rPr>
                <w:rFonts w:hint="eastAsia" w:ascii="宋体" w:hAnsi="宋体" w:cs="宋体"/>
              </w:rPr>
              <w:t>竺4</w:t>
            </w:r>
          </w:p>
        </w:tc>
        <w:tc>
          <w:tcPr>
            <w:tcW w:w="960" w:type="dxa"/>
            <w:shd w:val="clear" w:color="auto" w:fill="auto"/>
            <w:noWrap/>
            <w:tcMar>
              <w:top w:w="15" w:type="dxa"/>
              <w:left w:w="15" w:type="dxa"/>
              <w:right w:w="15" w:type="dxa"/>
            </w:tcMar>
            <w:vAlign w:val="bottom"/>
          </w:tcPr>
          <w:p w14:paraId="2BF9EFEE">
            <w:pPr>
              <w:pStyle w:val="34"/>
              <w:jc w:val="center"/>
              <w:rPr>
                <w:rFonts w:ascii="宋体" w:hAnsi="宋体" w:cs="宋体"/>
              </w:rPr>
            </w:pPr>
            <w:r>
              <w:rPr>
                <w:rFonts w:hint="eastAsia" w:ascii="宋体" w:hAnsi="宋体" w:cs="宋体"/>
              </w:rPr>
              <w:t>谌4</w:t>
            </w:r>
          </w:p>
        </w:tc>
        <w:tc>
          <w:tcPr>
            <w:tcW w:w="1296" w:type="dxa"/>
            <w:tcBorders>
              <w:right w:val="nil"/>
            </w:tcBorders>
            <w:shd w:val="clear" w:color="auto" w:fill="auto"/>
            <w:noWrap/>
            <w:tcMar>
              <w:top w:w="15" w:type="dxa"/>
              <w:left w:w="15" w:type="dxa"/>
              <w:right w:w="15" w:type="dxa"/>
            </w:tcMar>
            <w:vAlign w:val="bottom"/>
          </w:tcPr>
          <w:p w14:paraId="07624AA1">
            <w:pPr>
              <w:pStyle w:val="34"/>
              <w:jc w:val="center"/>
              <w:rPr>
                <w:rFonts w:ascii="宋体" w:hAnsi="宋体" w:cs="宋体"/>
              </w:rPr>
            </w:pPr>
            <w:r>
              <w:rPr>
                <w:rFonts w:hint="eastAsia" w:ascii="宋体" w:hAnsi="宋体" w:cs="宋体"/>
              </w:rPr>
              <w:t>竹4</w:t>
            </w:r>
          </w:p>
        </w:tc>
      </w:tr>
      <w:tr w14:paraId="68E8C307">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960" w:type="dxa"/>
            <w:tcBorders>
              <w:left w:val="nil"/>
            </w:tcBorders>
            <w:shd w:val="clear" w:color="auto" w:fill="auto"/>
            <w:noWrap/>
            <w:tcMar>
              <w:top w:w="15" w:type="dxa"/>
              <w:left w:w="15" w:type="dxa"/>
              <w:right w:w="15" w:type="dxa"/>
            </w:tcMar>
            <w:vAlign w:val="bottom"/>
          </w:tcPr>
          <w:p w14:paraId="64914B98">
            <w:pPr>
              <w:pStyle w:val="34"/>
              <w:jc w:val="center"/>
              <w:rPr>
                <w:rFonts w:ascii="宋体" w:hAnsi="宋体" w:cs="宋体"/>
              </w:rPr>
            </w:pPr>
            <w:r>
              <w:rPr>
                <w:rFonts w:hint="eastAsia" w:ascii="宋体" w:hAnsi="宋体" w:cs="宋体"/>
              </w:rPr>
              <w:t>78</w:t>
            </w:r>
          </w:p>
        </w:tc>
        <w:tc>
          <w:tcPr>
            <w:tcW w:w="960" w:type="dxa"/>
            <w:shd w:val="clear" w:color="auto" w:fill="auto"/>
            <w:noWrap/>
            <w:tcMar>
              <w:top w:w="15" w:type="dxa"/>
              <w:left w:w="15" w:type="dxa"/>
              <w:right w:w="15" w:type="dxa"/>
            </w:tcMar>
            <w:vAlign w:val="bottom"/>
          </w:tcPr>
          <w:p w14:paraId="6FAAEA97">
            <w:pPr>
              <w:pStyle w:val="34"/>
              <w:jc w:val="center"/>
              <w:rPr>
                <w:rFonts w:ascii="宋体" w:hAnsi="宋体" w:cs="宋体"/>
              </w:rPr>
            </w:pPr>
            <w:r>
              <w:rPr>
                <w:rFonts w:hint="eastAsia" w:ascii="宋体" w:hAnsi="宋体" w:cs="宋体"/>
              </w:rPr>
              <w:t>池</w:t>
            </w:r>
          </w:p>
        </w:tc>
        <w:tc>
          <w:tcPr>
            <w:tcW w:w="960" w:type="dxa"/>
            <w:shd w:val="clear" w:color="auto" w:fill="auto"/>
            <w:noWrap/>
            <w:tcMar>
              <w:top w:w="15" w:type="dxa"/>
              <w:left w:w="15" w:type="dxa"/>
              <w:right w:w="15" w:type="dxa"/>
            </w:tcMar>
            <w:vAlign w:val="bottom"/>
          </w:tcPr>
          <w:p w14:paraId="23EE4340">
            <w:pPr>
              <w:pStyle w:val="34"/>
              <w:jc w:val="center"/>
              <w:rPr>
                <w:rFonts w:ascii="宋体" w:hAnsi="宋体" w:cs="宋体"/>
              </w:rPr>
            </w:pPr>
            <w:r>
              <w:rPr>
                <w:rFonts w:hint="eastAsia" w:ascii="宋体" w:hAnsi="宋体" w:cs="宋体"/>
              </w:rPr>
              <w:t>63</w:t>
            </w:r>
          </w:p>
        </w:tc>
        <w:tc>
          <w:tcPr>
            <w:tcW w:w="1397" w:type="dxa"/>
            <w:shd w:val="clear" w:color="auto" w:fill="auto"/>
            <w:noWrap/>
            <w:tcMar>
              <w:top w:w="15" w:type="dxa"/>
              <w:left w:w="15" w:type="dxa"/>
              <w:right w:w="15" w:type="dxa"/>
            </w:tcMar>
            <w:vAlign w:val="bottom"/>
          </w:tcPr>
          <w:p w14:paraId="7394D914">
            <w:pPr>
              <w:pStyle w:val="34"/>
              <w:jc w:val="center"/>
              <w:rPr>
                <w:rFonts w:ascii="宋体" w:hAnsi="宋体" w:cs="宋体"/>
              </w:rPr>
            </w:pPr>
            <w:r>
              <w:rPr>
                <w:rFonts w:hint="eastAsia" w:ascii="宋体" w:hAnsi="宋体" w:cs="宋体"/>
              </w:rPr>
              <w:t>0.07</w:t>
            </w:r>
          </w:p>
        </w:tc>
        <w:tc>
          <w:tcPr>
            <w:tcW w:w="523" w:type="dxa"/>
            <w:shd w:val="clear" w:color="auto" w:fill="auto"/>
            <w:noWrap/>
            <w:tcMar>
              <w:top w:w="15" w:type="dxa"/>
              <w:left w:w="15" w:type="dxa"/>
              <w:right w:w="15" w:type="dxa"/>
            </w:tcMar>
            <w:vAlign w:val="bottom"/>
          </w:tcPr>
          <w:p w14:paraId="4EBA98A9">
            <w:pPr>
              <w:pStyle w:val="34"/>
              <w:jc w:val="center"/>
              <w:rPr>
                <w:rFonts w:ascii="宋体" w:hAnsi="宋体" w:cs="宋体"/>
              </w:rPr>
            </w:pPr>
            <w:r>
              <w:rPr>
                <w:rFonts w:hint="eastAsia" w:ascii="宋体" w:hAnsi="宋体" w:cs="宋体"/>
              </w:rPr>
              <w:t>庄3</w:t>
            </w:r>
          </w:p>
        </w:tc>
        <w:tc>
          <w:tcPr>
            <w:tcW w:w="960" w:type="dxa"/>
            <w:shd w:val="clear" w:color="auto" w:fill="auto"/>
            <w:noWrap/>
            <w:tcMar>
              <w:top w:w="15" w:type="dxa"/>
              <w:left w:w="15" w:type="dxa"/>
              <w:right w:w="15" w:type="dxa"/>
            </w:tcMar>
            <w:vAlign w:val="bottom"/>
          </w:tcPr>
          <w:p w14:paraId="31195896">
            <w:pPr>
              <w:pStyle w:val="34"/>
              <w:jc w:val="center"/>
              <w:rPr>
                <w:rFonts w:ascii="宋体" w:hAnsi="宋体" w:cs="宋体"/>
              </w:rPr>
            </w:pPr>
            <w:r>
              <w:rPr>
                <w:rFonts w:hint="eastAsia" w:ascii="宋体" w:hAnsi="宋体" w:cs="宋体"/>
              </w:rPr>
              <w:t>龙3</w:t>
            </w:r>
          </w:p>
        </w:tc>
        <w:tc>
          <w:tcPr>
            <w:tcW w:w="960" w:type="dxa"/>
            <w:shd w:val="clear" w:color="auto" w:fill="auto"/>
            <w:noWrap/>
            <w:tcMar>
              <w:top w:w="15" w:type="dxa"/>
              <w:left w:w="15" w:type="dxa"/>
              <w:right w:w="15" w:type="dxa"/>
            </w:tcMar>
            <w:vAlign w:val="bottom"/>
          </w:tcPr>
          <w:p w14:paraId="5BC6EC41">
            <w:pPr>
              <w:pStyle w:val="34"/>
              <w:jc w:val="center"/>
              <w:rPr>
                <w:rFonts w:ascii="宋体" w:hAnsi="宋体" w:cs="宋体"/>
              </w:rPr>
            </w:pPr>
            <w:r>
              <w:rPr>
                <w:rFonts w:hint="eastAsia" w:ascii="宋体" w:hAnsi="宋体" w:cs="宋体"/>
              </w:rPr>
              <w:t>封3</w:t>
            </w:r>
          </w:p>
        </w:tc>
        <w:tc>
          <w:tcPr>
            <w:tcW w:w="1296" w:type="dxa"/>
            <w:tcBorders>
              <w:right w:val="nil"/>
            </w:tcBorders>
            <w:shd w:val="clear" w:color="auto" w:fill="auto"/>
            <w:noWrap/>
            <w:tcMar>
              <w:top w:w="15" w:type="dxa"/>
              <w:left w:w="15" w:type="dxa"/>
              <w:right w:w="15" w:type="dxa"/>
            </w:tcMar>
            <w:vAlign w:val="bottom"/>
          </w:tcPr>
          <w:p w14:paraId="21A5C914">
            <w:pPr>
              <w:pStyle w:val="34"/>
              <w:jc w:val="center"/>
              <w:rPr>
                <w:rFonts w:ascii="宋体" w:hAnsi="宋体" w:cs="宋体"/>
              </w:rPr>
            </w:pPr>
            <w:r>
              <w:rPr>
                <w:rFonts w:hint="eastAsia" w:ascii="宋体" w:hAnsi="宋体" w:cs="宋体"/>
              </w:rPr>
              <w:t>桃3</w:t>
            </w:r>
          </w:p>
        </w:tc>
      </w:tr>
      <w:tr w14:paraId="7FD3C91E">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960" w:type="dxa"/>
            <w:tcBorders>
              <w:left w:val="nil"/>
            </w:tcBorders>
            <w:shd w:val="clear" w:color="auto" w:fill="auto"/>
            <w:noWrap/>
            <w:tcMar>
              <w:top w:w="15" w:type="dxa"/>
              <w:left w:w="15" w:type="dxa"/>
              <w:right w:w="15" w:type="dxa"/>
            </w:tcMar>
            <w:vAlign w:val="bottom"/>
          </w:tcPr>
          <w:p w14:paraId="025640DE">
            <w:pPr>
              <w:pStyle w:val="34"/>
              <w:jc w:val="center"/>
              <w:rPr>
                <w:rFonts w:ascii="宋体" w:hAnsi="宋体" w:cs="宋体"/>
              </w:rPr>
            </w:pPr>
            <w:r>
              <w:rPr>
                <w:rFonts w:hint="eastAsia" w:ascii="宋体" w:hAnsi="宋体" w:cs="宋体"/>
              </w:rPr>
              <w:t>79</w:t>
            </w:r>
          </w:p>
        </w:tc>
        <w:tc>
          <w:tcPr>
            <w:tcW w:w="960" w:type="dxa"/>
            <w:shd w:val="clear" w:color="auto" w:fill="auto"/>
            <w:noWrap/>
            <w:tcMar>
              <w:top w:w="15" w:type="dxa"/>
              <w:left w:w="15" w:type="dxa"/>
              <w:right w:w="15" w:type="dxa"/>
            </w:tcMar>
            <w:vAlign w:val="bottom"/>
          </w:tcPr>
          <w:p w14:paraId="528BE844">
            <w:pPr>
              <w:pStyle w:val="34"/>
              <w:jc w:val="center"/>
              <w:rPr>
                <w:rFonts w:ascii="宋体" w:hAnsi="宋体" w:cs="宋体"/>
              </w:rPr>
            </w:pPr>
            <w:r>
              <w:rPr>
                <w:rFonts w:hint="eastAsia" w:ascii="宋体" w:hAnsi="宋体" w:cs="宋体"/>
              </w:rPr>
              <w:t>洪</w:t>
            </w:r>
          </w:p>
        </w:tc>
        <w:tc>
          <w:tcPr>
            <w:tcW w:w="960" w:type="dxa"/>
            <w:shd w:val="clear" w:color="auto" w:fill="auto"/>
            <w:noWrap/>
            <w:tcMar>
              <w:top w:w="15" w:type="dxa"/>
              <w:left w:w="15" w:type="dxa"/>
              <w:right w:w="15" w:type="dxa"/>
            </w:tcMar>
            <w:vAlign w:val="bottom"/>
          </w:tcPr>
          <w:p w14:paraId="73D736D9">
            <w:pPr>
              <w:pStyle w:val="34"/>
              <w:jc w:val="center"/>
              <w:rPr>
                <w:rFonts w:ascii="宋体" w:hAnsi="宋体" w:cs="宋体"/>
              </w:rPr>
            </w:pPr>
            <w:r>
              <w:rPr>
                <w:rFonts w:hint="eastAsia" w:ascii="宋体" w:hAnsi="宋体" w:cs="宋体"/>
              </w:rPr>
              <w:t>62</w:t>
            </w:r>
          </w:p>
        </w:tc>
        <w:tc>
          <w:tcPr>
            <w:tcW w:w="1397" w:type="dxa"/>
            <w:shd w:val="clear" w:color="auto" w:fill="auto"/>
            <w:noWrap/>
            <w:tcMar>
              <w:top w:w="15" w:type="dxa"/>
              <w:left w:w="15" w:type="dxa"/>
              <w:right w:w="15" w:type="dxa"/>
            </w:tcMar>
            <w:vAlign w:val="bottom"/>
          </w:tcPr>
          <w:p w14:paraId="1AFE5F69">
            <w:pPr>
              <w:pStyle w:val="34"/>
              <w:jc w:val="center"/>
              <w:rPr>
                <w:rFonts w:ascii="宋体" w:hAnsi="宋体" w:cs="宋体"/>
              </w:rPr>
            </w:pPr>
            <w:r>
              <w:rPr>
                <w:rFonts w:hint="eastAsia" w:ascii="宋体" w:hAnsi="宋体" w:cs="宋体"/>
              </w:rPr>
              <w:t>0.07</w:t>
            </w:r>
          </w:p>
        </w:tc>
        <w:tc>
          <w:tcPr>
            <w:tcW w:w="523" w:type="dxa"/>
            <w:shd w:val="clear" w:color="auto" w:fill="auto"/>
            <w:noWrap/>
            <w:tcMar>
              <w:top w:w="15" w:type="dxa"/>
              <w:left w:w="15" w:type="dxa"/>
              <w:right w:w="15" w:type="dxa"/>
            </w:tcMar>
            <w:vAlign w:val="bottom"/>
          </w:tcPr>
          <w:p w14:paraId="7A78FE65">
            <w:pPr>
              <w:pStyle w:val="34"/>
              <w:jc w:val="center"/>
              <w:rPr>
                <w:rFonts w:ascii="宋体" w:hAnsi="宋体" w:cs="宋体"/>
              </w:rPr>
            </w:pPr>
            <w:r>
              <w:rPr>
                <w:rFonts w:hint="eastAsia" w:ascii="宋体" w:hAnsi="宋体" w:cs="宋体"/>
              </w:rPr>
              <w:t>倪2</w:t>
            </w:r>
          </w:p>
        </w:tc>
        <w:tc>
          <w:tcPr>
            <w:tcW w:w="960" w:type="dxa"/>
            <w:shd w:val="clear" w:color="auto" w:fill="auto"/>
            <w:noWrap/>
            <w:tcMar>
              <w:top w:w="15" w:type="dxa"/>
              <w:left w:w="15" w:type="dxa"/>
              <w:right w:w="15" w:type="dxa"/>
            </w:tcMar>
            <w:vAlign w:val="bottom"/>
          </w:tcPr>
          <w:p w14:paraId="748C8B72">
            <w:pPr>
              <w:pStyle w:val="34"/>
              <w:jc w:val="center"/>
              <w:rPr>
                <w:rFonts w:ascii="宋体" w:hAnsi="宋体" w:cs="宋体"/>
              </w:rPr>
            </w:pPr>
            <w:r>
              <w:rPr>
                <w:rFonts w:hint="eastAsia" w:ascii="宋体" w:hAnsi="宋体" w:cs="宋体"/>
              </w:rPr>
              <w:t>幸2</w:t>
            </w:r>
          </w:p>
        </w:tc>
        <w:tc>
          <w:tcPr>
            <w:tcW w:w="960" w:type="dxa"/>
            <w:shd w:val="clear" w:color="auto" w:fill="auto"/>
            <w:noWrap/>
            <w:tcMar>
              <w:top w:w="15" w:type="dxa"/>
              <w:left w:w="15" w:type="dxa"/>
              <w:right w:w="15" w:type="dxa"/>
            </w:tcMar>
            <w:vAlign w:val="bottom"/>
          </w:tcPr>
          <w:p w14:paraId="0AEDD1FC">
            <w:pPr>
              <w:pStyle w:val="34"/>
              <w:jc w:val="center"/>
              <w:rPr>
                <w:rFonts w:ascii="宋体" w:hAnsi="宋体" w:cs="宋体"/>
              </w:rPr>
            </w:pPr>
            <w:r>
              <w:rPr>
                <w:rFonts w:hint="eastAsia" w:ascii="宋体" w:hAnsi="宋体" w:cs="宋体"/>
              </w:rPr>
              <w:t>关2</w:t>
            </w:r>
          </w:p>
        </w:tc>
        <w:tc>
          <w:tcPr>
            <w:tcW w:w="1296" w:type="dxa"/>
            <w:tcBorders>
              <w:right w:val="nil"/>
            </w:tcBorders>
            <w:shd w:val="clear" w:color="auto" w:fill="auto"/>
            <w:noWrap/>
            <w:tcMar>
              <w:top w:w="15" w:type="dxa"/>
              <w:left w:w="15" w:type="dxa"/>
              <w:right w:w="15" w:type="dxa"/>
            </w:tcMar>
            <w:vAlign w:val="bottom"/>
          </w:tcPr>
          <w:p w14:paraId="6668FFCE">
            <w:pPr>
              <w:pStyle w:val="34"/>
              <w:jc w:val="center"/>
              <w:rPr>
                <w:rFonts w:ascii="宋体" w:hAnsi="宋体" w:cs="宋体"/>
              </w:rPr>
            </w:pPr>
            <w:r>
              <w:rPr>
                <w:rFonts w:hint="eastAsia" w:ascii="宋体" w:hAnsi="宋体" w:cs="宋体"/>
              </w:rPr>
              <w:t>简2</w:t>
            </w:r>
          </w:p>
        </w:tc>
      </w:tr>
      <w:tr w14:paraId="0B113301">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960" w:type="dxa"/>
            <w:tcBorders>
              <w:left w:val="nil"/>
            </w:tcBorders>
            <w:shd w:val="clear" w:color="auto" w:fill="auto"/>
            <w:noWrap/>
            <w:tcMar>
              <w:top w:w="15" w:type="dxa"/>
              <w:left w:w="15" w:type="dxa"/>
              <w:right w:w="15" w:type="dxa"/>
            </w:tcMar>
            <w:vAlign w:val="bottom"/>
          </w:tcPr>
          <w:p w14:paraId="666D06B4">
            <w:pPr>
              <w:pStyle w:val="34"/>
              <w:jc w:val="center"/>
              <w:rPr>
                <w:rFonts w:ascii="宋体" w:hAnsi="宋体" w:cs="宋体"/>
              </w:rPr>
            </w:pPr>
            <w:r>
              <w:rPr>
                <w:rFonts w:hint="eastAsia" w:ascii="宋体" w:hAnsi="宋体" w:cs="宋体"/>
              </w:rPr>
              <w:t>80</w:t>
            </w:r>
          </w:p>
        </w:tc>
        <w:tc>
          <w:tcPr>
            <w:tcW w:w="960" w:type="dxa"/>
            <w:shd w:val="clear" w:color="auto" w:fill="auto"/>
            <w:noWrap/>
            <w:tcMar>
              <w:top w:w="15" w:type="dxa"/>
              <w:left w:w="15" w:type="dxa"/>
              <w:right w:w="15" w:type="dxa"/>
            </w:tcMar>
            <w:vAlign w:val="bottom"/>
          </w:tcPr>
          <w:p w14:paraId="084A8958">
            <w:pPr>
              <w:pStyle w:val="34"/>
              <w:jc w:val="center"/>
              <w:rPr>
                <w:rFonts w:ascii="宋体" w:hAnsi="宋体" w:cs="宋体"/>
              </w:rPr>
            </w:pPr>
            <w:r>
              <w:rPr>
                <w:rFonts w:hint="eastAsia" w:ascii="宋体" w:hAnsi="宋体" w:cs="宋体"/>
              </w:rPr>
              <w:t>吕</w:t>
            </w:r>
          </w:p>
        </w:tc>
        <w:tc>
          <w:tcPr>
            <w:tcW w:w="960" w:type="dxa"/>
            <w:shd w:val="clear" w:color="auto" w:fill="auto"/>
            <w:noWrap/>
            <w:tcMar>
              <w:top w:w="15" w:type="dxa"/>
              <w:left w:w="15" w:type="dxa"/>
              <w:right w:w="15" w:type="dxa"/>
            </w:tcMar>
            <w:vAlign w:val="bottom"/>
          </w:tcPr>
          <w:p w14:paraId="6CB6BEA4">
            <w:pPr>
              <w:pStyle w:val="34"/>
              <w:jc w:val="center"/>
              <w:rPr>
                <w:rFonts w:ascii="宋体" w:hAnsi="宋体" w:cs="宋体"/>
              </w:rPr>
            </w:pPr>
            <w:r>
              <w:rPr>
                <w:rFonts w:hint="eastAsia" w:ascii="宋体" w:hAnsi="宋体" w:cs="宋体"/>
              </w:rPr>
              <w:t>58</w:t>
            </w:r>
          </w:p>
        </w:tc>
        <w:tc>
          <w:tcPr>
            <w:tcW w:w="1397" w:type="dxa"/>
            <w:shd w:val="clear" w:color="auto" w:fill="auto"/>
            <w:noWrap/>
            <w:tcMar>
              <w:top w:w="15" w:type="dxa"/>
              <w:left w:w="15" w:type="dxa"/>
              <w:right w:w="15" w:type="dxa"/>
            </w:tcMar>
            <w:vAlign w:val="bottom"/>
          </w:tcPr>
          <w:p w14:paraId="126547DE">
            <w:pPr>
              <w:pStyle w:val="34"/>
              <w:jc w:val="center"/>
              <w:rPr>
                <w:rFonts w:ascii="宋体" w:hAnsi="宋体" w:cs="宋体"/>
              </w:rPr>
            </w:pPr>
            <w:r>
              <w:rPr>
                <w:rFonts w:hint="eastAsia" w:ascii="宋体" w:hAnsi="宋体" w:cs="宋体"/>
              </w:rPr>
              <w:t>0.07</w:t>
            </w:r>
          </w:p>
        </w:tc>
        <w:tc>
          <w:tcPr>
            <w:tcW w:w="523" w:type="dxa"/>
            <w:shd w:val="clear" w:color="auto" w:fill="auto"/>
            <w:noWrap/>
            <w:tcMar>
              <w:top w:w="15" w:type="dxa"/>
              <w:left w:w="15" w:type="dxa"/>
              <w:right w:w="15" w:type="dxa"/>
            </w:tcMar>
            <w:vAlign w:val="bottom"/>
          </w:tcPr>
          <w:p w14:paraId="7EBD795A">
            <w:pPr>
              <w:pStyle w:val="34"/>
              <w:jc w:val="center"/>
              <w:rPr>
                <w:rFonts w:ascii="宋体" w:hAnsi="宋体" w:cs="宋体"/>
              </w:rPr>
            </w:pPr>
            <w:r>
              <w:rPr>
                <w:rFonts w:hint="eastAsia" w:ascii="宋体" w:hAnsi="宋体" w:cs="宋体"/>
              </w:rPr>
              <w:t>舒2</w:t>
            </w:r>
          </w:p>
        </w:tc>
        <w:tc>
          <w:tcPr>
            <w:tcW w:w="960" w:type="dxa"/>
            <w:shd w:val="clear" w:color="auto" w:fill="auto"/>
            <w:noWrap/>
            <w:tcMar>
              <w:top w:w="15" w:type="dxa"/>
              <w:left w:w="15" w:type="dxa"/>
              <w:right w:w="15" w:type="dxa"/>
            </w:tcMar>
            <w:vAlign w:val="bottom"/>
          </w:tcPr>
          <w:p w14:paraId="6A454066">
            <w:pPr>
              <w:pStyle w:val="34"/>
              <w:jc w:val="center"/>
              <w:rPr>
                <w:rFonts w:ascii="宋体" w:hAnsi="宋体" w:cs="宋体"/>
              </w:rPr>
            </w:pPr>
            <w:r>
              <w:rPr>
                <w:rFonts w:hint="eastAsia" w:ascii="宋体" w:hAnsi="宋体" w:cs="宋体"/>
              </w:rPr>
              <w:t>包2</w:t>
            </w:r>
          </w:p>
        </w:tc>
        <w:tc>
          <w:tcPr>
            <w:tcW w:w="960" w:type="dxa"/>
            <w:shd w:val="clear" w:color="auto" w:fill="auto"/>
            <w:noWrap/>
            <w:tcMar>
              <w:top w:w="15" w:type="dxa"/>
              <w:left w:w="15" w:type="dxa"/>
              <w:right w:w="15" w:type="dxa"/>
            </w:tcMar>
            <w:vAlign w:val="bottom"/>
          </w:tcPr>
          <w:p w14:paraId="6BD6F512">
            <w:pPr>
              <w:pStyle w:val="34"/>
              <w:jc w:val="center"/>
              <w:rPr>
                <w:rFonts w:ascii="宋体" w:hAnsi="宋体" w:cs="宋体"/>
              </w:rPr>
            </w:pPr>
            <w:r>
              <w:rPr>
                <w:rFonts w:hint="eastAsia" w:ascii="宋体" w:hAnsi="宋体" w:cs="宋体"/>
              </w:rPr>
              <w:t>席1</w:t>
            </w:r>
          </w:p>
        </w:tc>
        <w:tc>
          <w:tcPr>
            <w:tcW w:w="1296" w:type="dxa"/>
            <w:tcBorders>
              <w:right w:val="nil"/>
            </w:tcBorders>
            <w:shd w:val="clear" w:color="auto" w:fill="auto"/>
            <w:noWrap/>
            <w:tcMar>
              <w:top w:w="15" w:type="dxa"/>
              <w:left w:w="15" w:type="dxa"/>
              <w:right w:w="15" w:type="dxa"/>
            </w:tcMar>
            <w:vAlign w:val="bottom"/>
          </w:tcPr>
          <w:p w14:paraId="4D8A8924">
            <w:pPr>
              <w:pStyle w:val="34"/>
              <w:jc w:val="center"/>
              <w:rPr>
                <w:rFonts w:ascii="宋体" w:hAnsi="宋体" w:cs="宋体"/>
              </w:rPr>
            </w:pPr>
            <w:r>
              <w:rPr>
                <w:rFonts w:hint="eastAsia" w:ascii="宋体" w:hAnsi="宋体" w:cs="宋体"/>
              </w:rPr>
              <w:t>阙1</w:t>
            </w:r>
          </w:p>
        </w:tc>
      </w:tr>
      <w:tr w14:paraId="557B7D2A">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960" w:type="dxa"/>
            <w:tcBorders>
              <w:left w:val="nil"/>
            </w:tcBorders>
            <w:shd w:val="clear" w:color="auto" w:fill="auto"/>
            <w:noWrap/>
            <w:tcMar>
              <w:top w:w="15" w:type="dxa"/>
              <w:left w:w="15" w:type="dxa"/>
              <w:right w:w="15" w:type="dxa"/>
            </w:tcMar>
            <w:vAlign w:val="bottom"/>
          </w:tcPr>
          <w:p w14:paraId="21E666CD">
            <w:pPr>
              <w:pStyle w:val="34"/>
              <w:jc w:val="center"/>
              <w:rPr>
                <w:rFonts w:ascii="宋体" w:hAnsi="宋体" w:cs="宋体"/>
              </w:rPr>
            </w:pPr>
            <w:r>
              <w:rPr>
                <w:rFonts w:hint="eastAsia" w:ascii="宋体" w:hAnsi="宋体" w:cs="宋体"/>
              </w:rPr>
              <w:t>81</w:t>
            </w:r>
          </w:p>
        </w:tc>
        <w:tc>
          <w:tcPr>
            <w:tcW w:w="960" w:type="dxa"/>
            <w:shd w:val="clear" w:color="auto" w:fill="auto"/>
            <w:noWrap/>
            <w:tcMar>
              <w:top w:w="15" w:type="dxa"/>
              <w:left w:w="15" w:type="dxa"/>
              <w:right w:w="15" w:type="dxa"/>
            </w:tcMar>
            <w:vAlign w:val="bottom"/>
          </w:tcPr>
          <w:p w14:paraId="75E0D1D7">
            <w:pPr>
              <w:pStyle w:val="34"/>
              <w:jc w:val="center"/>
              <w:rPr>
                <w:rFonts w:ascii="宋体" w:hAnsi="宋体" w:cs="宋体"/>
              </w:rPr>
            </w:pPr>
            <w:r>
              <w:rPr>
                <w:rFonts w:hint="eastAsia" w:ascii="宋体" w:hAnsi="宋体" w:cs="宋体"/>
              </w:rPr>
              <w:t>莫</w:t>
            </w:r>
          </w:p>
        </w:tc>
        <w:tc>
          <w:tcPr>
            <w:tcW w:w="960" w:type="dxa"/>
            <w:shd w:val="clear" w:color="auto" w:fill="auto"/>
            <w:noWrap/>
            <w:tcMar>
              <w:top w:w="15" w:type="dxa"/>
              <w:left w:w="15" w:type="dxa"/>
              <w:right w:w="15" w:type="dxa"/>
            </w:tcMar>
            <w:vAlign w:val="bottom"/>
          </w:tcPr>
          <w:p w14:paraId="27F500E2">
            <w:pPr>
              <w:pStyle w:val="34"/>
              <w:jc w:val="center"/>
              <w:rPr>
                <w:rFonts w:ascii="宋体" w:hAnsi="宋体" w:cs="宋体"/>
              </w:rPr>
            </w:pPr>
            <w:r>
              <w:rPr>
                <w:rFonts w:hint="eastAsia" w:ascii="宋体" w:hAnsi="宋体" w:cs="宋体"/>
              </w:rPr>
              <w:t>55</w:t>
            </w:r>
          </w:p>
        </w:tc>
        <w:tc>
          <w:tcPr>
            <w:tcW w:w="1397" w:type="dxa"/>
            <w:shd w:val="clear" w:color="auto" w:fill="auto"/>
            <w:noWrap/>
            <w:tcMar>
              <w:top w:w="15" w:type="dxa"/>
              <w:left w:w="15" w:type="dxa"/>
              <w:right w:w="15" w:type="dxa"/>
            </w:tcMar>
            <w:vAlign w:val="bottom"/>
          </w:tcPr>
          <w:p w14:paraId="226BD741">
            <w:pPr>
              <w:pStyle w:val="34"/>
              <w:jc w:val="center"/>
              <w:rPr>
                <w:rFonts w:ascii="宋体" w:hAnsi="宋体" w:cs="宋体"/>
              </w:rPr>
            </w:pPr>
            <w:r>
              <w:rPr>
                <w:rFonts w:hint="eastAsia" w:ascii="宋体" w:hAnsi="宋体" w:cs="宋体"/>
              </w:rPr>
              <w:t>0.07</w:t>
            </w:r>
          </w:p>
        </w:tc>
        <w:tc>
          <w:tcPr>
            <w:tcW w:w="523" w:type="dxa"/>
            <w:shd w:val="clear" w:color="auto" w:fill="auto"/>
            <w:noWrap/>
            <w:tcMar>
              <w:top w:w="15" w:type="dxa"/>
              <w:left w:w="15" w:type="dxa"/>
              <w:right w:w="15" w:type="dxa"/>
            </w:tcMar>
            <w:vAlign w:val="bottom"/>
          </w:tcPr>
          <w:p w14:paraId="5B2369E0">
            <w:pPr>
              <w:pStyle w:val="34"/>
              <w:jc w:val="center"/>
              <w:rPr>
                <w:rFonts w:ascii="宋体" w:hAnsi="宋体" w:cs="宋体"/>
              </w:rPr>
            </w:pPr>
            <w:r>
              <w:rPr>
                <w:rFonts w:hint="eastAsia" w:ascii="宋体" w:hAnsi="宋体" w:cs="宋体"/>
              </w:rPr>
              <w:t>商1</w:t>
            </w:r>
          </w:p>
        </w:tc>
        <w:tc>
          <w:tcPr>
            <w:tcW w:w="960" w:type="dxa"/>
            <w:shd w:val="clear" w:color="auto" w:fill="auto"/>
            <w:noWrap/>
            <w:tcMar>
              <w:top w:w="15" w:type="dxa"/>
              <w:left w:w="15" w:type="dxa"/>
              <w:right w:w="15" w:type="dxa"/>
            </w:tcMar>
            <w:vAlign w:val="bottom"/>
          </w:tcPr>
          <w:p w14:paraId="32A772EF">
            <w:pPr>
              <w:pStyle w:val="34"/>
              <w:jc w:val="center"/>
              <w:rPr>
                <w:rFonts w:ascii="宋体" w:hAnsi="宋体" w:cs="宋体"/>
              </w:rPr>
            </w:pPr>
            <w:r>
              <w:rPr>
                <w:rFonts w:hint="eastAsia" w:ascii="宋体" w:hAnsi="宋体" w:cs="宋体"/>
              </w:rPr>
              <w:t>常1</w:t>
            </w:r>
          </w:p>
        </w:tc>
        <w:tc>
          <w:tcPr>
            <w:tcW w:w="960" w:type="dxa"/>
            <w:shd w:val="clear" w:color="auto" w:fill="auto"/>
            <w:noWrap/>
            <w:tcMar>
              <w:top w:w="15" w:type="dxa"/>
              <w:left w:w="15" w:type="dxa"/>
              <w:right w:w="15" w:type="dxa"/>
            </w:tcMar>
            <w:vAlign w:val="bottom"/>
          </w:tcPr>
          <w:p w14:paraId="3C4C05C4">
            <w:pPr>
              <w:pStyle w:val="34"/>
              <w:jc w:val="center"/>
              <w:rPr>
                <w:rFonts w:ascii="宋体" w:hAnsi="宋体" w:cs="宋体"/>
              </w:rPr>
            </w:pPr>
            <w:r>
              <w:rPr>
                <w:rFonts w:hint="eastAsia" w:ascii="宋体" w:hAnsi="宋体" w:cs="宋体"/>
              </w:rPr>
              <w:t>梅1</w:t>
            </w:r>
          </w:p>
        </w:tc>
        <w:tc>
          <w:tcPr>
            <w:tcW w:w="1296" w:type="dxa"/>
            <w:tcBorders>
              <w:right w:val="nil"/>
            </w:tcBorders>
            <w:shd w:val="clear" w:color="auto" w:fill="auto"/>
            <w:noWrap/>
            <w:tcMar>
              <w:top w:w="15" w:type="dxa"/>
              <w:left w:w="15" w:type="dxa"/>
              <w:right w:w="15" w:type="dxa"/>
            </w:tcMar>
            <w:vAlign w:val="bottom"/>
          </w:tcPr>
          <w:p w14:paraId="13899C08">
            <w:pPr>
              <w:pStyle w:val="34"/>
              <w:jc w:val="center"/>
              <w:rPr>
                <w:rFonts w:ascii="宋体" w:hAnsi="宋体" w:cs="宋体"/>
              </w:rPr>
            </w:pPr>
            <w:r>
              <w:rPr>
                <w:rFonts w:hint="eastAsia" w:ascii="宋体" w:hAnsi="宋体" w:cs="宋体"/>
              </w:rPr>
              <w:t>裴1</w:t>
            </w:r>
          </w:p>
        </w:tc>
      </w:tr>
      <w:tr w14:paraId="67D10F66">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960" w:type="dxa"/>
            <w:tcBorders>
              <w:left w:val="nil"/>
            </w:tcBorders>
            <w:shd w:val="clear" w:color="auto" w:fill="auto"/>
            <w:noWrap/>
            <w:tcMar>
              <w:top w:w="15" w:type="dxa"/>
              <w:left w:w="15" w:type="dxa"/>
              <w:right w:w="15" w:type="dxa"/>
            </w:tcMar>
            <w:vAlign w:val="bottom"/>
          </w:tcPr>
          <w:p w14:paraId="57F8CE94">
            <w:pPr>
              <w:pStyle w:val="34"/>
              <w:jc w:val="center"/>
              <w:rPr>
                <w:rFonts w:ascii="宋体" w:hAnsi="宋体" w:cs="宋体"/>
              </w:rPr>
            </w:pPr>
            <w:r>
              <w:rPr>
                <w:rFonts w:hint="eastAsia" w:ascii="宋体" w:hAnsi="宋体" w:cs="宋体"/>
              </w:rPr>
              <w:t>82</w:t>
            </w:r>
          </w:p>
        </w:tc>
        <w:tc>
          <w:tcPr>
            <w:tcW w:w="960" w:type="dxa"/>
            <w:shd w:val="clear" w:color="auto" w:fill="auto"/>
            <w:noWrap/>
            <w:tcMar>
              <w:top w:w="15" w:type="dxa"/>
              <w:left w:w="15" w:type="dxa"/>
              <w:right w:w="15" w:type="dxa"/>
            </w:tcMar>
            <w:vAlign w:val="bottom"/>
          </w:tcPr>
          <w:p w14:paraId="56F20197">
            <w:pPr>
              <w:pStyle w:val="34"/>
              <w:jc w:val="center"/>
              <w:rPr>
                <w:rFonts w:ascii="宋体" w:hAnsi="宋体" w:cs="宋体"/>
              </w:rPr>
            </w:pPr>
            <w:r>
              <w:rPr>
                <w:rFonts w:hint="eastAsia" w:ascii="宋体" w:hAnsi="宋体" w:cs="宋体"/>
              </w:rPr>
              <w:t>黎</w:t>
            </w:r>
          </w:p>
        </w:tc>
        <w:tc>
          <w:tcPr>
            <w:tcW w:w="960" w:type="dxa"/>
            <w:shd w:val="clear" w:color="auto" w:fill="auto"/>
            <w:noWrap/>
            <w:tcMar>
              <w:top w:w="15" w:type="dxa"/>
              <w:left w:w="15" w:type="dxa"/>
              <w:right w:w="15" w:type="dxa"/>
            </w:tcMar>
            <w:vAlign w:val="bottom"/>
          </w:tcPr>
          <w:p w14:paraId="33844BCD">
            <w:pPr>
              <w:pStyle w:val="34"/>
              <w:jc w:val="center"/>
              <w:rPr>
                <w:rFonts w:ascii="宋体" w:hAnsi="宋体" w:cs="宋体"/>
              </w:rPr>
            </w:pPr>
            <w:r>
              <w:rPr>
                <w:rFonts w:hint="eastAsia" w:ascii="宋体" w:hAnsi="宋体" w:cs="宋体"/>
              </w:rPr>
              <w:t>53</w:t>
            </w:r>
          </w:p>
        </w:tc>
        <w:tc>
          <w:tcPr>
            <w:tcW w:w="1397" w:type="dxa"/>
            <w:shd w:val="clear" w:color="auto" w:fill="auto"/>
            <w:noWrap/>
            <w:tcMar>
              <w:top w:w="15" w:type="dxa"/>
              <w:left w:w="15" w:type="dxa"/>
              <w:right w:w="15" w:type="dxa"/>
            </w:tcMar>
            <w:vAlign w:val="bottom"/>
          </w:tcPr>
          <w:p w14:paraId="4E05D37F">
            <w:pPr>
              <w:pStyle w:val="34"/>
              <w:jc w:val="center"/>
              <w:rPr>
                <w:rFonts w:ascii="宋体" w:hAnsi="宋体" w:cs="宋体"/>
              </w:rPr>
            </w:pPr>
            <w:r>
              <w:rPr>
                <w:rFonts w:hint="eastAsia" w:ascii="宋体" w:hAnsi="宋体" w:cs="宋体"/>
              </w:rPr>
              <w:t>0.06</w:t>
            </w:r>
          </w:p>
        </w:tc>
        <w:tc>
          <w:tcPr>
            <w:tcW w:w="523" w:type="dxa"/>
            <w:shd w:val="clear" w:color="auto" w:fill="auto"/>
            <w:noWrap/>
            <w:tcMar>
              <w:top w:w="15" w:type="dxa"/>
              <w:left w:w="15" w:type="dxa"/>
              <w:right w:w="15" w:type="dxa"/>
            </w:tcMar>
            <w:vAlign w:val="bottom"/>
          </w:tcPr>
          <w:p w14:paraId="01E62355">
            <w:pPr>
              <w:pStyle w:val="34"/>
              <w:jc w:val="center"/>
              <w:rPr>
                <w:rFonts w:ascii="宋体" w:hAnsi="宋体" w:cs="宋体"/>
              </w:rPr>
            </w:pPr>
            <w:r>
              <w:rPr>
                <w:rFonts w:hint="eastAsia" w:ascii="宋体" w:hAnsi="宋体" w:cs="宋体"/>
              </w:rPr>
              <w:t>万1</w:t>
            </w:r>
          </w:p>
        </w:tc>
        <w:tc>
          <w:tcPr>
            <w:tcW w:w="960" w:type="dxa"/>
            <w:shd w:val="clear" w:color="auto" w:fill="auto"/>
            <w:noWrap/>
            <w:tcMar>
              <w:top w:w="15" w:type="dxa"/>
              <w:left w:w="15" w:type="dxa"/>
              <w:right w:w="15" w:type="dxa"/>
            </w:tcMar>
            <w:vAlign w:val="bottom"/>
          </w:tcPr>
          <w:p w14:paraId="33DB3173">
            <w:pPr>
              <w:pStyle w:val="34"/>
              <w:jc w:val="center"/>
              <w:rPr>
                <w:rFonts w:ascii="宋体" w:hAnsi="宋体" w:cs="宋体"/>
              </w:rPr>
            </w:pPr>
            <w:r>
              <w:rPr>
                <w:rFonts w:hint="eastAsia" w:ascii="宋体" w:hAnsi="宋体" w:cs="宋体"/>
              </w:rPr>
              <w:t>申1</w:t>
            </w:r>
          </w:p>
        </w:tc>
        <w:tc>
          <w:tcPr>
            <w:tcW w:w="960" w:type="dxa"/>
            <w:shd w:val="clear" w:color="auto" w:fill="auto"/>
            <w:noWrap/>
            <w:tcMar>
              <w:top w:w="15" w:type="dxa"/>
              <w:left w:w="15" w:type="dxa"/>
              <w:right w:w="15" w:type="dxa"/>
            </w:tcMar>
            <w:vAlign w:val="bottom"/>
          </w:tcPr>
          <w:p w14:paraId="1D76A45E">
            <w:pPr>
              <w:pStyle w:val="34"/>
              <w:jc w:val="center"/>
              <w:rPr>
                <w:rFonts w:ascii="宋体" w:hAnsi="宋体" w:cs="宋体"/>
              </w:rPr>
            </w:pPr>
            <w:r>
              <w:rPr>
                <w:rFonts w:hint="eastAsia" w:ascii="宋体" w:hAnsi="宋体" w:cs="宋体"/>
              </w:rPr>
              <w:t>勾1</w:t>
            </w:r>
          </w:p>
        </w:tc>
        <w:tc>
          <w:tcPr>
            <w:tcW w:w="1296" w:type="dxa"/>
            <w:tcBorders>
              <w:right w:val="nil"/>
            </w:tcBorders>
            <w:shd w:val="clear" w:color="auto" w:fill="auto"/>
            <w:noWrap/>
            <w:tcMar>
              <w:top w:w="15" w:type="dxa"/>
              <w:left w:w="15" w:type="dxa"/>
              <w:right w:w="15" w:type="dxa"/>
            </w:tcMar>
            <w:vAlign w:val="bottom"/>
          </w:tcPr>
          <w:p w14:paraId="1C8F4D97">
            <w:pPr>
              <w:pStyle w:val="34"/>
              <w:jc w:val="center"/>
              <w:rPr>
                <w:rFonts w:ascii="宋体" w:hAnsi="宋体" w:cs="宋体"/>
              </w:rPr>
            </w:pPr>
            <w:r>
              <w:rPr>
                <w:rFonts w:hint="eastAsia" w:ascii="宋体" w:hAnsi="宋体" w:cs="宋体"/>
              </w:rPr>
              <w:t>衷1</w:t>
            </w:r>
          </w:p>
        </w:tc>
      </w:tr>
      <w:tr w14:paraId="30FF2ACA">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960" w:type="dxa"/>
            <w:tcBorders>
              <w:left w:val="nil"/>
            </w:tcBorders>
            <w:shd w:val="clear" w:color="auto" w:fill="auto"/>
            <w:noWrap/>
            <w:tcMar>
              <w:top w:w="15" w:type="dxa"/>
              <w:left w:w="15" w:type="dxa"/>
              <w:right w:w="15" w:type="dxa"/>
            </w:tcMar>
            <w:vAlign w:val="bottom"/>
          </w:tcPr>
          <w:p w14:paraId="2C3E05D1">
            <w:pPr>
              <w:pStyle w:val="34"/>
              <w:jc w:val="center"/>
              <w:rPr>
                <w:rFonts w:ascii="宋体" w:hAnsi="宋体" w:cs="宋体"/>
              </w:rPr>
            </w:pPr>
            <w:r>
              <w:rPr>
                <w:rFonts w:hint="eastAsia" w:ascii="宋体" w:hAnsi="宋体" w:cs="宋体"/>
              </w:rPr>
              <w:t>83</w:t>
            </w:r>
          </w:p>
        </w:tc>
        <w:tc>
          <w:tcPr>
            <w:tcW w:w="960" w:type="dxa"/>
            <w:shd w:val="clear" w:color="auto" w:fill="auto"/>
            <w:noWrap/>
            <w:tcMar>
              <w:top w:w="15" w:type="dxa"/>
              <w:left w:w="15" w:type="dxa"/>
              <w:right w:w="15" w:type="dxa"/>
            </w:tcMar>
            <w:vAlign w:val="bottom"/>
          </w:tcPr>
          <w:p w14:paraId="08AC51DF">
            <w:pPr>
              <w:pStyle w:val="34"/>
              <w:jc w:val="center"/>
              <w:rPr>
                <w:rFonts w:ascii="宋体" w:hAnsi="宋体" w:cs="宋体"/>
              </w:rPr>
            </w:pPr>
            <w:r>
              <w:rPr>
                <w:rFonts w:hint="eastAsia" w:ascii="宋体" w:hAnsi="宋体" w:cs="宋体"/>
              </w:rPr>
              <w:t>熊</w:t>
            </w:r>
          </w:p>
        </w:tc>
        <w:tc>
          <w:tcPr>
            <w:tcW w:w="960" w:type="dxa"/>
            <w:shd w:val="clear" w:color="auto" w:fill="auto"/>
            <w:noWrap/>
            <w:tcMar>
              <w:top w:w="15" w:type="dxa"/>
              <w:left w:w="15" w:type="dxa"/>
              <w:right w:w="15" w:type="dxa"/>
            </w:tcMar>
            <w:vAlign w:val="bottom"/>
          </w:tcPr>
          <w:p w14:paraId="29649C77">
            <w:pPr>
              <w:pStyle w:val="34"/>
              <w:jc w:val="center"/>
              <w:rPr>
                <w:rFonts w:ascii="宋体" w:hAnsi="宋体" w:cs="宋体"/>
              </w:rPr>
            </w:pPr>
            <w:r>
              <w:rPr>
                <w:rFonts w:hint="eastAsia" w:ascii="宋体" w:hAnsi="宋体" w:cs="宋体"/>
              </w:rPr>
              <w:t>52</w:t>
            </w:r>
          </w:p>
        </w:tc>
        <w:tc>
          <w:tcPr>
            <w:tcW w:w="1397" w:type="dxa"/>
            <w:shd w:val="clear" w:color="auto" w:fill="auto"/>
            <w:noWrap/>
            <w:tcMar>
              <w:top w:w="15" w:type="dxa"/>
              <w:left w:w="15" w:type="dxa"/>
              <w:right w:w="15" w:type="dxa"/>
            </w:tcMar>
            <w:vAlign w:val="bottom"/>
          </w:tcPr>
          <w:p w14:paraId="5FE9C947">
            <w:pPr>
              <w:pStyle w:val="34"/>
              <w:jc w:val="center"/>
              <w:rPr>
                <w:rFonts w:ascii="宋体" w:hAnsi="宋体" w:cs="宋体"/>
              </w:rPr>
            </w:pPr>
            <w:r>
              <w:rPr>
                <w:rFonts w:hint="eastAsia" w:ascii="宋体" w:hAnsi="宋体" w:cs="宋体"/>
              </w:rPr>
              <w:t>0.06</w:t>
            </w:r>
          </w:p>
        </w:tc>
        <w:tc>
          <w:tcPr>
            <w:tcW w:w="523" w:type="dxa"/>
            <w:shd w:val="clear" w:color="auto" w:fill="auto"/>
            <w:noWrap/>
            <w:tcMar>
              <w:top w:w="15" w:type="dxa"/>
              <w:left w:w="15" w:type="dxa"/>
              <w:right w:w="15" w:type="dxa"/>
            </w:tcMar>
            <w:vAlign w:val="bottom"/>
          </w:tcPr>
          <w:p w14:paraId="062C0425">
            <w:pPr>
              <w:pStyle w:val="34"/>
              <w:jc w:val="center"/>
              <w:rPr>
                <w:rFonts w:ascii="宋体" w:hAnsi="宋体" w:cs="宋体"/>
              </w:rPr>
            </w:pPr>
            <w:r>
              <w:rPr>
                <w:rFonts w:hint="eastAsia" w:ascii="宋体" w:hAnsi="宋体" w:cs="宋体"/>
              </w:rPr>
              <w:t>覃1</w:t>
            </w:r>
          </w:p>
        </w:tc>
        <w:tc>
          <w:tcPr>
            <w:tcW w:w="960" w:type="dxa"/>
            <w:shd w:val="clear" w:color="auto" w:fill="auto"/>
            <w:noWrap/>
            <w:tcMar>
              <w:top w:w="15" w:type="dxa"/>
              <w:left w:w="15" w:type="dxa"/>
              <w:right w:w="15" w:type="dxa"/>
            </w:tcMar>
            <w:vAlign w:val="bottom"/>
          </w:tcPr>
          <w:p w14:paraId="0A68E193">
            <w:pPr>
              <w:pStyle w:val="34"/>
              <w:jc w:val="center"/>
              <w:rPr>
                <w:rFonts w:ascii="宋体" w:hAnsi="宋体" w:cs="宋体"/>
              </w:rPr>
            </w:pPr>
            <w:r>
              <w:rPr>
                <w:rFonts w:hint="eastAsia" w:ascii="宋体" w:hAnsi="宋体" w:cs="宋体"/>
              </w:rPr>
              <w:t>岑1</w:t>
            </w:r>
          </w:p>
        </w:tc>
        <w:tc>
          <w:tcPr>
            <w:tcW w:w="960" w:type="dxa"/>
            <w:shd w:val="clear" w:color="auto" w:fill="auto"/>
            <w:noWrap/>
            <w:tcMar>
              <w:top w:w="15" w:type="dxa"/>
              <w:left w:w="15" w:type="dxa"/>
              <w:right w:w="15" w:type="dxa"/>
            </w:tcMar>
            <w:vAlign w:val="bottom"/>
          </w:tcPr>
          <w:p w14:paraId="0777E13E">
            <w:pPr>
              <w:pStyle w:val="34"/>
              <w:jc w:val="center"/>
              <w:rPr>
                <w:rFonts w:ascii="宋体" w:hAnsi="宋体" w:cs="宋体"/>
              </w:rPr>
            </w:pPr>
          </w:p>
        </w:tc>
        <w:tc>
          <w:tcPr>
            <w:tcW w:w="1296" w:type="dxa"/>
            <w:tcBorders>
              <w:right w:val="nil"/>
            </w:tcBorders>
            <w:shd w:val="clear" w:color="auto" w:fill="auto"/>
            <w:noWrap/>
            <w:tcMar>
              <w:top w:w="15" w:type="dxa"/>
              <w:left w:w="15" w:type="dxa"/>
              <w:right w:w="15" w:type="dxa"/>
            </w:tcMar>
            <w:vAlign w:val="bottom"/>
          </w:tcPr>
          <w:p w14:paraId="45EC58B6">
            <w:pPr>
              <w:pStyle w:val="34"/>
              <w:jc w:val="center"/>
              <w:rPr>
                <w:rFonts w:ascii="宋体" w:hAnsi="宋体" w:cs="宋体"/>
              </w:rPr>
            </w:pPr>
          </w:p>
        </w:tc>
      </w:tr>
      <w:tr w14:paraId="004DB697">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960" w:type="dxa"/>
            <w:tcBorders>
              <w:left w:val="nil"/>
            </w:tcBorders>
            <w:shd w:val="clear" w:color="auto" w:fill="auto"/>
            <w:noWrap/>
            <w:tcMar>
              <w:top w:w="15" w:type="dxa"/>
              <w:left w:w="15" w:type="dxa"/>
              <w:right w:w="15" w:type="dxa"/>
            </w:tcMar>
            <w:vAlign w:val="bottom"/>
          </w:tcPr>
          <w:p w14:paraId="63C80120">
            <w:pPr>
              <w:pStyle w:val="34"/>
              <w:jc w:val="center"/>
              <w:rPr>
                <w:rFonts w:ascii="宋体" w:hAnsi="宋体" w:cs="宋体"/>
              </w:rPr>
            </w:pPr>
            <w:r>
              <w:rPr>
                <w:rFonts w:hint="eastAsia" w:ascii="宋体" w:hAnsi="宋体" w:cs="宋体"/>
              </w:rPr>
              <w:t>84</w:t>
            </w:r>
          </w:p>
        </w:tc>
        <w:tc>
          <w:tcPr>
            <w:tcW w:w="960" w:type="dxa"/>
            <w:shd w:val="clear" w:color="auto" w:fill="auto"/>
            <w:noWrap/>
            <w:tcMar>
              <w:top w:w="15" w:type="dxa"/>
              <w:left w:w="15" w:type="dxa"/>
              <w:right w:w="15" w:type="dxa"/>
            </w:tcMar>
            <w:vAlign w:val="bottom"/>
          </w:tcPr>
          <w:p w14:paraId="083779B4">
            <w:pPr>
              <w:pStyle w:val="34"/>
              <w:jc w:val="center"/>
              <w:rPr>
                <w:rFonts w:ascii="宋体" w:hAnsi="宋体" w:cs="宋体"/>
              </w:rPr>
            </w:pPr>
            <w:r>
              <w:rPr>
                <w:rFonts w:hint="eastAsia" w:ascii="宋体" w:hAnsi="宋体" w:cs="宋体"/>
              </w:rPr>
              <w:t>涂</w:t>
            </w:r>
          </w:p>
        </w:tc>
        <w:tc>
          <w:tcPr>
            <w:tcW w:w="960" w:type="dxa"/>
            <w:shd w:val="clear" w:color="auto" w:fill="auto"/>
            <w:noWrap/>
            <w:tcMar>
              <w:top w:w="15" w:type="dxa"/>
              <w:left w:w="15" w:type="dxa"/>
              <w:right w:w="15" w:type="dxa"/>
            </w:tcMar>
            <w:vAlign w:val="bottom"/>
          </w:tcPr>
          <w:p w14:paraId="296DD860">
            <w:pPr>
              <w:pStyle w:val="34"/>
              <w:jc w:val="center"/>
              <w:rPr>
                <w:rFonts w:ascii="宋体" w:hAnsi="宋体" w:cs="宋体"/>
              </w:rPr>
            </w:pPr>
            <w:r>
              <w:rPr>
                <w:rFonts w:hint="eastAsia" w:ascii="宋体" w:hAnsi="宋体" w:cs="宋体"/>
              </w:rPr>
              <w:t>49</w:t>
            </w:r>
          </w:p>
        </w:tc>
        <w:tc>
          <w:tcPr>
            <w:tcW w:w="1397" w:type="dxa"/>
            <w:shd w:val="clear" w:color="auto" w:fill="auto"/>
            <w:noWrap/>
            <w:tcMar>
              <w:top w:w="15" w:type="dxa"/>
              <w:left w:w="15" w:type="dxa"/>
              <w:right w:w="15" w:type="dxa"/>
            </w:tcMar>
            <w:vAlign w:val="bottom"/>
          </w:tcPr>
          <w:p w14:paraId="4898E2D1">
            <w:pPr>
              <w:pStyle w:val="34"/>
              <w:jc w:val="center"/>
              <w:rPr>
                <w:rFonts w:ascii="宋体" w:hAnsi="宋体" w:cs="宋体"/>
              </w:rPr>
            </w:pPr>
            <w:r>
              <w:rPr>
                <w:rFonts w:hint="eastAsia" w:ascii="宋体" w:hAnsi="宋体" w:cs="宋体"/>
              </w:rPr>
              <w:t>0.05</w:t>
            </w:r>
          </w:p>
        </w:tc>
        <w:tc>
          <w:tcPr>
            <w:tcW w:w="523" w:type="dxa"/>
            <w:shd w:val="clear" w:color="auto" w:fill="auto"/>
            <w:noWrap/>
            <w:tcMar>
              <w:top w:w="15" w:type="dxa"/>
              <w:left w:w="15" w:type="dxa"/>
              <w:right w:w="15" w:type="dxa"/>
            </w:tcMar>
            <w:vAlign w:val="bottom"/>
          </w:tcPr>
          <w:p w14:paraId="10096203">
            <w:pPr>
              <w:pStyle w:val="34"/>
              <w:jc w:val="center"/>
              <w:rPr>
                <w:rFonts w:ascii="宋体" w:hAnsi="宋体" w:cs="宋体"/>
              </w:rPr>
            </w:pPr>
          </w:p>
        </w:tc>
        <w:tc>
          <w:tcPr>
            <w:tcW w:w="960" w:type="dxa"/>
            <w:shd w:val="clear" w:color="auto" w:fill="auto"/>
            <w:noWrap/>
            <w:tcMar>
              <w:top w:w="15" w:type="dxa"/>
              <w:left w:w="15" w:type="dxa"/>
              <w:right w:w="15" w:type="dxa"/>
            </w:tcMar>
            <w:vAlign w:val="bottom"/>
          </w:tcPr>
          <w:p w14:paraId="4B7ACC1F">
            <w:pPr>
              <w:pStyle w:val="34"/>
              <w:jc w:val="center"/>
              <w:rPr>
                <w:rFonts w:ascii="宋体" w:hAnsi="宋体" w:cs="宋体"/>
              </w:rPr>
            </w:pPr>
          </w:p>
        </w:tc>
        <w:tc>
          <w:tcPr>
            <w:tcW w:w="960" w:type="dxa"/>
            <w:shd w:val="clear" w:color="auto" w:fill="auto"/>
            <w:noWrap/>
            <w:tcMar>
              <w:top w:w="15" w:type="dxa"/>
              <w:left w:w="15" w:type="dxa"/>
              <w:right w:w="15" w:type="dxa"/>
            </w:tcMar>
            <w:vAlign w:val="bottom"/>
          </w:tcPr>
          <w:p w14:paraId="420009FB">
            <w:pPr>
              <w:pStyle w:val="34"/>
              <w:jc w:val="center"/>
              <w:rPr>
                <w:rFonts w:ascii="宋体" w:hAnsi="宋体" w:cs="宋体"/>
              </w:rPr>
            </w:pPr>
          </w:p>
        </w:tc>
        <w:tc>
          <w:tcPr>
            <w:tcW w:w="1296" w:type="dxa"/>
            <w:tcBorders>
              <w:right w:val="nil"/>
            </w:tcBorders>
            <w:shd w:val="clear" w:color="auto" w:fill="auto"/>
            <w:noWrap/>
            <w:tcMar>
              <w:top w:w="15" w:type="dxa"/>
              <w:left w:w="15" w:type="dxa"/>
              <w:right w:w="15" w:type="dxa"/>
            </w:tcMar>
            <w:vAlign w:val="bottom"/>
          </w:tcPr>
          <w:p w14:paraId="44B93678">
            <w:pPr>
              <w:pStyle w:val="34"/>
              <w:jc w:val="center"/>
              <w:rPr>
                <w:rFonts w:ascii="宋体" w:hAnsi="宋体" w:cs="宋体"/>
              </w:rPr>
            </w:pPr>
          </w:p>
        </w:tc>
      </w:tr>
    </w:tbl>
    <w:p w14:paraId="0A83C6B1">
      <w:pPr>
        <w:ind w:firstLine="420"/>
        <w:jc w:val="center"/>
      </w:pPr>
    </w:p>
    <w:p w14:paraId="6642AB1C">
      <w:pPr>
        <w:ind w:firstLine="420"/>
      </w:pPr>
      <w:r>
        <w:rPr>
          <w:rFonts w:hint="eastAsia"/>
        </w:rPr>
        <w:t>说明：以上合计：141姓83190户（不含市区）</w:t>
      </w:r>
    </w:p>
    <w:p w14:paraId="6A10CA7A">
      <w:pPr>
        <w:pStyle w:val="4"/>
      </w:pPr>
      <w:r>
        <w:rPr>
          <w:rFonts w:hint="eastAsia"/>
        </w:rPr>
        <w:t>【宗教】</w:t>
      </w:r>
    </w:p>
    <w:p w14:paraId="39EFB170">
      <w:pPr>
        <w:ind w:firstLine="420"/>
      </w:pPr>
      <w:r>
        <w:rPr>
          <w:rFonts w:hint="eastAsia"/>
        </w:rPr>
        <w:t>南雄市现有佛教、道教、基督教、天主教4个宗教，宗教活动场所7个，即洞真古观（道教）、大雄禅寺（佛教）、莲开净寺（佛教）、万善庵（佛教）、南雄天主堂、荆岗天主堂（天主教）、南雄福音堂（基督教）。</w:t>
      </w:r>
    </w:p>
    <w:p w14:paraId="22F41772">
      <w:pPr>
        <w:pStyle w:val="4"/>
      </w:pPr>
      <w:r>
        <w:rPr>
          <w:rFonts w:hint="eastAsia"/>
        </w:rPr>
        <w:t>【民俗风情】</w:t>
      </w:r>
    </w:p>
    <w:p w14:paraId="6E2080A8">
      <w:pPr>
        <w:ind w:firstLine="420"/>
      </w:pPr>
      <w:r>
        <w:rPr>
          <w:rFonts w:hint="eastAsia"/>
        </w:rPr>
        <w:t>一方土养一方人。千百年来，南雄人在这块土地上生息繁衍，逐步形成独特、富于生命气息民情民俗。南雄民情民俗是中原与岭南文化融合，粤赣之间民情交汇。</w:t>
      </w:r>
    </w:p>
    <w:p w14:paraId="4EBDBDA2">
      <w:pPr>
        <w:ind w:firstLine="420"/>
      </w:pPr>
      <w:r>
        <w:rPr>
          <w:rFonts w:hint="eastAsia"/>
        </w:rPr>
        <w:t>服饰穿戴；南雄男女穿着比较朴素，与周边县区没有多大的区别，其中只有女子的围身裙（袍肚俚）、头帕颇有客家女特色。女子围身裙，常取黑色布，带子用白色，中青年妇女围裙镶花边，上方加“蓝头”（饰边）以装饰。裙带左右各一条，用棉线织成，末端有缨子。中青年多用白色，老年人用黑色。围身裙与头帕既方便劳动又朴素大方，现逐已简化。</w:t>
      </w:r>
    </w:p>
    <w:p w14:paraId="7A9D4CEA">
      <w:pPr>
        <w:ind w:firstLine="420"/>
      </w:pPr>
      <w:r>
        <w:rPr>
          <w:rFonts w:hint="eastAsia"/>
        </w:rPr>
        <w:t>饮食嗜好；吃辣椒，南雄人喜欢吃辣椒，几乎餐餐有辣，无菜不辣。还加工成蒜蓉辣椒酱、禾麦辣椒酱，通常作佐料。每家都贮存有辣椒干，以备常年吃用。吃酸笋，酸笋是南雄传统的调味佳品。菜肴中加入少量的酸笋，其味浓郁绵长，城乡多数家庭都备有酸笋缸。吸烟，南雄盛产黄烟，吸烟之风甚盛，在烟区烟民占成年男子90%。以本地产烟叶为主，自己加工切丝，自卷自抽。饮布荆土茶，每年取布荆籽或嫩叶晒干收藏，一年四季用此物煲水喝。特别是夏收夏种时节，农家习惯用大锅烧煮布荆茶，既可生津止渴解暑，又能驱风散气预防感冒。此外，有的还饮藤婆茶、森俚茶、石板树茶、清明籽茶等。</w:t>
      </w:r>
    </w:p>
    <w:p w14:paraId="62C4ACC9">
      <w:pPr>
        <w:ind w:firstLine="420"/>
      </w:pPr>
      <w:r>
        <w:rPr>
          <w:rFonts w:hint="eastAsia"/>
        </w:rPr>
        <w:t>传统食品；钻缸酒，该酒是自酿的传统酒。举凡红白二事或年节家宴，尽管备有其它美酒，也一定要出敬自酿的钻缸酒。番薯糟，为丘陵地区家民的传统食品，每年冬季将番薯切成片煮至半熟，晒干，用煮薯片的汤或清水掺湿，进甑蒸熟，取出再晒干，然后倒入未取酒的酒糟里掺匀掺湿，置于酒埋密封。次岁春夏农忙时取出食用，其味芳香甜美。酿豆腐，将做好的豆腐块，用食油炸至金黄色、空心。按生活的丰俭制馅，一般是用芋头刷成糊状加上猪油渣、虾米、香菇、葱蒜、萝卜、冬笋等佐料，将馅料混匀下锅炒至半熟，然后酿入油炸豆腐内，煮（蒸）熟即可。逢年过节或设宴请客，多有酿豆腐，以示南雄特有风味。糍类有10多种各个时节的传统食品。如油糍、黄年糍、麻糍、饺俚糍、包菜糍、芋圆仂、豆浆糍、蕉叶糍、铜勺饼、艾糍、锅巴糍、状元糕、豆角酥、猪膏团、米花糕、荡皮等。春节腊味。是传统的冬春时令佳肴。每年冬至前后，家家必做腊味，品种有腊鸭、腊肉、腊肠、腊鸡、腊鹅、腊狗，山区还有腊野味。</w:t>
      </w:r>
    </w:p>
    <w:p w14:paraId="3E7A1C9C">
      <w:pPr>
        <w:ind w:firstLine="420"/>
      </w:pPr>
      <w:r>
        <w:rPr>
          <w:rFonts w:hint="eastAsia"/>
        </w:rPr>
        <w:t>过姓氏节；除传统节日外南雄上方乌径、界址、坪田、南亩、大塘、油山、黄坑等镇，盛行过姓氏节。一般以该族祖先的生日或对该氏族具有重大意义的日子为姓氏节节日。届时，由轮值首事（头人）牵头筹办，公尝出资，设坛祭祀，抬菩萨（祖像）出行游村，请戏班日夜演戏（或放电影）。各户则广邀亲朋戚友前来作客，为时三天，合家团圆，全族聚会，各姓亲朋相庆，热闹非凡，胜于过春节元宵。一姓过节，百家联欢。姓氏节流行至今，日期依旧，内容简化。</w:t>
      </w:r>
    </w:p>
    <w:p w14:paraId="756170B3">
      <w:pPr>
        <w:pStyle w:val="3"/>
      </w:pPr>
      <w:r>
        <w:rPr>
          <w:rFonts w:hint="eastAsia"/>
        </w:rPr>
        <w:t>社会经济</w:t>
      </w:r>
    </w:p>
    <w:p w14:paraId="0ACEE215">
      <w:pPr>
        <w:pStyle w:val="4"/>
      </w:pPr>
      <w:r>
        <w:rPr>
          <w:rFonts w:hint="eastAsia"/>
        </w:rPr>
        <w:t>【2011年经济发展概况】</w:t>
      </w:r>
    </w:p>
    <w:p w14:paraId="3E086F89">
      <w:pPr>
        <w:ind w:firstLine="420"/>
      </w:pPr>
      <w:r>
        <w:rPr>
          <w:rFonts w:hint="eastAsia"/>
        </w:rPr>
        <w:t>全市生产总值75.31亿元，比上年增长15.8%。其中第一产业增加值为19.92亿元，增长5.9%；第二产业增加值为23.75亿元，增长30.3%；第三产业增加值为31.64亿元，增长12.6%。地方财政一般预算收入3.4亿元，增长20.2%。城镇居民人均可支配收入1.33万元，增长12.5%。农村居民人均纯收入7012元，增长17.7%。</w:t>
      </w:r>
    </w:p>
    <w:p w14:paraId="6654F1B1">
      <w:pPr>
        <w:pStyle w:val="4"/>
      </w:pPr>
      <w:r>
        <w:rPr>
          <w:rFonts w:hint="eastAsia"/>
        </w:rPr>
        <w:t>【工业经济快速增长】</w:t>
      </w:r>
    </w:p>
    <w:p w14:paraId="50AC49F5">
      <w:pPr>
        <w:ind w:firstLine="420"/>
      </w:pPr>
      <w:r>
        <w:rPr>
          <w:rFonts w:hint="eastAsia"/>
        </w:rPr>
        <w:t>2011年，南雄市完成工业总产值59.58亿元，比上年增长37.5%；工业增加值16.89亿元，增长38.2%。全市规模以上工业企业66家，新增20家，其中年产值超1亿元的企业22家，企业实力逐步增强。特色产业进一步发展，精细化工、陶瓷建材、浆纸制造三大主导产业产值分别为30.8亿元、1.1亿元和3.1亿元，分别增长154.1%、1.7%、37.2%。</w:t>
      </w:r>
    </w:p>
    <w:p w14:paraId="09237B61">
      <w:pPr>
        <w:pStyle w:val="4"/>
      </w:pPr>
      <w:r>
        <w:rPr>
          <w:rFonts w:hint="eastAsia"/>
        </w:rPr>
        <w:t>【农村经济建设步伐加快】</w:t>
      </w:r>
    </w:p>
    <w:p w14:paraId="199B63B7">
      <w:pPr>
        <w:ind w:firstLine="420"/>
      </w:pPr>
      <w:r>
        <w:rPr>
          <w:rFonts w:hint="eastAsia"/>
        </w:rPr>
        <w:t>2011年，南雄市完成农林牧渔业总产值33.49亿元，比上年增长5.9%。粮食总产量22.24万吨，增长3.3%。完成烟叶收购1.6万吨，收购金额2.89亿元，增长24%；禽畜养殖业健康发展，其中生猪存栏量23.15万头，出栏量39.97万头，分别增长3.6%和9.9%；成立168家农民专业合作社，新建7个现代农业精品园区。金友集团投资8000万元，兴建粮食仓储和农副产品加工基地，被评为“广东省优势传统企业转型升级示范企业”。完成31个村庄环境整治工作，投入扶贫资金1.36亿元。</w:t>
      </w:r>
    </w:p>
    <w:p w14:paraId="6A1360E3">
      <w:pPr>
        <w:pStyle w:val="4"/>
      </w:pPr>
      <w:r>
        <w:rPr>
          <w:rFonts w:hint="eastAsia"/>
        </w:rPr>
        <w:t>【基础设施建设力度加大】</w:t>
      </w:r>
    </w:p>
    <w:p w14:paraId="3511A7E8">
      <w:pPr>
        <w:ind w:firstLine="420"/>
      </w:pPr>
      <w:r>
        <w:rPr>
          <w:rFonts w:hint="eastAsia"/>
        </w:rPr>
        <w:t>2011年，南雄市完成固定资产投资62.73亿元，比上年增长21.6%。重点项目建设稳步推进。赣韶铁路南雄段完成投资0.86亿元，完成通自然村水泥公路建设85公里，改（新）建桥梁4座，建成13个农村客运站和一批候车亭。“西气东输”南雄段完成投资2000多万元，工程已投入使用。投资3100万元，完成农村电网配网改造工程。投资1150万元，完成水口镇646.67公顷国家农业综合开发项目。投资700多万元，完成314.67公顷农田整治。投资3364万元，完成33宗农村饮水安全工程。投资1250万元，完成孔江灌区节水配套改造一期工程。投资1048万元，完成江头镇田间工程建设。投资338万元，完成30个C网基站建设。</w:t>
      </w:r>
    </w:p>
    <w:p w14:paraId="56B576CC">
      <w:pPr>
        <w:pStyle w:val="4"/>
      </w:pPr>
      <w:r>
        <w:rPr>
          <w:rFonts w:hint="eastAsia"/>
        </w:rPr>
        <w:t>【民生改善】</w:t>
      </w:r>
    </w:p>
    <w:p w14:paraId="7B8B5BA1">
      <w:pPr>
        <w:ind w:firstLine="420"/>
      </w:pPr>
      <w:r>
        <w:rPr>
          <w:rFonts w:hint="eastAsia"/>
        </w:rPr>
        <w:t>2011年，南雄市财政用于民生项目的支出8.47亿元，占一般预算支出的67.2%。就业形势持续稳定，城镇新增就业5221人，转移农村劳动力12456人，城镇登记失业率2.48%。社会保险覆盖面扩大，城镇居民医疗保险参保2.6万人，养老保险参保3.1万人；新型农村养老保险参保14.9万人，新型农村合作医疗覆盖率100%。社会保险征缴2.34亿元，支出1.75亿元。社会救助体系健全，基本实现应保尽保。创建水口、澜河、帽子峰3个教育强镇。投资4200万元，完成25所义务教育学校规范化建设和50个“校安工程”项目。城乡公共文化服务逐步完善，文化惠民活动不断深入。《陈毅进山》、《农民工大哥》分别获省群众文艺作品一、二等奖，“香火龙”列入国家非物质文化遗产名录，《龙船歌》通过省级第三批非物质文化遗产专家组论证。完成40个行政村“农民体育健身工程”建设。</w:t>
      </w:r>
    </w:p>
    <w:p w14:paraId="4640D4F8">
      <w:pPr>
        <w:pStyle w:val="4"/>
      </w:pPr>
      <w:r>
        <w:rPr>
          <w:rFonts w:hint="eastAsia"/>
        </w:rPr>
        <w:t>【获“中国恐龙之乡”称号】</w:t>
      </w:r>
    </w:p>
    <w:p w14:paraId="7B27F63E">
      <w:pPr>
        <w:ind w:firstLine="420"/>
      </w:pPr>
      <w:r>
        <w:rPr>
          <w:rFonts w:hint="eastAsia"/>
        </w:rPr>
        <w:t>2011年6月20日，中国古生物化石保护基金会和中国地质调查局地层与古生物中心授予南雄市“中国恐龙之乡”称号，南雄成为广东省第二个获此称号的城市。从上个世纪60年代开始，南雄在晚白垩世红层发现大量恐龙、恐龙蛋、龟鳖类脊椎动物化石，其中以恐龙蛋化石分布最广泛。作为古生物化石的富集区，南雄最早于1961年发现骨骼化石，经专家确认为属于兽脚类的虚骨龙类。1962年，南雄首次发现恐龙蛋化石，所发现的恐龙蛋化石共计6蛋科、9蛋属16蛋种。恐龙则包括兽脚类、蜥脚类、鸟脚类等共计4属4种，龟鳖类1属1种。</w:t>
      </w:r>
    </w:p>
    <w:p w14:paraId="100323AA">
      <w:pPr>
        <w:pStyle w:val="4"/>
      </w:pPr>
      <w:r>
        <w:rPr>
          <w:rFonts w:hint="eastAsia"/>
        </w:rPr>
        <w:t>【香港南雄联谊会】</w:t>
      </w:r>
    </w:p>
    <w:p w14:paraId="5CFE53A9">
      <w:pPr>
        <w:ind w:firstLine="420"/>
      </w:pPr>
      <w:r>
        <w:rPr>
          <w:rFonts w:hint="eastAsia"/>
        </w:rPr>
        <w:t>2011年9月18日在香港九龙举行成立庆典。香港南雄联谊会是由在港的南雄珠玑巷后裔发起和自愿参加的联谊组织，旨在联络联谊，促进交流合作，为在港工作的珠玑巷后裔加强交流，增进乡情，共谋发展，报效桑梓搭建的一个新平台。成立庆典大会上，选举产生了联谊会第一届理事会和监事会成员，广高（香港）有限公司的行政总裁钟强当选为首届联谊会会长。</w:t>
      </w:r>
    </w:p>
    <w:p w14:paraId="193C29DF">
      <w:pPr>
        <w:pStyle w:val="4"/>
      </w:pPr>
      <w:r>
        <w:rPr>
          <w:rFonts w:hint="eastAsia"/>
        </w:rPr>
        <w:t>【《魂牵珠玑巷》在香港巡回演出】</w:t>
      </w:r>
    </w:p>
    <w:p w14:paraId="7025D18B">
      <w:pPr>
        <w:ind w:firstLine="420"/>
      </w:pPr>
      <w:r>
        <w:rPr>
          <w:rFonts w:hint="eastAsia"/>
        </w:rPr>
        <w:t>2011年11月24日晚，大型粤剧《魂牵珠玑巷》香港巡演的首场演出在香港新光剧院上演。该剧《由著名剧作家、广东省文联原党组书记陈中秋和原广东省戏剧创作中心主任潘邦榛联手编写，主要讲述南宋年间胡贵妃遭奸相贾似道迫害出逃栖身珠玑巷，最后为免连累乡亲与夫殉情而死，夫妻双双云间起舞，胡妃化为石塔的故事。该剧于1990年起先后获得第二届中国戏剧节“优秀剧目奖”和“优秀演出奖”；文化部首届“文华新剧目奖”等七大奖项。</w:t>
      </w:r>
    </w:p>
    <w:p w14:paraId="6E9CF0CB">
      <w:pPr>
        <w:ind w:firstLine="420"/>
        <w:jc w:val="right"/>
      </w:pPr>
      <w:r>
        <w:rPr>
          <w:rFonts w:hint="eastAsia"/>
        </w:rPr>
        <w:t>（谢平）</w:t>
      </w:r>
    </w:p>
    <w:p w14:paraId="0B047F4E">
      <w:pPr>
        <w:pStyle w:val="2"/>
        <w:ind w:firstLine="883"/>
      </w:pPr>
      <w:r>
        <w:rPr>
          <w:rFonts w:hint="eastAsia"/>
        </w:rPr>
        <w:t>中共南雄市委员会</w:t>
      </w:r>
    </w:p>
    <w:p w14:paraId="6FF8B644">
      <w:pPr>
        <w:pStyle w:val="3"/>
      </w:pPr>
      <w:r>
        <w:rPr>
          <w:rFonts w:hint="eastAsia"/>
        </w:rPr>
        <w:t>综述</w:t>
      </w:r>
    </w:p>
    <w:p w14:paraId="09708495">
      <w:pPr>
        <w:ind w:firstLine="420"/>
      </w:pPr>
      <w:r>
        <w:rPr>
          <w:rFonts w:hint="eastAsia"/>
        </w:rPr>
        <w:t>2011年是“十二五”的开局之年，也是全市履职、锐意进取的一年。市委坚持以邓小平理论和“三个代表”重要思想为指导，深入落实科学发展观，按照省委和韶关市委的决策部署，围绕建设幸福南雄的奋斗目标，团结和带领全市人民解放思想、认真履职、锐意进取，加快转变经济发展方式，优化经济结构，克服物价持续上涨和欧美债务危机的不利影响，经济建设、政治建设、文化建设、社会建设、生态建设和党的建设取得了显著成绩。突出表现在如下几个方面：</w:t>
      </w:r>
    </w:p>
    <w:p w14:paraId="66C9562E">
      <w:pPr>
        <w:ind w:firstLine="420"/>
      </w:pPr>
      <w:r>
        <w:rPr>
          <w:rFonts w:hint="eastAsia"/>
        </w:rPr>
        <w:t>一是发展速度加快。实施工业强市战略，工业经济发展势头迅猛，全年完成工业总产值59.58亿元，同比增长37.5%。农业经济呈现快速发展的态势，现代烟草、禽畜养殖、优质稻生产等“六大”农业产业基地建设成效显著，全市养殖三元杂交猪达80万头，种植优质稻25万亩、中药材7000亩，烟叶收购31.98万担，收购资金2.89亿元。梅关古道、珠玑古巷创国家4A级景区工作扎实推进，成功举办广东国际旅游文化节南雄分会场系列活动。预计全年接待游客134.22万人次，旅游总收入9.1亿元，分别增长22.8%、31%。2011年，全市完成生产总值75.31亿元，同比增长15.8%；固定资产投资62.73亿元，同比增长21.6%；地方财政一般预算收入3.4亿元，同比增长20.2%。</w:t>
      </w:r>
    </w:p>
    <w:p w14:paraId="08E8BE3F">
      <w:pPr>
        <w:ind w:firstLine="420"/>
      </w:pPr>
      <w:r>
        <w:rPr>
          <w:rFonts w:hint="eastAsia"/>
        </w:rPr>
        <w:t>二是发展后劲增强。精细化工、陶瓷建材、浆纸制造、热电能源四大特色工业产业集聚发展，精细化工产业转移园一期实现入园企业99家，试投产企业45家，南雄国际会展中心、中科院南雄产学研合作基地等项目正在建设，园区二期、乐华陶瓷基地二期、绿洲公司技改扩产项目扎实推进，奥威斯（龙华山）温泉休闲度假中心的总统别墅、高市委员会级商务套房项目已建成，彤置富水泥项目已完成投资2.36亿元。同时，西气东输南雄段、国家农业综合开发、基本农田整治、灌区改造等一批重点项目相继建成投入使用，基础设施完善，经济发展后劲增强。</w:t>
      </w:r>
    </w:p>
    <w:p w14:paraId="123CB851">
      <w:pPr>
        <w:ind w:firstLine="420"/>
      </w:pPr>
      <w:r>
        <w:rPr>
          <w:rFonts w:hint="eastAsia"/>
        </w:rPr>
        <w:t>三是生活水平进一步提高。统筹城乡发展，高度重视民生工程，大力实施城区“北移东扩、西建南绿”战略，大福名城、城市综合体、保障性住房建设等项目扎实推进，金叶大道、迎宾大道、教育路等城市美化绿化工程全面完成，城市基础设施完善，城市品位提升，城乡居民生活条件改善。深入推进扶贫开发“规划到户、责任到人”工作，扶持贫困户发展生产、脱贫致富，省核定的45个贫困村、4460户贫困户，其中有生产能力的4080户实现脱贫目标，380户无劳动能力的贫困户已纳入低保。2011年，预计全市农民人均纯收入6969元，同比增长17%；城镇居民可支配收入13374元，同比增长12.5%。</w:t>
      </w:r>
    </w:p>
    <w:p w14:paraId="6F3561E4">
      <w:pPr>
        <w:ind w:firstLine="420"/>
      </w:pPr>
      <w:r>
        <w:rPr>
          <w:rFonts w:hint="eastAsia"/>
        </w:rPr>
        <w:t>四是文化教育卫生等各项社会事业稳步发展，珠影文化广场、珠玑文化产业园等项目扎实推进。组织实施数字电影进农村“2131”工程，开展送戏下乡、送书下乡等文化惠民活动，城乡公共文化服务体系完善，人民群众文化生活丰富。稳妥推进城乡学校布局调整，优化城乡教育资源配置，水口、澜河、帽子峰等镇顺利通过广东省教育强镇督导评估验收，教育强市创建工作扎实推进。医药卫生体制改革深化，基本公共卫生服务均等化工作扎实推进，新型农村合作医疗实现全面覆盖。启动新型农村社会养老保险工作，社会保障体系完善。人口和计划生育工作扎实推进，计划生育服务质量提高。集体林权制度改革顺利通过省政府验收，乡村“清洁美”、“万村绿”示范点建设取得实效，成功创建林业生态县。全力推进市镇村三级综治信访维稳平台建设，加强网络问政工作，拓宽群众与政府沟通交流渠道，社会矛盾纠纷得到有效化解，严打整治活动成效明显，社会治安防控体系完善，社会保持和谐稳定。</w:t>
      </w:r>
    </w:p>
    <w:p w14:paraId="77C2DDA9">
      <w:pPr>
        <w:ind w:firstLine="420"/>
      </w:pPr>
      <w:r>
        <w:rPr>
          <w:rFonts w:hint="eastAsia"/>
        </w:rPr>
        <w:t>五是党的建设加强。加强党的思想、组织、作风和制度建设，组织换届选举工作，市、镇、村集中换届工作全面完成，各级班子结构不断优化。以“双向承诺”活动为载体，大力开展“创先争优”活动，基层组织建设和干部队伍建设不断加强。深入开展“履行职责、加快发展年”活动，加大明查暗访力度，营造“主动履职光荣、消极履职可耻”的良好风气。严格落实党风廉政建设责任制，深入推进反腐倡廉教育，市委权力公开透明运行“阳光工程”、党务公开工作扎实推进，打造“阳光采伐”、“阳光低保”、“阳光质监”等一批服务品牌。先后开展打击非法开采稀土矿、乱砍滥伐、违章建筑三项专项整治行动，查处一批违法违纪人员，营造风清气正、干事创业的发展局面。</w:t>
      </w:r>
    </w:p>
    <w:p w14:paraId="23E61398">
      <w:pPr>
        <w:pStyle w:val="3"/>
      </w:pPr>
      <w:r>
        <w:rPr>
          <w:rFonts w:hint="eastAsia"/>
        </w:rPr>
        <w:t>中共南雄领导班子成员名单</w:t>
      </w:r>
    </w:p>
    <w:p w14:paraId="246C518E">
      <w:pPr>
        <w:ind w:firstLine="420"/>
      </w:pPr>
      <w:r>
        <w:rPr>
          <w:rFonts w:hint="eastAsia"/>
        </w:rPr>
        <w:t>书   记：许志新</w:t>
      </w:r>
    </w:p>
    <w:p w14:paraId="642A0C11">
      <w:pPr>
        <w:ind w:firstLine="420"/>
      </w:pPr>
      <w:r>
        <w:rPr>
          <w:rFonts w:hint="eastAsia"/>
        </w:rPr>
        <w:t>副 书 记：刘清生</w:t>
      </w:r>
    </w:p>
    <w:p w14:paraId="38978818">
      <w:pPr>
        <w:ind w:left="210" w:leftChars="100" w:firstLine="1260" w:firstLineChars="600"/>
      </w:pPr>
      <w:r>
        <w:rPr>
          <w:rFonts w:hint="eastAsia"/>
        </w:rPr>
        <w:t>王荣光</w:t>
      </w:r>
    </w:p>
    <w:p w14:paraId="12D7AF97">
      <w:pPr>
        <w:ind w:firstLine="420"/>
      </w:pPr>
      <w:r>
        <w:rPr>
          <w:rFonts w:hint="eastAsia"/>
        </w:rPr>
        <w:t>常务委员：许志新</w:t>
      </w:r>
    </w:p>
    <w:p w14:paraId="54407991">
      <w:pPr>
        <w:ind w:left="1050" w:leftChars="500" w:firstLine="420"/>
      </w:pPr>
      <w:r>
        <w:rPr>
          <w:rFonts w:hint="eastAsia"/>
        </w:rPr>
        <w:t>刘清生</w:t>
      </w:r>
    </w:p>
    <w:p w14:paraId="07E0481E">
      <w:pPr>
        <w:ind w:left="1050" w:leftChars="500" w:firstLine="420"/>
      </w:pPr>
      <w:r>
        <w:rPr>
          <w:rFonts w:hint="eastAsia"/>
        </w:rPr>
        <w:t>王荣光</w:t>
      </w:r>
    </w:p>
    <w:p w14:paraId="3DEC3947">
      <w:pPr>
        <w:ind w:left="1050" w:leftChars="500" w:firstLine="420"/>
      </w:pPr>
      <w:r>
        <w:rPr>
          <w:rFonts w:hint="eastAsia"/>
        </w:rPr>
        <w:t>罗勇新 2011年9月 免</w:t>
      </w:r>
    </w:p>
    <w:p w14:paraId="3C6BFAFD">
      <w:pPr>
        <w:ind w:left="1050" w:leftChars="500" w:firstLine="420"/>
      </w:pPr>
      <w:r>
        <w:rPr>
          <w:rFonts w:hint="eastAsia"/>
        </w:rPr>
        <w:t>陈玉英 2011年9月 免</w:t>
      </w:r>
    </w:p>
    <w:p w14:paraId="6CFF2E92">
      <w:pPr>
        <w:ind w:left="1050" w:leftChars="500" w:firstLine="420"/>
      </w:pPr>
      <w:r>
        <w:rPr>
          <w:rFonts w:hint="eastAsia"/>
        </w:rPr>
        <w:t>刘宏伟 2011年9月 免</w:t>
      </w:r>
    </w:p>
    <w:p w14:paraId="2C068223">
      <w:pPr>
        <w:ind w:left="1050" w:leftChars="500" w:firstLine="420"/>
      </w:pPr>
      <w:r>
        <w:rPr>
          <w:rFonts w:hint="eastAsia"/>
        </w:rPr>
        <w:t>谢志铎 2011年8月 任</w:t>
      </w:r>
    </w:p>
    <w:p w14:paraId="3CC75317">
      <w:pPr>
        <w:ind w:left="1050" w:leftChars="500" w:firstLine="420"/>
      </w:pPr>
      <w:r>
        <w:rPr>
          <w:rFonts w:hint="eastAsia"/>
        </w:rPr>
        <w:t>黄德群</w:t>
      </w:r>
    </w:p>
    <w:p w14:paraId="7B8563DC">
      <w:pPr>
        <w:ind w:left="1050" w:leftChars="500" w:firstLine="420"/>
      </w:pPr>
      <w:r>
        <w:rPr>
          <w:rFonts w:hint="eastAsia"/>
        </w:rPr>
        <w:t>丘德周</w:t>
      </w:r>
    </w:p>
    <w:p w14:paraId="06D34788">
      <w:pPr>
        <w:ind w:left="1050" w:leftChars="500" w:firstLine="420"/>
      </w:pPr>
      <w:r>
        <w:rPr>
          <w:rFonts w:hint="eastAsia"/>
        </w:rPr>
        <w:t>刘悦明 2011年9月 免</w:t>
      </w:r>
    </w:p>
    <w:p w14:paraId="6950DC7E">
      <w:pPr>
        <w:ind w:left="1050" w:leftChars="500" w:firstLine="420"/>
      </w:pPr>
      <w:r>
        <w:rPr>
          <w:rFonts w:hint="eastAsia"/>
        </w:rPr>
        <w:t>毛利群</w:t>
      </w:r>
    </w:p>
    <w:p w14:paraId="42C9B4A0">
      <w:pPr>
        <w:ind w:left="1050" w:leftChars="500" w:firstLine="420"/>
      </w:pPr>
      <w:r>
        <w:rPr>
          <w:rFonts w:hint="eastAsia"/>
        </w:rPr>
        <w:t>何人平 2011年9月 任</w:t>
      </w:r>
    </w:p>
    <w:p w14:paraId="4BA7B3D5">
      <w:pPr>
        <w:ind w:left="1050" w:leftChars="500" w:firstLine="420"/>
      </w:pPr>
      <w:r>
        <w:rPr>
          <w:rFonts w:hint="eastAsia"/>
        </w:rPr>
        <w:t>卜小燕 2011年9月 任</w:t>
      </w:r>
    </w:p>
    <w:p w14:paraId="2EE7BB07">
      <w:pPr>
        <w:ind w:left="1050" w:leftChars="500" w:firstLine="420"/>
      </w:pPr>
      <w:r>
        <w:rPr>
          <w:rFonts w:hint="eastAsia"/>
        </w:rPr>
        <w:t>刘发龙 2011年9月 任</w:t>
      </w:r>
    </w:p>
    <w:p w14:paraId="553DD634">
      <w:pPr>
        <w:ind w:left="1050" w:leftChars="500" w:firstLine="420"/>
      </w:pPr>
      <w:r>
        <w:rPr>
          <w:rFonts w:hint="eastAsia"/>
        </w:rPr>
        <w:t>朱海兵 2011年9月 任</w:t>
      </w:r>
    </w:p>
    <w:p w14:paraId="5BBA7ABA">
      <w:pPr>
        <w:ind w:firstLine="420"/>
      </w:pPr>
      <w:r>
        <w:rPr>
          <w:rFonts w:hint="eastAsia"/>
        </w:rPr>
        <w:t>委员（按姓氏笔画为序）：</w:t>
      </w:r>
    </w:p>
    <w:p w14:paraId="12835ED2">
      <w:pPr>
        <w:ind w:left="630" w:leftChars="300" w:firstLine="420"/>
      </w:pPr>
      <w:r>
        <w:rPr>
          <w:rFonts w:hint="eastAsia"/>
        </w:rPr>
        <w:t>丁春晖  卜小燕（女）  马细妹（女）</w:t>
      </w:r>
    </w:p>
    <w:p w14:paraId="3B098C72">
      <w:pPr>
        <w:ind w:left="630" w:leftChars="300" w:firstLine="420"/>
      </w:pPr>
      <w:r>
        <w:rPr>
          <w:rFonts w:hint="eastAsia"/>
        </w:rPr>
        <w:t>王友华  王荣光  毛利群  尹本良  田文斌</w:t>
      </w:r>
    </w:p>
    <w:p w14:paraId="4748FBC8">
      <w:pPr>
        <w:ind w:left="630" w:leftChars="300" w:firstLine="420"/>
      </w:pPr>
      <w:r>
        <w:rPr>
          <w:rFonts w:hint="eastAsia"/>
        </w:rPr>
        <w:t>卢德华  丘德周  卢德政  叶凌峰  吕道宏</w:t>
      </w:r>
    </w:p>
    <w:p w14:paraId="1CB87164">
      <w:pPr>
        <w:ind w:left="630" w:leftChars="300" w:firstLine="420"/>
      </w:pPr>
      <w:r>
        <w:rPr>
          <w:rFonts w:hint="eastAsia"/>
        </w:rPr>
        <w:t>朱兆财  朱海兵  刘发龙 刘世冬  刘光团</w:t>
      </w:r>
    </w:p>
    <w:p w14:paraId="70F0DD36">
      <w:pPr>
        <w:ind w:left="630" w:leftChars="300" w:firstLine="420"/>
      </w:pPr>
      <w:r>
        <w:rPr>
          <w:rFonts w:hint="eastAsia"/>
        </w:rPr>
        <w:t>刘宏伟  刘光新  刘悦明  刘清生  许志新</w:t>
      </w:r>
    </w:p>
    <w:p w14:paraId="03D35A88">
      <w:pPr>
        <w:ind w:left="630" w:leftChars="300" w:firstLine="420"/>
      </w:pPr>
      <w:r>
        <w:rPr>
          <w:rFonts w:hint="eastAsia"/>
        </w:rPr>
        <w:t>李总路  严桂龙  苏德椿  李卫兰（女）</w:t>
      </w:r>
    </w:p>
    <w:p w14:paraId="3997AE94">
      <w:pPr>
        <w:ind w:left="630" w:leftChars="300" w:firstLine="420"/>
      </w:pPr>
      <w:r>
        <w:rPr>
          <w:rFonts w:hint="eastAsia"/>
        </w:rPr>
        <w:t>李传忠  李新明  肖裕忠  杨会英（女）</w:t>
      </w:r>
    </w:p>
    <w:p w14:paraId="6B27FB86">
      <w:pPr>
        <w:ind w:left="630" w:leftChars="300" w:firstLine="420"/>
      </w:pPr>
      <w:r>
        <w:rPr>
          <w:rFonts w:hint="eastAsia"/>
        </w:rPr>
        <w:t>肖芬先  肖梅山  吴良彬  何怡（女）</w:t>
      </w:r>
    </w:p>
    <w:p w14:paraId="64520344">
      <w:pPr>
        <w:ind w:left="630" w:leftChars="300" w:firstLine="420"/>
      </w:pPr>
      <w:r>
        <w:rPr>
          <w:rFonts w:hint="eastAsia"/>
        </w:rPr>
        <w:t>何坚  何人平  何万飞  何文忠  何光明</w:t>
      </w:r>
    </w:p>
    <w:p w14:paraId="781D19BC">
      <w:pPr>
        <w:ind w:left="630" w:leftChars="300" w:firstLine="420"/>
      </w:pPr>
      <w:r>
        <w:rPr>
          <w:rFonts w:hint="eastAsia"/>
        </w:rPr>
        <w:t>张小琴（女）  沈文昌  张达明  沈步亮</w:t>
      </w:r>
    </w:p>
    <w:p w14:paraId="13D021EA">
      <w:pPr>
        <w:ind w:left="630" w:leftChars="300" w:firstLine="420"/>
      </w:pPr>
      <w:r>
        <w:rPr>
          <w:rFonts w:hint="eastAsia"/>
        </w:rPr>
        <w:t>张英宏  张宗财  陈仁麟  陈玉英（女）</w:t>
      </w:r>
    </w:p>
    <w:p w14:paraId="7A297E29">
      <w:pPr>
        <w:ind w:left="630" w:leftChars="300" w:firstLine="420"/>
      </w:pPr>
      <w:r>
        <w:rPr>
          <w:rFonts w:hint="eastAsia"/>
        </w:rPr>
        <w:t>陈尚妹（女）  陈培兰  林绍发  范桂全</w:t>
      </w:r>
    </w:p>
    <w:p w14:paraId="1BF4164E">
      <w:pPr>
        <w:ind w:left="630" w:leftChars="300" w:firstLine="420"/>
      </w:pPr>
      <w:r>
        <w:rPr>
          <w:rFonts w:hint="eastAsia"/>
        </w:rPr>
        <w:t>罗勇新  周宏忠  周济辉  周铁山  袁元桃</w:t>
      </w:r>
    </w:p>
    <w:p w14:paraId="004C62A0">
      <w:pPr>
        <w:ind w:left="630" w:leftChars="300" w:firstLine="420"/>
      </w:pPr>
      <w:r>
        <w:rPr>
          <w:rFonts w:hint="eastAsia"/>
        </w:rPr>
        <w:t>钟道海  衷玉华（女）  栾怀特  涂运发</w:t>
      </w:r>
    </w:p>
    <w:p w14:paraId="01E87198">
      <w:pPr>
        <w:ind w:left="630" w:leftChars="300" w:firstLine="420"/>
      </w:pPr>
      <w:r>
        <w:rPr>
          <w:rFonts w:hint="eastAsia"/>
        </w:rPr>
        <w:t>黄云  黄德群  董圣国  董绳跃  曾子南</w:t>
      </w:r>
    </w:p>
    <w:p w14:paraId="4236751A">
      <w:pPr>
        <w:ind w:left="630" w:leftChars="300" w:firstLine="420"/>
      </w:pPr>
      <w:r>
        <w:rPr>
          <w:rFonts w:hint="eastAsia"/>
        </w:rPr>
        <w:t>曾昭泉  谢志铎  赖正志  廖声华</w:t>
      </w:r>
    </w:p>
    <w:p w14:paraId="1B35C2CA">
      <w:pPr>
        <w:pStyle w:val="3"/>
      </w:pPr>
      <w:r>
        <w:rPr>
          <w:rFonts w:hint="eastAsia"/>
        </w:rPr>
        <w:t>重要会议（全委会、常委会）</w:t>
      </w:r>
    </w:p>
    <w:p w14:paraId="19589C72">
      <w:pPr>
        <w:pStyle w:val="4"/>
      </w:pPr>
      <w:r>
        <w:rPr>
          <w:rFonts w:hint="eastAsia"/>
        </w:rPr>
        <w:t>【中国共产党南雄市第十二次代表大会】</w:t>
      </w:r>
    </w:p>
    <w:p w14:paraId="047C677B">
      <w:pPr>
        <w:ind w:firstLine="420"/>
      </w:pPr>
      <w:r>
        <w:rPr>
          <w:rFonts w:hint="eastAsia"/>
        </w:rPr>
        <w:t>9月26日，中国共产党南雄市第十二次代表大会在南雄大会堂召开。市四套班子领导，市委委员、候补委员出席会议，各镇（街道）党委书记、镇长（主任），市直副科以上（含垂直管理）一把手参加会议，市委书记许志新代表市委常委会作工作报告。会议提出要创新社会管理，加速经济发展，为全面建设幸福南雄而努力奋斗。会议明确了到2016年，全市生产总值达到130亿元，年均增长16%左右；人均生产总值达到40000元左右，年均增长16%左右；地方财政一般预算收入达到7.5亿元左右，年均增长18%左右的工作目标。</w:t>
      </w:r>
    </w:p>
    <w:p w14:paraId="5E7A36DD">
      <w:pPr>
        <w:pStyle w:val="4"/>
      </w:pPr>
      <w:r>
        <w:rPr>
          <w:rFonts w:hint="eastAsia"/>
        </w:rPr>
        <w:t>【市委十二届一次全会】</w:t>
      </w:r>
    </w:p>
    <w:p w14:paraId="11215267">
      <w:pPr>
        <w:ind w:firstLine="420"/>
      </w:pPr>
      <w:r>
        <w:rPr>
          <w:rFonts w:hint="eastAsia"/>
        </w:rPr>
        <w:t>9月27日，中共南雄市委十二届一次全会在迎宾馆1号会议室召开。会议选举产生中共南雄市第十二届委员会常务委员会委员11名，书记1名，副书记2名。审议并通过中共南雄市纪律检查委员会第一次全体会议选举产生的常委会委员7名和书记1名、副书记2名。许志新、刘清生、王荣光、谢志铎、黄德群、丘德周、毛利群、何人平、卜小燕（女）、刘发龙、朱海兵当选为中共南雄市第十二届委员会常务委员会委员。许志新为中共南雄市委书记，刘清生、王荣光为中共南雄市委副书记；谢志铎为中共南雄市纪律检查委员会书记，何文忠、曾光为中共南雄市纪律检查委员会副书记。</w:t>
      </w:r>
    </w:p>
    <w:p w14:paraId="2BEA2715">
      <w:pPr>
        <w:pStyle w:val="4"/>
      </w:pPr>
      <w:r>
        <w:rPr>
          <w:rFonts w:hint="eastAsia"/>
        </w:rPr>
        <w:t>【中共南雄市第十二届委员会常委会议】</w:t>
      </w:r>
    </w:p>
    <w:p w14:paraId="3EFB9E39">
      <w:pPr>
        <w:ind w:firstLine="420"/>
      </w:pPr>
      <w:r>
        <w:rPr>
          <w:rFonts w:hint="eastAsia"/>
        </w:rPr>
        <w:t>2月15日下午，市委书记、市人大常委会主任许志新在</w:t>
      </w:r>
      <w:r>
        <w:rPr>
          <w:rFonts w:hint="eastAsia"/>
          <w:lang w:eastAsia="zh-CN"/>
        </w:rPr>
        <w:t>市委常委会会议</w:t>
      </w:r>
      <w:r>
        <w:rPr>
          <w:rFonts w:hint="eastAsia"/>
        </w:rPr>
        <w:t>室主持召开</w:t>
      </w:r>
      <w:r>
        <w:rPr>
          <w:rFonts w:hint="eastAsia"/>
          <w:lang w:eastAsia="zh-CN"/>
        </w:rPr>
        <w:t>市委常委会会议</w:t>
      </w:r>
      <w:r>
        <w:rPr>
          <w:rFonts w:hint="eastAsia"/>
        </w:rPr>
        <w:t>。会议讨论市监察局副局长人选、市领导挂镇调整、《政治协商规程》、韶关市管干部年度考核优秀档次人选和纪委对违纪干部处理意见等有关事项。</w:t>
      </w:r>
    </w:p>
    <w:p w14:paraId="751B1E5C">
      <w:pPr>
        <w:ind w:firstLine="420"/>
      </w:pPr>
      <w:r>
        <w:rPr>
          <w:rFonts w:hint="eastAsia"/>
        </w:rPr>
        <w:t>4月6日下午，市委书记、市人大常委会主任许志新在</w:t>
      </w:r>
      <w:r>
        <w:rPr>
          <w:rFonts w:hint="eastAsia"/>
          <w:lang w:eastAsia="zh-CN"/>
        </w:rPr>
        <w:t>市委常委会议</w:t>
      </w:r>
      <w:r>
        <w:rPr>
          <w:rFonts w:hint="eastAsia"/>
        </w:rPr>
        <w:t>室主持召开</w:t>
      </w:r>
      <w:r>
        <w:rPr>
          <w:rFonts w:hint="eastAsia"/>
          <w:lang w:eastAsia="zh-CN"/>
        </w:rPr>
        <w:t>市委常委会会议</w:t>
      </w:r>
      <w:r>
        <w:rPr>
          <w:rFonts w:hint="eastAsia"/>
        </w:rPr>
        <w:t>。会议讨论人口与计生工作有关事项。</w:t>
      </w:r>
    </w:p>
    <w:p w14:paraId="58CAE0F8">
      <w:pPr>
        <w:ind w:firstLine="420"/>
      </w:pPr>
      <w:r>
        <w:rPr>
          <w:rFonts w:hint="eastAsia"/>
        </w:rPr>
        <w:t>7月17日下午，市委书记、市人大常委会主任许志新在</w:t>
      </w:r>
      <w:r>
        <w:rPr>
          <w:rFonts w:hint="eastAsia"/>
          <w:lang w:eastAsia="zh-CN"/>
        </w:rPr>
        <w:t>市委常委会议</w:t>
      </w:r>
      <w:r>
        <w:rPr>
          <w:rFonts w:hint="eastAsia"/>
        </w:rPr>
        <w:t>室主持召开</w:t>
      </w:r>
      <w:r>
        <w:rPr>
          <w:rFonts w:hint="eastAsia"/>
          <w:lang w:eastAsia="zh-CN"/>
        </w:rPr>
        <w:t>市委常委会会议</w:t>
      </w:r>
      <w:r>
        <w:rPr>
          <w:rFonts w:hint="eastAsia"/>
        </w:rPr>
        <w:t>。会议讨论人事、党代表选举和安全生产工作等有关事项。</w:t>
      </w:r>
    </w:p>
    <w:p w14:paraId="5DBEBF19">
      <w:pPr>
        <w:ind w:firstLine="420"/>
      </w:pPr>
      <w:r>
        <w:rPr>
          <w:rFonts w:hint="eastAsia"/>
        </w:rPr>
        <w:t>8月10日晚，市委书记、市人大常委会主任许志新在</w:t>
      </w:r>
      <w:r>
        <w:rPr>
          <w:rFonts w:hint="eastAsia"/>
          <w:lang w:eastAsia="zh-CN"/>
        </w:rPr>
        <w:t>市委常委会议</w:t>
      </w:r>
      <w:r>
        <w:rPr>
          <w:rFonts w:hint="eastAsia"/>
        </w:rPr>
        <w:t>室主持召开</w:t>
      </w:r>
      <w:r>
        <w:rPr>
          <w:rFonts w:hint="eastAsia"/>
          <w:lang w:eastAsia="zh-CN"/>
        </w:rPr>
        <w:t>市委常委会会议</w:t>
      </w:r>
      <w:r>
        <w:rPr>
          <w:rFonts w:hint="eastAsia"/>
        </w:rPr>
        <w:t>。会议讨论换届人事安排等有关事项。</w:t>
      </w:r>
    </w:p>
    <w:p w14:paraId="3CB969F0">
      <w:pPr>
        <w:ind w:firstLine="420"/>
      </w:pPr>
      <w:r>
        <w:rPr>
          <w:rFonts w:hint="eastAsia"/>
        </w:rPr>
        <w:t>8月21日下午，市委书记、市人大常委会主任许志新在</w:t>
      </w:r>
      <w:r>
        <w:rPr>
          <w:rFonts w:hint="eastAsia"/>
          <w:lang w:eastAsia="zh-CN"/>
        </w:rPr>
        <w:t>市委常委会议</w:t>
      </w:r>
      <w:r>
        <w:rPr>
          <w:rFonts w:hint="eastAsia"/>
        </w:rPr>
        <w:t>室主持召开</w:t>
      </w:r>
      <w:r>
        <w:rPr>
          <w:rFonts w:hint="eastAsia"/>
          <w:lang w:eastAsia="zh-CN"/>
        </w:rPr>
        <w:t>市委常委会会议</w:t>
      </w:r>
      <w:r>
        <w:rPr>
          <w:rFonts w:hint="eastAsia"/>
        </w:rPr>
        <w:t>。会议讨论市四套班子换届人事安排预备人选。</w:t>
      </w:r>
    </w:p>
    <w:p w14:paraId="1BBE879D">
      <w:pPr>
        <w:ind w:firstLine="420"/>
      </w:pPr>
      <w:r>
        <w:rPr>
          <w:rFonts w:hint="eastAsia"/>
        </w:rPr>
        <w:t>9月5日下午，市委书记、市人大常委会主任许志新在</w:t>
      </w:r>
      <w:r>
        <w:rPr>
          <w:rFonts w:hint="eastAsia"/>
          <w:lang w:eastAsia="zh-CN"/>
        </w:rPr>
        <w:t>市委常委会议</w:t>
      </w:r>
      <w:r>
        <w:rPr>
          <w:rFonts w:hint="eastAsia"/>
        </w:rPr>
        <w:t>室主持召开</w:t>
      </w:r>
      <w:r>
        <w:rPr>
          <w:rFonts w:hint="eastAsia"/>
          <w:lang w:eastAsia="zh-CN"/>
        </w:rPr>
        <w:t>市委常委会会议</w:t>
      </w:r>
      <w:r>
        <w:rPr>
          <w:rFonts w:hint="eastAsia"/>
        </w:rPr>
        <w:t>。会议研究讨论市十二次党代会有关工作。</w:t>
      </w:r>
    </w:p>
    <w:p w14:paraId="17E25AF4">
      <w:pPr>
        <w:ind w:firstLine="420"/>
      </w:pPr>
      <w:r>
        <w:rPr>
          <w:rFonts w:hint="eastAsia"/>
        </w:rPr>
        <w:t>10月19日上午，市委书记、市人大常委会主任许志新在</w:t>
      </w:r>
      <w:r>
        <w:rPr>
          <w:rFonts w:hint="eastAsia"/>
          <w:lang w:eastAsia="zh-CN"/>
        </w:rPr>
        <w:t>市委常委会议</w:t>
      </w:r>
      <w:r>
        <w:rPr>
          <w:rFonts w:hint="eastAsia"/>
        </w:rPr>
        <w:t>室主持召开</w:t>
      </w:r>
      <w:r>
        <w:rPr>
          <w:rFonts w:hint="eastAsia"/>
          <w:lang w:eastAsia="zh-CN"/>
        </w:rPr>
        <w:t>市委常委会会议</w:t>
      </w:r>
      <w:r>
        <w:rPr>
          <w:rFonts w:hint="eastAsia"/>
        </w:rPr>
        <w:t>。会议讨论通过出席韶关市第十三届人民代表大会代表名单和南雄市第十四届人大常委会常委组成人员名单，讨论通过出席韶关市政协第十一届委员会议政协委员名单和南雄市第九届政协常委名单，作出对非法房地产进行全面整治的决定，讨论加快推进“南雄精细化工产业技术创新平台”为主要载体的南雄市科技创新平台建设。会议还分析南雄经济形势和维稳形势，研究讨论东莞大岭山（南雄）产业转移工业园管理处升格问题和人事任免事项。</w:t>
      </w:r>
    </w:p>
    <w:p w14:paraId="6CAB56BA">
      <w:pPr>
        <w:pStyle w:val="3"/>
      </w:pPr>
      <w:r>
        <w:rPr>
          <w:rFonts w:hint="eastAsia"/>
        </w:rPr>
        <w:t>南雄市委办公室</w:t>
      </w:r>
    </w:p>
    <w:p w14:paraId="763E8124">
      <w:pPr>
        <w:pStyle w:val="4"/>
      </w:pPr>
      <w:r>
        <w:rPr>
          <w:rFonts w:hint="eastAsia"/>
        </w:rPr>
        <w:t>【概况】</w:t>
      </w:r>
    </w:p>
    <w:p w14:paraId="23A7F84F">
      <w:pPr>
        <w:ind w:firstLine="420"/>
      </w:pPr>
      <w:r>
        <w:rPr>
          <w:rFonts w:hint="eastAsia"/>
        </w:rPr>
        <w:t>2011年，市委办公室按照市委主要领导提出的“高效、优质、廉洁”的要求，解放思想、团结协作、开拓创新，全面提升“三服务”工作水平，实现信息闯思路、新闻出精品、调研出成果、督查重实效的工作目标，为市委驾驭全局，推动南雄科学发展、跨越发展，发挥重要的参谋助手作用。市委办公室是市委的工作部门，其主要职责是：（一）负责市委工作部署的贯彻落实和督促检查，负责市委工作指示、市委领导批示的传达和催办落实。（二）围绕市委工作部署，搜集信息，反映动态，开展调查研究，为市委决策搞好服务。（三）负责市委各种文件、文稿的起草、核稿、修改、校对和文印工作；根据市委领导的意见，行文传达部署市委工作意图；负责市委日常文书的处理工作。（四）负责市委书记办公会、常委会、党委办公会的记录、纪要和整理归档工作，市委各种会议的会务工作和市委领导同志参加的重要活动的组织安排；负责市委重要接待任务的协调工作。（五）负责协调处理人民群众来信来访工作；负责市委保密委员会日常工作，依法管理全市保密工作；负责指导全市机要通信工作，办理机密文件、电讯传真的收发、呈送、传阅等工作。（六）完成市委交办的其他工作。内设机构：人事秘书股、信息调研股、综合督查股、新闻股、保密股（局）、信访股（局）、网络问政股。</w:t>
      </w:r>
    </w:p>
    <w:p w14:paraId="4DA17832">
      <w:pPr>
        <w:pStyle w:val="4"/>
      </w:pPr>
      <w:r>
        <w:rPr>
          <w:rFonts w:hint="eastAsia"/>
        </w:rPr>
        <w:t>【新闻信息调研工作】</w:t>
      </w:r>
    </w:p>
    <w:p w14:paraId="61250B81">
      <w:pPr>
        <w:ind w:firstLine="420"/>
      </w:pPr>
      <w:r>
        <w:rPr>
          <w:rFonts w:hint="eastAsia"/>
        </w:rPr>
        <w:t>搞好信息调研工作，发挥参谋助手作用。该办围绕服务市委中心工作，服务市委决策，深入开展信息调研工作，使信息调研工作真正“参”到点子上，“谋”在关键处。共向韶关市委办报送信息100多条，向省委办公厅报送信息50多条，其中：被韶办采用的50多条，被省办采用20多条，多条信息得到省、市领导的批示，信息报送工作走在韶关各县（市、区）的前列。先后对全市招商引资、重点项目、民营经济、精细化工产业转移园、现代农业等课题开展调研，起草了有关调查报告及相关文件，为市委、市政府领导科学决策提供有力的参考依据。2011年4月在《学习时报》上发表《创新机制承接产业转移集成服务发展县域经济——解读广东“南雄模式”》。先后在《广东调研》、《韶关调研》、《南方日报》上发表多篇调研报告。2011年共编辑出版了11期《南雄通讯》。在《韶关日报》用稿1000多条，《南方日报》用稿超过80条，省、市报刊用稿居韶关各县（市、区）前列。</w:t>
      </w:r>
    </w:p>
    <w:p w14:paraId="7D0FF5A1">
      <w:pPr>
        <w:pStyle w:val="4"/>
      </w:pPr>
      <w:r>
        <w:rPr>
          <w:rFonts w:hint="eastAsia"/>
        </w:rPr>
        <w:t>【督查督办工作】</w:t>
      </w:r>
    </w:p>
    <w:p w14:paraId="2E350C6B">
      <w:pPr>
        <w:ind w:firstLine="420"/>
      </w:pPr>
      <w:r>
        <w:rPr>
          <w:rFonts w:hint="eastAsia"/>
        </w:rPr>
        <w:t>开展督查督办，促进市委工作的贯彻落实。该办围绕市委、市政府的中心工作和重要决策部署、重大项目建设及人民群众关心的热点难点问题等，开展督查督办。一是抓好市委、市政府重要决策部署的督查。开展履行职责年、扶贫开发“双到”等市委、市政府重要决策部署的专项督查，及时向市委、市政府反馈贯彻落实情况。二是抓好重大项目的督查。整合各部门资源，成立市委督查督办专责小组，建立大督办工作格局。根据全市重大项目建设计划，通过现场督查、书面督查等形式，对全市重大项目建设进行督促检查，有力地推动奥威斯龙华山温泉、彤置富水泥厂、韶赣铁路等一批重大项目建设。三是抓好群众关心的热点难点问题的督查。规范“连心楼”网络论坛、韶关民声网等问政平台办理程序，提高了网络问政办理质量和办理效率，促进繁荣市场乱摆乱买、市区乱搭乱建等一批群众关心的热点难点问题的解决。共办理200多件网络问政事项，办结率为100%。</w:t>
      </w:r>
    </w:p>
    <w:p w14:paraId="047D9E16">
      <w:pPr>
        <w:pStyle w:val="4"/>
      </w:pPr>
      <w:r>
        <w:rPr>
          <w:rFonts w:hint="eastAsia"/>
        </w:rPr>
        <w:t>【文件会务接待工作】</w:t>
      </w:r>
    </w:p>
    <w:p w14:paraId="071C4D1B">
      <w:pPr>
        <w:ind w:firstLine="420"/>
      </w:pPr>
      <w:r>
        <w:rPr>
          <w:rFonts w:hint="eastAsia"/>
        </w:rPr>
        <w:t>全年共发文120多份，发电文190多份，处理来文、信函、报刊杂志2万多件，印发抄送常委会议纪要、党政联席会议纪要、简报、请示报告、重要事项安排、各种材料等文书3万多份。承办市委十二次党代会和市委十二届一次全会以及2011年开春动员大会、全市经济工作会议、“履行职责、加快发展”动员大会等一系列重要会议，先后接待省、市领导及兄弟县市来雄视察、考察30余次。</w:t>
      </w:r>
    </w:p>
    <w:p w14:paraId="228E6F71">
      <w:pPr>
        <w:pStyle w:val="4"/>
      </w:pPr>
      <w:r>
        <w:rPr>
          <w:rFonts w:hint="eastAsia"/>
        </w:rPr>
        <w:t>【信访工作】</w:t>
      </w:r>
    </w:p>
    <w:p w14:paraId="23322A9B">
      <w:pPr>
        <w:ind w:firstLine="420"/>
      </w:pPr>
      <w:r>
        <w:rPr>
          <w:rFonts w:hint="eastAsia"/>
        </w:rPr>
        <w:t>化解信访疑难复杂问题，维护社会稳定。根据市委提出“社会矛盾要大幅度减少，经济发展要大幅度上升”的目标，该办围绕“畅通信访渠道、创新工作机制、强化工作责任、维护信访秩序”四个方面的工作要求，以解决信访突出问题和繁难问题为突破点，以整治非正常上访为切入点，以统筹协调、妥善处理社会矛盾、维护群众合法权益为立足点，落实中央、省、市信访工作会议精神，努力构建“大接访、大化解、大宣传”的信访工作格局，开展市委书记大接访活动，完善市领导轮流接访机制，建立镇（街道）综治维稳中心、科局信访工作室和村（居）信访工作站，在乡镇（街道）科局构筑“三位一体”人民调解网络格局，有效地化解社会矛盾，信访秩序有了明显好转。据统计，该信访局共计受理信访事项604件，成功化解吴显新、吴桂英、罗会娣、徐平权、沈太妹等5名上访老户，该市信访形势明显好转，信访秩序规范，取得“两杜绝五下降”（即进京上访和围堵市政府大门现象得到杜绝；到省、韶关市上访、来市上访、受理信访事项以及群众来信全面下降），为该市经济社会发展营造安定祥和的社会环境。</w:t>
      </w:r>
    </w:p>
    <w:p w14:paraId="015D4EB9">
      <w:pPr>
        <w:pStyle w:val="4"/>
      </w:pPr>
      <w:r>
        <w:rPr>
          <w:rFonts w:hint="eastAsia"/>
        </w:rPr>
        <w:t>【保密管理工作】</w:t>
      </w:r>
    </w:p>
    <w:p w14:paraId="68863513">
      <w:pPr>
        <w:ind w:firstLine="420"/>
      </w:pPr>
      <w:r>
        <w:rPr>
          <w:rFonts w:hint="eastAsia"/>
        </w:rPr>
        <w:t>严守岗位职责，完成一批机要保密安全任务。严格执行中央、省、市委有关加强密码工作的方针、政策，加强管理、扎实工作，坚持24小时值班制度，为各级领导和党政机关提供优质高效服务。一是密码通信安全畅通。全面完成全市各单位开通计算机加密通信系统工作，计算机加密通信管理工作水平得到提升，确保市委、市政府政令畅通；严格按照规定程序办理收发递送电报，没有出现压报、误报、泄密等事故。二是全市保密管理工作扎实推进。在全市各单位办公电脑安装保密隔离系统，开展计算机及移动存储介质专项保密检查、保密法制宣传教育活动，提高干部队伍的保密意识，为建设粤北门户城市提供坚强有力的保障和服务。                                                                     （陈慧翔）</w:t>
      </w:r>
    </w:p>
    <w:p w14:paraId="73B2F54D">
      <w:pPr>
        <w:ind w:firstLine="0" w:firstLineChars="0"/>
        <w:rPr>
          <w:b/>
          <w:bCs/>
        </w:rPr>
      </w:pPr>
      <w:r>
        <w:rPr>
          <w:rFonts w:hint="eastAsia"/>
          <w:b/>
          <w:bCs/>
        </w:rPr>
        <w:t>附：2011年市委办领导职务变动名单</w:t>
      </w:r>
    </w:p>
    <w:p w14:paraId="6CB8EE64">
      <w:pPr>
        <w:ind w:firstLine="0" w:firstLineChars="0"/>
      </w:pPr>
      <w:r>
        <w:rPr>
          <w:rFonts w:hint="eastAsia"/>
        </w:rPr>
        <w:t>主    任：陈玉英 2011年9月 免</w:t>
      </w:r>
    </w:p>
    <w:p w14:paraId="6D8234CA">
      <w:pPr>
        <w:ind w:left="630" w:leftChars="300" w:firstLine="420"/>
      </w:pPr>
      <w:r>
        <w:rPr>
          <w:rFonts w:hint="eastAsia"/>
        </w:rPr>
        <w:t>黄德群 2011年9月 任</w:t>
      </w:r>
    </w:p>
    <w:p w14:paraId="62A10B00">
      <w:pPr>
        <w:ind w:firstLine="0" w:firstLineChars="0"/>
      </w:pPr>
      <w:r>
        <w:rPr>
          <w:rFonts w:hint="eastAsia"/>
        </w:rPr>
        <w:t>副 主 任：朱定球 2011年8月 免</w:t>
      </w:r>
    </w:p>
    <w:p w14:paraId="3A233F2F">
      <w:pPr>
        <w:ind w:left="630" w:leftChars="300" w:firstLine="420"/>
      </w:pPr>
      <w:r>
        <w:rPr>
          <w:rFonts w:hint="eastAsia"/>
        </w:rPr>
        <w:t>刘飞   2011年8月 免</w:t>
      </w:r>
    </w:p>
    <w:p w14:paraId="01DFAF8E">
      <w:pPr>
        <w:ind w:left="630" w:leftChars="300" w:firstLine="420"/>
      </w:pPr>
      <w:r>
        <w:rPr>
          <w:rFonts w:hint="eastAsia"/>
        </w:rPr>
        <w:t>朱世平</w:t>
      </w:r>
    </w:p>
    <w:p w14:paraId="29D42346">
      <w:pPr>
        <w:ind w:left="630" w:leftChars="300" w:firstLine="420"/>
      </w:pPr>
      <w:r>
        <w:rPr>
          <w:rFonts w:hint="eastAsia"/>
        </w:rPr>
        <w:t>朱祖纯</w:t>
      </w:r>
    </w:p>
    <w:p w14:paraId="755BB971">
      <w:pPr>
        <w:ind w:left="630" w:leftChars="300" w:firstLine="420"/>
      </w:pPr>
      <w:r>
        <w:rPr>
          <w:rFonts w:hint="eastAsia"/>
        </w:rPr>
        <w:t>张堂耀 2011年8月 任</w:t>
      </w:r>
    </w:p>
    <w:p w14:paraId="6339E2DF">
      <w:pPr>
        <w:ind w:left="630" w:leftChars="300" w:firstLine="420"/>
      </w:pPr>
      <w:r>
        <w:rPr>
          <w:rFonts w:hint="eastAsia"/>
        </w:rPr>
        <w:t>陈志刚 2011年8月 任</w:t>
      </w:r>
    </w:p>
    <w:p w14:paraId="4336128C">
      <w:pPr>
        <w:ind w:left="630" w:leftChars="300" w:firstLine="420"/>
      </w:pPr>
      <w:r>
        <w:rPr>
          <w:rFonts w:hint="eastAsia"/>
        </w:rPr>
        <w:t>何怡   2011年8月 任</w:t>
      </w:r>
    </w:p>
    <w:p w14:paraId="5E42E3C2">
      <w:pPr>
        <w:ind w:left="1470" w:leftChars="700" w:firstLine="420"/>
      </w:pPr>
      <w:r>
        <w:rPr>
          <w:rFonts w:hint="eastAsia"/>
        </w:rPr>
        <w:t>2011年10月 调离</w:t>
      </w:r>
    </w:p>
    <w:p w14:paraId="4A51E7DC">
      <w:pPr>
        <w:ind w:firstLine="0" w:firstLineChars="0"/>
      </w:pPr>
      <w:r>
        <w:rPr>
          <w:rFonts w:hint="eastAsia"/>
        </w:rPr>
        <w:t>纪检组长：曾秀兰 2011年8月 免</w:t>
      </w:r>
    </w:p>
    <w:p w14:paraId="58F8B38F">
      <w:pPr>
        <w:ind w:left="630" w:leftChars="300" w:firstLine="420"/>
      </w:pPr>
      <w:r>
        <w:rPr>
          <w:rFonts w:hint="eastAsia"/>
        </w:rPr>
        <w:t>陈龙妹 2011年8月 任</w:t>
      </w:r>
    </w:p>
    <w:p w14:paraId="0A7D3BB7">
      <w:pPr>
        <w:pStyle w:val="3"/>
      </w:pPr>
      <w:r>
        <w:rPr>
          <w:rFonts w:hint="eastAsia"/>
        </w:rPr>
        <w:t>组织工作</w:t>
      </w:r>
    </w:p>
    <w:p w14:paraId="5EC4F51E">
      <w:pPr>
        <w:pStyle w:val="4"/>
      </w:pPr>
      <w:r>
        <w:rPr>
          <w:rFonts w:hint="eastAsia"/>
        </w:rPr>
        <w:t>【概况】</w:t>
      </w:r>
    </w:p>
    <w:p w14:paraId="02E14EBE">
      <w:pPr>
        <w:ind w:firstLine="420"/>
      </w:pPr>
      <w:r>
        <w:rPr>
          <w:rFonts w:hint="eastAsia"/>
        </w:rPr>
        <w:t>中共南雄市委组织部是负责党的组织特别是党的基层组织建设、干部队伍建设和人才队伍建设工作的职能部门。内设办公室、干部组、组织组、培训（人才）组、调研组、干部监督审理组、远程电教办。人员总编制21名，其中行政编制19名，工勤编制2名；实有在职在编人员21名，其中行政编制人员19名，工勤编制2名。2011年，组织部突出“履行职责、加快发展”主题，围绕“加快转型升级，建设幸福南雄”主线创先争优，服务发展大局，各项工作取得新进展。</w:t>
      </w:r>
    </w:p>
    <w:p w14:paraId="7B3CE647">
      <w:pPr>
        <w:pStyle w:val="4"/>
      </w:pPr>
      <w:r>
        <w:rPr>
          <w:rFonts w:hint="eastAsia"/>
        </w:rPr>
        <w:t>【开展创先争优活动】</w:t>
      </w:r>
    </w:p>
    <w:p w14:paraId="5FFC00F7">
      <w:pPr>
        <w:ind w:firstLine="420"/>
      </w:pPr>
      <w:r>
        <w:rPr>
          <w:rFonts w:hint="eastAsia"/>
        </w:rPr>
        <w:t>一年来，全市744个基层党组织、1.96万名党员参与创先争优活动，通过采取“四个结合”（与党务公开、“履行职责、加快发展”、“双向承诺”和“扶贫双到”活动相结合），立足岗位，履行职责，全面开展领导点评活动，突出抓好窗口单位和服务行业创先争优。全市8000多名干部签订“履行职责、加快发展”承诺书，举办以创先争优为主题活动的“履行职责、加快发展”演讲比赛，促进干部主动服务发展大局，提高服务能力和水平的自觉性。</w:t>
      </w:r>
    </w:p>
    <w:p w14:paraId="1BC0589D">
      <w:pPr>
        <w:pStyle w:val="4"/>
      </w:pPr>
      <w:r>
        <w:rPr>
          <w:rFonts w:hint="eastAsia"/>
        </w:rPr>
        <w:t>【干部工作】</w:t>
      </w:r>
    </w:p>
    <w:p w14:paraId="711FF262">
      <w:pPr>
        <w:ind w:firstLine="420"/>
      </w:pPr>
      <w:r>
        <w:rPr>
          <w:rFonts w:hint="eastAsia"/>
        </w:rPr>
        <w:t>坚持用好的作风选作风好的干部。按照人岗相适、选优配强的原则，坚持把品行好、能力强、作风实、业绩好的优秀干部特别是年轻干部和女干部提拔到领导岗位上来，把工作懈怠、畏首畏尾、不负责任的领导干部调整下去，切实把各级领导班子建设成为坚强有力的战斗团体。在今年镇级班子换届中，做到严把程序关、民主关、结构关和纪律关，扎实推进镇级班子换届工作，圆满完成17个乡镇党委、人大、政府的换届选举任务，实现四个100%（党委工作报告100%赞成，换届程序100%履行，新一届班子成员100%高票当选，换届风气测评100%满意），达到“党员满意、干部满意、组织满意、群众满意”的目标。在韶关市换届风气考评中，该市被评为换届风气先进单位、换届“三零”创建优秀单位。2011年度该市选人用人公信度和组织工作满意度的四项指标得分和总分值均位列韶关首位。</w:t>
      </w:r>
    </w:p>
    <w:p w14:paraId="7974BBE7">
      <w:pPr>
        <w:pStyle w:val="4"/>
      </w:pPr>
      <w:r>
        <w:rPr>
          <w:rFonts w:hint="eastAsia"/>
        </w:rPr>
        <w:t>【干部监督】</w:t>
      </w:r>
    </w:p>
    <w:p w14:paraId="1A729483">
      <w:pPr>
        <w:ind w:firstLine="420"/>
      </w:pPr>
      <w:r>
        <w:rPr>
          <w:rFonts w:hint="eastAsia"/>
        </w:rPr>
        <w:t>在干部任用工作中，对贯彻执行《干部任用条例》的情况开展自查，发现不规范的操作，及时纠正、督促整改。特别是在镇级换届的干部考察和拟提拔公示期间，充分发挥信访、电话、网络“三位一体”群众监督网络的作用，对举报线索清楚、反映问题严重的，做好查核，确保从源头上防止带病提拔问题的发生。</w:t>
      </w:r>
    </w:p>
    <w:p w14:paraId="609FB21B">
      <w:pPr>
        <w:pStyle w:val="4"/>
      </w:pPr>
      <w:r>
        <w:rPr>
          <w:rFonts w:hint="eastAsia"/>
        </w:rPr>
        <w:t>【基层党组织建设】</w:t>
      </w:r>
    </w:p>
    <w:p w14:paraId="2B90EB57">
      <w:pPr>
        <w:ind w:firstLine="420"/>
      </w:pPr>
      <w:r>
        <w:rPr>
          <w:rFonts w:hint="eastAsia"/>
        </w:rPr>
        <w:t>一是做好村级“两委”换届。新一届村级“两委”班子平均年龄44.2岁，比上届下降3.8岁，高中（含中专、技校）以上文化占58.8%；社区支书、主任100%实现“一肩挑”，村支书、主任“一肩挑”占95.7%，并实现每个村领导班子中至少配备有一名妇女干部的目标。二是落实村干部保障机制。加大对村组干部的补贴力度，村干部和计生专干由原来的每人每月500元调增到850元（村支书、主任调增到900元），社区干部津贴由原来的每人每月300元调增到每人每月500元。三是做好党内关爱工作。加强对老党员、生活困难党员的帮扶，2011年共发放困难党员一次性扶助金44人次共17.5万元；严格按照规定要求，做好32名困难老党员享受生活补贴报批工作，体现党组织的关怀。四是抓好党代表工作室建设。组织开展党代表接待345人次、走访党员群众892人次、开展党代表履职交流等活动36场。五是抓好“两新”组织的党组织覆盖延伸。组建产业转移园区党总支，重点在规模以上精细化工企业建立新的党支部，园区已建立党支部7个。具备单独建立党组织的规模以上非公企业党组织的组建率达到了100%。五是把好党员发展关。严把党员“入口关”，消除党员发展“空白点”，2011年，全市新发展党员536名，其中女党员109名，占20.3%，35岁以下357人，占66.6%，高中以上文化程度402名，占75%。</w:t>
      </w:r>
    </w:p>
    <w:p w14:paraId="53C97389">
      <w:pPr>
        <w:pStyle w:val="4"/>
      </w:pPr>
      <w:r>
        <w:rPr>
          <w:rFonts w:hint="eastAsia"/>
        </w:rPr>
        <w:t>【培训工作】</w:t>
      </w:r>
    </w:p>
    <w:p w14:paraId="088044DA">
      <w:pPr>
        <w:ind w:firstLine="420"/>
      </w:pPr>
      <w:r>
        <w:rPr>
          <w:rFonts w:hint="eastAsia"/>
        </w:rPr>
        <w:t>拓宽干部教育培训渠道，扩大培训规模。先后举办村“两委”干部大规模全员培训、农村中青年信息能力培训、全市科级干部培训、远程教育站点管理员培训、创业青年培训、组织委员培训、公务员全员培训和“热爱生活、呵护健康，给力幸福广东”专题讲座等各类培训10多期，全市实际培训干部和各类人才21214人次，提高队伍的整体素质。</w:t>
      </w:r>
    </w:p>
    <w:p w14:paraId="5DC07C27">
      <w:pPr>
        <w:pStyle w:val="4"/>
      </w:pPr>
      <w:r>
        <w:rPr>
          <w:rFonts w:hint="eastAsia"/>
        </w:rPr>
        <w:t>【人才工作】</w:t>
      </w:r>
    </w:p>
    <w:p w14:paraId="4552AC1C">
      <w:pPr>
        <w:ind w:firstLine="420"/>
      </w:pPr>
      <w:r>
        <w:rPr>
          <w:rFonts w:hint="eastAsia"/>
        </w:rPr>
        <w:t>加大各类人才的引进力度，新招录选调生5名，录用公务员51人，通过专业考试从事业单位转任公务员27人，充实党政人才队伍。教育部门面向社会公开招考录用77名中小学和幼儿园教师。市直医疗单位和基层医疗卫生机构引进（招聘）本科生23名，大中专生92名。落实在岗高级职称专业技术人员享受岗位津贴政策，全年认定一线在岗高级职称人数290人，发放岗位津贴69万元。全市人才资源总量22048人，人才资源总量占人力资源总量的7.8%，其中党政人才有2043人，大学本科以上学历的有775人，占37.9%；企业经营管理人才5089人，大学本科以上学历的有2418人，占47.5%；专业技术人才8439人，具有大学本科以上学历的有2407人，占28.5%；高技能人才2249人，占技能劳动者人数的5.4%；农村实用人才3292人，占农村劳动力的1.42%，社会工人才936人。</w:t>
      </w:r>
    </w:p>
    <w:p w14:paraId="4FD9D1D6">
      <w:pPr>
        <w:pStyle w:val="4"/>
      </w:pPr>
      <w:r>
        <w:rPr>
          <w:rFonts w:hint="eastAsia"/>
        </w:rPr>
        <w:t>【组工调研】</w:t>
      </w:r>
    </w:p>
    <w:p w14:paraId="0F0DFF34">
      <w:pPr>
        <w:ind w:firstLine="420"/>
      </w:pPr>
      <w:r>
        <w:rPr>
          <w:rFonts w:hint="eastAsia"/>
        </w:rPr>
        <w:t>坚持部领导每年各牵头完成一个重点调研课题，撰写一篇调研文章；其他组工干部每年撰写一篇调研文章，采写二篇信息。组工调研信息被《广东组工通讯》、《南方党建》、《广东党建》和《韶关组工通讯》采用稿件30多篇，组工调研信息继续位居韶关各县（市、区）前列。</w:t>
      </w:r>
    </w:p>
    <w:p w14:paraId="63FDA604">
      <w:pPr>
        <w:pStyle w:val="4"/>
      </w:pPr>
      <w:r>
        <w:rPr>
          <w:rFonts w:hint="eastAsia"/>
        </w:rPr>
        <w:t>【远程电教】</w:t>
      </w:r>
    </w:p>
    <w:p w14:paraId="04113DA9">
      <w:pPr>
        <w:ind w:firstLine="420"/>
      </w:pPr>
      <w:r>
        <w:rPr>
          <w:rFonts w:hint="eastAsia"/>
        </w:rPr>
        <w:t>结合村（居）“两委”换届实际，共调整了63个村（社区）的远程教育终端站点管理员。抓好远程教育学用，全市终端站点年平均开机率达到94%，位居韶关前列；丰富课件资源，筹划拍摄了四部党员电教视频课件和四部农村乡土课件，及时发表各类党建信息，每日更新3条以上信息；树立学用典型，在全市基层站点中开展“先进基层站点”、“优秀站点管理员”和“学用标兵”推荐评选活动，评选出6个基层先进站点、6名优秀站点管理员和3名学用标兵。</w:t>
      </w:r>
    </w:p>
    <w:p w14:paraId="7D7EBDC8">
      <w:pPr>
        <w:pStyle w:val="4"/>
      </w:pPr>
      <w:r>
        <w:rPr>
          <w:rFonts w:hint="eastAsia"/>
        </w:rPr>
        <w:t>【组织部门自身建设】</w:t>
      </w:r>
    </w:p>
    <w:p w14:paraId="53A4876B">
      <w:pPr>
        <w:ind w:firstLine="420"/>
      </w:pPr>
      <w:r>
        <w:rPr>
          <w:rFonts w:hint="eastAsia"/>
        </w:rPr>
        <w:t>开展“换思维、换工作方式方法、换内部管理机制，创精品、创实效、创先进”为主题的“三换三创”活动，教育引导组工干部围绕工作目标和责任改进作风、深入基层、讲求实效，服务全市中心工作，服务党员干部、各类人才和人民群众。以建立学习型机关为目标，严格执行学习和调研制度，要求每个干部每天至少用十五分钟进行自主学习，提高组工干部会想、会说、会写、会干的能力。           （杨二天）</w:t>
      </w:r>
    </w:p>
    <w:p w14:paraId="4EF13DC0">
      <w:pPr>
        <w:ind w:firstLine="0" w:firstLineChars="0"/>
        <w:rPr>
          <w:b/>
          <w:bCs/>
        </w:rPr>
      </w:pPr>
      <w:r>
        <w:rPr>
          <w:rFonts w:hint="eastAsia"/>
          <w:b/>
          <w:bCs/>
        </w:rPr>
        <w:t>附：2011年市组织部领导班子成员名单</w:t>
      </w:r>
    </w:p>
    <w:p w14:paraId="6E7ECE71">
      <w:pPr>
        <w:ind w:firstLine="0" w:firstLineChars="0"/>
      </w:pPr>
      <w:r>
        <w:rPr>
          <w:rFonts w:hint="eastAsia"/>
        </w:rPr>
        <w:t>部    长：丘德周 （兼）</w:t>
      </w:r>
    </w:p>
    <w:p w14:paraId="3EDA8083">
      <w:pPr>
        <w:ind w:firstLine="0" w:firstLineChars="0"/>
      </w:pPr>
      <w:r>
        <w:rPr>
          <w:rFonts w:hint="eastAsia"/>
        </w:rPr>
        <w:t>副 部 长：董圣国 蔡德华 王婉霞</w:t>
      </w:r>
    </w:p>
    <w:p w14:paraId="09587C11">
      <w:pPr>
        <w:ind w:left="1050" w:leftChars="500" w:firstLine="0" w:firstLineChars="0"/>
      </w:pPr>
      <w:r>
        <w:rPr>
          <w:rFonts w:hint="eastAsia"/>
        </w:rPr>
        <w:t>陈章分 黄文儒 张相铭</w:t>
      </w:r>
    </w:p>
    <w:p w14:paraId="6BEB1FDE">
      <w:pPr>
        <w:ind w:firstLine="0" w:firstLineChars="0"/>
      </w:pPr>
      <w:r>
        <w:rPr>
          <w:rFonts w:hint="eastAsia"/>
        </w:rPr>
        <w:t>纪检组长：林生</w:t>
      </w:r>
    </w:p>
    <w:p w14:paraId="411E43E5">
      <w:pPr>
        <w:pStyle w:val="3"/>
      </w:pPr>
      <w:r>
        <w:rPr>
          <w:rFonts w:hint="eastAsia"/>
        </w:rPr>
        <w:t>宣传工作</w:t>
      </w:r>
    </w:p>
    <w:p w14:paraId="674BE133">
      <w:pPr>
        <w:pStyle w:val="4"/>
      </w:pPr>
      <w:r>
        <w:rPr>
          <w:rFonts w:hint="eastAsia"/>
        </w:rPr>
        <w:t>【概况】</w:t>
      </w:r>
    </w:p>
    <w:p w14:paraId="1A40ED98">
      <w:pPr>
        <w:ind w:firstLine="420"/>
      </w:pPr>
      <w:r>
        <w:rPr>
          <w:rFonts w:hint="eastAsia"/>
        </w:rPr>
        <w:t>中共南雄市委宣传部行政编制12人，其中领导职数4名（1正3副），其他干部8名（其中股长职数5名）；后勤编制2名。总编制为14名。内设人秘股、宣传股、理论股、新闻文艺股、文明办5个职能股室；市委讲师团在宣传部挂牌。</w:t>
      </w:r>
    </w:p>
    <w:p w14:paraId="4FEF17B4">
      <w:pPr>
        <w:pStyle w:val="4"/>
      </w:pPr>
      <w:r>
        <w:rPr>
          <w:rFonts w:hint="eastAsia"/>
        </w:rPr>
        <w:t>【理论工作】</w:t>
      </w:r>
    </w:p>
    <w:p w14:paraId="36C05A86">
      <w:pPr>
        <w:ind w:firstLine="420"/>
      </w:pPr>
      <w:r>
        <w:rPr>
          <w:rFonts w:hint="eastAsia"/>
        </w:rPr>
        <w:t>协助市委中心组和安排落实好各级党委（党组）中心组的理论学习，年初下发《南雄市委中心组2011年理论学习计划》，明确加快转型升级、建设幸福广东、贯彻落实“十二五”规划等6个中心组重点学习专题；全年组织、协助开展以“走生态文明发展道路推动经济社会跨越发展”、创先争优先进事迹报告会、法治广东五年规划、学习贯彻胡锦涛总书记在庆祝建党90周年大会上讲话精神、学习宣传十七届六中全会精神等六个专题的理论学习；征订下发汪洋同志推荐干部阅读的两本书《幸福的方法》和《对我们生活的误测——为什么GDP增长不等于社会进步》，以及《从怎么看到怎么办——理论热点面对面·2011》等理论学习资料。</w:t>
      </w:r>
    </w:p>
    <w:p w14:paraId="4357F16A">
      <w:pPr>
        <w:pStyle w:val="4"/>
      </w:pPr>
      <w:r>
        <w:rPr>
          <w:rFonts w:hint="eastAsia"/>
        </w:rPr>
        <w:t>【开展“履行职责、加快发展年”活动】</w:t>
      </w:r>
    </w:p>
    <w:p w14:paraId="0AD730C5">
      <w:pPr>
        <w:ind w:firstLine="420"/>
      </w:pPr>
      <w:r>
        <w:rPr>
          <w:rFonts w:hint="eastAsia"/>
        </w:rPr>
        <w:t>在广播电视台开设“履行职责、加快发展”专栏，全年共播出“履行职责、加快发展”方面新闻110多条，制作“南雄速度在竞发”大型系列访谈节目、开展“精彩十一五、活力十二五”“八件实事惠民生”系列报道。</w:t>
      </w:r>
    </w:p>
    <w:p w14:paraId="67DD6F0A">
      <w:pPr>
        <w:pStyle w:val="4"/>
      </w:pPr>
      <w:r>
        <w:rPr>
          <w:rFonts w:hint="eastAsia"/>
        </w:rPr>
        <w:t>【社会宣传】</w:t>
      </w:r>
    </w:p>
    <w:p w14:paraId="11FAAD6E">
      <w:pPr>
        <w:ind w:firstLine="420"/>
      </w:pPr>
      <w:r>
        <w:rPr>
          <w:rFonts w:hint="eastAsia"/>
        </w:rPr>
        <w:t>围绕市委、市政府中心工作，及时开展新闻报道、做好舆论宣传，广播电台、电视台分别播出相关稿件3526篇和2495篇。上送韶关广播电台、电视台播出稿件播出数分别为528篇和488篇，展出宣传橱窗10期，出版《韶关日报·南雄专版》11期。</w:t>
      </w:r>
    </w:p>
    <w:p w14:paraId="472BDD4B">
      <w:pPr>
        <w:ind w:firstLine="420"/>
      </w:pPr>
      <w:r>
        <w:rPr>
          <w:rFonts w:hint="eastAsia"/>
        </w:rPr>
        <w:t>6月29日，在南雄大会堂举办以《永远跟党走》为主题的南雄市庆祝建党90周年活动文艺晚会。活动期间还展出建党九十周年主题图片宣传橱窗6期，举办专题书画展，开展慰问困难党员、创业党员、</w:t>
      </w:r>
      <w:r>
        <w:rPr>
          <w:rFonts w:hint="eastAsia"/>
          <w:lang w:eastAsia="zh-CN"/>
        </w:rPr>
        <w:t>庆祝建党</w:t>
      </w:r>
      <w:r>
        <w:rPr>
          <w:rFonts w:hint="eastAsia"/>
        </w:rPr>
        <w:t>90周年专题学习活动。</w:t>
      </w:r>
    </w:p>
    <w:p w14:paraId="7E51D326">
      <w:pPr>
        <w:ind w:firstLine="420"/>
      </w:pPr>
      <w:r>
        <w:rPr>
          <w:rFonts w:hint="eastAsia"/>
        </w:rPr>
        <w:t>利用广播电视开展旅游文化节宣传活动，8月份开始开设“迎旅游盛会，展南雄形象”栏目，与韶关电视台合作拍摄《雄州古城的期盼》专题片，采拍制作《岭南第一州——南雄欢迎您》大型旅游风光推介片。该市所创作的电视散文《叶子》在2011广东国际旅游文化节韶关组委会组织举办的“爱山、爱水、爱家乡”电视散文创作评比中荣获一等奖。</w:t>
      </w:r>
    </w:p>
    <w:p w14:paraId="0BBD59E8">
      <w:pPr>
        <w:ind w:firstLine="420"/>
      </w:pPr>
      <w:r>
        <w:rPr>
          <w:rFonts w:hint="eastAsia"/>
        </w:rPr>
        <w:t>围绕“三项整治”、抢购食盐事件、瘦肉精的防范等方面，做好新闻报道，开办“三项整治在行动”专栏，南雄病虫测报》、《金叶之路》等栏目更加注重贴近农民朋友。</w:t>
      </w:r>
    </w:p>
    <w:p w14:paraId="646CF6FD">
      <w:pPr>
        <w:pStyle w:val="4"/>
      </w:pPr>
      <w:r>
        <w:rPr>
          <w:rFonts w:hint="eastAsia"/>
        </w:rPr>
        <w:t>【党报党刊征订发行】</w:t>
      </w:r>
    </w:p>
    <w:p w14:paraId="75C5247D">
      <w:pPr>
        <w:ind w:firstLine="420"/>
      </w:pPr>
      <w:r>
        <w:rPr>
          <w:rFonts w:hint="eastAsia"/>
        </w:rPr>
        <w:t>抓好党报党刊《人民日报》、《求是》杂志、《南方日报》、《韶关日报》和《南方》杂志的征订发行工作。2011年，《南方日报》和《韶关日报》的征订工作任务超额完成。</w:t>
      </w:r>
    </w:p>
    <w:p w14:paraId="04E78513">
      <w:pPr>
        <w:pStyle w:val="4"/>
      </w:pPr>
      <w:r>
        <w:rPr>
          <w:rFonts w:hint="eastAsia"/>
        </w:rPr>
        <w:t>【精神文明建设】</w:t>
      </w:r>
    </w:p>
    <w:p w14:paraId="0D23D85C">
      <w:pPr>
        <w:ind w:firstLine="420"/>
      </w:pPr>
      <w:r>
        <w:rPr>
          <w:rFonts w:hint="eastAsia"/>
        </w:rPr>
        <w:t>3月1日，在迎宾馆1号会议室召开全市宣传思想工作会议，表彰2009-2010年度南雄市文明单位、文明村、“十星”文明户；参与韶关市精神文明建设先进集体和个人评选，推荐3个文明单位、1个文明镇和1个文明村；推动生态文明村建设，在珠玑高基头村等乡、村规划创办了10个生态文明示范点；做好道德模范评选工作，经广泛发动，挖掘选送韶关市道德模范候选人6名、“韶关好人”候选人12名，期间，发放宣传资料10000多份，发放韶关市道德模范评选选票5000多张，回收选票4790张；做好省文明城市迎检工作，通过测评，全市各项数据均达到省文明城市标准，测评总分为985.6分，顺利通过复查组的验收。</w:t>
      </w:r>
    </w:p>
    <w:p w14:paraId="47D6A57B">
      <w:pPr>
        <w:pStyle w:val="4"/>
      </w:pPr>
      <w:r>
        <w:rPr>
          <w:rFonts w:hint="eastAsia"/>
        </w:rPr>
        <w:t>【文化广电工作】</w:t>
      </w:r>
    </w:p>
    <w:p w14:paraId="6EB25F72">
      <w:pPr>
        <w:ind w:firstLine="420"/>
      </w:pPr>
      <w:r>
        <w:rPr>
          <w:rFonts w:hint="eastAsia"/>
        </w:rPr>
        <w:t>5月26日，在南雄大会堂举行南雄市“地税杯—一党在我心中”第三届红歌大赛决赛，激发全市党员干部和群众的爱党爱国热情。</w:t>
      </w:r>
    </w:p>
    <w:p w14:paraId="5AA99F09">
      <w:pPr>
        <w:ind w:firstLine="420"/>
      </w:pPr>
      <w:r>
        <w:rPr>
          <w:rFonts w:hint="eastAsia"/>
        </w:rPr>
        <w:t>为弘扬南雄传统文化和地方特色文化，8月，历时一年半精心编撰的《珠玑文化丛书》作为省首套县级文化丛书在广州出版社出版发行，并在该市召开市第十二次党代会、市第十四届人大会、市第九届政协会议期间给各位代表和委员每人赠书一套。</w:t>
      </w:r>
    </w:p>
    <w:p w14:paraId="5B347156">
      <w:pPr>
        <w:ind w:firstLine="420"/>
      </w:pPr>
      <w:r>
        <w:rPr>
          <w:rFonts w:hint="eastAsia"/>
        </w:rPr>
        <w:t>开展群众性文化活动，先后组织开展春节文化周、群众闹元宵、民间艺术演出、文化“三送”等活动；加快推进文化基础设施建设，投资2000多万打造的城乡一体的有线数字电视网络进展顺利，全市已有25800多户安装使用；投资4000多万的新城影剧院重建工作已在年底完成主体工程；博物馆的恐龙布展及红色展馆正在加紧布展规划；珠玑文化产业园的规划设计正在调整、完善、充实当中，基层文化站及群众文化广场的基础设施建设在逐步完善加强。</w:t>
      </w:r>
    </w:p>
    <w:p w14:paraId="6D58A903">
      <w:pPr>
        <w:ind w:firstLine="420"/>
      </w:pPr>
      <w:r>
        <w:rPr>
          <w:rFonts w:hint="eastAsia"/>
        </w:rPr>
        <w:t>健全完善公共文化服务体系，建立和完善社区、农村读书网络建设工程，组织实施数字电影进农村“2131”工程，满足广大群众精神文化需求。全年全市组织送戏下乡106场，送图书下乡30多场，文化信息资源共享工程免费播放知识讲座20场，送电影下乡活动近2000场；图书馆接待读者14.8万人次，借出99536册次，送书下乡逾4800册，解答读者咨询1322条，利用全国文化资源共享开展红色电影展播8场次，此外，全国第三次文物普查数据包已通过省级专家组的验收，经审核通过的不可移动文物达489处。</w:t>
      </w:r>
    </w:p>
    <w:p w14:paraId="1378B0DD">
      <w:pPr>
        <w:ind w:firstLine="420"/>
      </w:pPr>
      <w:r>
        <w:rPr>
          <w:rFonts w:hint="eastAsia"/>
        </w:rPr>
        <w:t>围绕红色文化为主题，打造文艺精品。该市创作的小戏《陈毅进山》、小品《农民工大哥》分获广东省群众文艺作品评选一、二等奖；特聘省市级编导专家亲自参与编导大型采茶情景歌舞剧《风雨珠玑巷》。深入推进文化体制改革，新华书店已完成转企改制工作，广电网络改革重组工作加快推进，采茶剧团改革工作全面铺开。</w:t>
      </w:r>
    </w:p>
    <w:p w14:paraId="7F624240">
      <w:pPr>
        <w:pStyle w:val="4"/>
      </w:pPr>
      <w:r>
        <w:rPr>
          <w:rFonts w:hint="eastAsia"/>
        </w:rPr>
        <w:t>【宣传文化队伍建设】</w:t>
      </w:r>
    </w:p>
    <w:p w14:paraId="6A274350">
      <w:pPr>
        <w:ind w:firstLine="420"/>
        <w:jc w:val="right"/>
      </w:pPr>
      <w:r>
        <w:rPr>
          <w:rFonts w:hint="eastAsia"/>
        </w:rPr>
        <w:t>加强理论业务学习，制定宣传部党支部学习计划，利用学习日组织集中学习，组织参加全市举行的讲座；推动作风建设，组织开展“履行职责、加快发展年”活动，包括签订“履行职责、加快发展年”承诺书，明确岗位职责，并在全体干部职工中深入开展自查自纠，提出整改措施；做好党务公开信息平台建设，完成宣传部6期党务信息的录入、审核、公开工作，并按标准设立市委宣传部党务公开栏；加强党风廉政建设，开展以“加强制度教育，构筑拒腐防线”为主题的纪律教育学习月活动，学习《中国共产党党员领导干部廉洁从政若干准则》，创建党风廉政建设亮点工作，制定《学党史强党性深化作风建设实施方案》。（张丽）</w:t>
      </w:r>
    </w:p>
    <w:p w14:paraId="47895539">
      <w:pPr>
        <w:ind w:firstLine="0" w:firstLineChars="0"/>
        <w:rPr>
          <w:b/>
          <w:bCs/>
        </w:rPr>
      </w:pPr>
      <w:r>
        <w:rPr>
          <w:rFonts w:hint="eastAsia"/>
          <w:b/>
          <w:bCs/>
        </w:rPr>
        <w:t>附：2011年市宣传部领导班子成员名单</w:t>
      </w:r>
    </w:p>
    <w:p w14:paraId="0D439952">
      <w:pPr>
        <w:ind w:firstLine="0" w:firstLineChars="0"/>
        <w:rPr>
          <w:b/>
          <w:bCs/>
        </w:rPr>
      </w:pPr>
      <w:r>
        <w:rPr>
          <w:rFonts w:hint="eastAsia"/>
          <w:b/>
          <w:bCs/>
        </w:rPr>
        <w:t>1-9月</w:t>
      </w:r>
    </w:p>
    <w:p w14:paraId="125B9044">
      <w:pPr>
        <w:ind w:firstLine="0" w:firstLineChars="0"/>
      </w:pPr>
      <w:r>
        <w:rPr>
          <w:rFonts w:hint="eastAsia"/>
        </w:rPr>
        <w:t>部   长：黄德群（兼）</w:t>
      </w:r>
    </w:p>
    <w:p w14:paraId="2B0F7E58">
      <w:pPr>
        <w:ind w:firstLine="0" w:firstLineChars="0"/>
      </w:pPr>
      <w:r>
        <w:rPr>
          <w:rFonts w:hint="eastAsia"/>
        </w:rPr>
        <w:t>副 部 长：刘烈胜、朱兆财、刘小弘</w:t>
      </w:r>
    </w:p>
    <w:p w14:paraId="4A6504B0">
      <w:pPr>
        <w:ind w:firstLine="0" w:firstLineChars="0"/>
      </w:pPr>
      <w:r>
        <w:rPr>
          <w:rFonts w:hint="eastAsia"/>
        </w:rPr>
        <w:t>纪检组长：陈昌发</w:t>
      </w:r>
    </w:p>
    <w:p w14:paraId="1F56BCBD">
      <w:pPr>
        <w:ind w:firstLine="0" w:firstLineChars="0"/>
      </w:pPr>
      <w:r>
        <w:rPr>
          <w:rFonts w:hint="eastAsia"/>
        </w:rPr>
        <w:t>工会主席：曾  钰</w:t>
      </w:r>
    </w:p>
    <w:p w14:paraId="2A82CD87">
      <w:pPr>
        <w:ind w:firstLine="0" w:firstLineChars="0"/>
        <w:rPr>
          <w:b/>
          <w:bCs/>
        </w:rPr>
      </w:pPr>
      <w:r>
        <w:rPr>
          <w:rFonts w:hint="eastAsia"/>
          <w:b/>
          <w:bCs/>
        </w:rPr>
        <w:t>10-12月</w:t>
      </w:r>
    </w:p>
    <w:p w14:paraId="20415D56">
      <w:pPr>
        <w:ind w:firstLine="0" w:firstLineChars="0"/>
      </w:pPr>
      <w:r>
        <w:rPr>
          <w:rFonts w:hint="eastAsia"/>
        </w:rPr>
        <w:t>部    长：卜小燕（兼）</w:t>
      </w:r>
    </w:p>
    <w:p w14:paraId="1F1AF154">
      <w:pPr>
        <w:ind w:firstLine="0" w:firstLineChars="0"/>
      </w:pPr>
      <w:r>
        <w:rPr>
          <w:rFonts w:hint="eastAsia"/>
        </w:rPr>
        <w:t>副 部 长：刘烈胜、朱兆财、孔令平</w:t>
      </w:r>
    </w:p>
    <w:p w14:paraId="04200743">
      <w:pPr>
        <w:ind w:firstLine="0" w:firstLineChars="0"/>
      </w:pPr>
      <w:r>
        <w:rPr>
          <w:rFonts w:hint="eastAsia"/>
        </w:rPr>
        <w:t>纪检组长：陈昌发</w:t>
      </w:r>
    </w:p>
    <w:p w14:paraId="70B6B4D4">
      <w:pPr>
        <w:ind w:firstLine="0" w:firstLineChars="0"/>
      </w:pPr>
      <w:r>
        <w:rPr>
          <w:rFonts w:hint="eastAsia"/>
        </w:rPr>
        <w:t>工会主席：曾  钰</w:t>
      </w:r>
    </w:p>
    <w:p w14:paraId="57733650">
      <w:pPr>
        <w:pStyle w:val="3"/>
      </w:pPr>
      <w:r>
        <w:rPr>
          <w:rFonts w:hint="eastAsia"/>
        </w:rPr>
        <w:t>统战工作</w:t>
      </w:r>
    </w:p>
    <w:p w14:paraId="77848836">
      <w:pPr>
        <w:pStyle w:val="4"/>
      </w:pPr>
      <w:r>
        <w:rPr>
          <w:rFonts w:hint="eastAsia"/>
        </w:rPr>
        <w:t>【概况】</w:t>
      </w:r>
    </w:p>
    <w:p w14:paraId="13F390B9">
      <w:pPr>
        <w:ind w:firstLine="420"/>
      </w:pPr>
      <w:r>
        <w:rPr>
          <w:rFonts w:hint="eastAsia"/>
        </w:rPr>
        <w:t>中共南雄市委统战部是主管统一战线工作的职能部门。机构改革后，统战部下设办公室、对台工作办公室2个股室。设部长1人，副部长4人，纪检组长1人。民族宗教事务局、工商联、侨联与统战部合署办公。</w:t>
      </w:r>
    </w:p>
    <w:p w14:paraId="13977A56">
      <w:pPr>
        <w:pStyle w:val="4"/>
      </w:pPr>
      <w:r>
        <w:rPr>
          <w:rFonts w:hint="eastAsia"/>
        </w:rPr>
        <w:t>【多党合作制度建设】</w:t>
      </w:r>
    </w:p>
    <w:p w14:paraId="44023DA0">
      <w:pPr>
        <w:ind w:firstLine="420"/>
      </w:pPr>
      <w:r>
        <w:rPr>
          <w:rFonts w:hint="eastAsia"/>
        </w:rPr>
        <w:t>一是宣传中央、省、韶关市统战工作会议精神，引导党外人士抓好思想建设。全市各民主党派、无党派人士充分发挥人才荟萃优势，围绕该市开展“履行职责、加快发展年”活动做好思想政治、宣传工作。二是加强和完善中国共产党领导的多党合作政治制度，拓宽渠道，使党外人士发挥政治协商、民主监督、参政议政作用。1月19日至20日，在全市政协八届五次会议上，各民主党派、工商联及无党派人士撰写提案9件。在该市政协换届工作中，该部提名市政协九届委员125名。</w:t>
      </w:r>
    </w:p>
    <w:p w14:paraId="00F372A8">
      <w:pPr>
        <w:pStyle w:val="4"/>
      </w:pPr>
      <w:r>
        <w:rPr>
          <w:rFonts w:hint="eastAsia"/>
        </w:rPr>
        <w:t>【民族工作方面】</w:t>
      </w:r>
    </w:p>
    <w:p w14:paraId="1DB750FF">
      <w:pPr>
        <w:ind w:firstLine="420"/>
      </w:pPr>
      <w:r>
        <w:rPr>
          <w:rFonts w:hint="eastAsia"/>
        </w:rPr>
        <w:t>一是争取上级支持，促进民族村经济社会事业发展。全市少数民族人数有6000千多人，在韶关排行第二。3月，民宗局到各少数民族聚居村进行调研，汇合调研的情况，确定该市2011年帮扶的少数民族发展资金项目1个，资金10万，主田镇高峰村委会至青嶂山畲族村公路工程；为少数民族群众脱贫奔康创造条件。二是落实党和国家的民族政策，做好全市少数民族聚居区畬族和汉族考生的报考工作，使畬族和汉族考生享受到“粤民族生高考优惠政策”。帮助364名少数民族聚居区考生（其中少数民族生42名，汉族生322名）办理普通高校报考手续。</w:t>
      </w:r>
    </w:p>
    <w:p w14:paraId="687C5992">
      <w:pPr>
        <w:pStyle w:val="4"/>
      </w:pPr>
      <w:r>
        <w:rPr>
          <w:rFonts w:hint="eastAsia"/>
        </w:rPr>
        <w:t>【宗教工作方面】</w:t>
      </w:r>
    </w:p>
    <w:p w14:paraId="4DC31CE6">
      <w:pPr>
        <w:ind w:firstLine="420"/>
      </w:pPr>
      <w:r>
        <w:rPr>
          <w:rFonts w:hint="eastAsia"/>
        </w:rPr>
        <w:t>一是提高依法管理宗教事务的能力，依法加强对宗教活动场所的管理。全市宗教活动场所较多，共有4个宗教6个活动场所。依照国务院《宗教活动场所检查办法》，建立健全人员、财务、会计、治安、消防、文物保护、卫生防疫等七项管理制度，维护信教公民的合法权益，使各宗教活动场所正常、有序地运作。二是开展春节走访慰问活动。1月15日，市委统战部和民宗局领导分别到该市莲开净寺、大雄禅寺、洞真古观、基督教、天主教、万善庵等宗教活动场所进行慰问活动，并与各宗教场所负责人亲切交谈，详细询问宗教场所建设、管理、自养和工作生活等情况，同时要求各宗教场所在春节期间要按照“七项管理制度”，做好值班工作。三是开展宗教界万人植树护林活动。发挥宗教界在促进经济社会发展中的作用，调动该市宗教教人员和信教群众义务植树护林，组织6个宗教活动场所教职人员和信教群众480人次，开展义务植树活动，义务植树1500株（风景树），面积80亩，总计投入资金8万元：①在挂扶点雄州街道五洲村委会瑶前村种植荫香、桂花等风景树300株。②配合该市“3.12”植树节活动在市区水南桥至三洲桥河堤段（莲开净寺门口）种植樟树、乐昌含笑等风景树1400株。四是开展和谐寺观教堂创建活动。制定和明确创建活动的目标、标准、措施和要求，强化宗教活动场所的规范化管理。2011年，莲开净寺被评为全国和谐寺观教堂。</w:t>
      </w:r>
    </w:p>
    <w:p w14:paraId="66FAF61A">
      <w:pPr>
        <w:pStyle w:val="4"/>
      </w:pPr>
      <w:r>
        <w:rPr>
          <w:rFonts w:hint="eastAsia"/>
        </w:rPr>
        <w:t>【非公有制人士为建设粤北门户城市做贡献】</w:t>
      </w:r>
    </w:p>
    <w:p w14:paraId="25F5A4E2">
      <w:pPr>
        <w:ind w:firstLine="420"/>
      </w:pPr>
      <w:r>
        <w:rPr>
          <w:rFonts w:hint="eastAsia"/>
        </w:rPr>
        <w:t>该部多次组织工商联界别的部分人大代表、政协委员和工商联会员，在全市非公有制企业中大兴调查研究之风健全深入了解民情，反映民意，广泛集中民智。共撰写议案和提案几10宗，其中获得优秀提案有13宗。二、该会引导经济人士增强创新意识，引导民营企业朝着自主品牌发展之路，引导和帮助民营企业实施技术创新和技术进步，大胆创新，开拓进取，提高企业的竞争力，把自己的企业做大做强，促进民营经济大发展、快发展。三、根据中央统战部、全国工商联的指示精神，开展对全市非公有制经济人士的评价工作。在市（县）换届工作中，全市有2名非公有制经济人士推荐担任韶关市人大代表，有1名非公有制经济人士担任韶关市政协委员；有5名非公有制经济代表人士推荐担任南雄市第九届政协委员（其中：有4人，担任政协常委）。四、7至8月，该联响应省、韶关市工商联的号召，做好工商联（总商会）换届工作，于8月31日，召开南雄市工商联（总商会）第十次代表大会。参加会议的代表128人，选举产生第十届执委委员40人，常委委员30人，副主席16人，主席1人。会议打破一贯任命行政领导担任工商联主席的传统，选举优秀民营个业家松树脂有限公司董事长丁礼金担任主席职务。成立工商联党组，由统战部一名副部长担任党组书记，并担任专职副主席，负责工商联日常工作，发挥桥梁纽带作用，促进全市非公经济健康发展。五、抓好组织建设，壮大工商联会员队伍。把物色企业作为下一届的发展对象作为工作对象，该会发展会员68人。六、扶贫助学引导会员投身光彩公益事业。引导会员参与“致富思源，富而思进”等公益活动，参加就业、扶贫、爱心三大光彩工程，在敬老、助困、助学、助残活动中，南雄永康酒楼每年都会拿出一部分资金，资助贫因学生上大学，南雄洲发商为职工买保险。</w:t>
      </w:r>
    </w:p>
    <w:p w14:paraId="35E5F668">
      <w:pPr>
        <w:pStyle w:val="4"/>
      </w:pPr>
      <w:r>
        <w:rPr>
          <w:rFonts w:hint="eastAsia"/>
        </w:rPr>
        <w:t>【开展联谊活动做好港、澳、台、侨工作】</w:t>
      </w:r>
    </w:p>
    <w:p w14:paraId="18A74292">
      <w:pPr>
        <w:ind w:firstLine="420"/>
      </w:pPr>
      <w:r>
        <w:rPr>
          <w:rFonts w:hint="eastAsia"/>
        </w:rPr>
        <w:t>一是做好港、澳、台及海外社团的联系、联谊工作。1月21、22日，分别在香港、澳门召开“香港迎春茶话会”和“澳门迎春茶话会”。2月18日，统战部领导应邀参加香港广东社团举行辛卯年新春团拜酒会。二是加强领导，做好专项工作。调整领导班子．由市委副书记王荣光担任领导小组组长，指定一名副部长专门负责联络联谊工作，确保各项工作的落实，加强联谊联络工作。三是为侨胞服务。市侨联结合当地侨情，落实《归侨侨眷权益保护法》，为侨胞献爱心，办好事、做实事，赢得了侨心，在海内外产生良好的影响，受到侨胞赞扬。1月上中旬，市侨联副主席曾华带领有关人员深入到街道、乡镇开展春节慰问归侨侨眷贫困户活动，给他们带去慰问金和慰问礼品，市侨联先后为侨胞、港澳同胞办好事、做实事8件；排忧解难3件。四是成功举办省侨联“侨界文化交流基地”（南雄珠玑古巷）挂牌仪式。1月至3月，市侨联做好省侨联“侨界文化交流基地”（南雄珠玑古巷）挂牌仪式的各项筹备工作。4月1日，南雄市举行省侨联“侨界文化交流基地”（南雄珠玑古巷）挂牌仪式。挂牌仪式由韶关市侨联主席廖凤英主持，省侨联副主席区德强在仪式上宣读《关于向首批广东省侨联“侨界文化交流基地”授牌的决定》；韶关市政协副主席王伟阳参加挂牌仪式并讲话，表示祝贺；南雄市政府副市长、市侨联主席罗战勇在仪式上致辞。五是做好对外宣传报道工作。鼓励通讯员围绕全市投资环境、合作项目、优惠政策、珠玑巷后裔联谊，南雄的土特产及民俗风情等方面的内容，向海内外进行宣传，为招商引资工作发挥喉舌作用，让世界了解南雄，使南雄走向世界。2011年市侨联通讯员被广东侨联网用稿27篇（含相片）、被广东侨网用稿3篇（含相片）、被珠玑网用稿5篇（含相片）和被《珠玑》杂志用稿7篇（含相片）。六是对外联谊和接待工作。市侨联领导多次到香港参加有关侨团和社团举办的庆典和会务等活动。与香港各界人士和旅港乡亲沟通联络，向他们介绍南雄的发展情况并推介南雄的投资环境和名胜古迹，动员他们来南雄投资置业和观光旅游，寻根问祖。该会接待来南雄参观考察和寻根问祖的团组10个，165人（次）。七是做好香港南雄联谊会成立大会的筹备工作。1月至9月侨联副主席曾华与南雄市政协副主席、市委统战部部长周济辉等领导先后到香港与广大旅港乡亲和各界人士联络，开展联谊工作。9月18日，香港南雄联谊会成立暨首届理事会就职典礼在香港尖沙咀帝国中心隆重举行。共300多人参加香港南雄联谊会的成立暨首届理事会就职庆典活动。会上选举产生香港南雄联谊会首届理事会成员共44人。广高（香港）有限公司行政总裁钟强先生当选为首届联谊会会长；李文炳先生等11人当选为副会长；黄慧琼女士当选为秘书长。</w:t>
      </w:r>
    </w:p>
    <w:p w14:paraId="486A209B">
      <w:pPr>
        <w:pStyle w:val="4"/>
      </w:pPr>
      <w:r>
        <w:rPr>
          <w:rFonts w:hint="eastAsia"/>
        </w:rPr>
        <w:t>【服务台企台胞】</w:t>
      </w:r>
    </w:p>
    <w:p w14:paraId="305D878C">
      <w:pPr>
        <w:ind w:firstLine="420"/>
      </w:pPr>
      <w:r>
        <w:rPr>
          <w:rFonts w:hint="eastAsia"/>
        </w:rPr>
        <w:t>一是加强自身建设，提高做好台办工作的能力。落实《中华人民共和国台湾同胎投资保护法》以及省市有关精神，该办主动地走访台资企业，深入台资企业调查了解台资企业生产和员工生产生活情况，在“广东扶贫济困日”期间，正勤手袋厂为扶贫济困损款5000元。为来雄台商做好推介工作，参与接待部分台商、台胞到该市的参观、考察。联系台属，为台属服务。接待台属来访，做好劝说工作。三是对台宣传工作。宣传中央作出的反独促统十六字方针：建立互信，各置争议，求同存异，共创双赢。该市台办人员参加省台办组织的赴台参观交流交往活动，宣传大陆政策和大陆经济社会发展情况。加强与兄弟省市以及上级台办的沟通和交流交往。</w:t>
      </w:r>
    </w:p>
    <w:p w14:paraId="0B091133">
      <w:pPr>
        <w:pStyle w:val="4"/>
      </w:pPr>
      <w:r>
        <w:rPr>
          <w:rFonts w:hint="eastAsia"/>
        </w:rPr>
        <w:t>【扶贫工作】</w:t>
      </w:r>
    </w:p>
    <w:p w14:paraId="03BF9C32">
      <w:pPr>
        <w:ind w:firstLine="420"/>
      </w:pPr>
      <w:r>
        <w:rPr>
          <w:rFonts w:hint="eastAsia"/>
        </w:rPr>
        <w:t>推进“扶贫开发，责任到人”扶贫工作的落实。1月25日，统战部班子成员到雄州街道五洲村委会开展扶贫慰问活动，支助村委会3000元慰问金和扶持每户贫困户200元的物资现金。3月3日，该部到雄州街道五洲村委会开展结对帮扶活动，了解贫困户的经济收入、脱贫致富想法以及遇到的问题等生产生活情况，帮助8户贫困户落实生产规划，发展生产项目，调动贫困户生产积极性，鼓励贫困户树立脱贫致富信心。帮扶五洲村换届选举经费2000元。8月1日，该部领导到五洲村委会慰问该村退伍军人，发放慰问金1000元。支助村委会2000元购买办公设备。                                            （钟祥灵）</w:t>
      </w:r>
    </w:p>
    <w:p w14:paraId="4DAA2BDB">
      <w:pPr>
        <w:ind w:firstLine="0" w:firstLineChars="0"/>
        <w:rPr>
          <w:b/>
          <w:bCs/>
        </w:rPr>
      </w:pPr>
      <w:r>
        <w:rPr>
          <w:rFonts w:hint="eastAsia"/>
          <w:b/>
          <w:bCs/>
        </w:rPr>
        <w:t>附：2011年市统战部领导班子成员</w:t>
      </w:r>
    </w:p>
    <w:p w14:paraId="1F6665BE">
      <w:pPr>
        <w:ind w:firstLine="0" w:firstLineChars="0"/>
      </w:pPr>
      <w:r>
        <w:rPr>
          <w:rFonts w:hint="eastAsia"/>
        </w:rPr>
        <w:t>名单部长：朱海兵（兼）</w:t>
      </w:r>
    </w:p>
    <w:p w14:paraId="4B5AF43B">
      <w:pPr>
        <w:ind w:firstLine="0" w:firstLineChars="0"/>
      </w:pPr>
      <w:r>
        <w:rPr>
          <w:rFonts w:hint="eastAsia"/>
        </w:rPr>
        <w:t>副 部 长：黄霄 张英军 董祖明 陈烈</w:t>
      </w:r>
    </w:p>
    <w:p w14:paraId="29FDE10B">
      <w:pPr>
        <w:ind w:firstLine="0" w:firstLineChars="0"/>
      </w:pPr>
      <w:r>
        <w:rPr>
          <w:rFonts w:hint="eastAsia"/>
        </w:rPr>
        <w:t>纪检组长：刘志梅</w:t>
      </w:r>
    </w:p>
    <w:p w14:paraId="061B72BF">
      <w:pPr>
        <w:pStyle w:val="3"/>
      </w:pPr>
      <w:r>
        <w:rPr>
          <w:rFonts w:hint="eastAsia"/>
        </w:rPr>
        <w:t>老干部工作</w:t>
      </w:r>
    </w:p>
    <w:p w14:paraId="0F5A89C7">
      <w:pPr>
        <w:pStyle w:val="4"/>
      </w:pPr>
      <w:r>
        <w:rPr>
          <w:rFonts w:hint="eastAsia"/>
        </w:rPr>
        <w:t>【概况】</w:t>
      </w:r>
    </w:p>
    <w:p w14:paraId="18AE19A2">
      <w:pPr>
        <w:ind w:firstLine="420"/>
      </w:pPr>
      <w:r>
        <w:rPr>
          <w:rFonts w:hint="eastAsia"/>
        </w:rPr>
        <w:t>共南雄市委老干部局是市委主管全市离退休干部的工作机构，成立于1983年11月。2001年，机构改革将中共南雄市委离休退休干部工作局改为现名，设有办公室、离休股、退休股三个职能股（室），核实编制6名，其中领导职数3名（1正2副），其他干部3名（全部为股长职数），后勤编制1名，总编制7名。局下设一个公益一类事业单位—南雄市老干部活动中心（2008年定编5名），老干部活动中心总建筑面积1400多平方米，集学习、娱乐、健身、休闲为一体，内设天九、麻将、象棋、乒乓球、健身、阅览等多个娱乐活动室，是全市唯一功能齐全，服务优质的老干部活动场所。现有干部职工8人，其中正副主任各1人，一般职工6人。另外市区还设有门球场2个，每个季度都组织老干部开展门球赛。截至2011年底，全市有离休干部85人，退休干部3942人。</w:t>
      </w:r>
    </w:p>
    <w:p w14:paraId="2894C128">
      <w:pPr>
        <w:pStyle w:val="4"/>
      </w:pPr>
      <w:r>
        <w:rPr>
          <w:rFonts w:hint="eastAsia"/>
        </w:rPr>
        <w:t>【老干部政治待遇】</w:t>
      </w:r>
    </w:p>
    <w:p w14:paraId="61AA8DF0">
      <w:pPr>
        <w:ind w:firstLine="420"/>
      </w:pPr>
      <w:r>
        <w:rPr>
          <w:rFonts w:hint="eastAsia"/>
        </w:rPr>
        <w:t>1月25日，在迎宾馆1号会议室召开全市离休干部和副处级以上退休干部迎春茶话会，参会的离退休干部与在家的四套班子领导欢聚一堂，共叙情谊、共商发展大计。为全市离休干部个人征订《广东省老干部政治理论读本》、《秋光》、《老人报》等学习资料共500多份，同时，市老干部活动中心还征订《人民日报》、《家庭医生》、《老年报》等12多种报刊杂志，供老同志阅读，丰富老同志的精神文化生活。邀请老干部参加重要会议和重大活动制度，市里召开的人大会、政协会、民主推荐干部大会等重要会议和重大活动都邀请老干部参加，并安排他们在主席台或会场前排就坐，让老干部参政议政。</w:t>
      </w:r>
    </w:p>
    <w:p w14:paraId="534631D5">
      <w:pPr>
        <w:pStyle w:val="4"/>
      </w:pPr>
      <w:r>
        <w:rPr>
          <w:rFonts w:hint="eastAsia"/>
        </w:rPr>
        <w:t>【老干部生活待遇】</w:t>
      </w:r>
    </w:p>
    <w:p w14:paraId="031EC9C4">
      <w:pPr>
        <w:ind w:firstLine="420"/>
      </w:pPr>
      <w:r>
        <w:rPr>
          <w:rFonts w:hint="eastAsia"/>
        </w:rPr>
        <w:t>调整增加离退休干部生活福利待遇。一是按照雄人社薪[2011]02号文件精神，从2011年1月1日起，增加了机关事业单位离退休人员生活补贴，其中离休干部人平月增资250元以上。二是结合</w:t>
      </w:r>
      <w:r>
        <w:rPr>
          <w:rFonts w:hint="eastAsia"/>
          <w:lang w:eastAsia="zh-CN"/>
        </w:rPr>
        <w:t>庆祝建党</w:t>
      </w:r>
      <w:r>
        <w:rPr>
          <w:rFonts w:hint="eastAsia"/>
        </w:rPr>
        <w:t>九十周年，根据粤组通[2011]31号文件精神，市委市政府决定：从2011年起每年七一为全市离休干部每人增发一个月的基本离休费，作为生活补贴。三是从2011年6月1日起，给解放战争时期参加革命工作的49名副科级及以下的离休干部，提高享受正科级政治生活待遇。四是按照雄人社薪[2011]51号文件精神，从2011年12月1日起，增加了机关事业单位离退休人员生活补贴，其中离休干部人平月增资700元以上。五是2011年共为3名生活不能自理的离休干部提高护理费，由每月250元提高到800元。截止2011年，共有22名因病瘫痪在床生活不能自理的离休干部护理费增加到800元。</w:t>
      </w:r>
    </w:p>
    <w:p w14:paraId="510EC444">
      <w:pPr>
        <w:pStyle w:val="4"/>
      </w:pPr>
      <w:r>
        <w:rPr>
          <w:rFonts w:hint="eastAsia"/>
        </w:rPr>
        <w:t>【离休干部医药费管理】</w:t>
      </w:r>
    </w:p>
    <w:p w14:paraId="65FE0DCB">
      <w:pPr>
        <w:ind w:firstLine="420"/>
      </w:pPr>
      <w:r>
        <w:rPr>
          <w:rFonts w:hint="eastAsia"/>
        </w:rPr>
        <w:t>完善离休干部医药费管理机制。一是在对离休干部医药费采取分段结账报帐方法的基础上，对医药费金额较大且老干部家庭经济较困难的，采取老干局经费先行垫付，分段报账时再补上的特事特办方式，解决老干部燃眉之急。二是实行离休干部医药费节约奖励的办法（对有病看病、小病节约、健康奖励的办法），规定“凡离休干部全年不报医药费的奖励2000元，一年内报销医药费在1000元以下（含1000元）的奖励1000元，一年内报销医药费在1000元以上、2000元以下的奖励500元”。既确保医药费不拖欠，又堵住漏洞，减轻财政负担。</w:t>
      </w:r>
    </w:p>
    <w:p w14:paraId="139BCFAA">
      <w:pPr>
        <w:pStyle w:val="4"/>
      </w:pPr>
      <w:r>
        <w:rPr>
          <w:rFonts w:hint="eastAsia"/>
        </w:rPr>
        <w:t>【走访慰问老干部】</w:t>
      </w:r>
    </w:p>
    <w:p w14:paraId="6CC0934F">
      <w:pPr>
        <w:ind w:firstLine="420"/>
      </w:pPr>
      <w:r>
        <w:rPr>
          <w:rFonts w:hint="eastAsia"/>
        </w:rPr>
        <w:t>除传统节日开展慰问活动外，老干局还抓好日常走访慰问工作，平时对住院就医的离退休干部、异地居住的离休干部以及已故离休干部遗属等进行走访慰问送温暖活动。2011年，共组织走访离休干部300人次。建党90周年前夕，老干局向全市离休干部发出一封慰问信，同时为50周年以上党龄党员发放南粤“七一”纪念章；重阳节期间，由市委领导带队为7位80岁的老寿星进行上门祝寿慰问活动；春节期间，在组织各单位走访慰问全市离退休干部的基础上，还对有特殊困难的离退休干部，再给予一定的困难补助。老干局认真做好老干部的来信来访维稳工作，共处理老干部来信来访件13宗，办结率100%，进一步稳定老干部队伍。</w:t>
      </w:r>
    </w:p>
    <w:p w14:paraId="58C8E4C4">
      <w:pPr>
        <w:pStyle w:val="4"/>
      </w:pPr>
      <w:r>
        <w:rPr>
          <w:rFonts w:hint="eastAsia"/>
        </w:rPr>
        <w:t>【组织老干部开展各项文体活动】</w:t>
      </w:r>
    </w:p>
    <w:p w14:paraId="22B09A49">
      <w:pPr>
        <w:ind w:firstLine="420"/>
      </w:pPr>
      <w:r>
        <w:rPr>
          <w:rFonts w:hint="eastAsia"/>
        </w:rPr>
        <w:t>组织老干部开展丰富多彩、有益身心健康的文体活动，丰富老干部的晚年生活。一是每个季度定期开展季度门球赛，共组织4期400多人次参加；二是9月26日至9月28日举办“老人节”综合文体比赛活动，来自全市各镇、市直机关、企事业单位的200多名离退休干部参加门球、麻将、天九、乒乓球、扑克等多个项目的文体比赛活动。9月29日上午，在市老干部活动中心召开比赛颁奖大会；三是“七一”前夕，组织老干部参加“庆祝建党九十周年永远跟党走”等文体活动。如组织离退休干部参加地税杯红歌大赛；组织老游击战士参观南雄革命历史图片展览；动员离退休干部参与“与党同呼吸、共命运、心连心”征文活动，向省、市老干部选送了20多篇佳作，其中曾忠老干部撰写的“生命不息，永远跟党走”一文获得二等奖，并先后在《韶关日报》和《广东老人报》发表；《余霞一片火样红》先后在《广东老人报》、《韶关老干》发表。四是大力协助市老游击队战士联谊会组织开展好清明节纪念座谈会、八一建军84周年纪念座谈会、南雄解放62周年纪念座谈会等活动。五是以雄州诗社为阵地开展老干部书画、诗歌日常活动。六是加强老干部活动中心的管理，除节假日外，每天都安排老干部参加跳舞、乒乓球、棋牌以及其他健身、书画指导等有益心身健康的文体活动。</w:t>
      </w:r>
    </w:p>
    <w:p w14:paraId="3B1A7A4B">
      <w:pPr>
        <w:pStyle w:val="4"/>
      </w:pPr>
      <w:r>
        <w:rPr>
          <w:rFonts w:hint="eastAsia"/>
        </w:rPr>
        <w:t>【引导老干部发挥作用】</w:t>
      </w:r>
    </w:p>
    <w:p w14:paraId="0A09F255">
      <w:pPr>
        <w:ind w:firstLine="420"/>
      </w:pPr>
      <w:r>
        <w:rPr>
          <w:rFonts w:hint="eastAsia"/>
        </w:rPr>
        <w:t>围绕市委、市政府中心工作，引导和鼓励老干部充分发挥自身优势，参与南雄经济建设和各项社会事业。如关工委2011年举办农村创业青年提高培训班1期，培训学员110人次，通过学习培训，有不少青年已成为种养大户，年收入上百万元的有7户，其中3户达到两百万元以上；协助学校抓好校外教育，2011年开展“学英雄、知荣辱、树新风”的主题教育活动，组织中小学生、小记者260多人参观爱国主义教育基地。老游击战士联谊会组织老同志到中小学校为青少年上辅导课，进行爱国主义教育。老促会的同志情系老区，2011年5至6月份完成老区调研并撰写《南雄市革命老区联合专题调研报告》上报，争取国家、省市对该市中央苏区县更多优惠政策支持。老促会还争取上级部门的支持，筹资100多万元改造老区学校，解决老区“行路难”、“食水难”等问题，为革命烈士后裔发放助学金等等。</w:t>
      </w:r>
    </w:p>
    <w:p w14:paraId="6CDD8788">
      <w:pPr>
        <w:pStyle w:val="4"/>
      </w:pPr>
      <w:r>
        <w:rPr>
          <w:rFonts w:hint="eastAsia"/>
        </w:rPr>
        <w:t>【加强自身建设】</w:t>
      </w:r>
    </w:p>
    <w:p w14:paraId="1C07D9E9">
      <w:pPr>
        <w:ind w:firstLine="420"/>
      </w:pPr>
      <w:r>
        <w:rPr>
          <w:rFonts w:hint="eastAsia"/>
        </w:rPr>
        <w:t>一是集中学习，规定每周五下午为干部职工集中学习日，提高干部职工理论素养和业务水平；二是开展“履行职责，加快发展年”学习教育活动、纪律教育学习月等一系列教育活动，增强为老干部服务的责任感和荣誉感；三是健全和完善老干部工作制度，制定老干部工作目标管理量化考核办法和绩效评估和政绩考核实施办法，调动干部职工的工作积极性和创造性，确保各项工作落到实处，推动老干部工作的健康发展。</w:t>
      </w:r>
    </w:p>
    <w:p w14:paraId="024AA887">
      <w:pPr>
        <w:ind w:firstLine="420"/>
        <w:jc w:val="right"/>
      </w:pPr>
      <w:r>
        <w:rPr>
          <w:rFonts w:hint="eastAsia"/>
        </w:rPr>
        <w:t>（赖毅鹏）</w:t>
      </w:r>
    </w:p>
    <w:p w14:paraId="5D01B54A">
      <w:pPr>
        <w:ind w:firstLine="0" w:firstLineChars="0"/>
        <w:rPr>
          <w:b/>
          <w:bCs/>
        </w:rPr>
      </w:pPr>
      <w:r>
        <w:rPr>
          <w:rFonts w:hint="eastAsia"/>
          <w:b/>
          <w:bCs/>
        </w:rPr>
        <w:t>附：2011年市老干局领导班子成员名单</w:t>
      </w:r>
    </w:p>
    <w:p w14:paraId="66D0F4E1">
      <w:pPr>
        <w:ind w:firstLine="0" w:firstLineChars="0"/>
      </w:pPr>
      <w:r>
        <w:rPr>
          <w:rFonts w:hint="eastAsia"/>
        </w:rPr>
        <w:t>局  长：陈章分（兼）</w:t>
      </w:r>
    </w:p>
    <w:p w14:paraId="101E586B">
      <w:pPr>
        <w:ind w:firstLine="0" w:firstLineChars="0"/>
      </w:pPr>
      <w:r>
        <w:rPr>
          <w:rFonts w:hint="eastAsia"/>
        </w:rPr>
        <w:t>副局长：曾冠雄 饶纪有</w:t>
      </w:r>
    </w:p>
    <w:p w14:paraId="6AF2AFB2">
      <w:pPr>
        <w:pStyle w:val="3"/>
      </w:pPr>
      <w:r>
        <w:rPr>
          <w:rFonts w:hint="eastAsia"/>
        </w:rPr>
        <w:t>机构编制</w:t>
      </w:r>
    </w:p>
    <w:p w14:paraId="6FDF0A8F">
      <w:pPr>
        <w:pStyle w:val="4"/>
      </w:pPr>
      <w:r>
        <w:rPr>
          <w:rFonts w:hint="eastAsia"/>
        </w:rPr>
        <w:t>【概况】</w:t>
      </w:r>
    </w:p>
    <w:p w14:paraId="301D57AD">
      <w:pPr>
        <w:ind w:firstLine="0" w:firstLineChars="0"/>
      </w:pPr>
      <w:r>
        <w:rPr>
          <w:rFonts w:hint="eastAsia"/>
        </w:rPr>
        <w:t>南雄市机构编制委员会办公室是市机构编制委员会常设办事机构，在市机构编制委员会领导下负责全市行政管理体制改革和机构改革、事业单位管理体制改革及机构编制日常管理工作。1994年4月，南雄县编制委员会办公室更名为南雄县机构编制委员会办公室，名称沿用至今。1997年4月，南雄市机构编制委员会办公室调整为正科级，挂靠在市人事局。2002年2月，南雄市机构编制委员会办公室调整为与市人事局合署办公。2010年8月，南雄市机构编制委员会办公室调整为单独设置，既是市委的工作部门，又是市政府的工作部门，列市委机构序列。内设3个股室：综合股、机构编制股、监督检查股，1个直属副科级行政单位：南雄市事业单位登记管理局。南雄市编办单独设置之后，新增办公室3间，购置电脑、复印机、打印机等办公设备一批，并配备1部公务用车。单位设置综合股、行政编制股、监督检查股3个内设股室及下属副科级行政单位事业单位登记管理局。重新核定编制数为12名，后勤服务人员2名。在制度建设上，出台并完善机构编制管理制度、实名制管理管理办法、事业单位登记管理制度、党建工作制度等一系列制度。在编制队伍建设上，新增了5名行政编制人员，编办从单独设置之初的4人增加至9人。</w:t>
      </w:r>
    </w:p>
    <w:p w14:paraId="7685CF4A">
      <w:pPr>
        <w:pStyle w:val="4"/>
      </w:pPr>
      <w:r>
        <w:rPr>
          <w:rFonts w:hint="eastAsia"/>
        </w:rPr>
        <w:t>【简政强镇事权改革】</w:t>
      </w:r>
    </w:p>
    <w:p w14:paraId="68DA6659">
      <w:pPr>
        <w:ind w:firstLine="420"/>
      </w:pPr>
      <w:r>
        <w:rPr>
          <w:rFonts w:hint="eastAsia"/>
        </w:rPr>
        <w:t>按照中央、省、韶关市的要求，结合南雄市实际，制定《南雄市简政强镇事权改革实施方案》，稳妥推进全市简政强镇事权改革工作。在乡镇分类上，按照镇辖区常住人口、土地面积、财政一般预算收入三项指标，将湖口镇、黄坑镇、坪田镇、界址镇、水口镇、南亩镇、江头镇、古市镇、主田镇、澜河镇、百顺镇、邓坊镇、帽子峰镇等13个乡镇划分为一般镇；将雄州街道、乌迳镇、珠玑镇、全安镇、油山镇5个乡镇（街道）划分较大镇。在机构设置上，一般镇设置5个内设机构（即：党政办公室（挂人民代表大会办公室、统计工作站牌子）、经济发展办公室（挂安全监督管理站、人力资源和社会保障办公室、规划建设办公室牌子）、综合治理办公室（挂社会事务办公室牌子）、农业办公室、人口和计划生育办公室）、较大镇设置7个内设机构（即：党政办公室（挂人民代表大会办公室、统计工作站牌子）、经济发展办公室（挂安全监督管理站、人力资源和社会保障办公室牌子）、规划建设办公室、综合治理办公室、社会事务办公室、农业办公室、人口和计划生育办公室）；在人员编制和领导职数上，分配乡镇（街道）编制数共671名，其中一般镇编制不超过35名，其中：湖口镇（35名）、黄坑镇（35名）、坪田镇（32名）、界址镇（35名）、水口镇（35名）、南亩镇（32名）、江头镇（32名）、古市镇（35名）、主田镇（35名）、澜河镇（30名）、百顺镇（35名）、邓坊镇（30名）、帽子峰镇（30名）；核定领导职数12名。较大镇（不超过55名），其中雄州街道（55名）、乌迳镇（45名）、珠玑镇（50名）、全安镇（45名）、油山镇（45名）核定领导职数13名。在乡镇（街道）职能上，以简政放权、转变职能、理顺关系、优化结构为重点，着力建设服务型政府，不断完善公共管理和社会服务体系建设，加强社会管理，推进基层民主，促进农村的和谐稳定。通过推行简政强镇事权改革，对乡镇进行科学分类，合理设置综合性办事机构，优化机关行政编制配备，逐步建立了权责一致、分工合理、决策科学、执行顺畅、监督有力的行政管理体制，为转变经济发展方式提供体制机制保障。</w:t>
      </w:r>
    </w:p>
    <w:p w14:paraId="4502DD60">
      <w:pPr>
        <w:pStyle w:val="4"/>
      </w:pPr>
      <w:r>
        <w:rPr>
          <w:rFonts w:hint="eastAsia"/>
        </w:rPr>
        <w:t>【事业单位分类改革】</w:t>
      </w:r>
    </w:p>
    <w:p w14:paraId="3EDCFCC8">
      <w:pPr>
        <w:ind w:firstLine="420"/>
      </w:pPr>
      <w:r>
        <w:rPr>
          <w:rFonts w:hint="eastAsia"/>
        </w:rPr>
        <w:t>根据省、韶关市事业单位分类改革的要求，开展调研。按照政事分开、事企分开、管办分离的原则，以社会功能为依据，对全市340个事业单位进行科学分类，并提交编委会讨论通过。同时，结合实际，拟定事业单位分类改革初步方案，为全面推进事业单位分类改革有序开展做好准备。2011年，经编委同意，完成林业系统13个、卫生系统18个所属事业单位分类改革并下发实施方案，为全市事业单位分类改革奠定了良好的基础。</w:t>
      </w:r>
    </w:p>
    <w:p w14:paraId="691C8665">
      <w:pPr>
        <w:pStyle w:val="4"/>
      </w:pPr>
      <w:r>
        <w:rPr>
          <w:rFonts w:hint="eastAsia"/>
        </w:rPr>
        <w:t>【医药卫生体制改革】</w:t>
      </w:r>
    </w:p>
    <w:p w14:paraId="0C3F0DE1">
      <w:pPr>
        <w:ind w:firstLine="420"/>
      </w:pPr>
      <w:r>
        <w:rPr>
          <w:rFonts w:hint="eastAsia"/>
        </w:rPr>
        <w:t>按照广东省医药卫生体制改革要求，推进乡镇（街道）卫生基本公共服务体制改革，调整并明确基层医疗卫生服务机构职责。核定基层医疗卫生机构为公益一类事业单位，经费形式调整为财政补助一类。从新核定乡镇卫生院编制总数为676名，雄州街道社区卫生服务中心编制95名。</w:t>
      </w:r>
    </w:p>
    <w:p w14:paraId="7207A7D6">
      <w:pPr>
        <w:pStyle w:val="4"/>
      </w:pPr>
      <w:r>
        <w:rPr>
          <w:rFonts w:hint="eastAsia"/>
        </w:rPr>
        <w:t>【事业单位登记管理】</w:t>
      </w:r>
    </w:p>
    <w:p w14:paraId="2A240254">
      <w:pPr>
        <w:ind w:firstLine="420"/>
      </w:pPr>
      <w:r>
        <w:rPr>
          <w:rFonts w:hint="eastAsia"/>
        </w:rPr>
        <w:t>完成全市163个事业单位法人2010年度检验工作，年检率达到95%以上，年检合格率达到98.8%。完成事业单位设立14个单位，法人变更登记58个单位、法人注销登记1个单位。2011年9月初，完成165个事业单位档案升级管理工作，实现事业单位档案管理工作规范化、科学化。</w:t>
      </w:r>
    </w:p>
    <w:p w14:paraId="3EA75324">
      <w:pPr>
        <w:pStyle w:val="4"/>
      </w:pPr>
      <w:r>
        <w:rPr>
          <w:rFonts w:hint="eastAsia"/>
        </w:rPr>
        <w:t>【中文域名注册】</w:t>
      </w:r>
    </w:p>
    <w:p w14:paraId="3DA02DF0">
      <w:pPr>
        <w:ind w:firstLine="420"/>
      </w:pPr>
      <w:r>
        <w:rPr>
          <w:rFonts w:hint="eastAsia"/>
        </w:rPr>
        <w:t>按照中编办《关于进一步加强党政群机关和事业单位网上名称管理的通知》要求，着力抓好全市机关、事业单位政务和公益中文域名注册。设立南雄市中文域名注册办公室，负责域名注册管理工作。截至2011年底，全市已注册政务和公益中文域名177个，域名注册工作走在全韶关市前列，并作为中文域名注册工作先进单位受到省编办的表彰。</w:t>
      </w:r>
    </w:p>
    <w:p w14:paraId="5B819F9A">
      <w:pPr>
        <w:pStyle w:val="4"/>
      </w:pPr>
      <w:r>
        <w:rPr>
          <w:rFonts w:hint="eastAsia"/>
        </w:rPr>
        <w:t>【机构编制网站】</w:t>
      </w:r>
    </w:p>
    <w:p w14:paraId="5CB1E440">
      <w:pPr>
        <w:ind w:firstLine="420"/>
      </w:pPr>
      <w:r>
        <w:rPr>
          <w:rFonts w:hint="eastAsia"/>
        </w:rPr>
        <w:t>2011年5月份，创建南雄市机构编制网，作为机构编制信息公开平台。发挥网络方便快捷、灵活性强、覆盖面广等优势，及时发布全市机构编制工作动态、最新的政策法规及各地体制改革动向，利用网络发布机构编制通知、公告、相关文件及政策法规、体制改革、编制常识等内容。通过机构编制网，公开发布机构编制职责、工作制度及业务范围，提高机构编制工作的社会知晓度和机构编制工作的公开透明度。</w:t>
      </w:r>
    </w:p>
    <w:p w14:paraId="39BF3BB7">
      <w:pPr>
        <w:pStyle w:val="4"/>
      </w:pPr>
      <w:r>
        <w:rPr>
          <w:rFonts w:hint="eastAsia"/>
        </w:rPr>
        <w:t>【编制管理】</w:t>
      </w:r>
    </w:p>
    <w:p w14:paraId="58117705">
      <w:pPr>
        <w:ind w:firstLine="420"/>
      </w:pPr>
      <w:r>
        <w:rPr>
          <w:rFonts w:hint="eastAsia"/>
        </w:rPr>
        <w:t>坚持《南雄市人民政府工作规则》人事管理制度及编委会议事规则，重新制定《南雄市机构编制管理工作制度》，规范机构编制审批、增员列编、减员消编等工作，明晰编制管理工作流程，规范机构编制日常管理。严格执行《机构编制违纪行为适用〈中国共产党纪律处分条例〉若干问题的解释》规定，严格机构编制管理工作纪律，履行监督检查职责，切实维护机构编制管理工作</w:t>
      </w:r>
      <w:r>
        <w:rPr>
          <w:rFonts w:hint="eastAsia"/>
          <w:lang w:eastAsia="zh-CN"/>
        </w:rPr>
        <w:t>的</w:t>
      </w:r>
      <w:r>
        <w:rPr>
          <w:rFonts w:hint="eastAsia"/>
        </w:rPr>
        <w:t>权威性和严肃性。</w:t>
      </w:r>
    </w:p>
    <w:p w14:paraId="16AE3DB5">
      <w:pPr>
        <w:pStyle w:val="4"/>
      </w:pPr>
      <w:r>
        <w:rPr>
          <w:rFonts w:hint="eastAsia"/>
        </w:rPr>
        <w:t>【机构编制实名制管理系统】</w:t>
      </w:r>
    </w:p>
    <w:p w14:paraId="4FD84730">
      <w:pPr>
        <w:ind w:firstLine="420"/>
      </w:pPr>
      <w:r>
        <w:rPr>
          <w:rFonts w:hint="eastAsia"/>
        </w:rPr>
        <w:t>按照省、韶关市机构编制实名制管理系统建设要求，分步推进机构编制实名制管理系统初始建库工作，先后完成党政群机关、市直属事业单位、教育系统、卫生系统数据采集与审核，并建立《机构变动台账》、《机关、事业单位人员变动台账》，制定《人员调动流程》，规范实名制系统增员、减员流程及人员信息修改等操作流程。完成全市党政群机关64个单位、共1785人的信息采集、录入、校核工作；完成全市事业单位306个单位、共7298人的信息采集、录入及数据校对工作。2011年5月份完成全市事业单位实名制系统初始化建库工作。7月1日，通过韶关市机构编制网公开全市26个政府组成部门机构编制实名制信息。                                                                              （李建良）</w:t>
      </w:r>
    </w:p>
    <w:p w14:paraId="7CD7D058">
      <w:pPr>
        <w:ind w:firstLine="0" w:firstLineChars="0"/>
        <w:rPr>
          <w:b/>
          <w:bCs/>
        </w:rPr>
      </w:pPr>
      <w:r>
        <w:rPr>
          <w:rFonts w:hint="eastAsia"/>
          <w:b/>
          <w:bCs/>
        </w:rPr>
        <w:t>附：2011年市机构编制办领导班子成员名单</w:t>
      </w:r>
    </w:p>
    <w:p w14:paraId="512EBB8F">
      <w:pPr>
        <w:ind w:firstLine="0" w:firstLineChars="0"/>
      </w:pPr>
      <w:r>
        <w:rPr>
          <w:rFonts w:hint="eastAsia"/>
        </w:rPr>
        <w:t>主  任：黄云</w:t>
      </w:r>
    </w:p>
    <w:p w14:paraId="5F785AA4">
      <w:pPr>
        <w:ind w:firstLine="0" w:firstLineChars="0"/>
      </w:pPr>
      <w:r>
        <w:rPr>
          <w:rFonts w:hint="eastAsia"/>
        </w:rPr>
        <w:t>副主任：陈蔚燊 高春花</w:t>
      </w:r>
    </w:p>
    <w:p w14:paraId="533E3DAA">
      <w:pPr>
        <w:pStyle w:val="3"/>
      </w:pPr>
      <w:r>
        <w:rPr>
          <w:rFonts w:hint="eastAsia"/>
        </w:rPr>
        <w:t>信访工作</w:t>
      </w:r>
    </w:p>
    <w:p w14:paraId="5EE13194">
      <w:pPr>
        <w:pStyle w:val="4"/>
      </w:pPr>
      <w:r>
        <w:rPr>
          <w:rFonts w:hint="eastAsia"/>
        </w:rPr>
        <w:t>【概况】</w:t>
      </w:r>
    </w:p>
    <w:p w14:paraId="2DAF2FB4">
      <w:pPr>
        <w:ind w:firstLine="420"/>
      </w:pPr>
      <w:r>
        <w:rPr>
          <w:rFonts w:hint="eastAsia"/>
        </w:rPr>
        <w:t>南雄市信访局是负责处理群众来信来访，及时、准确地向市委、市政府领导反映来信来访中提出的重要建议、意见和问题；综合分析信访信息，开展调查研究，提出制定有关方针、政策的建议的行政部门。前身是1973年成立南雄县革命委员会信访组，1984年6月更名为南雄县人民政府信访科（副科级单位），1986年9月改为南雄县委、县政府信访办（正科级单位），2001年12月更名为南雄市信访局（属南雄市委办公室的内设机构），局内设：办信接访室、督查室、综合办公室。行政编制5名，其中局长1名、副局长2名、市委办纪检组长1名、科员1名。2011年，全市接待群众来信来访共计1134批2357人次。现场化解处理矛盾纠纷421批852人次、矛盾纠纷化解率为100%；受理信访总量为713批1505人次，同比下降13%。其中，受理群众来信171l件；到省上访13批61人次；到韶关市上访44批95人次；来市上访485批1349人次，集体访51批868人次，同比批次下降23%，人次下降1%。</w:t>
      </w:r>
    </w:p>
    <w:p w14:paraId="03DDCE43">
      <w:pPr>
        <w:pStyle w:val="4"/>
      </w:pPr>
      <w:r>
        <w:rPr>
          <w:rFonts w:hint="eastAsia"/>
        </w:rPr>
        <w:t>【畅通信访渠道】</w:t>
      </w:r>
    </w:p>
    <w:p w14:paraId="24DCB690">
      <w:pPr>
        <w:ind w:firstLine="420"/>
      </w:pPr>
      <w:r>
        <w:rPr>
          <w:rFonts w:hint="eastAsia"/>
        </w:rPr>
        <w:t>南雄市综治信访维稳管理系统网站充分利用网上信访“信访信箱”栏目，安排专人管理网上信访工作，受理群众网上信访咨询，为群众开通信访“直通车”。对网上接收的信访信件每日进行梳理，逐一分类处理。一般信访信件移交相关责任部门处理，并在规定时限内办结回复。重大案件市领导亲自挂帅，一抓到底。做到桩桩有人管、件件有着落、事事有回音。以此同时，南雄市党政领导干部坚持开门接访、定期了解信访案件和包案处理信访问题等制度，特殊时期每个工作日都有领导接访（如清明节、国庆节和十七届六中全会期间）乡镇和市直机关单位坚持每个工作日安排一名班子成员公开接访。使群众诉求解决在初发阶段和萌芽状态。拓宽群众诉求渠道，方便信访群众，降低信访成本，促使群众以理性合法的形式表达利益诉求。畅通信访渠道，化解一大批信访问题，有效地将上访群众吸附在市内，大大减少越级上访量。</w:t>
      </w:r>
    </w:p>
    <w:p w14:paraId="58BD91F7">
      <w:pPr>
        <w:pStyle w:val="4"/>
      </w:pPr>
      <w:r>
        <w:rPr>
          <w:rFonts w:hint="eastAsia"/>
        </w:rPr>
        <w:t>【化解信访积案】</w:t>
      </w:r>
    </w:p>
    <w:p w14:paraId="441F1F46">
      <w:pPr>
        <w:ind w:firstLine="420"/>
      </w:pPr>
      <w:r>
        <w:rPr>
          <w:rFonts w:hint="eastAsia"/>
        </w:rPr>
        <w:t>信访积案化解，营造和谐氛围。信访积案的处理涉及信访、纪检、维稳、司法等部门，多数问题在信访投诉的同时还可以通过依法诉讼、纪检监察、劳动仲裁、人民调解等非信访途径解决，如果处理不当大多数“积案”难以“案结事了”，甚至还会导致矛盾升级，引发群体事件，留下后遗症。鉴于这类复杂的信访事项跨度时间长，涉及多个部门、多个行业，仅靠简单地交、转，可能会出现部门之间推诿、扯皮，形成“积压”的现象，南雄市充分发挥联席会议及民间纠纷调处中心的作用，开展信访老户及群体性问题集中治理活动，对10多个难点问题和吴显新等人群体性问题逐案实行市领导包案，采取召开复杂疑难问题协调会的方式，明确责任单位，限期办理，解决信访人多头上访、办理部门各自为阵或互相推诿、责任追究主体不明的现象，极大地促进积案化解和老户息访。2011年，成功化解了包括吴显新、吴桂英、罗会娣、徐平权、沈太妹等5名上访老户，使原排定的21名信访老户逐步化解16名，化解率达76%。</w:t>
      </w:r>
    </w:p>
    <w:p w14:paraId="6B4D97B3">
      <w:pPr>
        <w:pStyle w:val="4"/>
      </w:pPr>
      <w:r>
        <w:rPr>
          <w:rFonts w:hint="eastAsia"/>
        </w:rPr>
        <w:t>【加强督查督办】</w:t>
      </w:r>
    </w:p>
    <w:p w14:paraId="44DEBF7A">
      <w:pPr>
        <w:ind w:firstLine="420"/>
      </w:pPr>
      <w:r>
        <w:rPr>
          <w:rFonts w:hint="eastAsia"/>
        </w:rPr>
        <w:t>为实现“事事有回音，件件有落实”的工作目标，南雄市加大信访工作督查督办力度，采取一般督查和重点督查相结合、全面督查和个案督查相结合、定期督查和专项督查相结合、明查和暗访相结合的方式，利用电话督办、发函督办、会议调度督办、通报督办、现场督办等办法，重点督查信访事项的办理情况。为规范信访工作，制定《交办信访事项办理情况报送办法》，有效促进基层依法按政策办理信访事项，维护信访人合法权益。全年共开展各种督办工作87件次，跟踪督办重点信访事项25件次，有力促进信访问题的解决。</w:t>
      </w:r>
    </w:p>
    <w:p w14:paraId="18E67A85">
      <w:pPr>
        <w:pStyle w:val="4"/>
      </w:pPr>
      <w:r>
        <w:rPr>
          <w:rFonts w:hint="eastAsia"/>
        </w:rPr>
        <w:t>【创新工作机制】</w:t>
      </w:r>
    </w:p>
    <w:p w14:paraId="4935706F">
      <w:pPr>
        <w:ind w:firstLine="420"/>
      </w:pPr>
      <w:r>
        <w:rPr>
          <w:rFonts w:hint="eastAsia"/>
        </w:rPr>
        <w:t>为抓好信访工作机制创新，南雄市研究探索改进信访工作的方式方法，拓展信访救济职能，实施帮扶救济活动。根据工作实际，发挥民间纠纷调处中心的作用，多方筹集信访救助金。2011年，共救助信访人10多人次，通过救助促成2名持续上访10年以上的信访人得以息访。在对有理但无政策法律依据的贫困信访诉求者给予现金救助的同时，通过民政、社保、就业、扶贫等途径开展对贫困信访人实施救助，积累一定经验，形成相关制度，出台相关方案。</w:t>
      </w:r>
    </w:p>
    <w:p w14:paraId="7429CAEF">
      <w:pPr>
        <w:pStyle w:val="4"/>
      </w:pPr>
      <w:r>
        <w:rPr>
          <w:rFonts w:hint="eastAsia"/>
        </w:rPr>
        <w:t>【创先争优活动】</w:t>
      </w:r>
    </w:p>
    <w:p w14:paraId="1E8988FF">
      <w:pPr>
        <w:ind w:firstLine="420"/>
      </w:pPr>
      <w:r>
        <w:rPr>
          <w:rFonts w:hint="eastAsia"/>
        </w:rPr>
        <w:t>自开展“创先争优”活动以来，南雄市信访局严格按照《南雄市市委办深入开展创先争优活动的实施方案》要求，发挥市委办党支部战斗堡垒作用，开展形式多样的学习创建活动，加强党的思想、组织、作风、制度建设，激发全体党员的开拓创新、敬业奉献精神，努力做到“五个好”、“五带头”。以创先争优为动力，从根本上提升信访工作质量和效率；以群众工作统揽信访工作为结合点，全面提升服务人民群众的水平；以打造“工作一流、群众满意”的信访队伍为基础，增强党组织的凝聚力、战斗力。在全市创先争优活动领导小组组织的三次督查中，市委办党支部活动开展情况的督查结果均位列全市前三名，受到市“创先争优”办的高度评价。</w:t>
      </w:r>
    </w:p>
    <w:p w14:paraId="769AC75A">
      <w:pPr>
        <w:pStyle w:val="4"/>
      </w:pPr>
      <w:r>
        <w:rPr>
          <w:rFonts w:hint="eastAsia"/>
        </w:rPr>
        <w:t>【强化组织建设】</w:t>
      </w:r>
    </w:p>
    <w:p w14:paraId="684878D5">
      <w:pPr>
        <w:ind w:firstLine="420"/>
      </w:pPr>
      <w:r>
        <w:rPr>
          <w:rFonts w:hint="eastAsia"/>
        </w:rPr>
        <w:t>为解决信访工作任务繁重、人员力量薄弱的问题，强化信访局领导班子和工作队伍建设，信访局在2011年面向社会招聘一名信访文员。同时坚持实行信访专员制度，全年共选派新提拔干部3批9人到信访局担任信访专员，特殊时期临时抽派人员支援信访部门工作，增强信访工作力量，锻炼基层干部。</w:t>
      </w:r>
    </w:p>
    <w:p w14:paraId="4F7084A0">
      <w:pPr>
        <w:pStyle w:val="4"/>
      </w:pPr>
      <w:r>
        <w:rPr>
          <w:rFonts w:hint="eastAsia"/>
        </w:rPr>
        <w:t>【综合信息工作】</w:t>
      </w:r>
    </w:p>
    <w:p w14:paraId="5F93BE74">
      <w:pPr>
        <w:ind w:firstLine="420"/>
      </w:pPr>
      <w:r>
        <w:rPr>
          <w:rFonts w:hint="eastAsia"/>
        </w:rPr>
        <w:t>完善信访综合信息工作制度，及时、客观、准确地向领导汇报敏感、重大的信访事宜，及早采取应急措施，掌握工作的主动权。坚持每周印发《一周信访动态》、《南雄市信访事项重要摘报》、每月印发《南雄市信访通报》，定时排查矛盾纠纷，总结当月信访工作情况，分析研判信访信息，发挥信访部门的参谋助手作用，做好信访反馈。2011年，南雄市信访局共印发《一周信访动态》42期、《南雄市信访事项重要摘报》11期、《南雄市信访通报》8期。做好调研工作，有针对性地开展调查研究，撰写《强化执政为民理念，创新信访工作机制》、《对做好新形势下县级信访维稳工作的几点分析与思考》等调研文章。（刘水英）</w:t>
      </w:r>
    </w:p>
    <w:p w14:paraId="49C7CF76">
      <w:pPr>
        <w:ind w:firstLine="0" w:firstLineChars="0"/>
        <w:rPr>
          <w:b/>
          <w:bCs/>
        </w:rPr>
      </w:pPr>
      <w:r>
        <w:rPr>
          <w:rFonts w:hint="eastAsia"/>
          <w:b/>
          <w:bCs/>
        </w:rPr>
        <w:t>附：2011年市信访局领导班子成员名单：</w:t>
      </w:r>
    </w:p>
    <w:p w14:paraId="5FEF0CE2">
      <w:pPr>
        <w:ind w:firstLine="0" w:firstLineChars="0"/>
      </w:pPr>
      <w:r>
        <w:rPr>
          <w:rFonts w:hint="eastAsia"/>
        </w:rPr>
        <w:t>局  长：刘飞（兼）（任至7月）</w:t>
      </w:r>
    </w:p>
    <w:p w14:paraId="47A717A8">
      <w:pPr>
        <w:ind w:left="840" w:leftChars="400" w:firstLine="0" w:firstLineChars="0"/>
      </w:pPr>
      <w:r>
        <w:rPr>
          <w:rFonts w:hint="eastAsia"/>
        </w:rPr>
        <w:t>陈志刚（兼）（8月任）</w:t>
      </w:r>
    </w:p>
    <w:p w14:paraId="21036AEB">
      <w:pPr>
        <w:ind w:firstLine="0" w:firstLineChars="0"/>
      </w:pPr>
      <w:r>
        <w:rPr>
          <w:rFonts w:hint="eastAsia"/>
        </w:rPr>
        <w:t>副局长：陈志刚（任至7月）</w:t>
      </w:r>
    </w:p>
    <w:p w14:paraId="3AF8958D">
      <w:pPr>
        <w:ind w:left="840" w:leftChars="400" w:firstLine="0" w:firstLineChars="0"/>
      </w:pPr>
      <w:r>
        <w:rPr>
          <w:rFonts w:hint="eastAsia"/>
        </w:rPr>
        <w:t>谢祥英（任至7月）</w:t>
      </w:r>
    </w:p>
    <w:p w14:paraId="1DBEA90C">
      <w:pPr>
        <w:ind w:left="840" w:leftChars="400" w:firstLine="0" w:firstLineChars="0"/>
      </w:pPr>
      <w:r>
        <w:rPr>
          <w:rFonts w:hint="eastAsia"/>
        </w:rPr>
        <w:t>刘水英（8月任）</w:t>
      </w:r>
    </w:p>
    <w:p w14:paraId="23079513">
      <w:pPr>
        <w:ind w:left="840" w:leftChars="400" w:firstLine="0" w:firstLineChars="0"/>
      </w:pPr>
      <w:r>
        <w:rPr>
          <w:rFonts w:hint="eastAsia"/>
        </w:rPr>
        <w:t>刘世娣（8月任）</w:t>
      </w:r>
    </w:p>
    <w:p w14:paraId="6856C39C">
      <w:pPr>
        <w:pStyle w:val="3"/>
      </w:pPr>
      <w:r>
        <w:rPr>
          <w:rFonts w:hint="eastAsia"/>
        </w:rPr>
        <w:t>党校工作</w:t>
      </w:r>
    </w:p>
    <w:p w14:paraId="4B7664C0">
      <w:pPr>
        <w:pStyle w:val="4"/>
      </w:pPr>
      <w:r>
        <w:rPr>
          <w:rFonts w:hint="eastAsia"/>
        </w:rPr>
        <w:t>【概况】</w:t>
      </w:r>
    </w:p>
    <w:p w14:paraId="7A7256D4">
      <w:pPr>
        <w:ind w:firstLine="420"/>
      </w:pPr>
      <w:r>
        <w:rPr>
          <w:rFonts w:hint="eastAsia"/>
        </w:rPr>
        <w:t>中国共产党南雄市委员会党校位于南雄市雄州镇雄东路148号，占地面积15000平方米，建筑面积3200多平方米。2003年8月，根据南雄市委办公室文件精神，中国共产党南雄市委员会党校、南雄市广播电视大学、南雄市教师进修学校“三校”合并，实行一套人马、三块牌子的办学模式。由南雄市委副书记兼任校长，常务副校长主持学校日常工作，实行校务委员会的管理体制，重大事项由校务委员会讨论决定。为南雄市委直属单位，内设6个股级机构：办公室、教务处、培训处、电教处、后勤处、农村劳动力培训服务中心。领导职数4名（1正3副），内设机构领导职数12名（6正6副）。学校办学经费主要来源于市财政拨款，教职工工资由市财政全额拨付。财政经费与自筹经费的比例达到90%以上。</w:t>
      </w:r>
    </w:p>
    <w:p w14:paraId="4E12064D">
      <w:pPr>
        <w:ind w:firstLine="420"/>
      </w:pPr>
      <w:r>
        <w:rPr>
          <w:rFonts w:hint="eastAsia"/>
        </w:rPr>
        <w:t>学校现有教职工38人，其中，专职教师22人，占全体教职工的58%（高级教师4人，中级教师15人，初级教师4人），其他专业技术人员1人，参公管理人员6人，职员3人，技术工人6人。专职教师中，35岁以下的仅3人（占14%），36～45岁的有10人（占45%），46～50岁的5人（占23%），51岁以上的有4人（占18%），取得本科学历的20人（占91%）、专科学历的2人（占9%），具有初级职称的3人（占14%）、中级职称16人（占72%），高级职称3人，占专职教师的14%。</w:t>
      </w:r>
    </w:p>
    <w:p w14:paraId="72F70BAD">
      <w:pPr>
        <w:pStyle w:val="4"/>
      </w:pPr>
      <w:r>
        <w:rPr>
          <w:rFonts w:hint="eastAsia"/>
        </w:rPr>
        <w:t>【教师队伍建设】</w:t>
      </w:r>
    </w:p>
    <w:p w14:paraId="432CA663">
      <w:pPr>
        <w:ind w:firstLine="420"/>
      </w:pPr>
      <w:r>
        <w:rPr>
          <w:rFonts w:hint="eastAsia"/>
        </w:rPr>
        <w:t>学校把教师队伍建设放在各项工作的首位，强化教师队伍管理，提升教师队伍素质。在学科建设方面，结合学校实际设立经济管理学学科组、党建学科组、信息管理中心，制订《教研组工作职责》，学科建设符合培训轮训工作的需要。一是以制度建设为突破口，对教师的激励约束促进力度。通过《教研活动制度》、《教师工作职责及量化考核奖惩制度》、《班主任工作职责及量化考核奖惩制度》等教师管理制度，调动教师工作积极性。根据党校教师的授课和教研基本任务，进行定性和定量考核，并与教师的岗位聘任、福利待遇、职称评审、评优评先、绩效考核相挂钩，促进教师的制度意识、岗位意识和能力意识的提高。学校按期举行业务学习、教研活动，听课活动。每学期举行一次教案评比、一次说课竞赛，各评出6份优秀教案、6个优秀课例。2011年评出教学工作一、二、三等奖共6名，班主任工作一、二、三等奖共6名，并实行奖励。二是兼职教师聘请力度。根据专题教学需要，在考评择优的基础上，聘请工作在一线的领导、专技人员担任客座讲师。2011年学校聘请8位兼职教师到该校任教。三是师资培养力度。利用中央党校、省委党校远程教学网络系统，组织教师学习、听课，2011年组织3位教师参加市委及相关部门举办的理论专题报告会，选派2位中青年教师前往东莞党校参加对口培训班学习，选派2位骨干教师前往中央党校（行政学院）、韶关党校参加专题研讨班进修，组织全体教师参加社会实践活动，开展教研活动，更新、充实教师知识面，提高教师的整体素质。四是青年教师的成长。实行老中青相结合，制订新老挂钩、上下挂钩办法，落实导师制度，加快青年教师成长。2011年，学校在科级培训班上实行领导带队、分组教学、专题包干、新老结合的教学形式，加快教师的知识转型和能力提升，丰富教学经验，提高授课水平。经韶关市委党校测评，教师授课满意率全部达到95%以上。陈娟娟老师在2011年韶关市党校系统（第五届）中青年教师教学技能竞赛中，以总分91.333分的好成绩获得县区组第一名。五是引进高素质人才。经市编委批准，学校将逐步从重点院校中引进应届毕业硕士研究生，以改善学校教师队伍的知识结构，提升整体素质。2011年11月学校参加（韶关市组团）在吉林省长春市举办的大学生就业招聘现场会，初步从18名吉林大学硕士研究生中筛选2名，待其毕业后来学校任教。</w:t>
      </w:r>
    </w:p>
    <w:p w14:paraId="12A722B7">
      <w:pPr>
        <w:pStyle w:val="4"/>
      </w:pPr>
      <w:r>
        <w:rPr>
          <w:rFonts w:hint="eastAsia"/>
        </w:rPr>
        <w:t>【干部培训情况】</w:t>
      </w:r>
    </w:p>
    <w:p w14:paraId="49D41BFD">
      <w:pPr>
        <w:ind w:firstLine="420"/>
      </w:pPr>
      <w:r>
        <w:rPr>
          <w:rFonts w:hint="eastAsia"/>
        </w:rPr>
        <w:t>中共南雄市委党校承担全市党员干部、国家公务员和中小学教师培训、轮训等在职培训，以及全市农民创业培训任务。学校根据南雄发展形势和任务的要求，充实和创新教学内容，优化党校教学布局，增强党校教学的针对性和实效性，做好培训需求调研，按照分类别、分层次的原则设置教学班次、教学内容和课程，为南雄经济社会发展和大规模培训党员、干部、人才服务。一是以“三基本”、“五当代”作为主体班次教学专题的理论架构，采取辐射式、复合型的方式，确定相关教学专题的设置；二是紧跟实践和时代步伐，把党和国家重大的发展战略决策、学术领域的创新理论成果、科技方面新的发明创造、国际国内的新形势新动态以及市（镇、村）情等融入主体班次教学内容中，体现党校教育和教学的思维前瞻性。培训内容力求丰富、实用，在不同班次中增设相应的县域县情特色专题课。</w:t>
      </w:r>
    </w:p>
    <w:p w14:paraId="6EDDDC19">
      <w:pPr>
        <w:ind w:firstLine="420"/>
      </w:pPr>
      <w:r>
        <w:rPr>
          <w:rFonts w:hint="eastAsia"/>
        </w:rPr>
        <w:t>为适应干部教育培训的实际需要，该校加强教学方式方法的改革的创新，做好“四结合”文章，提升教学质量和水平。一是坚持课堂讲授与交流研讨相结合。坚持以学员为中心的教学理念，推行研讨式、答辩式、案例式等新的教学方法，增强教与学的互动，提高学员的学习热情。定期组织开展学员论坛、情景模拟、辩论赛、知识抢答赛等活动，提高学员的演讲和处理问题的能力。二是坚持课堂学习与实地调研相结合。采取基地现场学、外出参观学、实地调研学等方式，通过现场感受和观摩，提高学员实际操作和理性思维能力。三是专题授课与学员自修相结合。在搞好课堂教学的同时，要求学员自主阅读一些书目，作一定量的读书笔记，并结合自己的工作实践，撰写心得体会，提出问题共同探讨，使学员在培训期间得到更多的收获。四是传统教学与现代化教学相结合。干部教育信息化教学设施的建设与使用力度，在传统的“黑板板书”教学的基础上，利用现代化教学设备进行教学，增强教学的直观性和吸引力。本校专职教师中，85%的教师能够熟练使用多媒体教学手段实施教学。该校的教学质量在提高，培训质量好，授课教师受欢</w:t>
      </w:r>
    </w:p>
    <w:p w14:paraId="3EB7440A">
      <w:pPr>
        <w:ind w:firstLine="422"/>
        <w:jc w:val="center"/>
        <w:rPr>
          <w:b/>
          <w:bCs/>
        </w:rPr>
      </w:pPr>
      <w:r>
        <w:rPr>
          <w:rFonts w:hint="eastAsia"/>
          <w:b/>
          <w:bCs/>
        </w:rPr>
        <w:t>表3 2011年组织各级各类培训情况</w:t>
      </w:r>
    </w:p>
    <w:tbl>
      <w:tblPr>
        <w:tblStyle w:val="14"/>
        <w:tblW w:w="4801" w:type="dxa"/>
        <w:tblInd w:w="0" w:type="dxa"/>
        <w:tblBorders>
          <w:top w:val="single" w:color="auto" w:sz="4" w:space="0"/>
          <w:left w:val="none" w:color="auto" w:sz="4" w:space="0"/>
          <w:bottom w:val="single" w:color="auto" w:sz="4" w:space="0"/>
          <w:right w:val="none" w:color="auto" w:sz="4" w:space="0"/>
          <w:insideH w:val="single" w:color="auto" w:sz="4" w:space="0"/>
          <w:insideV w:val="single" w:color="auto" w:sz="4" w:space="0"/>
        </w:tblBorders>
        <w:tblLayout w:type="autofit"/>
        <w:tblCellMar>
          <w:top w:w="0" w:type="dxa"/>
          <w:left w:w="0" w:type="dxa"/>
          <w:bottom w:w="0" w:type="dxa"/>
          <w:right w:w="0" w:type="dxa"/>
        </w:tblCellMar>
      </w:tblPr>
      <w:tblGrid>
        <w:gridCol w:w="960"/>
        <w:gridCol w:w="2176"/>
        <w:gridCol w:w="4020"/>
        <w:gridCol w:w="960"/>
        <w:gridCol w:w="960"/>
      </w:tblGrid>
      <w:tr w14:paraId="0EEFE208">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960" w:type="dxa"/>
            <w:tcBorders>
              <w:left w:val="nil"/>
            </w:tcBorders>
            <w:shd w:val="clear" w:color="auto" w:fill="auto"/>
            <w:noWrap/>
            <w:tcMar>
              <w:top w:w="15" w:type="dxa"/>
              <w:left w:w="15" w:type="dxa"/>
              <w:right w:w="15" w:type="dxa"/>
            </w:tcMar>
            <w:vAlign w:val="bottom"/>
          </w:tcPr>
          <w:p w14:paraId="18055C6A">
            <w:pPr>
              <w:pStyle w:val="34"/>
              <w:jc w:val="center"/>
              <w:rPr>
                <w:b/>
                <w:bCs/>
              </w:rPr>
            </w:pPr>
            <w:r>
              <w:rPr>
                <w:b/>
                <w:bCs/>
              </w:rPr>
              <w:t>序号</w:t>
            </w:r>
          </w:p>
        </w:tc>
        <w:tc>
          <w:tcPr>
            <w:tcW w:w="960" w:type="dxa"/>
            <w:shd w:val="clear" w:color="auto" w:fill="auto"/>
            <w:noWrap/>
            <w:tcMar>
              <w:top w:w="15" w:type="dxa"/>
              <w:left w:w="15" w:type="dxa"/>
              <w:right w:w="15" w:type="dxa"/>
            </w:tcMar>
            <w:vAlign w:val="bottom"/>
          </w:tcPr>
          <w:p w14:paraId="633B4070">
            <w:pPr>
              <w:pStyle w:val="34"/>
              <w:jc w:val="center"/>
              <w:rPr>
                <w:b/>
                <w:bCs/>
              </w:rPr>
            </w:pPr>
            <w:r>
              <w:rPr>
                <w:b/>
                <w:bCs/>
              </w:rPr>
              <w:t>时间</w:t>
            </w:r>
          </w:p>
        </w:tc>
        <w:tc>
          <w:tcPr>
            <w:tcW w:w="960" w:type="dxa"/>
            <w:shd w:val="clear" w:color="auto" w:fill="auto"/>
            <w:noWrap/>
            <w:tcMar>
              <w:top w:w="15" w:type="dxa"/>
              <w:left w:w="15" w:type="dxa"/>
              <w:right w:w="15" w:type="dxa"/>
            </w:tcMar>
            <w:vAlign w:val="bottom"/>
          </w:tcPr>
          <w:p w14:paraId="677E65E2">
            <w:pPr>
              <w:pStyle w:val="34"/>
              <w:jc w:val="center"/>
              <w:rPr>
                <w:b/>
                <w:bCs/>
              </w:rPr>
            </w:pPr>
            <w:r>
              <w:rPr>
                <w:b/>
                <w:bCs/>
              </w:rPr>
              <w:t>培训班别</w:t>
            </w:r>
          </w:p>
        </w:tc>
        <w:tc>
          <w:tcPr>
            <w:tcW w:w="960" w:type="dxa"/>
            <w:shd w:val="clear" w:color="auto" w:fill="auto"/>
            <w:noWrap/>
            <w:tcMar>
              <w:top w:w="15" w:type="dxa"/>
              <w:left w:w="15" w:type="dxa"/>
              <w:right w:w="15" w:type="dxa"/>
            </w:tcMar>
            <w:vAlign w:val="bottom"/>
          </w:tcPr>
          <w:p w14:paraId="4637540F">
            <w:pPr>
              <w:pStyle w:val="34"/>
              <w:jc w:val="center"/>
              <w:rPr>
                <w:b/>
                <w:bCs/>
              </w:rPr>
            </w:pPr>
            <w:r>
              <w:rPr>
                <w:b/>
                <w:bCs/>
              </w:rPr>
              <w:t>举办期数</w:t>
            </w:r>
          </w:p>
        </w:tc>
        <w:tc>
          <w:tcPr>
            <w:tcW w:w="960" w:type="dxa"/>
            <w:tcBorders>
              <w:right w:val="nil"/>
            </w:tcBorders>
            <w:shd w:val="clear" w:color="auto" w:fill="auto"/>
            <w:noWrap/>
            <w:tcMar>
              <w:top w:w="15" w:type="dxa"/>
              <w:left w:w="15" w:type="dxa"/>
              <w:right w:w="15" w:type="dxa"/>
            </w:tcMar>
            <w:vAlign w:val="bottom"/>
          </w:tcPr>
          <w:p w14:paraId="5093434F">
            <w:pPr>
              <w:pStyle w:val="34"/>
              <w:jc w:val="center"/>
              <w:rPr>
                <w:b/>
                <w:bCs/>
              </w:rPr>
            </w:pPr>
            <w:r>
              <w:rPr>
                <w:rFonts w:hint="eastAsia"/>
                <w:b/>
                <w:bCs/>
              </w:rPr>
              <w:t>参培人数</w:t>
            </w:r>
          </w:p>
        </w:tc>
      </w:tr>
      <w:tr w14:paraId="70479E09">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0" w:type="auto"/>
            <w:tcBorders>
              <w:left w:val="nil"/>
            </w:tcBorders>
            <w:shd w:val="clear" w:color="auto" w:fill="auto"/>
            <w:noWrap/>
            <w:tcMar>
              <w:top w:w="15" w:type="dxa"/>
              <w:left w:w="15" w:type="dxa"/>
              <w:right w:w="15" w:type="dxa"/>
            </w:tcMar>
            <w:vAlign w:val="bottom"/>
          </w:tcPr>
          <w:p w14:paraId="5DD6FF34">
            <w:pPr>
              <w:pStyle w:val="34"/>
              <w:jc w:val="center"/>
            </w:pPr>
            <w:r>
              <w:t>1</w:t>
            </w:r>
          </w:p>
        </w:tc>
        <w:tc>
          <w:tcPr>
            <w:tcW w:w="0" w:type="auto"/>
            <w:shd w:val="clear" w:color="auto" w:fill="auto"/>
            <w:noWrap/>
            <w:tcMar>
              <w:top w:w="15" w:type="dxa"/>
              <w:left w:w="15" w:type="dxa"/>
              <w:right w:w="15" w:type="dxa"/>
            </w:tcMar>
            <w:vAlign w:val="bottom"/>
          </w:tcPr>
          <w:p w14:paraId="533FD342">
            <w:pPr>
              <w:pStyle w:val="34"/>
              <w:jc w:val="center"/>
            </w:pPr>
            <w:r>
              <w:t>3月7-11日</w:t>
            </w:r>
          </w:p>
        </w:tc>
        <w:tc>
          <w:tcPr>
            <w:tcW w:w="0" w:type="auto"/>
            <w:shd w:val="clear" w:color="auto" w:fill="auto"/>
            <w:noWrap/>
            <w:tcMar>
              <w:top w:w="15" w:type="dxa"/>
              <w:left w:w="15" w:type="dxa"/>
              <w:right w:w="15" w:type="dxa"/>
            </w:tcMar>
            <w:vAlign w:val="bottom"/>
          </w:tcPr>
          <w:p w14:paraId="0AF36616">
            <w:pPr>
              <w:pStyle w:val="34"/>
              <w:jc w:val="center"/>
            </w:pPr>
            <w:r>
              <w:t>妇女干部培训班</w:t>
            </w:r>
          </w:p>
        </w:tc>
        <w:tc>
          <w:tcPr>
            <w:tcW w:w="0" w:type="auto"/>
            <w:shd w:val="clear" w:color="auto" w:fill="auto"/>
            <w:noWrap/>
            <w:tcMar>
              <w:top w:w="15" w:type="dxa"/>
              <w:left w:w="15" w:type="dxa"/>
              <w:right w:w="15" w:type="dxa"/>
            </w:tcMar>
            <w:vAlign w:val="bottom"/>
          </w:tcPr>
          <w:p w14:paraId="7672F403">
            <w:pPr>
              <w:pStyle w:val="34"/>
              <w:jc w:val="center"/>
            </w:pPr>
            <w:r>
              <w:t>1</w:t>
            </w:r>
          </w:p>
        </w:tc>
        <w:tc>
          <w:tcPr>
            <w:tcW w:w="0" w:type="auto"/>
            <w:tcBorders>
              <w:right w:val="nil"/>
            </w:tcBorders>
            <w:shd w:val="clear" w:color="auto" w:fill="auto"/>
            <w:noWrap/>
            <w:tcMar>
              <w:top w:w="15" w:type="dxa"/>
              <w:left w:w="15" w:type="dxa"/>
              <w:right w:w="15" w:type="dxa"/>
            </w:tcMar>
            <w:vAlign w:val="bottom"/>
          </w:tcPr>
          <w:p w14:paraId="5AD6B316">
            <w:pPr>
              <w:pStyle w:val="34"/>
              <w:jc w:val="center"/>
            </w:pPr>
            <w:r>
              <w:t>56</w:t>
            </w:r>
          </w:p>
        </w:tc>
      </w:tr>
      <w:tr w14:paraId="6165BEE6">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0" w:type="auto"/>
            <w:tcBorders>
              <w:left w:val="nil"/>
            </w:tcBorders>
            <w:shd w:val="clear" w:color="auto" w:fill="auto"/>
            <w:noWrap/>
            <w:tcMar>
              <w:top w:w="15" w:type="dxa"/>
              <w:left w:w="15" w:type="dxa"/>
              <w:right w:w="15" w:type="dxa"/>
            </w:tcMar>
            <w:vAlign w:val="bottom"/>
          </w:tcPr>
          <w:p w14:paraId="6592724E">
            <w:pPr>
              <w:pStyle w:val="34"/>
              <w:jc w:val="center"/>
            </w:pPr>
            <w:r>
              <w:t>2</w:t>
            </w:r>
          </w:p>
        </w:tc>
        <w:tc>
          <w:tcPr>
            <w:tcW w:w="0" w:type="auto"/>
            <w:shd w:val="clear" w:color="auto" w:fill="auto"/>
            <w:noWrap/>
            <w:tcMar>
              <w:top w:w="15" w:type="dxa"/>
              <w:left w:w="15" w:type="dxa"/>
              <w:right w:w="15" w:type="dxa"/>
            </w:tcMar>
            <w:vAlign w:val="bottom"/>
          </w:tcPr>
          <w:p w14:paraId="4E8325B3">
            <w:pPr>
              <w:pStyle w:val="34"/>
              <w:jc w:val="center"/>
            </w:pPr>
            <w:r>
              <w:t>4月13-17日</w:t>
            </w:r>
          </w:p>
        </w:tc>
        <w:tc>
          <w:tcPr>
            <w:tcW w:w="0" w:type="auto"/>
            <w:shd w:val="clear" w:color="auto" w:fill="auto"/>
            <w:noWrap/>
            <w:tcMar>
              <w:top w:w="15" w:type="dxa"/>
              <w:left w:w="15" w:type="dxa"/>
              <w:right w:w="15" w:type="dxa"/>
            </w:tcMar>
            <w:vAlign w:val="bottom"/>
          </w:tcPr>
          <w:p w14:paraId="1ABFD42F">
            <w:pPr>
              <w:pStyle w:val="34"/>
              <w:jc w:val="center"/>
            </w:pPr>
            <w:r>
              <w:t>会计继续教育培训</w:t>
            </w:r>
          </w:p>
        </w:tc>
        <w:tc>
          <w:tcPr>
            <w:tcW w:w="0" w:type="auto"/>
            <w:shd w:val="clear" w:color="auto" w:fill="auto"/>
            <w:noWrap/>
            <w:tcMar>
              <w:top w:w="15" w:type="dxa"/>
              <w:left w:w="15" w:type="dxa"/>
              <w:right w:w="15" w:type="dxa"/>
            </w:tcMar>
            <w:vAlign w:val="bottom"/>
          </w:tcPr>
          <w:p w14:paraId="301B5A9F">
            <w:pPr>
              <w:pStyle w:val="34"/>
              <w:jc w:val="center"/>
            </w:pPr>
            <w:r>
              <w:t>8</w:t>
            </w:r>
          </w:p>
        </w:tc>
        <w:tc>
          <w:tcPr>
            <w:tcW w:w="0" w:type="auto"/>
            <w:tcBorders>
              <w:right w:val="nil"/>
            </w:tcBorders>
            <w:shd w:val="clear" w:color="auto" w:fill="auto"/>
            <w:noWrap/>
            <w:tcMar>
              <w:top w:w="15" w:type="dxa"/>
              <w:left w:w="15" w:type="dxa"/>
              <w:right w:w="15" w:type="dxa"/>
            </w:tcMar>
            <w:vAlign w:val="bottom"/>
          </w:tcPr>
          <w:p w14:paraId="6AD85694">
            <w:pPr>
              <w:pStyle w:val="34"/>
              <w:jc w:val="center"/>
            </w:pPr>
            <w:r>
              <w:t>722</w:t>
            </w:r>
          </w:p>
        </w:tc>
      </w:tr>
      <w:tr w14:paraId="51C0CC05">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0" w:type="auto"/>
            <w:tcBorders>
              <w:left w:val="nil"/>
            </w:tcBorders>
            <w:shd w:val="clear" w:color="auto" w:fill="auto"/>
            <w:noWrap/>
            <w:tcMar>
              <w:top w:w="15" w:type="dxa"/>
              <w:left w:w="15" w:type="dxa"/>
              <w:right w:w="15" w:type="dxa"/>
            </w:tcMar>
            <w:vAlign w:val="bottom"/>
          </w:tcPr>
          <w:p w14:paraId="7168B203">
            <w:pPr>
              <w:pStyle w:val="34"/>
              <w:jc w:val="center"/>
            </w:pPr>
            <w:r>
              <w:t>3</w:t>
            </w:r>
          </w:p>
        </w:tc>
        <w:tc>
          <w:tcPr>
            <w:tcW w:w="0" w:type="auto"/>
            <w:shd w:val="clear" w:color="auto" w:fill="auto"/>
            <w:noWrap/>
            <w:tcMar>
              <w:top w:w="15" w:type="dxa"/>
              <w:left w:w="15" w:type="dxa"/>
              <w:right w:w="15" w:type="dxa"/>
            </w:tcMar>
            <w:vAlign w:val="bottom"/>
          </w:tcPr>
          <w:p w14:paraId="0246DA31">
            <w:pPr>
              <w:pStyle w:val="34"/>
              <w:jc w:val="center"/>
            </w:pPr>
            <w:r>
              <w:t>4月18-23日</w:t>
            </w:r>
          </w:p>
        </w:tc>
        <w:tc>
          <w:tcPr>
            <w:tcW w:w="0" w:type="auto"/>
            <w:shd w:val="clear" w:color="auto" w:fill="auto"/>
            <w:noWrap/>
            <w:tcMar>
              <w:top w:w="15" w:type="dxa"/>
              <w:left w:w="15" w:type="dxa"/>
              <w:right w:w="15" w:type="dxa"/>
            </w:tcMar>
            <w:vAlign w:val="bottom"/>
          </w:tcPr>
          <w:p w14:paraId="4736140B">
            <w:pPr>
              <w:pStyle w:val="34"/>
              <w:jc w:val="center"/>
            </w:pPr>
            <w:r>
              <w:t>入党积极分子培训班</w:t>
            </w:r>
          </w:p>
        </w:tc>
        <w:tc>
          <w:tcPr>
            <w:tcW w:w="0" w:type="auto"/>
            <w:shd w:val="clear" w:color="auto" w:fill="auto"/>
            <w:noWrap/>
            <w:tcMar>
              <w:top w:w="15" w:type="dxa"/>
              <w:left w:w="15" w:type="dxa"/>
              <w:right w:w="15" w:type="dxa"/>
            </w:tcMar>
            <w:vAlign w:val="bottom"/>
          </w:tcPr>
          <w:p w14:paraId="512AAA00">
            <w:pPr>
              <w:pStyle w:val="34"/>
              <w:jc w:val="center"/>
            </w:pPr>
            <w:r>
              <w:rPr>
                <w:rFonts w:hint="eastAsia"/>
              </w:rPr>
              <w:t>1</w:t>
            </w:r>
          </w:p>
        </w:tc>
        <w:tc>
          <w:tcPr>
            <w:tcW w:w="0" w:type="auto"/>
            <w:tcBorders>
              <w:right w:val="nil"/>
            </w:tcBorders>
            <w:shd w:val="clear" w:color="auto" w:fill="auto"/>
            <w:noWrap/>
            <w:tcMar>
              <w:top w:w="15" w:type="dxa"/>
              <w:left w:w="15" w:type="dxa"/>
              <w:right w:w="15" w:type="dxa"/>
            </w:tcMar>
            <w:vAlign w:val="bottom"/>
          </w:tcPr>
          <w:p w14:paraId="2C40DD72">
            <w:pPr>
              <w:pStyle w:val="34"/>
              <w:jc w:val="center"/>
            </w:pPr>
            <w:r>
              <w:t>80</w:t>
            </w:r>
          </w:p>
        </w:tc>
      </w:tr>
      <w:tr w14:paraId="557F851E">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0" w:type="auto"/>
            <w:tcBorders>
              <w:left w:val="nil"/>
            </w:tcBorders>
            <w:shd w:val="clear" w:color="auto" w:fill="auto"/>
            <w:noWrap/>
            <w:tcMar>
              <w:top w:w="15" w:type="dxa"/>
              <w:left w:w="15" w:type="dxa"/>
              <w:right w:w="15" w:type="dxa"/>
            </w:tcMar>
            <w:vAlign w:val="bottom"/>
          </w:tcPr>
          <w:p w14:paraId="73A8CABA">
            <w:pPr>
              <w:pStyle w:val="34"/>
              <w:jc w:val="center"/>
            </w:pPr>
            <w:r>
              <w:t>4</w:t>
            </w:r>
          </w:p>
        </w:tc>
        <w:tc>
          <w:tcPr>
            <w:tcW w:w="0" w:type="auto"/>
            <w:shd w:val="clear" w:color="auto" w:fill="auto"/>
            <w:noWrap/>
            <w:tcMar>
              <w:top w:w="15" w:type="dxa"/>
              <w:left w:w="15" w:type="dxa"/>
              <w:right w:w="15" w:type="dxa"/>
            </w:tcMar>
            <w:vAlign w:val="bottom"/>
          </w:tcPr>
          <w:p w14:paraId="6BD4F406">
            <w:pPr>
              <w:pStyle w:val="34"/>
              <w:jc w:val="center"/>
            </w:pPr>
            <w:r>
              <w:t>4月25-30日</w:t>
            </w:r>
          </w:p>
        </w:tc>
        <w:tc>
          <w:tcPr>
            <w:tcW w:w="0" w:type="auto"/>
            <w:shd w:val="clear" w:color="auto" w:fill="auto"/>
            <w:noWrap/>
            <w:tcMar>
              <w:top w:w="15" w:type="dxa"/>
              <w:left w:w="15" w:type="dxa"/>
              <w:right w:w="15" w:type="dxa"/>
            </w:tcMar>
            <w:vAlign w:val="bottom"/>
          </w:tcPr>
          <w:p w14:paraId="7D030C8D">
            <w:pPr>
              <w:pStyle w:val="34"/>
              <w:jc w:val="center"/>
            </w:pPr>
            <w:r>
              <w:t>新一届村党支部、主任培训班</w:t>
            </w:r>
          </w:p>
        </w:tc>
        <w:tc>
          <w:tcPr>
            <w:tcW w:w="0" w:type="auto"/>
            <w:shd w:val="clear" w:color="auto" w:fill="auto"/>
            <w:noWrap/>
            <w:tcMar>
              <w:top w:w="15" w:type="dxa"/>
              <w:left w:w="15" w:type="dxa"/>
              <w:right w:w="15" w:type="dxa"/>
            </w:tcMar>
            <w:vAlign w:val="bottom"/>
          </w:tcPr>
          <w:p w14:paraId="63F6F6B1">
            <w:pPr>
              <w:pStyle w:val="34"/>
              <w:jc w:val="center"/>
            </w:pPr>
            <w:r>
              <w:t>2</w:t>
            </w:r>
          </w:p>
        </w:tc>
        <w:tc>
          <w:tcPr>
            <w:tcW w:w="0" w:type="auto"/>
            <w:tcBorders>
              <w:right w:val="nil"/>
            </w:tcBorders>
            <w:shd w:val="clear" w:color="auto" w:fill="auto"/>
            <w:noWrap/>
            <w:tcMar>
              <w:top w:w="15" w:type="dxa"/>
              <w:left w:w="15" w:type="dxa"/>
              <w:right w:w="15" w:type="dxa"/>
            </w:tcMar>
            <w:vAlign w:val="bottom"/>
          </w:tcPr>
          <w:p w14:paraId="4FC54ACA">
            <w:pPr>
              <w:pStyle w:val="34"/>
              <w:jc w:val="center"/>
            </w:pPr>
            <w:r>
              <w:t>215</w:t>
            </w:r>
          </w:p>
        </w:tc>
      </w:tr>
      <w:tr w14:paraId="5315C6EC">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0" w:type="auto"/>
            <w:tcBorders>
              <w:left w:val="nil"/>
            </w:tcBorders>
            <w:shd w:val="clear" w:color="auto" w:fill="auto"/>
            <w:noWrap/>
            <w:tcMar>
              <w:top w:w="15" w:type="dxa"/>
              <w:left w:w="15" w:type="dxa"/>
              <w:right w:w="15" w:type="dxa"/>
            </w:tcMar>
            <w:vAlign w:val="bottom"/>
          </w:tcPr>
          <w:p w14:paraId="65E07EA5">
            <w:pPr>
              <w:pStyle w:val="34"/>
              <w:jc w:val="center"/>
            </w:pPr>
            <w:r>
              <w:t>5</w:t>
            </w:r>
          </w:p>
        </w:tc>
        <w:tc>
          <w:tcPr>
            <w:tcW w:w="0" w:type="auto"/>
            <w:shd w:val="clear" w:color="auto" w:fill="auto"/>
            <w:noWrap/>
            <w:tcMar>
              <w:top w:w="15" w:type="dxa"/>
              <w:left w:w="15" w:type="dxa"/>
              <w:right w:w="15" w:type="dxa"/>
            </w:tcMar>
            <w:vAlign w:val="bottom"/>
          </w:tcPr>
          <w:p w14:paraId="19125B97">
            <w:pPr>
              <w:pStyle w:val="34"/>
              <w:jc w:val="center"/>
            </w:pPr>
            <w:r>
              <w:t>5月12-13日</w:t>
            </w:r>
          </w:p>
        </w:tc>
        <w:tc>
          <w:tcPr>
            <w:tcW w:w="0" w:type="auto"/>
            <w:shd w:val="clear" w:color="auto" w:fill="auto"/>
            <w:noWrap/>
            <w:tcMar>
              <w:top w:w="15" w:type="dxa"/>
              <w:left w:w="15" w:type="dxa"/>
              <w:right w:w="15" w:type="dxa"/>
            </w:tcMar>
            <w:vAlign w:val="bottom"/>
          </w:tcPr>
          <w:p w14:paraId="5D7E0908">
            <w:pPr>
              <w:pStyle w:val="34"/>
              <w:jc w:val="center"/>
            </w:pPr>
            <w:r>
              <w:t>职业烟农培训班</w:t>
            </w:r>
          </w:p>
        </w:tc>
        <w:tc>
          <w:tcPr>
            <w:tcW w:w="0" w:type="auto"/>
            <w:shd w:val="clear" w:color="auto" w:fill="auto"/>
            <w:noWrap/>
            <w:tcMar>
              <w:top w:w="15" w:type="dxa"/>
              <w:left w:w="15" w:type="dxa"/>
              <w:right w:w="15" w:type="dxa"/>
            </w:tcMar>
            <w:vAlign w:val="bottom"/>
          </w:tcPr>
          <w:p w14:paraId="12B1A33D">
            <w:pPr>
              <w:pStyle w:val="34"/>
              <w:jc w:val="center"/>
            </w:pPr>
            <w:r>
              <w:rPr>
                <w:rFonts w:hint="eastAsia"/>
              </w:rPr>
              <w:t>1</w:t>
            </w:r>
          </w:p>
        </w:tc>
        <w:tc>
          <w:tcPr>
            <w:tcW w:w="0" w:type="auto"/>
            <w:tcBorders>
              <w:right w:val="nil"/>
            </w:tcBorders>
            <w:shd w:val="clear" w:color="auto" w:fill="auto"/>
            <w:noWrap/>
            <w:tcMar>
              <w:top w:w="15" w:type="dxa"/>
              <w:left w:w="15" w:type="dxa"/>
              <w:right w:w="15" w:type="dxa"/>
            </w:tcMar>
            <w:vAlign w:val="bottom"/>
          </w:tcPr>
          <w:p w14:paraId="10B10125">
            <w:pPr>
              <w:pStyle w:val="34"/>
              <w:jc w:val="center"/>
            </w:pPr>
            <w:r>
              <w:t>80</w:t>
            </w:r>
          </w:p>
        </w:tc>
      </w:tr>
      <w:tr w14:paraId="353C39B4">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0" w:type="auto"/>
            <w:tcBorders>
              <w:left w:val="nil"/>
            </w:tcBorders>
            <w:shd w:val="clear" w:color="auto" w:fill="auto"/>
            <w:noWrap/>
            <w:tcMar>
              <w:top w:w="15" w:type="dxa"/>
              <w:left w:w="15" w:type="dxa"/>
              <w:right w:w="15" w:type="dxa"/>
            </w:tcMar>
            <w:vAlign w:val="bottom"/>
          </w:tcPr>
          <w:p w14:paraId="7DBD254E">
            <w:pPr>
              <w:pStyle w:val="34"/>
              <w:jc w:val="center"/>
            </w:pPr>
            <w:r>
              <w:t>6</w:t>
            </w:r>
          </w:p>
        </w:tc>
        <w:tc>
          <w:tcPr>
            <w:tcW w:w="0" w:type="auto"/>
            <w:shd w:val="clear" w:color="auto" w:fill="auto"/>
            <w:noWrap/>
            <w:tcMar>
              <w:top w:w="15" w:type="dxa"/>
              <w:left w:w="15" w:type="dxa"/>
              <w:right w:w="15" w:type="dxa"/>
            </w:tcMar>
            <w:vAlign w:val="bottom"/>
          </w:tcPr>
          <w:p w14:paraId="260C3998">
            <w:pPr>
              <w:pStyle w:val="34"/>
              <w:jc w:val="center"/>
            </w:pPr>
            <w:r>
              <w:t>8月6-12日</w:t>
            </w:r>
          </w:p>
        </w:tc>
        <w:tc>
          <w:tcPr>
            <w:tcW w:w="0" w:type="auto"/>
            <w:shd w:val="clear" w:color="auto" w:fill="auto"/>
            <w:noWrap/>
            <w:tcMar>
              <w:top w:w="15" w:type="dxa"/>
              <w:left w:w="15" w:type="dxa"/>
              <w:right w:w="15" w:type="dxa"/>
            </w:tcMar>
            <w:vAlign w:val="bottom"/>
          </w:tcPr>
          <w:p w14:paraId="6B7716C5">
            <w:pPr>
              <w:pStyle w:val="34"/>
              <w:jc w:val="center"/>
            </w:pPr>
            <w:r>
              <w:t>林业系统新聘事业单位工作人员岗前培训班</w:t>
            </w:r>
          </w:p>
        </w:tc>
        <w:tc>
          <w:tcPr>
            <w:tcW w:w="0" w:type="auto"/>
            <w:shd w:val="clear" w:color="auto" w:fill="auto"/>
            <w:noWrap/>
            <w:tcMar>
              <w:top w:w="15" w:type="dxa"/>
              <w:left w:w="15" w:type="dxa"/>
              <w:right w:w="15" w:type="dxa"/>
            </w:tcMar>
            <w:vAlign w:val="bottom"/>
          </w:tcPr>
          <w:p w14:paraId="60BB7CEB">
            <w:pPr>
              <w:pStyle w:val="34"/>
              <w:jc w:val="center"/>
            </w:pPr>
            <w:r>
              <w:t>1</w:t>
            </w:r>
          </w:p>
        </w:tc>
        <w:tc>
          <w:tcPr>
            <w:tcW w:w="0" w:type="auto"/>
            <w:tcBorders>
              <w:right w:val="nil"/>
            </w:tcBorders>
            <w:shd w:val="clear" w:color="auto" w:fill="auto"/>
            <w:noWrap/>
            <w:tcMar>
              <w:top w:w="15" w:type="dxa"/>
              <w:left w:w="15" w:type="dxa"/>
              <w:right w:w="15" w:type="dxa"/>
            </w:tcMar>
            <w:vAlign w:val="bottom"/>
          </w:tcPr>
          <w:p w14:paraId="7C84416A">
            <w:pPr>
              <w:pStyle w:val="34"/>
              <w:jc w:val="center"/>
            </w:pPr>
            <w:r>
              <w:t>92</w:t>
            </w:r>
          </w:p>
        </w:tc>
      </w:tr>
      <w:tr w14:paraId="47909867">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0" w:type="auto"/>
            <w:tcBorders>
              <w:left w:val="nil"/>
            </w:tcBorders>
            <w:shd w:val="clear" w:color="auto" w:fill="auto"/>
            <w:noWrap/>
            <w:tcMar>
              <w:top w:w="15" w:type="dxa"/>
              <w:left w:w="15" w:type="dxa"/>
              <w:right w:w="15" w:type="dxa"/>
            </w:tcMar>
            <w:vAlign w:val="bottom"/>
          </w:tcPr>
          <w:p w14:paraId="6C3B1D22">
            <w:pPr>
              <w:pStyle w:val="34"/>
              <w:jc w:val="center"/>
            </w:pPr>
            <w:r>
              <w:t>7</w:t>
            </w:r>
          </w:p>
        </w:tc>
        <w:tc>
          <w:tcPr>
            <w:tcW w:w="0" w:type="auto"/>
            <w:shd w:val="clear" w:color="auto" w:fill="auto"/>
            <w:noWrap/>
            <w:tcMar>
              <w:top w:w="15" w:type="dxa"/>
              <w:left w:w="15" w:type="dxa"/>
              <w:right w:w="15" w:type="dxa"/>
            </w:tcMar>
            <w:vAlign w:val="bottom"/>
          </w:tcPr>
          <w:p w14:paraId="551AEB82">
            <w:pPr>
              <w:pStyle w:val="34"/>
              <w:jc w:val="center"/>
            </w:pPr>
            <w:r>
              <w:t>9月6日-12月26日</w:t>
            </w:r>
          </w:p>
        </w:tc>
        <w:tc>
          <w:tcPr>
            <w:tcW w:w="0" w:type="auto"/>
            <w:shd w:val="clear" w:color="auto" w:fill="auto"/>
            <w:noWrap/>
            <w:tcMar>
              <w:top w:w="15" w:type="dxa"/>
              <w:left w:w="15" w:type="dxa"/>
              <w:right w:w="15" w:type="dxa"/>
            </w:tcMar>
            <w:vAlign w:val="bottom"/>
          </w:tcPr>
          <w:p w14:paraId="5B025493">
            <w:pPr>
              <w:pStyle w:val="34"/>
              <w:jc w:val="center"/>
            </w:pPr>
            <w:r>
              <w:t>会计从业资格培训班</w:t>
            </w:r>
          </w:p>
        </w:tc>
        <w:tc>
          <w:tcPr>
            <w:tcW w:w="0" w:type="auto"/>
            <w:shd w:val="clear" w:color="auto" w:fill="auto"/>
            <w:noWrap/>
            <w:tcMar>
              <w:top w:w="15" w:type="dxa"/>
              <w:left w:w="15" w:type="dxa"/>
              <w:right w:w="15" w:type="dxa"/>
            </w:tcMar>
            <w:vAlign w:val="bottom"/>
          </w:tcPr>
          <w:p w14:paraId="1CB135DD">
            <w:pPr>
              <w:pStyle w:val="34"/>
              <w:jc w:val="center"/>
            </w:pPr>
            <w:r>
              <w:rPr>
                <w:rFonts w:hint="eastAsia"/>
              </w:rPr>
              <w:t>1</w:t>
            </w:r>
          </w:p>
        </w:tc>
        <w:tc>
          <w:tcPr>
            <w:tcW w:w="0" w:type="auto"/>
            <w:tcBorders>
              <w:right w:val="nil"/>
            </w:tcBorders>
            <w:shd w:val="clear" w:color="auto" w:fill="auto"/>
            <w:noWrap/>
            <w:tcMar>
              <w:top w:w="15" w:type="dxa"/>
              <w:left w:w="15" w:type="dxa"/>
              <w:right w:w="15" w:type="dxa"/>
            </w:tcMar>
            <w:vAlign w:val="bottom"/>
          </w:tcPr>
          <w:p w14:paraId="339249E8">
            <w:pPr>
              <w:pStyle w:val="34"/>
              <w:jc w:val="center"/>
            </w:pPr>
            <w:r>
              <w:t>105</w:t>
            </w:r>
          </w:p>
        </w:tc>
      </w:tr>
      <w:tr w14:paraId="2A2A24FC">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0" w:type="auto"/>
            <w:tcBorders>
              <w:left w:val="nil"/>
            </w:tcBorders>
            <w:shd w:val="clear" w:color="auto" w:fill="auto"/>
            <w:noWrap/>
            <w:tcMar>
              <w:top w:w="15" w:type="dxa"/>
              <w:left w:w="15" w:type="dxa"/>
              <w:right w:w="15" w:type="dxa"/>
            </w:tcMar>
            <w:vAlign w:val="bottom"/>
          </w:tcPr>
          <w:p w14:paraId="172D6372">
            <w:pPr>
              <w:pStyle w:val="34"/>
              <w:jc w:val="center"/>
            </w:pPr>
            <w:r>
              <w:t>8</w:t>
            </w:r>
          </w:p>
        </w:tc>
        <w:tc>
          <w:tcPr>
            <w:tcW w:w="0" w:type="auto"/>
            <w:shd w:val="clear" w:color="auto" w:fill="auto"/>
            <w:noWrap/>
            <w:tcMar>
              <w:top w:w="15" w:type="dxa"/>
              <w:left w:w="15" w:type="dxa"/>
              <w:right w:w="15" w:type="dxa"/>
            </w:tcMar>
            <w:vAlign w:val="bottom"/>
          </w:tcPr>
          <w:p w14:paraId="5F945738">
            <w:pPr>
              <w:pStyle w:val="34"/>
              <w:jc w:val="center"/>
            </w:pPr>
            <w:r>
              <w:t>9月19日-11月7日</w:t>
            </w:r>
          </w:p>
        </w:tc>
        <w:tc>
          <w:tcPr>
            <w:tcW w:w="0" w:type="auto"/>
            <w:shd w:val="clear" w:color="auto" w:fill="auto"/>
            <w:noWrap/>
            <w:tcMar>
              <w:top w:w="15" w:type="dxa"/>
              <w:left w:w="15" w:type="dxa"/>
              <w:right w:w="15" w:type="dxa"/>
            </w:tcMar>
            <w:vAlign w:val="bottom"/>
          </w:tcPr>
          <w:p w14:paraId="69FFB330">
            <w:pPr>
              <w:pStyle w:val="34"/>
              <w:jc w:val="center"/>
            </w:pPr>
            <w:r>
              <w:t>公务员全员培训班</w:t>
            </w:r>
          </w:p>
        </w:tc>
        <w:tc>
          <w:tcPr>
            <w:tcW w:w="0" w:type="auto"/>
            <w:shd w:val="clear" w:color="auto" w:fill="auto"/>
            <w:noWrap/>
            <w:tcMar>
              <w:top w:w="15" w:type="dxa"/>
              <w:left w:w="15" w:type="dxa"/>
              <w:right w:w="15" w:type="dxa"/>
            </w:tcMar>
            <w:vAlign w:val="bottom"/>
          </w:tcPr>
          <w:p w14:paraId="7FD79FA1">
            <w:pPr>
              <w:pStyle w:val="34"/>
              <w:jc w:val="center"/>
            </w:pPr>
            <w:r>
              <w:t>13</w:t>
            </w:r>
          </w:p>
        </w:tc>
        <w:tc>
          <w:tcPr>
            <w:tcW w:w="0" w:type="auto"/>
            <w:tcBorders>
              <w:right w:val="nil"/>
            </w:tcBorders>
            <w:shd w:val="clear" w:color="auto" w:fill="auto"/>
            <w:noWrap/>
            <w:tcMar>
              <w:top w:w="15" w:type="dxa"/>
              <w:left w:w="15" w:type="dxa"/>
              <w:right w:w="15" w:type="dxa"/>
            </w:tcMar>
            <w:vAlign w:val="bottom"/>
          </w:tcPr>
          <w:p w14:paraId="32938AE7">
            <w:pPr>
              <w:pStyle w:val="34"/>
              <w:jc w:val="center"/>
            </w:pPr>
            <w:r>
              <w:t>1884</w:t>
            </w:r>
          </w:p>
        </w:tc>
      </w:tr>
      <w:tr w14:paraId="20881041">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0" w:type="auto"/>
            <w:tcBorders>
              <w:left w:val="nil"/>
            </w:tcBorders>
            <w:shd w:val="clear" w:color="auto" w:fill="auto"/>
            <w:noWrap/>
            <w:tcMar>
              <w:top w:w="15" w:type="dxa"/>
              <w:left w:w="15" w:type="dxa"/>
              <w:right w:w="15" w:type="dxa"/>
            </w:tcMar>
            <w:vAlign w:val="bottom"/>
          </w:tcPr>
          <w:p w14:paraId="5458CA9F">
            <w:pPr>
              <w:pStyle w:val="34"/>
              <w:jc w:val="center"/>
            </w:pPr>
            <w:r>
              <w:t>9</w:t>
            </w:r>
          </w:p>
        </w:tc>
        <w:tc>
          <w:tcPr>
            <w:tcW w:w="0" w:type="auto"/>
            <w:shd w:val="clear" w:color="auto" w:fill="auto"/>
            <w:noWrap/>
            <w:tcMar>
              <w:top w:w="15" w:type="dxa"/>
              <w:left w:w="15" w:type="dxa"/>
              <w:right w:w="15" w:type="dxa"/>
            </w:tcMar>
            <w:vAlign w:val="bottom"/>
          </w:tcPr>
          <w:p w14:paraId="3D0EF2BE">
            <w:pPr>
              <w:pStyle w:val="34"/>
              <w:jc w:val="center"/>
            </w:pPr>
            <w:r>
              <w:t>10月8-17日</w:t>
            </w:r>
          </w:p>
        </w:tc>
        <w:tc>
          <w:tcPr>
            <w:tcW w:w="0" w:type="auto"/>
            <w:shd w:val="clear" w:color="auto" w:fill="auto"/>
            <w:noWrap/>
            <w:tcMar>
              <w:top w:w="15" w:type="dxa"/>
              <w:left w:w="15" w:type="dxa"/>
              <w:right w:w="15" w:type="dxa"/>
            </w:tcMar>
            <w:vAlign w:val="bottom"/>
          </w:tcPr>
          <w:p w14:paraId="340BB4C6">
            <w:pPr>
              <w:pStyle w:val="34"/>
              <w:jc w:val="center"/>
            </w:pPr>
            <w:r>
              <w:t>农村创业青年培训班</w:t>
            </w:r>
          </w:p>
        </w:tc>
        <w:tc>
          <w:tcPr>
            <w:tcW w:w="0" w:type="auto"/>
            <w:shd w:val="clear" w:color="auto" w:fill="auto"/>
            <w:noWrap/>
            <w:tcMar>
              <w:top w:w="15" w:type="dxa"/>
              <w:left w:w="15" w:type="dxa"/>
              <w:right w:w="15" w:type="dxa"/>
            </w:tcMar>
            <w:vAlign w:val="bottom"/>
          </w:tcPr>
          <w:p w14:paraId="16D5719B">
            <w:pPr>
              <w:pStyle w:val="34"/>
              <w:jc w:val="center"/>
            </w:pPr>
            <w:r>
              <w:t>5</w:t>
            </w:r>
          </w:p>
        </w:tc>
        <w:tc>
          <w:tcPr>
            <w:tcW w:w="0" w:type="auto"/>
            <w:tcBorders>
              <w:right w:val="nil"/>
            </w:tcBorders>
            <w:shd w:val="clear" w:color="auto" w:fill="auto"/>
            <w:noWrap/>
            <w:tcMar>
              <w:top w:w="15" w:type="dxa"/>
              <w:left w:w="15" w:type="dxa"/>
              <w:right w:w="15" w:type="dxa"/>
            </w:tcMar>
            <w:vAlign w:val="bottom"/>
          </w:tcPr>
          <w:p w14:paraId="18263557">
            <w:pPr>
              <w:pStyle w:val="34"/>
              <w:jc w:val="center"/>
            </w:pPr>
            <w:r>
              <w:t>500</w:t>
            </w:r>
          </w:p>
        </w:tc>
      </w:tr>
      <w:tr w14:paraId="245B09D5">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0" w:type="auto"/>
            <w:tcBorders>
              <w:left w:val="nil"/>
            </w:tcBorders>
            <w:shd w:val="clear" w:color="auto" w:fill="auto"/>
            <w:noWrap/>
            <w:tcMar>
              <w:top w:w="15" w:type="dxa"/>
              <w:left w:w="15" w:type="dxa"/>
              <w:right w:w="15" w:type="dxa"/>
            </w:tcMar>
            <w:vAlign w:val="bottom"/>
          </w:tcPr>
          <w:p w14:paraId="270DF97E">
            <w:pPr>
              <w:pStyle w:val="34"/>
              <w:jc w:val="center"/>
            </w:pPr>
            <w:r>
              <w:t>10</w:t>
            </w:r>
          </w:p>
        </w:tc>
        <w:tc>
          <w:tcPr>
            <w:tcW w:w="0" w:type="auto"/>
            <w:shd w:val="clear" w:color="auto" w:fill="auto"/>
            <w:noWrap/>
            <w:tcMar>
              <w:top w:w="15" w:type="dxa"/>
              <w:left w:w="15" w:type="dxa"/>
              <w:right w:w="15" w:type="dxa"/>
            </w:tcMar>
            <w:vAlign w:val="bottom"/>
          </w:tcPr>
          <w:p w14:paraId="61FA33F5">
            <w:pPr>
              <w:pStyle w:val="34"/>
              <w:jc w:val="center"/>
            </w:pPr>
            <w:r>
              <w:t>11月4-13日</w:t>
            </w:r>
          </w:p>
        </w:tc>
        <w:tc>
          <w:tcPr>
            <w:tcW w:w="0" w:type="auto"/>
            <w:shd w:val="clear" w:color="auto" w:fill="auto"/>
            <w:noWrap/>
            <w:tcMar>
              <w:top w:w="15" w:type="dxa"/>
              <w:left w:w="15" w:type="dxa"/>
              <w:right w:w="15" w:type="dxa"/>
            </w:tcMar>
            <w:vAlign w:val="bottom"/>
          </w:tcPr>
          <w:p w14:paraId="71DCB55B">
            <w:pPr>
              <w:pStyle w:val="34"/>
              <w:jc w:val="center"/>
            </w:pPr>
            <w:r>
              <w:t>新录用公务员初任培训班</w:t>
            </w:r>
          </w:p>
        </w:tc>
        <w:tc>
          <w:tcPr>
            <w:tcW w:w="0" w:type="auto"/>
            <w:shd w:val="clear" w:color="auto" w:fill="auto"/>
            <w:noWrap/>
            <w:tcMar>
              <w:top w:w="15" w:type="dxa"/>
              <w:left w:w="15" w:type="dxa"/>
              <w:right w:w="15" w:type="dxa"/>
            </w:tcMar>
            <w:vAlign w:val="bottom"/>
          </w:tcPr>
          <w:p w14:paraId="1C7503F4">
            <w:pPr>
              <w:pStyle w:val="34"/>
              <w:jc w:val="center"/>
            </w:pPr>
            <w:r>
              <w:t>1</w:t>
            </w:r>
          </w:p>
        </w:tc>
        <w:tc>
          <w:tcPr>
            <w:tcW w:w="0" w:type="auto"/>
            <w:tcBorders>
              <w:right w:val="nil"/>
            </w:tcBorders>
            <w:shd w:val="clear" w:color="auto" w:fill="auto"/>
            <w:noWrap/>
            <w:tcMar>
              <w:top w:w="15" w:type="dxa"/>
              <w:left w:w="15" w:type="dxa"/>
              <w:right w:w="15" w:type="dxa"/>
            </w:tcMar>
            <w:vAlign w:val="bottom"/>
          </w:tcPr>
          <w:p w14:paraId="22C3809F">
            <w:pPr>
              <w:pStyle w:val="34"/>
              <w:jc w:val="center"/>
            </w:pPr>
            <w:r>
              <w:t>78</w:t>
            </w:r>
          </w:p>
        </w:tc>
      </w:tr>
      <w:tr w14:paraId="67FBA6BE">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0" w:type="auto"/>
            <w:tcBorders>
              <w:left w:val="nil"/>
            </w:tcBorders>
            <w:shd w:val="clear" w:color="auto" w:fill="auto"/>
            <w:noWrap/>
            <w:tcMar>
              <w:top w:w="15" w:type="dxa"/>
              <w:left w:w="15" w:type="dxa"/>
              <w:right w:w="15" w:type="dxa"/>
            </w:tcMar>
            <w:vAlign w:val="bottom"/>
          </w:tcPr>
          <w:p w14:paraId="50EE65F6">
            <w:pPr>
              <w:pStyle w:val="34"/>
              <w:jc w:val="center"/>
            </w:pPr>
            <w:r>
              <w:t>11</w:t>
            </w:r>
          </w:p>
        </w:tc>
        <w:tc>
          <w:tcPr>
            <w:tcW w:w="0" w:type="auto"/>
            <w:shd w:val="clear" w:color="auto" w:fill="auto"/>
            <w:noWrap/>
            <w:tcMar>
              <w:top w:w="15" w:type="dxa"/>
              <w:left w:w="15" w:type="dxa"/>
              <w:right w:w="15" w:type="dxa"/>
            </w:tcMar>
            <w:vAlign w:val="bottom"/>
          </w:tcPr>
          <w:p w14:paraId="412C60C4">
            <w:pPr>
              <w:pStyle w:val="34"/>
              <w:jc w:val="center"/>
            </w:pPr>
            <w:r>
              <w:t>11月20日-12月15日</w:t>
            </w:r>
          </w:p>
        </w:tc>
        <w:tc>
          <w:tcPr>
            <w:tcW w:w="0" w:type="auto"/>
            <w:shd w:val="clear" w:color="auto" w:fill="auto"/>
            <w:noWrap/>
            <w:tcMar>
              <w:top w:w="15" w:type="dxa"/>
              <w:left w:w="15" w:type="dxa"/>
              <w:right w:w="15" w:type="dxa"/>
            </w:tcMar>
            <w:vAlign w:val="bottom"/>
          </w:tcPr>
          <w:p w14:paraId="0CB4C43D">
            <w:pPr>
              <w:pStyle w:val="34"/>
              <w:jc w:val="center"/>
            </w:pPr>
            <w:r>
              <w:t>科级干部培训班</w:t>
            </w:r>
          </w:p>
        </w:tc>
        <w:tc>
          <w:tcPr>
            <w:tcW w:w="0" w:type="auto"/>
            <w:shd w:val="clear" w:color="auto" w:fill="auto"/>
            <w:noWrap/>
            <w:tcMar>
              <w:top w:w="15" w:type="dxa"/>
              <w:left w:w="15" w:type="dxa"/>
              <w:right w:w="15" w:type="dxa"/>
            </w:tcMar>
            <w:vAlign w:val="bottom"/>
          </w:tcPr>
          <w:p w14:paraId="13B51470">
            <w:pPr>
              <w:pStyle w:val="34"/>
              <w:jc w:val="center"/>
            </w:pPr>
            <w:r>
              <w:t>2</w:t>
            </w:r>
          </w:p>
        </w:tc>
        <w:tc>
          <w:tcPr>
            <w:tcW w:w="0" w:type="auto"/>
            <w:tcBorders>
              <w:right w:val="nil"/>
            </w:tcBorders>
            <w:shd w:val="clear" w:color="auto" w:fill="auto"/>
            <w:noWrap/>
            <w:tcMar>
              <w:top w:w="15" w:type="dxa"/>
              <w:left w:w="15" w:type="dxa"/>
              <w:right w:w="15" w:type="dxa"/>
            </w:tcMar>
            <w:vAlign w:val="bottom"/>
          </w:tcPr>
          <w:p w14:paraId="517B5613">
            <w:pPr>
              <w:pStyle w:val="34"/>
              <w:jc w:val="center"/>
            </w:pPr>
            <w:r>
              <w:t>260</w:t>
            </w:r>
          </w:p>
        </w:tc>
      </w:tr>
      <w:tr w14:paraId="0E3F3453">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0" w:type="auto"/>
            <w:gridSpan w:val="3"/>
            <w:tcBorders>
              <w:left w:val="nil"/>
            </w:tcBorders>
            <w:shd w:val="clear" w:color="auto" w:fill="auto"/>
            <w:noWrap/>
            <w:tcMar>
              <w:top w:w="15" w:type="dxa"/>
              <w:left w:w="15" w:type="dxa"/>
              <w:right w:w="15" w:type="dxa"/>
            </w:tcMar>
            <w:vAlign w:val="bottom"/>
          </w:tcPr>
          <w:p w14:paraId="09DC4E05">
            <w:pPr>
              <w:pStyle w:val="34"/>
              <w:jc w:val="center"/>
            </w:pPr>
            <w:r>
              <w:t>合计</w:t>
            </w:r>
          </w:p>
        </w:tc>
        <w:tc>
          <w:tcPr>
            <w:tcW w:w="0" w:type="auto"/>
            <w:shd w:val="clear" w:color="auto" w:fill="auto"/>
            <w:noWrap/>
            <w:tcMar>
              <w:top w:w="15" w:type="dxa"/>
              <w:left w:w="15" w:type="dxa"/>
              <w:right w:w="15" w:type="dxa"/>
            </w:tcMar>
            <w:vAlign w:val="bottom"/>
          </w:tcPr>
          <w:p w14:paraId="59C4A09A">
            <w:pPr>
              <w:pStyle w:val="34"/>
              <w:jc w:val="center"/>
            </w:pPr>
            <w:r>
              <w:t>36</w:t>
            </w:r>
          </w:p>
        </w:tc>
        <w:tc>
          <w:tcPr>
            <w:tcW w:w="0" w:type="auto"/>
            <w:tcBorders>
              <w:right w:val="nil"/>
            </w:tcBorders>
            <w:shd w:val="clear" w:color="auto" w:fill="auto"/>
            <w:noWrap/>
            <w:tcMar>
              <w:top w:w="15" w:type="dxa"/>
              <w:left w:w="15" w:type="dxa"/>
              <w:right w:w="15" w:type="dxa"/>
            </w:tcMar>
            <w:vAlign w:val="bottom"/>
          </w:tcPr>
          <w:p w14:paraId="2A479DFA">
            <w:pPr>
              <w:pStyle w:val="34"/>
              <w:jc w:val="center"/>
            </w:pPr>
            <w:r>
              <w:t>4072</w:t>
            </w:r>
          </w:p>
        </w:tc>
      </w:tr>
    </w:tbl>
    <w:p w14:paraId="1A736A90">
      <w:pPr>
        <w:ind w:firstLine="420"/>
        <w:jc w:val="center"/>
      </w:pPr>
    </w:p>
    <w:p w14:paraId="5BCAD877">
      <w:pPr>
        <w:pStyle w:val="4"/>
      </w:pPr>
      <w:r>
        <w:rPr>
          <w:rFonts w:hint="eastAsia"/>
        </w:rPr>
        <w:t>【学历教育】</w:t>
      </w:r>
    </w:p>
    <w:p w14:paraId="7299A5AF">
      <w:pPr>
        <w:ind w:firstLine="420"/>
      </w:pPr>
      <w:r>
        <w:rPr>
          <w:rFonts w:hint="eastAsia"/>
        </w:rPr>
        <w:t>在教学管理上，该校抓常规管理，建立健全各项规章制度，严格执行考试纪律。要求班主任抓好学员的思想教育工作，提高学员的到课率；科任教师备好课、上好课，重视教学的研究与反思，改进教学工作，作业的布置与批改有针对性和实效性。2011年，学校采取与上级各类院校联合办学的方法，共开设中央党校法律专业函授、开放教育行政管理、法学、英语、汉语言文学等专业本科班，法学、行政管理、计算机应用、会计、小学教育等专业专科班。春、秋两季入学新生共516人，其中专科学生336人、本科学生180人，全校迎，主办单位满意。经韶关市委党校考核，2011年学校获得韶关党校分校办学质量评估一等奖，派出6位教师满意率全部达到特优等次（95%以上）。2011年，该校加强与市委组织部、市委统战部、市人事局、市教育局、市劳动和社会保障局、市直机关工委等（单位）部门的联系。开展党员干部、国家公务员和返乡农民工培训，共举办36期各级各类培训班，参培人数达4072人，具体情况列表如下：各级各类培训情况在校学生837人。2011年毕业生289人，其中，中央电大开放教育专业本科班84人，中央电大开放教育试点专业大专班205人。</w:t>
      </w:r>
    </w:p>
    <w:p w14:paraId="236FE3A4">
      <w:pPr>
        <w:pStyle w:val="4"/>
      </w:pPr>
      <w:r>
        <w:rPr>
          <w:rFonts w:hint="eastAsia"/>
        </w:rPr>
        <w:t>【科研工作】</w:t>
      </w:r>
    </w:p>
    <w:p w14:paraId="4A09424E">
      <w:pPr>
        <w:ind w:firstLine="420"/>
      </w:pPr>
      <w:r>
        <w:rPr>
          <w:rFonts w:hint="eastAsia"/>
        </w:rPr>
        <w:t>学校贯彻《中国共产党党校工作条例》，强化“科研立校”意识，采取多项措施，加大科研支持力度，突出科研工作重点，强化科研工作的组织管理，制定《教研活动管理制度》和一系列的奖惩措施，促进科研水平提高，教师的“科研兴教”意识增强，理论研讨和调查研究工作强化。4位教师撰文参加韶关市党校系统理论研讨会，其中获优秀论文奖1篇，入选论文奖3篇。                             （董书辉）</w:t>
      </w:r>
    </w:p>
    <w:p w14:paraId="23DBD2F2">
      <w:pPr>
        <w:ind w:firstLine="0" w:firstLineChars="0"/>
        <w:rPr>
          <w:b/>
          <w:bCs/>
        </w:rPr>
      </w:pPr>
      <w:r>
        <w:rPr>
          <w:rFonts w:hint="eastAsia"/>
          <w:b/>
          <w:bCs/>
        </w:rPr>
        <w:t>附：2011年市委党校领导班子成员名单：</w:t>
      </w:r>
    </w:p>
    <w:p w14:paraId="26B52A4D">
      <w:pPr>
        <w:ind w:firstLine="0" w:firstLineChars="0"/>
      </w:pPr>
      <w:r>
        <w:rPr>
          <w:rFonts w:hint="eastAsia"/>
        </w:rPr>
        <w:t>校 长（兼）：王荣光</w:t>
      </w:r>
    </w:p>
    <w:p w14:paraId="62EF0A29">
      <w:pPr>
        <w:ind w:firstLine="0" w:firstLineChars="0"/>
      </w:pPr>
      <w:r>
        <w:rPr>
          <w:rFonts w:hint="eastAsia"/>
        </w:rPr>
        <w:t>常务副校长：何坚</w:t>
      </w:r>
    </w:p>
    <w:p w14:paraId="2D56B3D0">
      <w:pPr>
        <w:ind w:firstLine="0" w:firstLineChars="0"/>
      </w:pPr>
      <w:r>
        <w:rPr>
          <w:rFonts w:hint="eastAsia"/>
        </w:rPr>
        <w:t>副 校 长：何文清 冯振根 何英钊</w:t>
      </w:r>
    </w:p>
    <w:p w14:paraId="049313EF">
      <w:pPr>
        <w:ind w:firstLine="0" w:firstLineChars="0"/>
      </w:pPr>
      <w:r>
        <w:rPr>
          <w:rFonts w:hint="eastAsia"/>
        </w:rPr>
        <w:t>工会主席：邓宇行</w:t>
      </w:r>
    </w:p>
    <w:p w14:paraId="15042521">
      <w:pPr>
        <w:pStyle w:val="3"/>
      </w:pPr>
      <w:r>
        <w:rPr>
          <w:rFonts w:hint="eastAsia"/>
        </w:rPr>
        <w:t>史志工作</w:t>
      </w:r>
    </w:p>
    <w:p w14:paraId="1FAE303F">
      <w:pPr>
        <w:pStyle w:val="4"/>
      </w:pPr>
      <w:r>
        <w:rPr>
          <w:rFonts w:hint="eastAsia"/>
        </w:rPr>
        <w:t>【概况】</w:t>
      </w:r>
    </w:p>
    <w:p w14:paraId="61D7C7FA">
      <w:pPr>
        <w:ind w:firstLine="420"/>
      </w:pPr>
      <w:r>
        <w:rPr>
          <w:rFonts w:hint="eastAsia"/>
        </w:rPr>
        <w:t>南雄市史志办公室（简称市史志办），设置于2002年2月1日，为市委直属正科级事业单位，赋予行政职能，不再保留市志办和党史研究室。内设置3个股：方志股、党史股、人秘股。事业编制6名，其中领导职数3名（1正2副），其他干部3名（其中股长职数3名）。负责南雄市地方志编纂、出版、发行。各专业志审查、验收和出版前的审批工作。开展地方志学术研究，交流经验、推广新的科研成果。办好南雄“地情资料信息库”及“南雄地情网”和地方党史的征集、研究、整理地方党史的文献、资料和文物及访问老干部编写、出版回忆录。</w:t>
      </w:r>
    </w:p>
    <w:p w14:paraId="405F3781">
      <w:pPr>
        <w:pStyle w:val="4"/>
      </w:pPr>
      <w:r>
        <w:rPr>
          <w:rFonts w:hint="eastAsia"/>
        </w:rPr>
        <w:t>【南雄市志出版发行】</w:t>
      </w:r>
    </w:p>
    <w:p w14:paraId="792962D9">
      <w:pPr>
        <w:ind w:firstLine="420"/>
      </w:pPr>
      <w:r>
        <w:rPr>
          <w:rFonts w:hint="eastAsia"/>
        </w:rPr>
        <w:t>根据省、市业务部门的要求，该办抓时间赶进度，在7月上送方志出版社审稿后，对《南雄市志》又进行按审稿意见</w:t>
      </w:r>
      <w:r>
        <w:rPr>
          <w:rFonts w:hint="eastAsia"/>
          <w:lang w:eastAsia="zh-CN"/>
        </w:rPr>
        <w:t>的</w:t>
      </w:r>
      <w:r>
        <w:rPr>
          <w:rFonts w:hint="eastAsia"/>
        </w:rPr>
        <w:t>修改，将稿件送至印刷厂，终于完成志书的出版发行。</w:t>
      </w:r>
    </w:p>
    <w:p w14:paraId="2CD82866">
      <w:pPr>
        <w:pStyle w:val="4"/>
      </w:pPr>
      <w:r>
        <w:rPr>
          <w:rFonts w:hint="eastAsia"/>
        </w:rPr>
        <w:t>【南雄年鉴】</w:t>
      </w:r>
    </w:p>
    <w:p w14:paraId="1F45EC94">
      <w:pPr>
        <w:ind w:firstLine="420"/>
      </w:pPr>
      <w:r>
        <w:rPr>
          <w:rFonts w:hint="eastAsia"/>
        </w:rPr>
        <w:t>2011年3月启动《南雄年鉴》编纂工作，成立编纂委员会，设立编辑部及编纂方案。该书记述2003～2010年度南雄市各行业发生的大事、要事及基本情况，反映年度内全市政治、经济、文化、社会等领域的新成就、新面貌。全书由图照彩页、特载、大事记、百科（各行业）、人物、社会经济统计资料、附录等组成，文字约50万，彩页约100页。资料由各有关单位提供，撰稿单位、撰稿人及编辑部人员做到对历史、对社会负责的态度，完成好本单位、本系统的年鉴稿的组稿工作，全面、真实记述年度内各项重要工作发展变化情况，为社会提供完整可靠的年度资讯。</w:t>
      </w:r>
    </w:p>
    <w:p w14:paraId="6E4678BD">
      <w:pPr>
        <w:pStyle w:val="4"/>
      </w:pPr>
      <w:r>
        <w:rPr>
          <w:rFonts w:hint="eastAsia"/>
        </w:rPr>
        <w:t>【党史方面】</w:t>
      </w:r>
    </w:p>
    <w:p w14:paraId="19936541">
      <w:pPr>
        <w:ind w:firstLine="420"/>
      </w:pPr>
      <w:r>
        <w:rPr>
          <w:rFonts w:hint="eastAsia"/>
        </w:rPr>
        <w:t>一是编辑出版《南雄市革命遗址和其它遗址普查成果资料》计12万多字；二是编辑出版《南雄市属于中央苏区范围材料汇编》一书计30万字；三是新编出版发行《南雄人民革命史》（增订本）一书，使南雄属于原中央苏区县的历史事实表述得更完善；四是启动《中国共产党南雄市（县）历史（第二卷）（1949.10—1978.12）的编写工作；五是协助韶关市史志办审核《中国共产党韶关市历史》一书南雄部分并提供相关资料；六是协助省、市新闻媒体搞好南雄党史资政育人的宣传报导，先后接受省、市电视台、《南方日报》、《羊城晚报》等新闻媒体的采访；七是协助市委、政府在南雄召开的“中央苏区县研讨会”有关材料；八是加强与省内外史志同行的交流与合作，互通信息交流经验，取长补短。</w:t>
      </w:r>
    </w:p>
    <w:p w14:paraId="218A0EB2">
      <w:pPr>
        <w:pStyle w:val="4"/>
      </w:pPr>
      <w:r>
        <w:rPr>
          <w:rFonts w:hint="eastAsia"/>
        </w:rPr>
        <w:t>【其他工作】</w:t>
      </w:r>
    </w:p>
    <w:p w14:paraId="4A10ECA6">
      <w:pPr>
        <w:ind w:firstLine="420"/>
      </w:pPr>
      <w:r>
        <w:rPr>
          <w:rFonts w:hint="eastAsia"/>
        </w:rPr>
        <w:t>一是搞好该办挂点村的扶贫双到工作，对贫困户进行慰问；二是响应南雄市履行职责、加快发展的决定，扎实开展单位各项工作；三是协助广东省人民政府地方志办公室编纂做好《广东省志》、《广东年鉴》南雄市内容部分供稿；四是协助韶关市史志办公室做好编纂《韶关市志》、《韶关年鉴》南雄市内容部分供稿。                                                                             （刘球凤）</w:t>
      </w:r>
    </w:p>
    <w:p w14:paraId="7BFD46F3">
      <w:pPr>
        <w:ind w:firstLine="0" w:firstLineChars="0"/>
        <w:rPr>
          <w:b/>
          <w:bCs/>
        </w:rPr>
      </w:pPr>
      <w:r>
        <w:rPr>
          <w:rFonts w:hint="eastAsia"/>
          <w:b/>
          <w:bCs/>
        </w:rPr>
        <w:t>附：2011年市史志办领导班子成员名单：</w:t>
      </w:r>
    </w:p>
    <w:p w14:paraId="4E9C4366">
      <w:pPr>
        <w:ind w:firstLine="0" w:firstLineChars="0"/>
      </w:pPr>
      <w:r>
        <w:rPr>
          <w:rFonts w:hint="eastAsia"/>
        </w:rPr>
        <w:t>主 任：陈景泰</w:t>
      </w:r>
    </w:p>
    <w:p w14:paraId="259BA24B">
      <w:pPr>
        <w:ind w:firstLine="0" w:firstLineChars="0"/>
      </w:pPr>
      <w:r>
        <w:rPr>
          <w:rFonts w:hint="eastAsia"/>
        </w:rPr>
        <w:t>副主任：李君祥 谢平</w:t>
      </w:r>
    </w:p>
    <w:p w14:paraId="407ED86F">
      <w:pPr>
        <w:pStyle w:val="3"/>
      </w:pPr>
      <w:r>
        <w:rPr>
          <w:rFonts w:hint="eastAsia"/>
        </w:rPr>
        <w:t>机关党建</w:t>
      </w:r>
    </w:p>
    <w:p w14:paraId="38B858FD">
      <w:pPr>
        <w:pStyle w:val="4"/>
      </w:pPr>
      <w:r>
        <w:rPr>
          <w:rFonts w:hint="eastAsia"/>
        </w:rPr>
        <w:t>【概况】</w:t>
      </w:r>
    </w:p>
    <w:p w14:paraId="14F082FB">
      <w:pPr>
        <w:ind w:firstLine="420"/>
      </w:pPr>
      <w:r>
        <w:rPr>
          <w:rFonts w:hint="eastAsia"/>
        </w:rPr>
        <w:t>中共南雄市直属机关工作委员会系市委的派出机构，主要负责规划市直机关党的建设，分类指导市直行政、事业单位和有关企业单位党务工作，抓好党的思想、组织、作风、制度和反腐倡廉建设等11项职能。2011年工委所辖党总支28个、牵头负责单位8个；党支部226个；党员3690多名，其中女党员690多名；在职党员2150多名，60岁以上党员1070多名。</w:t>
      </w:r>
    </w:p>
    <w:p w14:paraId="51343A3A">
      <w:pPr>
        <w:pStyle w:val="4"/>
      </w:pPr>
      <w:r>
        <w:rPr>
          <w:rFonts w:hint="eastAsia"/>
        </w:rPr>
        <w:t>【基层党组织建设】</w:t>
      </w:r>
    </w:p>
    <w:p w14:paraId="6FAED036">
      <w:pPr>
        <w:ind w:firstLine="420"/>
      </w:pPr>
      <w:r>
        <w:rPr>
          <w:rFonts w:hint="eastAsia"/>
        </w:rPr>
        <w:t>一是对所辖基层党组织及班子成员实行动态管理，重视做好基层党组织换届选举和调整工作，使按期换届选举率达到96.5%以上。二是扩大工作覆盖面。抓好非公企业党组织组建工作，指导东莞大岭山（南雄）产业转移工业园管理处（以下简称工业园管理处）新建3个党支部及成立党总支；针对流动党员教育管理这个难点问题，在流动党员多的单位成立流动党员党支部，努力做到有党员的地方就有党组织，有党组织的地方就有正常的活动。三是加强班子建设。利用换届、干部调整和理顺党组织设置等契机，将一批党性强和领导能力强的“双强式”领导干部，充实到市直机关党组织领导班子中。先后配备调整党组织书记和副书记61人；批准成立党组织6个，指导57个党组织换届改选，调整理顺党组织7个。</w:t>
      </w:r>
    </w:p>
    <w:p w14:paraId="0F9CEE33">
      <w:pPr>
        <w:pStyle w:val="4"/>
      </w:pPr>
      <w:r>
        <w:rPr>
          <w:rFonts w:hint="eastAsia"/>
        </w:rPr>
        <w:t>【机关党建工作】</w:t>
      </w:r>
    </w:p>
    <w:p w14:paraId="34A80DCD">
      <w:pPr>
        <w:ind w:firstLine="420"/>
      </w:pPr>
      <w:r>
        <w:rPr>
          <w:rFonts w:hint="eastAsia"/>
        </w:rPr>
        <w:t>采取分类指导、抓两头促中间等措施，提高机关党建工作整体水平。一是对先进党组织定新目标，引导他们戒骄戒满，再创新佳绩，再上新水平，充分发挥好示范带动和辐射作用；二是对处于中间状态的党组织，出主意、想办法，逐项抓整改，激励和帮助他们树信心，争先进，上新台阶；三是对后进基层党组织，指定专人负责，采取思想上帮、工作上带、班子上调等措施，重点进行帮助，确保92.50%以上的基层党组织党建工作在考核中都能达到好或较好。</w:t>
      </w:r>
    </w:p>
    <w:p w14:paraId="3580E086">
      <w:pPr>
        <w:ind w:firstLine="420"/>
      </w:pPr>
      <w:r>
        <w:rPr>
          <w:rFonts w:hint="eastAsia"/>
        </w:rPr>
        <w:t>根据市委组织部2010年5月下发的《南雄市机关党建工作目标管理责任制（试行）》的要求，抓好示范单位建设、抓好经验交流和抓好2011年5月中旬地毯式的检查等方式方法，使机关党建工作呈现四个明显进步和提高：一是机关党组织书记“主业”意识明显。党组织书记普遍由行政一把手担任，大部分党组织党建经费都能按规定达到3000元以上或工资总额的1%以上，能关心、过问党建工作，每年上党课1次以上。二是党建工作制度进一步完善和落实。目前大部分党组织都完善“目标管理责任制”要求的七项党建制度，办公场所、条件允许的全部上墙，办公场所、条件欠缺的，都能装订成册、归档保管。三是记录规范，各项资料齐全。各级党组织都健全了会议记录、资料管理等一系列制度，年初有书面学习计划、年终有书面总结；“三会一课”有考勤、党员有专用记录本；有党务公开栏并按要求公开、更新及时；党组织按要求换届、缺额增补及时，发展党员程序规范，等等。四是责任心增强，有效地促进党建和业务工作的发展。各单位党组织书记能抓好党建工作，通过开展以“履行职责、加快发展年”为主题的实践活动，引导党员在本职岗位上充分发挥先锋模范作用。如2011年恰逢省、市、县三级党委换届，工委系统在时间紧、任务重的情况下，顺利地按各项指标要求完成上述三级党代会代表的推荐、选举工作；按照市委组织部的要求，成立党代表工作室，有效组织、指导70多名党代表开展联系党员和群众活动。国税局、地税局通过抓好税收征管中的“跑、冒、滴、漏”问题，在市协税办的指导、帮助下，完成市委、市政府下达的任务。五是开展“双向承诺”，提高工作水平。开展创先争优活动的核心是承诺和评议，各党组织和党员都在对照“双向”承诺的要求逐条地抓好落实和兑现。据统计市直机关党员共承诺事项6325次（件）。</w:t>
      </w:r>
    </w:p>
    <w:p w14:paraId="2B073B94">
      <w:pPr>
        <w:pStyle w:val="4"/>
      </w:pPr>
      <w:r>
        <w:rPr>
          <w:rFonts w:hint="eastAsia"/>
        </w:rPr>
        <w:t>【发展党员工作】</w:t>
      </w:r>
    </w:p>
    <w:p w14:paraId="45A2A647">
      <w:pPr>
        <w:ind w:firstLine="420"/>
      </w:pPr>
      <w:r>
        <w:rPr>
          <w:rFonts w:hint="eastAsia"/>
        </w:rPr>
        <w:t>完善发展党员工作机制和入党积极分子培训机制，全面推行发展党员公示制，做到严把“五关”和“九个不批”，有效地提高新发展党员的质量。共培训入党积极分子69名，发展新党员21名。</w:t>
      </w:r>
    </w:p>
    <w:p w14:paraId="7A286622">
      <w:pPr>
        <w:ind w:firstLine="420"/>
      </w:pPr>
      <w:r>
        <w:rPr>
          <w:rFonts w:hint="eastAsia"/>
        </w:rPr>
        <w:t>严把预备党员转正关。2011年继续贯彻行之有效的《南雄市市直机关预备党员党内法规考试制度实施方案（试行）》，即市直机关预备党员转正前一个星期必须参加以《中国共产党章</w:t>
      </w:r>
      <w:r>
        <w:rPr>
          <w:rFonts w:hint="eastAsia"/>
          <w:lang w:val="en-US" w:eastAsia="zh-CN"/>
        </w:rPr>
        <w:t>程</w:t>
      </w:r>
      <w:r>
        <w:rPr>
          <w:rFonts w:hint="eastAsia"/>
        </w:rPr>
        <w:t>》等五项党内条例为内容的党内法规知识考试。考试实行百分制，成绩80分以上可按期转正；成绩低于80分的为不合格，不合格者可安排一次补考；补考不合格的，须延长预备期半年至一年再考；再考仍不合格的，按照组织程序予以取消预备党员资格。全年共有31名预备党员参加党内法规知识考试，百分之百合格。</w:t>
      </w:r>
    </w:p>
    <w:p w14:paraId="5A1974D0">
      <w:pPr>
        <w:pStyle w:val="4"/>
      </w:pPr>
      <w:r>
        <w:rPr>
          <w:rFonts w:hint="eastAsia"/>
        </w:rPr>
        <w:t>【抓好示范单位建设】</w:t>
      </w:r>
    </w:p>
    <w:p w14:paraId="128FE2E2">
      <w:pPr>
        <w:ind w:firstLine="420"/>
      </w:pPr>
      <w:r>
        <w:rPr>
          <w:rFonts w:hint="eastAsia"/>
        </w:rPr>
        <w:t>2011年抓好建设局、水务局、浈江电业、珠玑纸业、珠玑大酒店、金友公司党支部6个韶关市创新组织生活示范点和财政局、雄洲水电2个南雄市创新组织生活示范点。通过抓好组织工委所属党支部现场参观、示范单位介绍经验，使各个基层党组织结合实际，灵活地创新组织生活形式和内容。如工业园管理处党支部主动深入到园区的企业调查研究、与管理层的党员开展形式多样的组织生活，增进感情和信任度，掌握10多名“口袋党员’，为增设党支部和建立党总支打下基础；珠玑纸业办公室党员下到车间与党员技术骨干科技攻关等；国税局、农业局、地税局、交通局、公路局等单位党组织组织党员前往水口战役旧址、雄州街道瑶坑广东省委旧址参观，缅怀革命前辈艰苦奋斗、浴血奋战、为共产主义理想而执着追求的情怀，重温入党誓词，使党员受到良好的革命传统教育。</w:t>
      </w:r>
    </w:p>
    <w:p w14:paraId="0BA40820">
      <w:pPr>
        <w:pStyle w:val="4"/>
      </w:pPr>
      <w:r>
        <w:rPr>
          <w:rFonts w:hint="eastAsia"/>
        </w:rPr>
        <w:t>【开展扶贫“双到”工作】</w:t>
      </w:r>
    </w:p>
    <w:p w14:paraId="0B74F6A7">
      <w:pPr>
        <w:ind w:firstLine="420"/>
      </w:pPr>
      <w:r>
        <w:rPr>
          <w:rFonts w:hint="eastAsia"/>
        </w:rPr>
        <w:t>按照市委的统一安排，结合扶贫“双到”工作，将机关党组织生活下沉到挂点帮扶村，大力开展“两联两升”活动。通过扶贫“双到”工作，促进城乡基层组织的发展。第一，机关党组织书记按要求给挂扶村的党员上党课1次，有讲课提纲和记录；第二，机关大部分党员都与挂扶村党员共同过一次别开生面、有意义的组织生活；第三，提高挂扶村党组织抓党建工作的水平和农村党员的素质；第四，通过帮技术、帮资金、帮提供信息等一系列帮扶措施，使挂扶村的农民不同程度地脱贫、增加收入，使村集体经济、道路等公共设施得到完善和提高。</w:t>
      </w:r>
    </w:p>
    <w:p w14:paraId="3927391C">
      <w:pPr>
        <w:pStyle w:val="4"/>
      </w:pPr>
      <w:r>
        <w:rPr>
          <w:rFonts w:hint="eastAsia"/>
        </w:rPr>
        <w:t>【教育活动】</w:t>
      </w:r>
    </w:p>
    <w:p w14:paraId="52B84AA0">
      <w:pPr>
        <w:ind w:firstLine="420"/>
      </w:pPr>
      <w:r>
        <w:rPr>
          <w:rFonts w:hint="eastAsia"/>
        </w:rPr>
        <w:t>工委和市直机关各级党组织坚持开展多种形式党员教育，通过举办党的十七届六中全会精神报告会、先进人物事迹报告会、文明礼仪进机关、廉政文化进机关及建党90周年庆祝活动、党员领导干部讲党课等多种形式的学习教育活动。市直机关开展“五个一”深入学习优秀党员标准活动：进行一次集中学习动员、组织一次专题学习讨论、撰写一篇学习心得体会、作出一个履职承诺、开展一次为民服务活动，建立为民服务帮扶对子320个，走访困难党员群众350多人，送去慰问资金1.35万元，为民办实事好事130多件。</w:t>
      </w:r>
    </w:p>
    <w:p w14:paraId="6D06DB66">
      <w:pPr>
        <w:pStyle w:val="4"/>
      </w:pPr>
      <w:r>
        <w:rPr>
          <w:rFonts w:hint="eastAsia"/>
        </w:rPr>
        <w:t>【党务干部教育培训】</w:t>
      </w:r>
    </w:p>
    <w:p w14:paraId="36898F18">
      <w:pPr>
        <w:ind w:firstLine="420"/>
      </w:pPr>
      <w:r>
        <w:rPr>
          <w:rFonts w:hint="eastAsia"/>
        </w:rPr>
        <w:t>工委能定期举办机关党务干部培训班，邀请有关方面的领导和老师，围绕新时期党建基本理论、《中国共产党党和国家机关基层组织工作条例》、党务工作基本常识和方法等专题，深入浅出地给党务干部授课，重点帮助他们解决履行职责和善于履行职责的问题，提升实际工作能力。2011年先后举办党组织书记、组织委员、纪检委员等党务干部培训班4期，培训党务干部450多人次。组织外出参观取经、召开学习交流会、开展党建调研等途径，有效提高党务干部的素质，建立一支党性强、作风正、热爱党务工作的机关党的工作队伍。如2011年通过广泛开展调查研究，总结南雄党建工作的亮点和新经验，在中国共产党新闻网（采用稿件2篇）等党建宣传媒体发表较高质量的信息和调研文章，全年工委在南雄远程网和调研信息投稿用稿两项工作中积分均名列第一；推荐参加韶关市“我身边的共产党员”主题演讲比赛的三名选手分别获得一、二、三等奖；通过广大党务干部的积极、耐心细致的工作，2011年收缴、上交市委组织部党费14万多元。</w:t>
      </w:r>
    </w:p>
    <w:p w14:paraId="7383941F">
      <w:pPr>
        <w:pStyle w:val="4"/>
      </w:pPr>
      <w:r>
        <w:rPr>
          <w:rFonts w:hint="eastAsia"/>
        </w:rPr>
        <w:t>【选举出席南雄市第十二次党代会代表工作】</w:t>
      </w:r>
    </w:p>
    <w:p w14:paraId="6BBF6A96">
      <w:pPr>
        <w:ind w:firstLine="420"/>
      </w:pPr>
      <w:r>
        <w:rPr>
          <w:rFonts w:hint="eastAsia"/>
        </w:rPr>
        <w:t>根据市委《关于做好选举出席中国共产党南雄市第十二次代表大会代表工作的通知》（雄发[2011]26号）文件精神，直属工委按照调查摸底、推荐、酝酿和选举等几个具体环节的要求及分配名额，自2011年8月上旬开始采用自下而上的方式提名，在经过充分酝酿协商，根据多数党组织或多数党员的意见提出不少于30%的比例的代表候选人初步人选名单。工委征求所在单位和有关方面的意见，8月30日召开扩大会议，按不少于应选代表20%的差额确定谢志铎等93名同志为市直机关出席南雄市第十二次党代会代表候选人预备人选。报经市委组织部同意，9月2日召开市直机关党员代表会议，会议选举产生谢志铎等77名同志为市直机关出席南雄市第十二次党代会代表。</w:t>
      </w:r>
    </w:p>
    <w:p w14:paraId="72FB312D">
      <w:pPr>
        <w:pStyle w:val="4"/>
      </w:pPr>
      <w:r>
        <w:rPr>
          <w:rFonts w:hint="eastAsia"/>
        </w:rPr>
        <w:t>【群团工作】</w:t>
      </w:r>
    </w:p>
    <w:p w14:paraId="6E23D42E">
      <w:pPr>
        <w:ind w:firstLine="420"/>
      </w:pPr>
      <w:r>
        <w:rPr>
          <w:rFonts w:hint="eastAsia"/>
        </w:rPr>
        <w:t>2011年市直机关各团组织按照团市委工作要求，贯彻党的十七大和十七届六中全会精神、南雄市第十二次党代会精神，以创争优和“履行职责、加快发展年”活动为载体，推进关爱青年健康成长、服务青年就业创业、推进志原服务事业和共青团基层组织建设四项重点工作，创新工作理念，夯实基层基础，立足服务青年，团的各项工作迈上新的台阶，推动市直共青团工作的健康发展。为表彰先进、树立典型，激励市直团组织在新的一年奋发向上，再创佳绩，市直机关团工委决定授予南雄市人民医院团总支等3个单位为“先进团（总）支部”；授予刘世洪等8名同志为“优秀团干部”称号；授予谢向青等8名同志为“优秀团员”称号。</w:t>
      </w:r>
    </w:p>
    <w:p w14:paraId="4884B7C5">
      <w:pPr>
        <w:pStyle w:val="4"/>
      </w:pPr>
      <w:r>
        <w:rPr>
          <w:rFonts w:hint="eastAsia"/>
        </w:rPr>
        <w:t>【市直机关武装部工作】</w:t>
      </w:r>
    </w:p>
    <w:p w14:paraId="51A98CBA">
      <w:pPr>
        <w:ind w:firstLine="420"/>
      </w:pPr>
      <w:r>
        <w:rPr>
          <w:rFonts w:hint="eastAsia"/>
        </w:rPr>
        <w:t>按照市武装部的要求制定市直属机关2011年武装工作要点，重点完善民兵供电应急抢修分队和供水应急抢修分队建设，国防教育、民兵军事训练、民兵整组、民兵点验、兵役登记等工作。健全民兵战备值班、政治教育、军事训练等各项规范化制度，确保制度落实。通过有效的宣传动员，机关适龄青年报名踊跃，4人光荣入伍，完成市征兵办下达的年度征兵任务。</w:t>
      </w:r>
    </w:p>
    <w:p w14:paraId="5FEE6760">
      <w:pPr>
        <w:ind w:firstLine="420"/>
        <w:jc w:val="right"/>
      </w:pPr>
      <w:r>
        <w:rPr>
          <w:rFonts w:hint="eastAsia"/>
        </w:rPr>
        <w:t>（刘致虎）</w:t>
      </w:r>
    </w:p>
    <w:p w14:paraId="3FBC142E">
      <w:pPr>
        <w:ind w:firstLine="0" w:firstLineChars="0"/>
        <w:rPr>
          <w:b/>
          <w:bCs/>
        </w:rPr>
      </w:pPr>
      <w:r>
        <w:rPr>
          <w:rFonts w:hint="eastAsia"/>
          <w:b/>
          <w:bCs/>
        </w:rPr>
        <w:t>附：2011年市直机关工委领导班子成员名单</w:t>
      </w:r>
    </w:p>
    <w:p w14:paraId="120A3169">
      <w:pPr>
        <w:ind w:firstLine="0" w:firstLineChars="0"/>
      </w:pPr>
      <w:r>
        <w:rPr>
          <w:rFonts w:hint="eastAsia"/>
        </w:rPr>
        <w:t>书记：蔡德华（兼）</w:t>
      </w:r>
    </w:p>
    <w:p w14:paraId="55B1A9D1">
      <w:pPr>
        <w:ind w:firstLine="0" w:firstLineChars="0"/>
      </w:pPr>
      <w:r>
        <w:rPr>
          <w:rFonts w:hint="eastAsia"/>
        </w:rPr>
        <w:t>党群中心纪检、监察组长：何润红</w:t>
      </w:r>
    </w:p>
    <w:p w14:paraId="2DF2C186">
      <w:pPr>
        <w:ind w:firstLine="0" w:firstLineChars="0"/>
      </w:pPr>
      <w:r>
        <w:rPr>
          <w:rFonts w:hint="eastAsia"/>
        </w:rPr>
        <w:t>副书记：刘致虎、王庭泉</w:t>
      </w:r>
    </w:p>
    <w:p w14:paraId="6C9C7094">
      <w:pPr>
        <w:ind w:firstLine="0" w:firstLineChars="0"/>
      </w:pPr>
      <w:r>
        <w:rPr>
          <w:rFonts w:hint="eastAsia"/>
        </w:rPr>
        <w:t>武装部长：李卫东</w:t>
      </w:r>
    </w:p>
    <w:p w14:paraId="2BC54F6F">
      <w:pPr>
        <w:ind w:firstLine="0" w:firstLineChars="0"/>
      </w:pPr>
      <w:r>
        <w:rPr>
          <w:rFonts w:hint="eastAsia"/>
        </w:rPr>
        <w:t>党群中心纪检、监察组副组长：叶耀群</w:t>
      </w:r>
    </w:p>
    <w:p w14:paraId="33CB3D39">
      <w:pPr>
        <w:pStyle w:val="3"/>
      </w:pPr>
      <w:r>
        <w:rPr>
          <w:rFonts w:hint="eastAsia"/>
        </w:rPr>
        <w:t>依法治市</w:t>
      </w:r>
    </w:p>
    <w:p w14:paraId="578FF911">
      <w:pPr>
        <w:pStyle w:val="4"/>
      </w:pPr>
      <w:r>
        <w:rPr>
          <w:rFonts w:hint="eastAsia"/>
        </w:rPr>
        <w:t>【概况】</w:t>
      </w:r>
    </w:p>
    <w:p w14:paraId="64C207C2">
      <w:pPr>
        <w:ind w:firstLine="420"/>
      </w:pPr>
      <w:r>
        <w:rPr>
          <w:rFonts w:hint="eastAsia"/>
        </w:rPr>
        <w:t>中共南雄市委依法治市领导小组办公室（以下简称依法治市办）成立于1997年4月，是南雄市委正科级常设议事协调机构，委托南雄市人大常委会党组代管。设有两个股室，编制5人。</w:t>
      </w:r>
    </w:p>
    <w:p w14:paraId="546DE351">
      <w:pPr>
        <w:pStyle w:val="4"/>
      </w:pPr>
      <w:r>
        <w:rPr>
          <w:rFonts w:hint="eastAsia"/>
        </w:rPr>
        <w:t>【执法检查监督】</w:t>
      </w:r>
    </w:p>
    <w:p w14:paraId="45E4C406">
      <w:pPr>
        <w:ind w:firstLine="420"/>
      </w:pPr>
      <w:r>
        <w:rPr>
          <w:rFonts w:hint="eastAsia"/>
        </w:rPr>
        <w:t>在全市38个行政执法部门全面推行行政执法责任制，把执法职能层层分解，落实到人。同时，完善《依法治市、执法两制评议考核办法》。并与综治办、信访局三家一起对全市38个单位进行依法治市、执法两制进行全面的年度评议考核。加强对行政执法证件的管理。对已取得执法证件的行政执法人员进行年检，提高执法人员的执法意识；加强对行政执法案件的质量检查。抽查38个行政执法部门的行政处罚案件，对办案质量不高和存在问题的，进行指导和帮助。通过评议考核，评出雄州街道等17个先进单位，并将考核情况向全市作出通报。</w:t>
      </w:r>
    </w:p>
    <w:p w14:paraId="0868A1EA">
      <w:pPr>
        <w:pStyle w:val="4"/>
      </w:pPr>
      <w:r>
        <w:rPr>
          <w:rFonts w:hint="eastAsia"/>
        </w:rPr>
        <w:t>【法治市创建】</w:t>
      </w:r>
    </w:p>
    <w:p w14:paraId="13D0C46D">
      <w:pPr>
        <w:ind w:firstLine="420"/>
      </w:pPr>
      <w:r>
        <w:rPr>
          <w:rFonts w:hint="eastAsia"/>
        </w:rPr>
        <w:t>南雄是全国首批法治市创建单位，省的联系点，全国法治市创建的先进单位。2011年，在电力工业局等6个试点单位成功经验的基础上，开展第二批26个法治市创建单位。以法治手段来协调社会关系、规范社会行为、解决社会问题、化解社会矛盾、促进社会公正、应对社会风险、保持社会稳定，是法治市创建的主题。南雄进一步明确法治建设工作阶段性重点，在县域法治建设上做表率，突出以规范约束公共行政权力行使、建设法治政府为重点，突出以推进村民、居民自治，发挥社会组织作用为抓手，加强法治文化建设，在培育公民意识上做表率，以文化的感召力和影响力潜移默化地塑造公众遵纪守法、依法办事的思维方式和行为方式。推进法治实事工程，在法治惠民上做表率，通过解决突出问题，保障民生、维护民权、发展民主，提高群众对法治城市创建活动的满意度，开创法治城市建设新局面。2011年，南雄的法治市创建三次在省、韶关市法治市创建现场会上作经验介绍。</w:t>
      </w:r>
    </w:p>
    <w:p w14:paraId="369BB2BC">
      <w:pPr>
        <w:pStyle w:val="4"/>
      </w:pPr>
      <w:r>
        <w:rPr>
          <w:rFonts w:hint="eastAsia"/>
        </w:rPr>
        <w:t>【基层民主法治建设】</w:t>
      </w:r>
    </w:p>
    <w:p w14:paraId="22422D29">
      <w:pPr>
        <w:ind w:firstLine="420"/>
      </w:pPr>
      <w:r>
        <w:rPr>
          <w:rFonts w:hint="eastAsia"/>
        </w:rPr>
        <w:t>健全基层群众自治机制，以民主选举为主要标志的法治氛围形成，推进以“四民主两公开”为主要内容的村居民自治工作，成效明显。召开“民主法治村”、“民主法治社区”现场会。深入推进办事公开、厂务公开等民主管理一系列制度。加强对全市土地流转、农村社会保障、农村新型合作医疗和农村社治安状况等基层民主政治建设整体情况的调研。</w:t>
      </w:r>
    </w:p>
    <w:p w14:paraId="30459C98">
      <w:pPr>
        <w:pStyle w:val="4"/>
      </w:pPr>
      <w:r>
        <w:rPr>
          <w:rFonts w:hint="eastAsia"/>
        </w:rPr>
        <w:t>【法制宣传教育】</w:t>
      </w:r>
    </w:p>
    <w:p w14:paraId="6BED49FE">
      <w:pPr>
        <w:ind w:firstLine="420"/>
      </w:pPr>
      <w:r>
        <w:rPr>
          <w:rFonts w:hint="eastAsia"/>
        </w:rPr>
        <w:t>依法治市办与市司法行政部门发挥法制宣传教育的职能作用，推进法制宣传“六进”（进机关、进乡村、进社区、进校园、进企业、进单位）、创建民主法治村活动和法治市创建活动有机结合，学校全部有聘请法制副校长，参与综合治理工作和“平安社区”创建活动，有效地动员和引导广大群众自觉参与法治实践，深化依法治理工作；参与组织进行2011年度干部集中学法考试。</w:t>
      </w:r>
    </w:p>
    <w:p w14:paraId="5ECBA92D">
      <w:pPr>
        <w:pStyle w:val="4"/>
      </w:pPr>
      <w:r>
        <w:rPr>
          <w:rFonts w:hint="eastAsia"/>
        </w:rPr>
        <w:t>【完善监督制约机制】</w:t>
      </w:r>
    </w:p>
    <w:p w14:paraId="4EB94F04">
      <w:pPr>
        <w:ind w:firstLine="420"/>
      </w:pPr>
      <w:r>
        <w:rPr>
          <w:rFonts w:hint="eastAsia"/>
        </w:rPr>
        <w:t>充分发挥市委领导、人大及其常委会在依法治市中的主导作用，“一府两院”的依法主体作用，政协的民主协商、民主监督作用，人民群众有序的政治参与作用。围绕全市中心工作和人民群众关心的热点、难点问题，参与视察、调研；对新任命的40多名政府组成人员进行任职前法律考试和签订任职承诺书；加强对“一府两院”及相关部门司法行为的法律监督，以保证各项法律、法规真正落到实处。同时，公、检、法等机关还主动从人大、政协、纪委等机关，以及社会阶层聘请有关人士为本单位的监督员，不定期召开监督员座谈会，征求意见和建议，增强监督实效。（李玉英）</w:t>
      </w:r>
    </w:p>
    <w:p w14:paraId="44CED15F">
      <w:pPr>
        <w:ind w:firstLine="0" w:firstLineChars="0"/>
      </w:pPr>
      <w:r>
        <w:rPr>
          <w:rFonts w:hint="eastAsia"/>
          <w:b/>
          <w:bCs/>
        </w:rPr>
        <w:t>附：2011年市法治办领导班子成员名单</w:t>
      </w:r>
      <w:r>
        <w:rPr>
          <w:rFonts w:hint="eastAsia"/>
        </w:rPr>
        <w:t>：</w:t>
      </w:r>
    </w:p>
    <w:p w14:paraId="4796C9E4">
      <w:pPr>
        <w:ind w:firstLine="0" w:firstLineChars="0"/>
      </w:pPr>
      <w:r>
        <w:rPr>
          <w:rFonts w:hint="eastAsia"/>
        </w:rPr>
        <w:t>主任：刘光胜</w:t>
      </w:r>
    </w:p>
    <w:p w14:paraId="5B5B2F49">
      <w:pPr>
        <w:ind w:firstLine="0" w:firstLineChars="0"/>
      </w:pPr>
      <w:r>
        <w:rPr>
          <w:rFonts w:hint="eastAsia"/>
        </w:rPr>
        <w:t>副主任：范少敏</w:t>
      </w:r>
    </w:p>
    <w:tbl>
      <w:tblPr>
        <w:tblStyle w:val="15"/>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075B774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9962" w:type="dxa"/>
          </w:tcPr>
          <w:p w14:paraId="506E0181">
            <w:pPr>
              <w:ind w:firstLine="0" w:firstLineChars="0"/>
            </w:pPr>
            <w:r>
              <w:rPr>
                <w:rFonts w:hint="eastAsia"/>
              </w:rPr>
              <w:drawing>
                <wp:inline distT="0" distB="0" distL="114300" distR="114300">
                  <wp:extent cx="6183630" cy="4354830"/>
                  <wp:effectExtent l="0" t="0" r="7620" b="7620"/>
                  <wp:docPr id="5" name="图片 5" descr="南雄年鉴201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南雄年鉴2012-36"/>
                          <pic:cNvPicPr>
                            <a:picLocks noChangeAspect="1"/>
                          </pic:cNvPicPr>
                        </pic:nvPicPr>
                        <pic:blipFill>
                          <a:blip r:embed="rId89" cstate="print"/>
                          <a:stretch>
                            <a:fillRect/>
                          </a:stretch>
                        </pic:blipFill>
                        <pic:spPr>
                          <a:xfrm>
                            <a:off x="0" y="0"/>
                            <a:ext cx="6183630" cy="4354830"/>
                          </a:xfrm>
                          <a:prstGeom prst="rect">
                            <a:avLst/>
                          </a:prstGeom>
                        </pic:spPr>
                      </pic:pic>
                    </a:graphicData>
                  </a:graphic>
                </wp:inline>
              </w:drawing>
            </w:r>
          </w:p>
        </w:tc>
      </w:tr>
    </w:tbl>
    <w:p w14:paraId="6C559AA7">
      <w:pPr>
        <w:ind w:firstLine="0" w:firstLineChars="0"/>
      </w:pPr>
    </w:p>
    <w:p w14:paraId="6E05F336">
      <w:pPr>
        <w:pStyle w:val="2"/>
        <w:ind w:firstLine="883"/>
      </w:pPr>
      <w:r>
        <w:rPr>
          <w:rFonts w:hint="eastAsia"/>
        </w:rPr>
        <w:t>南雄市人大常委会</w:t>
      </w:r>
    </w:p>
    <w:p w14:paraId="7B991F97">
      <w:pPr>
        <w:pStyle w:val="3"/>
      </w:pPr>
      <w:r>
        <w:rPr>
          <w:rFonts w:hint="eastAsia"/>
        </w:rPr>
        <w:t>综述</w:t>
      </w:r>
    </w:p>
    <w:p w14:paraId="58B9020C">
      <w:pPr>
        <w:pStyle w:val="4"/>
      </w:pPr>
      <w:r>
        <w:rPr>
          <w:rFonts w:hint="eastAsia"/>
        </w:rPr>
        <w:t>【概况】</w:t>
      </w:r>
    </w:p>
    <w:p w14:paraId="35B9A70B">
      <w:pPr>
        <w:ind w:firstLine="420"/>
      </w:pPr>
      <w:r>
        <w:rPr>
          <w:rFonts w:hint="eastAsia"/>
        </w:rPr>
        <w:t>南雄市人大常委会机关内设“一室四委”。即办公室、内务司法工作委员会、经济工作委员会、教科文卫工作委员会、选举联络人事任免工作委员会。编制21人，其中行政编制19人，事业编制2人。2011年，围绕市委的决策部署，履行宪法和法律赋予的各项职能，提升人大工作水平，推进富裕文明和谐安康的粤北门户城市建设作出贡献；加强社会主义民主法制建设，保障和促进南雄市经济发展，发挥其重要作用。</w:t>
      </w:r>
    </w:p>
    <w:p w14:paraId="43F08428">
      <w:pPr>
        <w:pStyle w:val="4"/>
      </w:pPr>
      <w:r>
        <w:rPr>
          <w:rFonts w:hint="eastAsia"/>
        </w:rPr>
        <w:t>【监督工作】</w:t>
      </w:r>
    </w:p>
    <w:p w14:paraId="58AFF801">
      <w:pPr>
        <w:ind w:firstLine="420"/>
      </w:pPr>
      <w:r>
        <w:rPr>
          <w:rFonts w:hint="eastAsia"/>
        </w:rPr>
        <w:t>常委会充分发挥监督职能，坚持工作监督、法律监督与人事监督三结合。围绕市委中心工作，紧跟全市工作大局，突出重点，有效地开展监督活动，严格依法履行职权。加强对“一府两院”的监督，听取和审议市政府为南雄市人民办理的各项工作落实情况。2011年，常委会加强对计划和财政工作的审查监督，督促市政府对预、决算执行中存在的问题高度重视，分析原因，加强整改，有力监督依法理财。常委会加强对法律法规在全市贯彻实施情况的监督，重点组织开展《城市市容和环境卫生管理条例》执法检查，并针对此次执法检查提出有效的建议，确保有关法律法规在该市的正确有效实施。常委会高度重视九件实事办理，分别视察实施现场，听取和审议市政府关于九件实事进展情况的报告，并对办理任务较重部门强化工作监督，有力推动项目建设进程。常委会根据市十三届人大六次会议主席团授权，组织组成人员分组到市林业局和大部分山区镇开展专题视察调研，审议并依法作出《关于封山育林保护生态环境的决议》，促使市政府出台《南雄市封山育林工作实施方案》。常委会还对本市涉及河南工业开发区部分地块用地大常委会性质调整、新城影剧院广场规划等重大事项先后作出相应的决议、决定，保障和推动全市经济社会的发展。常委会充分发扬民主、严格依法办事，坚持党管干部和人大常委会依法任免干部的有机统一，做好人事任免工作。深化完善任前法律知识培训考试和任职承诺、任命后颁发任命书等制度，从而增强被任命人员的公仆意识和依法履行职责的自觉性。</w:t>
      </w:r>
    </w:p>
    <w:p w14:paraId="21B3E418">
      <w:pPr>
        <w:pStyle w:val="4"/>
      </w:pPr>
      <w:r>
        <w:rPr>
          <w:rFonts w:hint="eastAsia"/>
        </w:rPr>
        <w:t>【信访办理工作】</w:t>
      </w:r>
    </w:p>
    <w:p w14:paraId="2B53258D">
      <w:pPr>
        <w:ind w:firstLine="420"/>
      </w:pPr>
      <w:r>
        <w:rPr>
          <w:rFonts w:hint="eastAsia"/>
        </w:rPr>
        <w:t>常委会严格按照程序办理代表和群众来信来访。2011年共处理群众来信来访81件113人次，处理上级人大批转来信17宗，办结率达100%。</w:t>
      </w:r>
    </w:p>
    <w:p w14:paraId="2DB88EAD">
      <w:pPr>
        <w:pStyle w:val="4"/>
      </w:pPr>
      <w:r>
        <w:rPr>
          <w:rFonts w:hint="eastAsia"/>
        </w:rPr>
        <w:t>【代表工作】</w:t>
      </w:r>
    </w:p>
    <w:p w14:paraId="06847B42">
      <w:pPr>
        <w:ind w:firstLine="420"/>
      </w:pPr>
      <w:r>
        <w:rPr>
          <w:rFonts w:hint="eastAsia"/>
        </w:rPr>
        <w:t>常委会把代表工作作为一项基础性工作来抓，发挥代表作用，推动代表法的贯彻实施。围绕市委中心工作，指导代表关注热点。邀请代表参加常委会视察调研座谈会，参加常委会有关重要活动，为代表征订寄送有关资料等措施，让代表了解工作动态，发表意见和建议。代表提出的部分建议，在人大的推动下，实现市长领办、部门全力配合的良好工作模式，建议办理也得到落实。</w:t>
      </w:r>
    </w:p>
    <w:p w14:paraId="7476C597">
      <w:pPr>
        <w:pStyle w:val="4"/>
      </w:pPr>
      <w:r>
        <w:rPr>
          <w:rFonts w:hint="eastAsia"/>
        </w:rPr>
        <w:t>【换届选举工作】</w:t>
      </w:r>
    </w:p>
    <w:p w14:paraId="3144064B">
      <w:pPr>
        <w:ind w:firstLine="420"/>
      </w:pPr>
      <w:r>
        <w:rPr>
          <w:rFonts w:hint="eastAsia"/>
        </w:rPr>
        <w:t>南雄市第十三届人民代表大会，于2011年9月任期届满。换届选举工作从2011年9月开始至2011年11月全部结束，选出市十四届人大代表208名。</w:t>
      </w:r>
    </w:p>
    <w:p w14:paraId="0CC3311F">
      <w:pPr>
        <w:pStyle w:val="4"/>
      </w:pPr>
      <w:r>
        <w:rPr>
          <w:rFonts w:hint="eastAsia"/>
        </w:rPr>
        <w:t>【自身建设】</w:t>
      </w:r>
    </w:p>
    <w:p w14:paraId="0C3A9217">
      <w:pPr>
        <w:ind w:firstLine="420"/>
      </w:pPr>
      <w:r>
        <w:rPr>
          <w:rFonts w:hint="eastAsia"/>
        </w:rPr>
        <w:t>常委会重视自身建设，紧密联系人大工作实际，开拓创新，增强工作活力。常委会根据审议相关议题的需要组织专题学习，营造出良好的学习氛围，提高审议的质量。分别开展《城市市容和环境卫生管理条例》、《组织法》、《选举法》等法律法规的学习。人大理论制度研究和宣传力度，注重理论成果的转化。被评为年度“韶关市人大信息宣传工作先进单位”。</w:t>
      </w:r>
    </w:p>
    <w:p w14:paraId="02D8267B">
      <w:pPr>
        <w:pStyle w:val="3"/>
      </w:pPr>
      <w:r>
        <w:rPr>
          <w:rFonts w:hint="eastAsia"/>
        </w:rPr>
        <w:t>市人大及常委会重要会议</w:t>
      </w:r>
    </w:p>
    <w:p w14:paraId="5953CB6F">
      <w:pPr>
        <w:pStyle w:val="4"/>
      </w:pPr>
      <w:r>
        <w:rPr>
          <w:rFonts w:hint="eastAsia"/>
        </w:rPr>
        <w:t>【十三届人大六次会议】</w:t>
      </w:r>
    </w:p>
    <w:p w14:paraId="2B9D8209">
      <w:pPr>
        <w:ind w:firstLine="420"/>
      </w:pPr>
      <w:r>
        <w:rPr>
          <w:rFonts w:hint="eastAsia"/>
        </w:rPr>
        <w:t>2011年1月16日～1月18日，南雄市第十三届人民代表大会第六次会议在市区召开。会议听取和审议代市长刘清生代表市政府所作的政府工作报告、书面审议了南雄市2010年国民经济和社会发展计划执行情况与2011年国民经济和社会发展计划（草案）报告、南雄市2010年财政预算执行情况与2011年预算草案的报告、听取和审议市人大常委会常务副主任肖芬先所作的市人大常委会工作报告、市人民法院院长肖裕忠所作的市人民法院工作报告、市人民检察院检察长栾怀持所作的市人民检察院工作报告。并通过各项工作报告决议。会议依法补选许志新为市第十三届人民代表大会常务委员会主任，刘清生为为人民政府市长。本次会议代表提出议案17件，建议和意见16件。</w:t>
      </w:r>
    </w:p>
    <w:p w14:paraId="4E0ECAA8">
      <w:pPr>
        <w:pStyle w:val="4"/>
      </w:pPr>
      <w:r>
        <w:rPr>
          <w:rFonts w:hint="eastAsia"/>
        </w:rPr>
        <w:t>【十三届人大常委会三十六次会议】</w:t>
      </w:r>
    </w:p>
    <w:p w14:paraId="0FE7DA34">
      <w:pPr>
        <w:ind w:firstLine="420"/>
      </w:pPr>
      <w:r>
        <w:rPr>
          <w:rFonts w:hint="eastAsia"/>
        </w:rPr>
        <w:t>1月4日，会议免去郭盛霖同志的南雄市人大常委会教育科学文化卫生工作委员会主任职务；决定免去李新仁同志的南雄市安全生产监督管理局局长职务，决定任命蓝达财同志为南雄市城市综合管理局局长，吴少华同志为南雄市安全生产监督管理局局长，李新仁同志为南雄市民族宗教局局长；免去魏先山同志的南雄市人民法院行政审判庭庭长职务；会议补选刘清生同志为韶关市第十二届人民代表大会代表，并报韶关市人大常委会确认。</w:t>
      </w:r>
    </w:p>
    <w:p w14:paraId="6F42CC0C">
      <w:pPr>
        <w:ind w:firstLine="420"/>
      </w:pPr>
      <w:r>
        <w:rPr>
          <w:rFonts w:hint="eastAsia"/>
        </w:rPr>
        <w:t>市委书记、市人大党组书记许志新同志在会上作了讲话，充分肯定了市人大常委会认真开展工作，严格按法定程序办事，强调新的一年要有新的开端，结合市委提出的“三个专项行动”工作，认真履行职责，努力提升执行力，切实加强自身能力和作风建设，做好人大各项工作。</w:t>
      </w:r>
    </w:p>
    <w:p w14:paraId="6C08D0CC">
      <w:pPr>
        <w:pStyle w:val="4"/>
      </w:pPr>
      <w:r>
        <w:rPr>
          <w:rFonts w:hint="eastAsia"/>
        </w:rPr>
        <w:t>【十三届人大常委会三十七次会议】</w:t>
      </w:r>
    </w:p>
    <w:p w14:paraId="2344ED3D">
      <w:pPr>
        <w:ind w:firstLine="420"/>
      </w:pPr>
      <w:r>
        <w:rPr>
          <w:rFonts w:hint="eastAsia"/>
        </w:rPr>
        <w:t>2月28日，会议审议通过《南雄市第十三届人大常委会2011年工作要点》，决定免去王荣光、邓志聪两位同志南雄市人民政府副市长职务，免去魏先山同志南雄市人民法院审判委员会委员职务。</w:t>
      </w:r>
    </w:p>
    <w:p w14:paraId="7B9B5D23">
      <w:pPr>
        <w:pStyle w:val="4"/>
      </w:pPr>
      <w:r>
        <w:rPr>
          <w:rFonts w:hint="eastAsia"/>
        </w:rPr>
        <w:t>【十三届人大常委会三十八次会议】</w:t>
      </w:r>
    </w:p>
    <w:p w14:paraId="70F55E14">
      <w:pPr>
        <w:ind w:firstLine="420"/>
      </w:pPr>
      <w:r>
        <w:rPr>
          <w:rFonts w:hint="eastAsia"/>
        </w:rPr>
        <w:t>4月18日，会议听取和审议市交通运输局、市教育局、市旅游局、市环保局等4个部门的评议整改工作报告；会议决定批准以上4个部门的评议整改工作报告；会议审议并通过市人大常委会《关于封山育林保护生态环境的决议》，决定在全市实行封山育林工作；听取和审议市人民政府《关于提请审议恢复南雄中学、南雄市一中初中招生的议案》，决定从2011年秋季开始，用两年时间全面恢复南雄中学、南雄市一中初中招生；听取和审议市人民政府《关于提请审议南雄市河南工业开发区20-48-1地块用地性质调整的议案》，决定对南雄市河南工业开发区20-48-1地块（面积74.63亩）的用地性质进行调整，用地性质由工业用地调整为商住用地，要求地块的使用，须按国家土地交易有关规定执行；听取和审议市人民政府《关于提请审议南雄市新城影剧院、广场规划的议案》，决定市人民政府新城影剧院、广场的规划设计，要求市人民政府严格执行规划。</w:t>
      </w:r>
    </w:p>
    <w:p w14:paraId="2E4E6459">
      <w:pPr>
        <w:ind w:firstLine="420"/>
      </w:pPr>
      <w:r>
        <w:rPr>
          <w:rFonts w:hint="eastAsia"/>
        </w:rPr>
        <w:t>会议任命周凤山同志为南雄市人民法院审判委员会委员、黄跃伟同志为南雄市人民法院审判委员会委员、朱庭辉同志为南雄市人民法院审判员。</w:t>
      </w:r>
    </w:p>
    <w:p w14:paraId="45E923D5">
      <w:pPr>
        <w:pStyle w:val="4"/>
      </w:pPr>
      <w:r>
        <w:rPr>
          <w:rFonts w:hint="eastAsia"/>
        </w:rPr>
        <w:t>【十三届人大常委会三十九次会议】</w:t>
      </w:r>
    </w:p>
    <w:p w14:paraId="0BAB0281">
      <w:pPr>
        <w:ind w:firstLine="420"/>
      </w:pPr>
      <w:r>
        <w:rPr>
          <w:rFonts w:hint="eastAsia"/>
        </w:rPr>
        <w:t>6月29日，会议听取和审查市人民政府《关于南雄市2010年度财政决算草案的报告》和《关于南雄市2010年度本级预算执行和其他财政收支的审计工作报告》；审议通过《南雄市第十三届人民代表大会常务委员会关于批准南雄市2010年度本级决算的决议》。</w:t>
      </w:r>
    </w:p>
    <w:p w14:paraId="78FA726F">
      <w:pPr>
        <w:pStyle w:val="4"/>
      </w:pPr>
      <w:r>
        <w:rPr>
          <w:rFonts w:hint="eastAsia"/>
        </w:rPr>
        <w:t>【十三届人大常委会四十次会议】</w:t>
      </w:r>
    </w:p>
    <w:p w14:paraId="302D5266">
      <w:pPr>
        <w:ind w:firstLine="420"/>
      </w:pPr>
      <w:r>
        <w:rPr>
          <w:rFonts w:hint="eastAsia"/>
        </w:rPr>
        <w:t>7月28日，会议审议通过南雄市人民代表大会常务委员会关于该市市、镇两级人民代表大会换届选举的决定，决定该市市、镇两级人民代表大会代表统一选举日为2011年9月8日；南雄市第十四届人民代表大会第一次会议拟定于2011年11月上旬召开。</w:t>
      </w:r>
    </w:p>
    <w:p w14:paraId="5C76EA17">
      <w:pPr>
        <w:ind w:firstLine="420"/>
      </w:pPr>
      <w:r>
        <w:rPr>
          <w:rFonts w:hint="eastAsia"/>
        </w:rPr>
        <w:t>会议审议通过南雄市人民代表大会常务委员会关于设立该市市、镇两级选举委员会的决定，决定设立该市市、镇两级选举委员会，主持本级新一届人民代表大会换届选举工作。会议任命许志新为市选举委员会主任，肖芬先、王荣光为市选举委员会副主任，李总路、涂运发、李冰、陈培兰、张宗财、周济辉、肖裕忠、栾怀持、张达明、刘烈胜、蔡德华为市选举委员会委员。审议通过关于南雄市第十四届人民代表大会换届选举选区划分和代表名额方案，决定我市第十四届人民代表大会代表名额为211名，共划分选区159个。会议审议通过南雄市市、镇两级人民代表大会换届选举工作实施方案。</w:t>
      </w:r>
    </w:p>
    <w:p w14:paraId="0DD910B4">
      <w:pPr>
        <w:pStyle w:val="4"/>
      </w:pPr>
      <w:r>
        <w:rPr>
          <w:rFonts w:hint="eastAsia"/>
        </w:rPr>
        <w:t>【十三届人大常委会四十一次会议】</w:t>
      </w:r>
    </w:p>
    <w:p w14:paraId="577AB06A">
      <w:pPr>
        <w:ind w:firstLine="420"/>
      </w:pPr>
      <w:r>
        <w:rPr>
          <w:rFonts w:hint="eastAsia"/>
        </w:rPr>
        <w:t>8月10日，会议听取和审查市人民政府《关于南雄市2011年上半年预算执行情况的报告》和《关于南雄市2011年上半年国民经济和社会发展计划执行情况的报告》；听取和审议《贯彻实施“一个目标五大战略”情况汇报》、《南雄市十三届人大六次会议代表议案、建议办理情况报告》和《2011年“九件实事”进展情况的汇报》。</w:t>
      </w:r>
    </w:p>
    <w:p w14:paraId="002D02DA">
      <w:pPr>
        <w:pStyle w:val="4"/>
      </w:pPr>
      <w:r>
        <w:rPr>
          <w:rFonts w:hint="eastAsia"/>
        </w:rPr>
        <w:t>【十三届人大常委会四十二次会议】</w:t>
      </w:r>
    </w:p>
    <w:p w14:paraId="77AB78F7">
      <w:pPr>
        <w:ind w:firstLine="420"/>
      </w:pPr>
      <w:r>
        <w:rPr>
          <w:rFonts w:hint="eastAsia"/>
        </w:rPr>
        <w:t>8月19日，会议通过市委书记、市人大常委会主任许志新提请的人事任免事项，任命沈学福同志为市人大常委会科教文卫工作委员会主任、苏德椿同志为市人大常委会雄州街道工作委员会主任、雷会信同志为市人大常委会雄州街道工作委员会副主任，免去钟历桂同志的市人大常委会办公室副主任职务、池宏安同志的市人大常委会教科文卫工作委员会副主任职务、陈仁麟同志的市人大常委会雄州街道工作委员会主任职务、陈如莲同志的市人大常委会雄州街道工作委员会副主任职务。</w:t>
      </w:r>
    </w:p>
    <w:p w14:paraId="5D71F3D0">
      <w:pPr>
        <w:ind w:firstLine="420"/>
      </w:pPr>
      <w:r>
        <w:rPr>
          <w:rFonts w:hint="eastAsia"/>
        </w:rPr>
        <w:t>会议决定任命林绍发同志为市交通运输局局长、陈仁麟同志为市农业局局长、刘光新同志为市人口和计划生育局局长、吴敦林同志为市食品药品监督管理局局长、张英军同志为市民族宗教事务局局长、李祥同志为市对外贸易经济合作局局长，决定免去陈如亮同志的市交通运输局局长职务、刘光团同志的市农业局局长职务、卢德政同志的市人口和计划生育局局长职务、朱运通同志的市食品药品监督管理局局长职务、李新仁同志的市民族宗教事务局局长职务、刘先辉同志的市对外贸易经济合作局局长职务。</w:t>
      </w:r>
    </w:p>
    <w:p w14:paraId="13AA04CA">
      <w:pPr>
        <w:ind w:firstLine="420"/>
      </w:pPr>
      <w:r>
        <w:rPr>
          <w:rFonts w:hint="eastAsia"/>
        </w:rPr>
        <w:t>会议任命部分人事事项。</w:t>
      </w:r>
    </w:p>
    <w:p w14:paraId="259BD87F">
      <w:pPr>
        <w:pStyle w:val="4"/>
      </w:pPr>
      <w:r>
        <w:rPr>
          <w:rFonts w:hint="eastAsia"/>
        </w:rPr>
        <w:t>【十三届人大常委会四十三次会议】</w:t>
      </w:r>
    </w:p>
    <w:p w14:paraId="0499E503">
      <w:pPr>
        <w:ind w:firstLine="420"/>
      </w:pPr>
      <w:r>
        <w:rPr>
          <w:rFonts w:hint="eastAsia"/>
        </w:rPr>
        <w:t>9月28日，会议任命赖正志同志为市人民检察院副检察长、检察委员会委员，决定接受栾怀持同志辞去市人民检察院检察长；免去谢雄生同志的南雄市人民法院审判员、审判委员会委员、副院长职务。会议审议市委书记、市人大常委会主任许志新同志提请的主任会议《关于提请审议赖正志同志代理检察长职务的议案》，决定赖正志同志为南雄市人民检察院代理检察长，并报韶关市人民检察院和韶关市人民代表大会常务委员会备案。</w:t>
      </w:r>
    </w:p>
    <w:p w14:paraId="3BDEA62B">
      <w:pPr>
        <w:pStyle w:val="4"/>
      </w:pPr>
      <w:r>
        <w:rPr>
          <w:rFonts w:hint="eastAsia"/>
        </w:rPr>
        <w:t>【十三届人大常委会四十四次会议】</w:t>
      </w:r>
    </w:p>
    <w:p w14:paraId="5A281A74">
      <w:pPr>
        <w:ind w:firstLine="420"/>
      </w:pPr>
      <w:r>
        <w:rPr>
          <w:rFonts w:hint="eastAsia"/>
        </w:rPr>
        <w:t>10月18日，会议审议市人大常委会主任会议提出的《关于召开南雄市第十四届人民代表大会第一次会议的有关事项》，决定南雄市第十四届人民代表大会第一次会议于2011年11月8日至12日在市区南雄大会堂召开。会议确认208名南雄市第十四届人民代表大会代表资格有效，通过《南雄市人民代表大会常务委员会工作报告》。</w:t>
      </w:r>
    </w:p>
    <w:p w14:paraId="17691CF0">
      <w:pPr>
        <w:pStyle w:val="4"/>
      </w:pPr>
      <w:r>
        <w:rPr>
          <w:rFonts w:hint="eastAsia"/>
        </w:rPr>
        <w:t>【十四届人大一次会议】</w:t>
      </w:r>
    </w:p>
    <w:p w14:paraId="617095F2">
      <w:pPr>
        <w:ind w:firstLine="420"/>
      </w:pPr>
      <w:r>
        <w:rPr>
          <w:rFonts w:hint="eastAsia"/>
        </w:rPr>
        <w:t>2011年11月9日～11月11日，南雄市第十四届人民代表大会第一次会议在市区召开。会议听取和审议市长刘清生代表市政府所作的政府工作报告、听取和审议市人大常委会常务副主任肖芬先代表市人大常委会所作的人大常委会工作报告、听取和审议市人民法院院长肖裕忠所作的市人民法院工作报告、听取和审议市人民检察院代理检察长赖正志所作的市人民检察院工作报告；会议依法选举许志新为市第十四届人民代表大会常务委员会主任，罗勇新、陈玉英（女）、刘宏伟、李冰、陈培兰、张宗财为副主任，梁斌、陈焱煌、刘运平、赖长林、沈学福、苏德椿、黄文儒、陈伦寿、刘光胜、廖宣明、陈泽明、柯油松、徐兴伦、林彩虹（女）、黄恢伟、莫绵润（女）为常务委员会委员；依法选举刘清生为人民政府市长，何人平、刘悦明、罗战勇、何光明、吕道宏、马细妹（女）为副市长；依法选举肖裕忠为市人民法院院长；依法选举赖正志为市人民检察院检察长，并报韶关市人民检察院检察长提请韶关市人大常委会批准；依法选举出出席韶关市第十三届人民代表大会代表43名（其中韶关市派选4名）：张志才、李石宝、邢丽（女）、巫育明、许志新、刘清生、罗勇新、苏德椿、肖国军、叶向红、彭桂华（女）、黄履英（女）、李海军、黄志春、王运林、朱定莲（女）、陈培石、杨斌、徐永华（女）、聂复连（女）、林发明、康小松、陈献瑜、吴道常、廖声华、罗少林、吴新华、袁元桃、林琼（女）、蓝霞秀（女）、肖秀珠（女）、钟彬、陈仁麟、张荣风（女）、庄子圣、李传忠、王友华、汤华英（女）、曾德城、黄金莲（女）、温文英（女）、欧阳可团、王发平。</w:t>
      </w:r>
    </w:p>
    <w:p w14:paraId="1417DD5E">
      <w:pPr>
        <w:pStyle w:val="4"/>
      </w:pPr>
      <w:r>
        <w:rPr>
          <w:rFonts w:hint="eastAsia"/>
        </w:rPr>
        <w:t>【十四届人大常委会一次会议】</w:t>
      </w:r>
    </w:p>
    <w:p w14:paraId="5D07292A">
      <w:pPr>
        <w:ind w:firstLine="420"/>
      </w:pPr>
      <w:r>
        <w:rPr>
          <w:rFonts w:hint="eastAsia"/>
        </w:rPr>
        <w:t>12月31日，会议任命张新同志为市人大常委会办公室主任，免去梁斌同志的市人大常委会办公室主任职务。会议免去贺真同志的市人民法院审判员、审判委员会委员、副院长职务。</w:t>
      </w:r>
    </w:p>
    <w:p w14:paraId="5B3A6953">
      <w:pPr>
        <w:ind w:firstLine="420"/>
      </w:pPr>
      <w:r>
        <w:rPr>
          <w:rFonts w:hint="eastAsia"/>
        </w:rPr>
        <w:t>会议任命部分人事事项。</w:t>
      </w:r>
    </w:p>
    <w:p w14:paraId="2D4B6F72">
      <w:pPr>
        <w:ind w:firstLine="420"/>
      </w:pPr>
      <w:r>
        <w:rPr>
          <w:rFonts w:hint="eastAsia"/>
        </w:rPr>
        <w:t>会议审议通过《关于设立南雄市第十四届人大常委会代表资格审查委员会的议案》、《南雄市第十四届</w:t>
      </w:r>
      <w:r>
        <w:rPr>
          <w:rFonts w:hint="eastAsia"/>
          <w:lang w:eastAsia="zh-CN"/>
        </w:rPr>
        <w:t>人大常委会会议</w:t>
      </w:r>
      <w:r>
        <w:rPr>
          <w:rFonts w:hint="eastAsia"/>
        </w:rPr>
        <w:t>事规则》和《南雄市第十四届人大常委会关于拟任干部法律知识考试规定》，授权市人大常委会经济工委在常委会本届任期内，对计划、预算草案进行初审。听取和审议市人民政府《关于2011年市十三届人大常委会会议、主任会议提出的建议、批评和意见（〈会议纪要〉）的落实情况的报告》。</w:t>
      </w:r>
    </w:p>
    <w:p w14:paraId="451BC2E7">
      <w:pPr>
        <w:pStyle w:val="3"/>
      </w:pPr>
      <w:r>
        <w:rPr>
          <w:rFonts w:hint="eastAsia"/>
        </w:rPr>
        <w:t>南雄市人大常委会领导职务变动</w:t>
      </w:r>
    </w:p>
    <w:p w14:paraId="52A1256A">
      <w:pPr>
        <w:pStyle w:val="4"/>
      </w:pPr>
      <w:r>
        <w:rPr>
          <w:rFonts w:hint="eastAsia"/>
        </w:rPr>
        <w:t>【第十三届人大常委会主任、副主任、委员名单】</w:t>
      </w:r>
    </w:p>
    <w:p w14:paraId="61E74255">
      <w:pPr>
        <w:ind w:firstLine="420"/>
      </w:pPr>
      <w:r>
        <w:rPr>
          <w:rFonts w:hint="eastAsia"/>
        </w:rPr>
        <w:t>主  任：林楚欣（2006.12.7～2010.8.24）</w:t>
      </w:r>
    </w:p>
    <w:p w14:paraId="0B878C14">
      <w:pPr>
        <w:ind w:left="840" w:leftChars="400" w:firstLine="420"/>
      </w:pPr>
      <w:r>
        <w:rPr>
          <w:rFonts w:hint="eastAsia"/>
        </w:rPr>
        <w:t>肖芬先（2010.8.24～2011.1.18代理主任）</w:t>
      </w:r>
    </w:p>
    <w:p w14:paraId="5AC30BD5">
      <w:pPr>
        <w:ind w:left="840" w:leftChars="400" w:firstLine="420"/>
      </w:pPr>
      <w:r>
        <w:rPr>
          <w:rFonts w:hint="eastAsia"/>
        </w:rPr>
        <w:t>许志新（2011.1.18～2011.11.11）</w:t>
      </w:r>
    </w:p>
    <w:p w14:paraId="3477A458">
      <w:pPr>
        <w:ind w:firstLine="420"/>
      </w:pPr>
      <w:r>
        <w:rPr>
          <w:rFonts w:hint="eastAsia"/>
        </w:rPr>
        <w:t>副主任：肖芬先（2006.12.7～2011.11.11）</w:t>
      </w:r>
    </w:p>
    <w:p w14:paraId="30729A39">
      <w:pPr>
        <w:ind w:left="840" w:leftChars="400" w:firstLine="420"/>
      </w:pPr>
      <w:r>
        <w:rPr>
          <w:rFonts w:hint="eastAsia"/>
        </w:rPr>
        <w:t>李总路（2006.12.7～2011.11.11）</w:t>
      </w:r>
    </w:p>
    <w:p w14:paraId="7F13A3AE">
      <w:pPr>
        <w:ind w:left="840" w:leftChars="400" w:firstLine="420"/>
      </w:pPr>
      <w:r>
        <w:rPr>
          <w:rFonts w:hint="eastAsia"/>
        </w:rPr>
        <w:t>涂运发（2006.12.7～2011.11.11）</w:t>
      </w:r>
    </w:p>
    <w:p w14:paraId="2D5E64CE">
      <w:pPr>
        <w:ind w:left="840" w:leftChars="400" w:firstLine="420"/>
      </w:pPr>
      <w:r>
        <w:rPr>
          <w:rFonts w:hint="eastAsia"/>
        </w:rPr>
        <w:t>李  冰（2006.12.7～2011.11.11）</w:t>
      </w:r>
    </w:p>
    <w:p w14:paraId="432FECDA">
      <w:pPr>
        <w:ind w:left="840" w:leftChars="400" w:firstLine="420"/>
      </w:pPr>
      <w:r>
        <w:rPr>
          <w:rFonts w:hint="eastAsia"/>
        </w:rPr>
        <w:t>陈培兰（2006.12.7～2011.11.11）</w:t>
      </w:r>
    </w:p>
    <w:p w14:paraId="7EAA0031">
      <w:pPr>
        <w:ind w:left="840" w:leftChars="400" w:firstLine="420"/>
      </w:pPr>
      <w:r>
        <w:rPr>
          <w:rFonts w:hint="eastAsia"/>
        </w:rPr>
        <w:t>张宗财（2006.12.7～2011.11.11）</w:t>
      </w:r>
    </w:p>
    <w:p w14:paraId="6B432F08">
      <w:pPr>
        <w:ind w:firstLine="420"/>
      </w:pPr>
      <w:r>
        <w:rPr>
          <w:rFonts w:hint="eastAsia"/>
        </w:rPr>
        <w:t>委  员：梁  斌（2006.12.7～2011.11.11）</w:t>
      </w:r>
    </w:p>
    <w:p w14:paraId="28E49824">
      <w:pPr>
        <w:ind w:left="840" w:leftChars="400" w:firstLine="420"/>
      </w:pPr>
      <w:r>
        <w:rPr>
          <w:rFonts w:hint="eastAsia"/>
        </w:rPr>
        <w:t>刘发龙（2006.12.7～2011.11.11）</w:t>
      </w:r>
    </w:p>
    <w:p w14:paraId="07B1B9F4">
      <w:pPr>
        <w:ind w:left="840" w:leftChars="400" w:firstLine="420"/>
      </w:pPr>
      <w:r>
        <w:rPr>
          <w:rFonts w:hint="eastAsia"/>
        </w:rPr>
        <w:t>张芳文（2006.12.7～20111.11）</w:t>
      </w:r>
    </w:p>
    <w:p w14:paraId="29ECE5AF">
      <w:pPr>
        <w:ind w:left="840" w:leftChars="400" w:firstLine="420"/>
      </w:pPr>
      <w:r>
        <w:rPr>
          <w:rFonts w:hint="eastAsia"/>
        </w:rPr>
        <w:t>郭盛霖（2006.12.7～2011.11.11）</w:t>
      </w:r>
    </w:p>
    <w:p w14:paraId="07726239">
      <w:pPr>
        <w:ind w:left="840" w:leftChars="400" w:firstLine="420"/>
      </w:pPr>
      <w:r>
        <w:rPr>
          <w:rFonts w:hint="eastAsia"/>
        </w:rPr>
        <w:t>陈焱煌（2006.12.7～2011.11.11）</w:t>
      </w:r>
    </w:p>
    <w:p w14:paraId="5D22023A">
      <w:pPr>
        <w:ind w:left="840" w:leftChars="400" w:firstLine="420"/>
      </w:pPr>
      <w:r>
        <w:rPr>
          <w:rFonts w:hint="eastAsia"/>
        </w:rPr>
        <w:t>杨会英（2006.12.7～2011.11.11）</w:t>
      </w:r>
    </w:p>
    <w:p w14:paraId="5AA8FC09">
      <w:pPr>
        <w:ind w:left="840" w:leftChars="400" w:firstLine="420"/>
      </w:pPr>
      <w:r>
        <w:rPr>
          <w:rFonts w:hint="eastAsia"/>
        </w:rPr>
        <w:t>凌  生（206.12.7～2011.11.11）</w:t>
      </w:r>
    </w:p>
    <w:p w14:paraId="2BA04240">
      <w:pPr>
        <w:ind w:left="840" w:leftChars="400" w:firstLine="420"/>
      </w:pPr>
      <w:r>
        <w:rPr>
          <w:rFonts w:hint="eastAsia"/>
        </w:rPr>
        <w:t>马细妹（2006.12.7～2011.11.11）</w:t>
      </w:r>
    </w:p>
    <w:p w14:paraId="189A0EC2">
      <w:pPr>
        <w:ind w:left="840" w:leftChars="400" w:firstLine="420"/>
      </w:pPr>
      <w:r>
        <w:rPr>
          <w:rFonts w:hint="eastAsia"/>
        </w:rPr>
        <w:t>陈伦寿（2006.12.7～2011.11.11）</w:t>
      </w:r>
    </w:p>
    <w:p w14:paraId="766132BA">
      <w:pPr>
        <w:ind w:left="840" w:leftChars="400" w:firstLine="420"/>
      </w:pPr>
      <w:r>
        <w:rPr>
          <w:rFonts w:hint="eastAsia"/>
        </w:rPr>
        <w:t>谭小山（2006.12.7～2011.11.11）</w:t>
      </w:r>
    </w:p>
    <w:p w14:paraId="3217C398">
      <w:pPr>
        <w:ind w:left="840" w:leftChars="400" w:firstLine="420"/>
      </w:pPr>
      <w:r>
        <w:rPr>
          <w:rFonts w:hint="eastAsia"/>
        </w:rPr>
        <w:t>刘章山（2006.12.7～2011.11.11）</w:t>
      </w:r>
    </w:p>
    <w:p w14:paraId="2B172F1E">
      <w:pPr>
        <w:ind w:left="840" w:leftChars="400" w:firstLine="420"/>
      </w:pPr>
      <w:r>
        <w:rPr>
          <w:rFonts w:hint="eastAsia"/>
        </w:rPr>
        <w:t>卢道明（2006.12.7～2011.11.11）</w:t>
      </w:r>
    </w:p>
    <w:p w14:paraId="6A4DDBB4">
      <w:pPr>
        <w:ind w:left="840" w:leftChars="400" w:firstLine="420"/>
      </w:pPr>
      <w:r>
        <w:rPr>
          <w:rFonts w:hint="eastAsia"/>
        </w:rPr>
        <w:t>蔡先锋（2006.12.7～2011.11.11）</w:t>
      </w:r>
    </w:p>
    <w:p w14:paraId="0C48A8B7">
      <w:pPr>
        <w:ind w:left="840" w:leftChars="400" w:firstLine="420"/>
      </w:pPr>
      <w:r>
        <w:rPr>
          <w:rFonts w:hint="eastAsia"/>
        </w:rPr>
        <w:t>刘运平（2007.4.24～2011.11.11）</w:t>
      </w:r>
    </w:p>
    <w:p w14:paraId="604109F9">
      <w:pPr>
        <w:ind w:left="840" w:leftChars="400" w:firstLine="420"/>
      </w:pPr>
      <w:r>
        <w:rPr>
          <w:rFonts w:hint="eastAsia"/>
        </w:rPr>
        <w:t>黄履华（2007.4.24～2011.11.11）</w:t>
      </w:r>
    </w:p>
    <w:p w14:paraId="50F31524">
      <w:pPr>
        <w:ind w:left="840" w:leftChars="400" w:firstLine="420"/>
      </w:pPr>
      <w:r>
        <w:rPr>
          <w:rFonts w:hint="eastAsia"/>
        </w:rPr>
        <w:t>廖宣明（2007.4.24～2011.11.11）</w:t>
      </w:r>
    </w:p>
    <w:p w14:paraId="3C175B28">
      <w:pPr>
        <w:ind w:left="840" w:leftChars="400" w:firstLine="420"/>
      </w:pPr>
      <w:r>
        <w:rPr>
          <w:rFonts w:hint="eastAsia"/>
        </w:rPr>
        <w:t>蔡德华（2008.2.20～2011.11.11）</w:t>
      </w:r>
    </w:p>
    <w:p w14:paraId="6F3DF8E9">
      <w:pPr>
        <w:ind w:left="840" w:leftChars="400" w:firstLine="420"/>
      </w:pPr>
      <w:r>
        <w:rPr>
          <w:rFonts w:hint="eastAsia"/>
        </w:rPr>
        <w:t>陈泽明（2008.2.20～2011.11.11）</w:t>
      </w:r>
    </w:p>
    <w:p w14:paraId="40A26D2B">
      <w:pPr>
        <w:ind w:left="840" w:leftChars="400" w:firstLine="420"/>
      </w:pPr>
      <w:r>
        <w:rPr>
          <w:rFonts w:hint="eastAsia"/>
        </w:rPr>
        <w:t>赖长林（2010.1.21～2011.11.11）</w:t>
      </w:r>
    </w:p>
    <w:p w14:paraId="1BEB6762">
      <w:pPr>
        <w:ind w:left="840" w:leftChars="400" w:firstLine="420"/>
      </w:pPr>
      <w:r>
        <w:rPr>
          <w:rFonts w:hint="eastAsia"/>
        </w:rPr>
        <w:t>柯油松（2010.1.21～2011.11.11）</w:t>
      </w:r>
    </w:p>
    <w:p w14:paraId="53520D5A">
      <w:pPr>
        <w:pStyle w:val="4"/>
      </w:pPr>
      <w:r>
        <w:rPr>
          <w:rFonts w:hint="eastAsia"/>
        </w:rPr>
        <w:t>【第十四届人大常委会主任、副主任、委员名单】</w:t>
      </w:r>
    </w:p>
    <w:p w14:paraId="0FA12356">
      <w:pPr>
        <w:ind w:firstLine="420"/>
      </w:pPr>
      <w:r>
        <w:rPr>
          <w:rFonts w:hint="eastAsia"/>
        </w:rPr>
        <w:t>主  任：许志新（2011.11.11～在任）</w:t>
      </w:r>
    </w:p>
    <w:p w14:paraId="3051277D">
      <w:pPr>
        <w:ind w:firstLine="420"/>
      </w:pPr>
      <w:r>
        <w:rPr>
          <w:rFonts w:hint="eastAsia"/>
        </w:rPr>
        <w:t>副主任：罗勇新（2011.11.11～在任）</w:t>
      </w:r>
    </w:p>
    <w:p w14:paraId="4F745347">
      <w:pPr>
        <w:ind w:left="840" w:leftChars="400" w:firstLine="420"/>
      </w:pPr>
      <w:r>
        <w:rPr>
          <w:rFonts w:hint="eastAsia"/>
        </w:rPr>
        <w:t>陈玉英（2011.11.11～在任）</w:t>
      </w:r>
    </w:p>
    <w:p w14:paraId="77812A41">
      <w:pPr>
        <w:ind w:left="840" w:leftChars="400" w:firstLine="420"/>
      </w:pPr>
      <w:r>
        <w:rPr>
          <w:rFonts w:hint="eastAsia"/>
        </w:rPr>
        <w:t>刘宏伟（2011.11.11～在任）</w:t>
      </w:r>
    </w:p>
    <w:p w14:paraId="79CA5C11">
      <w:pPr>
        <w:ind w:left="840" w:leftChars="400" w:firstLine="420"/>
      </w:pPr>
      <w:r>
        <w:rPr>
          <w:rFonts w:hint="eastAsia"/>
        </w:rPr>
        <w:t>李  冰（2011.11.11～在任</w:t>
      </w:r>
    </w:p>
    <w:p w14:paraId="6ED66CE7">
      <w:pPr>
        <w:ind w:left="840" w:leftChars="400" w:firstLine="420"/>
      </w:pPr>
      <w:r>
        <w:rPr>
          <w:rFonts w:hint="eastAsia"/>
        </w:rPr>
        <w:t>陈培兰（2011.11.11～在任</w:t>
      </w:r>
    </w:p>
    <w:p w14:paraId="09BE15D7">
      <w:pPr>
        <w:ind w:left="840" w:leftChars="400" w:firstLine="420"/>
      </w:pPr>
      <w:r>
        <w:rPr>
          <w:rFonts w:hint="eastAsia"/>
        </w:rPr>
        <w:t>张宗财（2011.11.11～在任）</w:t>
      </w:r>
    </w:p>
    <w:p w14:paraId="128F30A3">
      <w:pPr>
        <w:ind w:firstLine="420"/>
      </w:pPr>
      <w:r>
        <w:rPr>
          <w:rFonts w:hint="eastAsia"/>
        </w:rPr>
        <w:t>委  员：梁  斌（201111.11～2012.2.2）</w:t>
      </w:r>
    </w:p>
    <w:p w14:paraId="2DB108B3">
      <w:pPr>
        <w:ind w:left="840" w:leftChars="400" w:firstLine="420"/>
      </w:pPr>
      <w:r>
        <w:rPr>
          <w:rFonts w:hint="eastAsia"/>
        </w:rPr>
        <w:t>陈焱煌（2011.11.11～在任）</w:t>
      </w:r>
    </w:p>
    <w:p w14:paraId="2AF52BD3">
      <w:pPr>
        <w:ind w:left="840" w:leftChars="400" w:firstLine="420"/>
      </w:pPr>
      <w:r>
        <w:rPr>
          <w:rFonts w:hint="eastAsia"/>
        </w:rPr>
        <w:t>刘运平（2011.11.11～在任）</w:t>
      </w:r>
    </w:p>
    <w:p w14:paraId="31210B36">
      <w:pPr>
        <w:ind w:left="840" w:leftChars="400" w:firstLine="420"/>
      </w:pPr>
      <w:r>
        <w:rPr>
          <w:rFonts w:hint="eastAsia"/>
        </w:rPr>
        <w:t>赖长林（2011.11.11～在任）</w:t>
      </w:r>
    </w:p>
    <w:p w14:paraId="5E1C1366">
      <w:pPr>
        <w:ind w:left="840" w:leftChars="400" w:firstLine="420"/>
      </w:pPr>
      <w:r>
        <w:rPr>
          <w:rFonts w:hint="eastAsia"/>
        </w:rPr>
        <w:t>沈学福（2011.11.11～在任）</w:t>
      </w:r>
    </w:p>
    <w:p w14:paraId="7F76B197">
      <w:pPr>
        <w:ind w:left="840" w:leftChars="400" w:firstLine="420"/>
      </w:pPr>
      <w:r>
        <w:rPr>
          <w:rFonts w:hint="eastAsia"/>
        </w:rPr>
        <w:t>苏德椿（2011.11.11～在任）</w:t>
      </w:r>
    </w:p>
    <w:p w14:paraId="45C03268">
      <w:pPr>
        <w:ind w:left="840" w:leftChars="400" w:firstLine="420"/>
      </w:pPr>
      <w:r>
        <w:rPr>
          <w:rFonts w:hint="eastAsia"/>
        </w:rPr>
        <w:t>黄文儒（2011.11.11～在任）</w:t>
      </w:r>
    </w:p>
    <w:p w14:paraId="63CB3FDB">
      <w:pPr>
        <w:ind w:left="840" w:leftChars="400" w:firstLine="420"/>
      </w:pPr>
      <w:r>
        <w:rPr>
          <w:rFonts w:hint="eastAsia"/>
        </w:rPr>
        <w:t>陈伦寿（2011.11.11～在任）</w:t>
      </w:r>
    </w:p>
    <w:p w14:paraId="0B512C63">
      <w:pPr>
        <w:ind w:left="840" w:leftChars="400" w:firstLine="420"/>
      </w:pPr>
      <w:r>
        <w:rPr>
          <w:rFonts w:hint="eastAsia"/>
        </w:rPr>
        <w:t>刘光胜（2011.11.11～在任</w:t>
      </w:r>
    </w:p>
    <w:p w14:paraId="6C8957D7">
      <w:pPr>
        <w:ind w:left="840" w:leftChars="400" w:firstLine="420"/>
      </w:pPr>
      <w:r>
        <w:rPr>
          <w:rFonts w:hint="eastAsia"/>
        </w:rPr>
        <w:t>廖宣明（2011.11.11～在任）</w:t>
      </w:r>
    </w:p>
    <w:p w14:paraId="05D2F826">
      <w:pPr>
        <w:ind w:left="840" w:leftChars="400" w:firstLine="420"/>
      </w:pPr>
      <w:r>
        <w:rPr>
          <w:rFonts w:hint="eastAsia"/>
        </w:rPr>
        <w:t>陈泽明（2011.11.11～在任）</w:t>
      </w:r>
    </w:p>
    <w:p w14:paraId="6449A466">
      <w:pPr>
        <w:ind w:left="840" w:leftChars="400" w:firstLine="420"/>
      </w:pPr>
      <w:r>
        <w:rPr>
          <w:rFonts w:hint="eastAsia"/>
        </w:rPr>
        <w:t>柯油松（2011.11.1l～在任）</w:t>
      </w:r>
    </w:p>
    <w:p w14:paraId="11E6C53C">
      <w:pPr>
        <w:ind w:left="840" w:leftChars="400" w:firstLine="420"/>
      </w:pPr>
      <w:r>
        <w:rPr>
          <w:rFonts w:hint="eastAsia"/>
        </w:rPr>
        <w:t>徐兴伦（2011.11.11～在任）</w:t>
      </w:r>
    </w:p>
    <w:p w14:paraId="7D51B8B2">
      <w:pPr>
        <w:ind w:left="840" w:leftChars="400" w:firstLine="420"/>
      </w:pPr>
      <w:r>
        <w:rPr>
          <w:rFonts w:hint="eastAsia"/>
        </w:rPr>
        <w:t>林彩虹（2011.11.11～在任）</w:t>
      </w:r>
    </w:p>
    <w:p w14:paraId="7E515190">
      <w:pPr>
        <w:ind w:left="840" w:leftChars="400" w:firstLine="420"/>
      </w:pPr>
      <w:r>
        <w:rPr>
          <w:rFonts w:hint="eastAsia"/>
        </w:rPr>
        <w:t>黄恢伟（2011.11.11～在任）</w:t>
      </w:r>
    </w:p>
    <w:p w14:paraId="4BF6F1BC">
      <w:pPr>
        <w:ind w:left="840" w:leftChars="400" w:firstLine="420"/>
      </w:pPr>
      <w:r>
        <w:rPr>
          <w:rFonts w:hint="eastAsia"/>
        </w:rPr>
        <w:t>莫绵润（2011.11.11～在任）</w:t>
      </w:r>
    </w:p>
    <w:p w14:paraId="5A687D58">
      <w:pPr>
        <w:ind w:left="840" w:leftChars="400" w:firstLine="420"/>
      </w:pPr>
      <w:r>
        <w:rPr>
          <w:rFonts w:hint="eastAsia"/>
        </w:rPr>
        <w:t>张  新（2012.2.10～在任）</w:t>
      </w:r>
    </w:p>
    <w:p w14:paraId="5AE9FE0B">
      <w:pPr>
        <w:pStyle w:val="3"/>
      </w:pPr>
      <w:r>
        <w:rPr>
          <w:rFonts w:hint="eastAsia"/>
        </w:rPr>
        <w:t>重要活动及主要工作</w:t>
      </w:r>
    </w:p>
    <w:p w14:paraId="55878D6E">
      <w:pPr>
        <w:pStyle w:val="4"/>
      </w:pPr>
      <w:r>
        <w:rPr>
          <w:rFonts w:hint="eastAsia"/>
        </w:rPr>
        <w:t>【决定重大事项】</w:t>
      </w:r>
    </w:p>
    <w:p w14:paraId="23E20644">
      <w:pPr>
        <w:ind w:firstLine="420"/>
      </w:pPr>
      <w:r>
        <w:rPr>
          <w:rFonts w:hint="eastAsia"/>
        </w:rPr>
        <w:t>2011年，市人大常委会会议共作出决议、决定26项：（1）免去郭盛霖同志的南雄市人大常委会教育科学文化卫生工作委员会主任职务；（2）决定免去李新仁同志的南雄市安全生产监督管理局局长职务，决定任命蓝达财同志为南雄市城市综合管理局局长，吴少华同志为南雄市安全生产监督管理局局长，李新仁同志为南雄市民族宗教局局长；（3）免去魏先山同志的南雄市人民法院行政审判庭庭长职务；（4）决定免去王荣光、邓志聪两位同志南雄市人民政府副市长职务；（5）免去魏先山同志南雄市人民法院审判委员会委员职务；（6）决定批准交通运输局、市教育局、市旅游局、市环保局4个部门的评议整改工作报告；（7）审议并通过市人大常委会《关于封山育林保护生态环境的决议》，决定在全市实行封山育林工作；（8）审议市人民政府《关于提请审议恢复南雄中学、南雄市一中初中招生的议案》，决定从2011年秋季开始，用两年时间全面恢复南雄中学、南雄市一中初中招生；（9）审议市人民政府《关于提请审议南雄市河南工业开发区20-48-1地块用地性质调整的议案》，决定对南雄市河南工业开发区20-48-1地块（面积74.63亩）的用地性质进行调整，用地性质由工业用地调整为商住用地；（10）审议市人民政府《关于提请审议南雄市新城影剧院、广场规划的议案》，决定市人民政府新城影剧院、广场的规划设计；（11）任命周凤山同志为南雄市人民法院审判委员会委员、黄跃伟同志为南雄市人民法院审判委员会委员、朱庭辉同志为南雄市人民法院审判员；（12）审议通过南雄市人民代表大会常务委员会关于该市市、镇两级人民代表大会换届选举的决定（草案），决定该市市、镇两级人民代表大会代表统一选举日为2011年9月8日；（13）审议通过南雄市人民代表大会常务委员会关于设立该市市、镇两级选举委员会的决定，决定设立该市市、镇两级选举委员会，主持本级新一届人民代表大会换届选举工作；（14）会议任命许志新为市选举委员会主任，肖芬先、王荣光为市选举委员会副主任，李总路、涂运发、李冰、陈培兰、张宗财、周济辉、肖裕忠、栾怀持、张达明、刘烈胜、蔡德华为市选举委员会委员；（15）审议通过关于南雄市第十四届人民代表大会换届选举选区划分和代表名额方案，决定该市第十四届人民代表大会代表名额为211名，共划分选区159个；（16）任命沈学福同志为市人大常委会科教文卫工作委员会主任、苏德椿同志为市人大常委会雄州街道工作委员会主任、雷会信同志为市人大常委会雄州街道工作委员会副主任，免去钟历桂同志的市人大常委会办公室副主任职务、池宏安同志的市人大常委会教科文卫工作委员会副主任职务、陈仁麟同志的市人大常委会雄州街道工作委员会主任职务、陈如莲同志的市人大常委会雄州街道工作委员会副主任职务；（17）决定任命林绍发同志为市交通运输局局长、陈仁麟同志为市农业局局长、刘光新同志为市人口和计划生育局局长、吴敦林同志为市食品药品监督管理局局长、张英军同志为市民族宗教事务局局长、李祥同志为市对外贸易经济合作局局长，决定免去陈如亮同志的市交通运输局局长职务、刘光团同志的市农业局局长职务、卢德政同志的市人口和计划生育局局长职务、朱运通同志的市食品药品监督管理局局长职务、李新仁同志的市民族宗教事务局局长职务、刘先辉同志的市对外贸易经济合作局局长职务；（18）任命王晓云同志为市人民检察院检察委员会委员、副检察长兼反贪污贿赂局局长，免去贺真同志的市人民检察院检察委员会委员、副检察长、兼反贪污贿赂局局长职务；（19）任命贺真同志为市人民法院审判员、审判委员会委员、副院长；（20）任命赖正志同志为市人民检察院副检察长检察委员会委员，决定接受栾怀持同志辞去市人民检察院检察长；（21）免去谢雄生同志的南雄市人民法院审判员、审判委员会委员、副院长职务；（22）会议审议市委书记、市人大常委会主任许志新同志提请的主任会议《关于提请审议赖正志同志代理检察长职务的议案》，决定赖正志同志为南雄市人民检察院代理检察长；（23）审议市人大常委会主任会议提出的《关于召开南雄市第十四届人民代表大会第一次会议的有关事项》，决定南雄市第十四届人民代表大会第一次会议于2011年11月8日至12日在市区南雄大会堂召开；（24）任命张新同志为市人大常委会办公室主任，免去梁斌同志的市人大常委会办公室主任职务；（25）免去贺真同志的市人民法院审判员、审判委员会委员、副院长职务；（26）决定任命：周宏忠同志为市政府办公室主任；王友华同志为市发展和改革局局长；廖声华同志为市经济和信息化局局长；田文斌同志为市教育局局长；李皋辉同志为市科学技术（知识产权）局局长；张英军同志为市民族宗教事务局局长；刘悦明同志为市公安局局长；何文忠同志为市监察局局长；尹本善同志为市民政局局长；陈志雄同志为市司法局局长；袁元桃同志为市财政局局长；董圣国同志为市人力资源和社会保障局局长；沈步亮同志为市环境保护局局长；李传忠同志为市住房和城乡规划建设局局长；林绍发同志为市交通运输局局长；何启林同志为市水务局局长；陈仁麟同志为市农业局局长；李祥同志为市对外贸易经济合作局局长；肖丽琼同志为市文化广电新闻出版局局长；丁春晖同志为市卫生局局长；刘光新同志为市人口和计划生育局局长；陈宏华同志为市审计局局长；肖梅山同志为市统计局局长；张英宏同志为市林业局局长；吴少华同志为市安全生产监督管理局局长；吴敦林同志为市食品药品监督管理局局长。</w:t>
      </w:r>
    </w:p>
    <w:p w14:paraId="39D6F022">
      <w:pPr>
        <w:pStyle w:val="4"/>
      </w:pPr>
      <w:r>
        <w:rPr>
          <w:rFonts w:hint="eastAsia"/>
        </w:rPr>
        <w:t>【</w:t>
      </w:r>
      <w:r>
        <w:rPr>
          <w:rFonts w:hint="eastAsia"/>
          <w:lang w:eastAsia="zh-CN"/>
        </w:rPr>
        <w:t>人大常委会会议</w:t>
      </w:r>
      <w:r>
        <w:rPr>
          <w:rFonts w:hint="eastAsia"/>
        </w:rPr>
        <w:t>】</w:t>
      </w:r>
    </w:p>
    <w:p w14:paraId="085F75CB">
      <w:pPr>
        <w:ind w:firstLine="420"/>
      </w:pPr>
      <w:r>
        <w:rPr>
          <w:rFonts w:hint="eastAsia"/>
        </w:rPr>
        <w:t>2011年，市人大常委会共召开10次常委会会议。会议审议和决定的主要事项有：审议通过《南雄市第十三届人大常委会2011年工作要点》；补选刘清生同志为韶关市第十二届人民代表大会代表，报韶关市人大常委会确认；听取和审议市交通运输局、市教育局、市旅游局、市环保局等4个部门的评议整改工作报告；审议并通过市人大常委会《关于封山育林保护生态环境的决议》听取和审议市人民政府《关于提请审议恢复南雄中学、南雄市一中初中招生的议案》；听取和审议市人民政府《关于提请审议南雄市河南工业开发区20</w:t>
      </w:r>
      <w:r>
        <w:t>-</w:t>
      </w:r>
      <w:r>
        <w:rPr>
          <w:rFonts w:hint="eastAsia"/>
        </w:rPr>
        <w:t>48-1地块用地性质调整的议案》；听取和审议市人民政府《关于提请审议南雄市新城影剧院、广场规划的议案》；听取和审查市人民政府《关于南雄市2010年度财政决算草案的报告》；听取和审查《关于南雄市2010年度本级预算执行和其他财政收支的审计工作报告》；审议通过《南雄市第十三届人民代表大会常务委员会关于批准南雄市2010年度本级决算的决议》；审议通过南雄市人民代表大会常务委员会关于该市市、镇两级人民代表大会换届选举的决定；审议通过南雄市人民代表大会常务委员会关于设立该市市、镇两级选举委员会的决定；审议通过关于南雄市第十四届人民代表大会换届选举选区划分和代表名额方案；听取和审查市人民政府《关于南雄市2011年上半年预算执行情况的报告》、《关于南雄市2011年上半年国民经济和社会发展计划执行情况的报告》；听取和审议《贯彻实施“一个目标五大战略”情况汇报》、《南雄市十三届人大六次会议代表议案、建议办理情况报告》和《2011年“九件实事”进展情况的汇报》；审议市人大常委会主任会议提出的《关于召开南雄市第十四届人民代表大会第一次会议的有关事项》，确认208名南雄市第十四届人民代表大会代表资格有效，通过《南雄市人民代表大会常务委员会工作报告》；审议通过《关于设立南雄市第十四届人大常委会代表资格审查委员会的议案》、《南雄市第十四届</w:t>
      </w:r>
      <w:r>
        <w:rPr>
          <w:rFonts w:hint="eastAsia"/>
          <w:lang w:eastAsia="zh-CN"/>
        </w:rPr>
        <w:t>人大常委会会议</w:t>
      </w:r>
      <w:r>
        <w:rPr>
          <w:rFonts w:hint="eastAsia"/>
        </w:rPr>
        <w:t>事规则》和《南雄市第十四届人大常委会关于拟任干部法律知识考试规定》；听取和审议市人民政府《关于2011年市十三届人大常委会会议、主任会议提出的建议、批评和意见（〈会议纪要〉）的落实情况的报告》。</w:t>
      </w:r>
    </w:p>
    <w:p w14:paraId="56F1C8FC">
      <w:pPr>
        <w:pStyle w:val="4"/>
      </w:pPr>
      <w:r>
        <w:rPr>
          <w:rFonts w:hint="eastAsia"/>
        </w:rPr>
        <w:t>【人事任免】</w:t>
      </w:r>
    </w:p>
    <w:p w14:paraId="758AE7BD">
      <w:pPr>
        <w:ind w:firstLine="420"/>
      </w:pPr>
      <w:r>
        <w:rPr>
          <w:rFonts w:hint="eastAsia"/>
        </w:rPr>
        <w:t>2011年，常委会依法任命国家机关工作人员39人次，免去职务21人次。其中，任命人大常委会相关工委职务4人，决定任命市政府组成人员职务29人，任命市人民法院工作人员职务4人，任命市人民检察院工作人员职务2人。免去人大常委会相关工委职务6人；决定免去市政府组成人员职务9人；免去市人民法院工作人员职务4人；免去市人民检察院工作人员职务2人。</w:t>
      </w:r>
    </w:p>
    <w:p w14:paraId="6C1184B2">
      <w:pPr>
        <w:pStyle w:val="4"/>
      </w:pPr>
      <w:r>
        <w:rPr>
          <w:rFonts w:hint="eastAsia"/>
        </w:rPr>
        <w:t>【调研活动】</w:t>
      </w:r>
    </w:p>
    <w:p w14:paraId="13D69D50">
      <w:pPr>
        <w:ind w:firstLine="420"/>
      </w:pPr>
      <w:r>
        <w:rPr>
          <w:rFonts w:hint="eastAsia"/>
        </w:rPr>
        <w:t>5月26日，省人大常委会委员、副秘书长，省人大法工委主任委员金正佳一行7人到南雄就非物质文化遗产立法课题进行调研，韶关市人大、南雄市人大领导陪同调研，市文化局、市财政局、市旅游局、市民族宗教局负责人、非物质遗产代表性项目保护单位和代表性传承人等参与调研座谈会。7月7日，省人大到南雄开展《测绘条例（草案）》调研工作，市人大常委会常务副主任肖芬先陪同调研，省、韶关市人大代表、市人大机关干部及政府有关部门负责人参与调研工作；7月21日</w:t>
      </w:r>
      <w:r>
        <w:rPr>
          <w:rFonts w:hint="eastAsia"/>
          <w:lang w:val="en-US" w:eastAsia="zh-CN"/>
        </w:rPr>
        <w:t>至</w:t>
      </w:r>
      <w:r>
        <w:rPr>
          <w:rFonts w:hint="eastAsia"/>
        </w:rPr>
        <w:t>23日，市人大常委会组成人员对市财政局、市发改局、市审计局等单位进行工作评议调研。</w:t>
      </w:r>
    </w:p>
    <w:p w14:paraId="58A08919">
      <w:pPr>
        <w:pStyle w:val="4"/>
      </w:pPr>
      <w:r>
        <w:rPr>
          <w:rFonts w:hint="eastAsia"/>
        </w:rPr>
        <w:t>【视察工作】</w:t>
      </w:r>
    </w:p>
    <w:p w14:paraId="24F039DC">
      <w:pPr>
        <w:ind w:firstLine="420"/>
      </w:pPr>
      <w:r>
        <w:rPr>
          <w:rFonts w:hint="eastAsia"/>
        </w:rPr>
        <w:t>3月22至24日，常委会组织市人大常委会组成人员就全市贯彻执行《中华人民共和国村民委员会组织法》和“关于保护森林资源，加强封山育林，优化生态环境的议案”情况的专题视察和调研，听取相关镇领导的工作汇报，并听取和收集各阶层人员的意见和建议，进行实地视察和检查，深入若干户林农家进行询问了解。9月28日，市人大常委会组织韶关市第十二届人大代表（驻雄）对南雄市2011年申报省教育强镇乡镇的建设进度、资金落实、中小学布局调整、规范化学校建设以及乡镇中心幼儿园建设情况等“教育创强”工作情况进行视察。                                                          （陈文娟）</w:t>
      </w:r>
    </w:p>
    <w:p w14:paraId="6022A372">
      <w:pPr>
        <w:ind w:firstLine="0" w:firstLineChars="0"/>
        <w:rPr>
          <w:b/>
          <w:bCs/>
        </w:rPr>
      </w:pPr>
      <w:r>
        <w:rPr>
          <w:rFonts w:hint="eastAsia"/>
          <w:b/>
          <w:bCs/>
        </w:rPr>
        <w:t>附：2011年市人大办、各工委领导班子成员名单</w:t>
      </w:r>
    </w:p>
    <w:p w14:paraId="22E6E53C">
      <w:pPr>
        <w:ind w:firstLine="0" w:firstLineChars="0"/>
      </w:pPr>
      <w:r>
        <w:rPr>
          <w:rFonts w:hint="eastAsia"/>
        </w:rPr>
        <w:t>办公室主任：梁斌</w:t>
      </w:r>
    </w:p>
    <w:p w14:paraId="0DE482BC">
      <w:pPr>
        <w:ind w:firstLine="0" w:firstLineChars="0"/>
      </w:pPr>
      <w:r>
        <w:rPr>
          <w:rFonts w:hint="eastAsia"/>
        </w:rPr>
        <w:t>副主任：钟历桂 曾昭雄</w:t>
      </w:r>
    </w:p>
    <w:p w14:paraId="7FB406B7">
      <w:pPr>
        <w:ind w:firstLine="0" w:firstLineChars="0"/>
      </w:pPr>
      <w:r>
        <w:rPr>
          <w:rFonts w:hint="eastAsia"/>
        </w:rPr>
        <w:t>内务司法工委主任：陈焱煌</w:t>
      </w:r>
    </w:p>
    <w:p w14:paraId="1EBB7572">
      <w:pPr>
        <w:ind w:firstLine="0" w:firstLineChars="0"/>
      </w:pPr>
      <w:r>
        <w:rPr>
          <w:rFonts w:hint="eastAsia"/>
        </w:rPr>
        <w:t>经济工委主任：刘运平</w:t>
      </w:r>
    </w:p>
    <w:p w14:paraId="364E89CC">
      <w:pPr>
        <w:ind w:firstLine="0" w:firstLineChars="0"/>
      </w:pPr>
      <w:r>
        <w:rPr>
          <w:rFonts w:hint="eastAsia"/>
        </w:rPr>
        <w:t>教科文卫工委主任：郭盛霖（任至8月）</w:t>
      </w:r>
    </w:p>
    <w:p w14:paraId="317A6398">
      <w:pPr>
        <w:ind w:left="1890" w:leftChars="900" w:firstLine="0" w:firstLineChars="0"/>
      </w:pPr>
      <w:r>
        <w:rPr>
          <w:rFonts w:hint="eastAsia"/>
        </w:rPr>
        <w:t>沈学福（8月任）</w:t>
      </w:r>
    </w:p>
    <w:p w14:paraId="7F42E687">
      <w:pPr>
        <w:ind w:firstLine="0" w:firstLineChars="0"/>
      </w:pPr>
      <w:r>
        <w:rPr>
          <w:rFonts w:hint="eastAsia"/>
        </w:rPr>
        <w:t>副主任：池宏安（任至9月）</w:t>
      </w:r>
    </w:p>
    <w:p w14:paraId="2264C54E">
      <w:pPr>
        <w:ind w:firstLine="0" w:firstLineChars="0"/>
      </w:pPr>
      <w:r>
        <w:rPr>
          <w:rFonts w:hint="eastAsia"/>
        </w:rPr>
        <w:t>选联任工委主任：赖长林</w:t>
      </w:r>
    </w:p>
    <w:p w14:paraId="63673350">
      <w:pPr>
        <w:ind w:firstLine="0" w:firstLineChars="0"/>
      </w:pPr>
      <w:r>
        <w:rPr>
          <w:rFonts w:hint="eastAsia"/>
        </w:rPr>
        <w:t>副主任：朱概铭</w:t>
      </w:r>
    </w:p>
    <w:tbl>
      <w:tblPr>
        <w:tblStyle w:val="15"/>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0BC973A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5D4B5B63">
            <w:pPr>
              <w:ind w:firstLine="0" w:firstLineChars="0"/>
            </w:pPr>
            <w:r>
              <w:rPr>
                <w:rFonts w:hint="eastAsia"/>
              </w:rPr>
              <w:drawing>
                <wp:inline distT="0" distB="0" distL="114300" distR="114300">
                  <wp:extent cx="6182360" cy="4126230"/>
                  <wp:effectExtent l="0" t="0" r="8890" b="7620"/>
                  <wp:docPr id="6" name="图片 6" descr="南雄年鉴201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南雄年鉴2012-37"/>
                          <pic:cNvPicPr>
                            <a:picLocks noChangeAspect="1"/>
                          </pic:cNvPicPr>
                        </pic:nvPicPr>
                        <pic:blipFill>
                          <a:blip r:embed="rId90" cstate="print"/>
                          <a:stretch>
                            <a:fillRect/>
                          </a:stretch>
                        </pic:blipFill>
                        <pic:spPr>
                          <a:xfrm>
                            <a:off x="0" y="0"/>
                            <a:ext cx="6182360" cy="4126230"/>
                          </a:xfrm>
                          <a:prstGeom prst="rect">
                            <a:avLst/>
                          </a:prstGeom>
                        </pic:spPr>
                      </pic:pic>
                    </a:graphicData>
                  </a:graphic>
                </wp:inline>
              </w:drawing>
            </w:r>
          </w:p>
        </w:tc>
      </w:tr>
    </w:tbl>
    <w:p w14:paraId="6B4FAE04">
      <w:pPr>
        <w:ind w:firstLine="0" w:firstLineChars="0"/>
      </w:pPr>
    </w:p>
    <w:p w14:paraId="18F4D0F0">
      <w:pPr>
        <w:pStyle w:val="2"/>
        <w:ind w:firstLine="883"/>
      </w:pPr>
      <w:r>
        <w:rPr>
          <w:rFonts w:hint="eastAsia"/>
        </w:rPr>
        <w:t>南雄市人政府</w:t>
      </w:r>
    </w:p>
    <w:p w14:paraId="79E64C5D">
      <w:pPr>
        <w:pStyle w:val="3"/>
      </w:pPr>
      <w:r>
        <w:rPr>
          <w:rFonts w:hint="eastAsia"/>
        </w:rPr>
        <w:t>综述</w:t>
      </w:r>
    </w:p>
    <w:p w14:paraId="1689F45A">
      <w:pPr>
        <w:ind w:firstLine="420"/>
      </w:pPr>
      <w:r>
        <w:rPr>
          <w:rFonts w:hint="eastAsia"/>
        </w:rPr>
        <w:t>2011年，全市实现生产总值75.31亿元，同比增长15.8%；实现人均生产总值2.16万元，同比增长16.1%；地方财政一般预算收入3.4亿元，同比增长20.2%。2011年，被列为“国家可持续发展实验区”，获得“中国恐龙之乡”、“广东省林业生态县”、“广东省新型农村社会养老保险试点全覆盖达标单位”等荣誉称号。</w:t>
      </w:r>
    </w:p>
    <w:p w14:paraId="408EA877">
      <w:pPr>
        <w:pStyle w:val="3"/>
        <w:rPr>
          <w:rFonts w:hint="eastAsia" w:eastAsia="宋体"/>
          <w:lang w:eastAsia="zh-CN"/>
        </w:rPr>
      </w:pPr>
      <w:r>
        <w:rPr>
          <w:rFonts w:hint="eastAsia"/>
        </w:rPr>
        <w:t>重要政</w:t>
      </w:r>
      <w:r>
        <w:rPr>
          <w:rFonts w:hint="eastAsia"/>
          <w:lang w:val="en-US" w:eastAsia="zh-CN"/>
        </w:rPr>
        <w:t>务</w:t>
      </w:r>
    </w:p>
    <w:p w14:paraId="52D5F879">
      <w:pPr>
        <w:pStyle w:val="4"/>
      </w:pPr>
      <w:r>
        <w:rPr>
          <w:rFonts w:hint="eastAsia"/>
        </w:rPr>
        <w:t>【经济结构调整取得新突破】</w:t>
      </w:r>
    </w:p>
    <w:p w14:paraId="38BD015C">
      <w:pPr>
        <w:ind w:firstLine="420"/>
      </w:pPr>
      <w:r>
        <w:rPr>
          <w:rFonts w:hint="eastAsia"/>
        </w:rPr>
        <w:t>2011年，全市经济发展质量不断提高，第一产业增加值19.92亿元，同比增长5.9%；第二产业增加值23.75亿元，同比增长30.3%；第三产业增加值31.64亿元，同比增长12.6%。三次产业结构由上年的28.5：27.3：44.2调整为26.5：31.5：42，成功实现一二产业比重调头。</w:t>
      </w:r>
    </w:p>
    <w:p w14:paraId="74BC8A21">
      <w:pPr>
        <w:pStyle w:val="4"/>
      </w:pPr>
      <w:r>
        <w:rPr>
          <w:rFonts w:hint="eastAsia"/>
        </w:rPr>
        <w:t>【工业经济较快增长】</w:t>
      </w:r>
    </w:p>
    <w:p w14:paraId="286B67B4">
      <w:pPr>
        <w:ind w:firstLine="420"/>
      </w:pPr>
      <w:r>
        <w:rPr>
          <w:rFonts w:hint="eastAsia"/>
        </w:rPr>
        <w:t>全市完成工业总产值59.58亿元，同比增长37.5%；实现工业增加值16.89亿元，同比增长38.2%。全市规模以上工业企业达到66家，新增20家，其中年产值超亿元的企业达到22家，企业实力逐步增强。特色产业进一步发展，精细化工、陶瓷建材、浆纸制造三大主导产业产值分别为30.8亿元、1.1亿元和3.1亿元，同比分别增长154.1%、1.67%、37.19%。</w:t>
      </w:r>
    </w:p>
    <w:p w14:paraId="1D2383A3">
      <w:pPr>
        <w:pStyle w:val="4"/>
      </w:pPr>
      <w:r>
        <w:rPr>
          <w:rFonts w:hint="eastAsia"/>
        </w:rPr>
        <w:t>【园区建设扎实推进】</w:t>
      </w:r>
    </w:p>
    <w:p w14:paraId="7ACD86AB">
      <w:pPr>
        <w:ind w:firstLine="420"/>
      </w:pPr>
      <w:r>
        <w:rPr>
          <w:rFonts w:hint="eastAsia"/>
        </w:rPr>
        <w:t>一期园区基础设施累计投入7.5亿元，基础设施和配套功能进一步完善。一期园区企业已全面进入施工建设，试投产企业达到45家，其中规模以上企业35家；税收实现1.4亿民政府元，同比增长176.2%，园区效益逐步提高，获得“广东省中小企业创业基地”荣誉称号。二期园区规划、环评等扩园前期工作正加紧进行。</w:t>
      </w:r>
    </w:p>
    <w:p w14:paraId="585D1059">
      <w:pPr>
        <w:pStyle w:val="4"/>
      </w:pPr>
      <w:r>
        <w:rPr>
          <w:rFonts w:hint="eastAsia"/>
        </w:rPr>
        <w:t>【招商引资和对外贸易质量不断提升】</w:t>
      </w:r>
    </w:p>
    <w:p w14:paraId="4729864D">
      <w:pPr>
        <w:ind w:firstLine="420"/>
      </w:pPr>
      <w:r>
        <w:rPr>
          <w:rFonts w:hint="eastAsia"/>
        </w:rPr>
        <w:t>全年签订投资项目19个，金额41.4亿元，实际利用外资2050万美元，同比增长13.7%。其中成功引进投资6.6亿元的康绿宝（南雄）科技园、中山大桥化工和广州阳普医疗等一批优质企业，储备60多个国内外知名企业投资项目。对外贸易结构进一步改善，外贸出口达2580万美元，同比增长28.8%。</w:t>
      </w:r>
    </w:p>
    <w:p w14:paraId="00DEEE95">
      <w:pPr>
        <w:pStyle w:val="4"/>
      </w:pPr>
      <w:r>
        <w:rPr>
          <w:rFonts w:hint="eastAsia"/>
        </w:rPr>
        <w:t>【农业产业化和新农村建设步伐加快】</w:t>
      </w:r>
    </w:p>
    <w:p w14:paraId="29868D1E">
      <w:pPr>
        <w:ind w:firstLine="420"/>
      </w:pPr>
      <w:r>
        <w:rPr>
          <w:rFonts w:hint="eastAsia"/>
        </w:rPr>
        <w:t>全市完成农业总产值33.49亿元，同比增长5.9%。粮食总产量22.24万吨，同比增长3.3%，国家和省级“产粮大县”地位进一步巩固；完成烟叶收购31.98万担，收购金额达2.89亿元，同比增长24%；禽畜养殖业健康发展，其中生猪存栏量23.15万头，出栏量39.97万头，分别增长3.6%和9.9%。围绕特色农业发展，成立168家农民专业合作社，新建7个现代农业精品园区。金友集团投资8000万元，兴建粮食仓储和农副产品加工基地，被省经信委评为“广东省优势传统企业转型升级示范企业”，标志着该市特色农副产品产业化经营迈出新的步伐。完成31个村庄环境整治工作，扶贫“双到”资金投入1.36亿元，接近实现“三年任务两年完成”的目标。</w:t>
      </w:r>
    </w:p>
    <w:p w14:paraId="0BFF65EB">
      <w:pPr>
        <w:pStyle w:val="4"/>
      </w:pPr>
      <w:r>
        <w:rPr>
          <w:rFonts w:hint="eastAsia"/>
        </w:rPr>
        <w:t>【旅游商贸持续发展】</w:t>
      </w:r>
    </w:p>
    <w:p w14:paraId="28A98CAF">
      <w:pPr>
        <w:ind w:firstLine="420"/>
      </w:pPr>
      <w:r>
        <w:rPr>
          <w:rFonts w:hint="eastAsia"/>
        </w:rPr>
        <w:t>以打造“粤赣边际旅游休闲度假优选地”和创建广东省“旅游强县”为目标，加快珠玑古巷、梅岭景区国家4A级景区创建工作。建成珠玑旅游大道，梅花长廊等景观有了新的变化，成功举办“2011广东国际旅游文化节南雄分会场”活动。全年接待游客134.22万人次，旅游总收入9.1亿元，分别增长22.8%、31%。民营经济稳步发展，全市个体工商户7843户，私营企业670家，税收实现1.09亿元，同比增长59.86%。城乡居民对汽车、住房等大宗商品的购买力不断增强，餐饮、娱乐、中介、物流等服务业快速发展，全市实现社会消费品零售总额28.41亿元，同比增长15.7%。</w:t>
      </w:r>
    </w:p>
    <w:p w14:paraId="286E5605">
      <w:pPr>
        <w:pStyle w:val="4"/>
      </w:pPr>
      <w:r>
        <w:rPr>
          <w:rFonts w:hint="eastAsia"/>
        </w:rPr>
        <w:t>【财税金融运行良好】</w:t>
      </w:r>
    </w:p>
    <w:p w14:paraId="03CD1D00">
      <w:pPr>
        <w:ind w:firstLine="420"/>
      </w:pPr>
      <w:r>
        <w:rPr>
          <w:rFonts w:hint="eastAsia"/>
        </w:rPr>
        <w:t>国税税收收入完成1.3亿元，同比增长18.4%。地税税收收入完成2.99亿元，同比增长1%。地方财政一般预算收入完成3.4亿元，同比增长20.2%。来源于全市的财政总收入13.22亿元，同比增长35.7%，财政总支出13.21亿元，同比增长38.7%，达到收支平衡，略有结余。金融对全市经济发展的支持力度加大，年末金融机构存款余额66亿元，比年初增长16.6%；各项贷款余额18.74亿元，比年初增长25.4%；雄健担保有限公司为55家企业提供贷款担保1.5亿元，拓宽融资渠道，为企业发展提供资金保障。</w:t>
      </w:r>
    </w:p>
    <w:p w14:paraId="73A08DF3">
      <w:pPr>
        <w:pStyle w:val="4"/>
      </w:pPr>
      <w:r>
        <w:rPr>
          <w:rFonts w:hint="eastAsia"/>
        </w:rPr>
        <w:t>【重点项目建设稳步推进】</w:t>
      </w:r>
    </w:p>
    <w:p w14:paraId="151B1AE0">
      <w:pPr>
        <w:ind w:firstLine="420"/>
      </w:pPr>
      <w:r>
        <w:rPr>
          <w:rFonts w:hint="eastAsia"/>
        </w:rPr>
        <w:t>交通方面，赣韶铁路南雄段完成投资0.86亿元，完成通自然村水泥公路建设85公里，改（新）建桥梁4座，建成13个农村客运站和一批候车亭，奥威斯大道（东背岭大桥至龙华山温泉公路）建设工程进展顺利；能源方面，“西气东输”南雄段完成投资2000多万元，工程已投入使用。投资3100万元，完成农村电网配网改造工程；农田水利方面，投资1150万元，完成水口镇0.97万亩国家农业综合开发项目。投资700多万元，完成4720亩农田整治。投资3364万元，完成33宗农村饮水安全工程。投资1250万元，完成孔江灌区节水配套改造一期工程。投资1048万元，完成江头镇田间工程建设；通讯方面，投资338万元，完成30个C网基站建设。</w:t>
      </w:r>
    </w:p>
    <w:p w14:paraId="58CDFE7B">
      <w:pPr>
        <w:pStyle w:val="4"/>
      </w:pPr>
      <w:r>
        <w:rPr>
          <w:rFonts w:hint="eastAsia"/>
        </w:rPr>
        <w:t>【城市面貌明显改观】</w:t>
      </w:r>
    </w:p>
    <w:p w14:paraId="398E4C15">
      <w:pPr>
        <w:ind w:firstLine="420"/>
      </w:pPr>
      <w:r>
        <w:rPr>
          <w:rFonts w:hint="eastAsia"/>
        </w:rPr>
        <w:t>城区市政设施投入6000多万元。主要是：完成老国道323线穿城段改造一期工程；完善金叶大道与S342线交汇处、雄州大道与永康路交汇处等市区四个主要路口的交通安全设施；完成金叶大道、迎宾大道、教育路等城市美化绿化工程；沿江两岸道路建设正在进行。雄州新城城市综合体项目征地拆迁工作正有序开展。南雄珠影文化广场完成投资1200万元，雄州公园、疾控中心大楼等城市配套功能项目进展顺利。</w:t>
      </w:r>
    </w:p>
    <w:p w14:paraId="17232333">
      <w:pPr>
        <w:ind w:firstLine="420"/>
      </w:pPr>
      <w:r>
        <w:rPr>
          <w:rFonts w:hint="eastAsia"/>
        </w:rPr>
        <w:t>旧城区改造和住宅小区建设加快推进。土地公开交易995亩，成交金额4.45亿元，其中水西小岛项目成交价3.19亿元。房地产开发项目14个，投资1亿多元，面积12万多平方米。水西小岛大福国际名城项目已开工建设。如期完成上级下达的保障性住房建设任务，建成32套经济适用房和3套廉租房，100套廉租房已开工建设，196套危旧房改造、72套公租房建设任务已经落实。</w:t>
      </w:r>
    </w:p>
    <w:p w14:paraId="5E9810D6">
      <w:pPr>
        <w:pStyle w:val="4"/>
      </w:pPr>
      <w:r>
        <w:rPr>
          <w:rFonts w:hint="eastAsia"/>
        </w:rPr>
        <w:t>【生态环境得到有效保护】</w:t>
      </w:r>
    </w:p>
    <w:p w14:paraId="25E5DC31">
      <w:pPr>
        <w:ind w:firstLine="420"/>
      </w:pPr>
      <w:r>
        <w:rPr>
          <w:rFonts w:hint="eastAsia"/>
        </w:rPr>
        <w:t>完成造林4.5万亩，森林覆盖率达到63.43%，集体林权制度改革工作通过省政府验收并被评为优秀等级。孔江湿地公园被国家林业局批准为国家湿地公园。加强环境综合治理，全面完成上级下达的节能减排任务，关闭落后小型造纸企业3家，铺设老城区雨污分流管网3.95公里，完成浈江河流域1.73平方公里的红砂岭综合治理。土地资源得到合理保护利用，获得用地指标2556亩，通过土地整理新增耕地4000多亩。“三项整治”成效明显，违法占地建房、乱砍滥伐、违法采矿等不良态势得到有效遏制。</w:t>
      </w:r>
    </w:p>
    <w:p w14:paraId="2A3563AB">
      <w:pPr>
        <w:pStyle w:val="4"/>
      </w:pPr>
      <w:r>
        <w:rPr>
          <w:rFonts w:hint="eastAsia"/>
        </w:rPr>
        <w:t>【城乡居民收入稳步增长】</w:t>
      </w:r>
    </w:p>
    <w:p w14:paraId="3FF8B0F1">
      <w:pPr>
        <w:ind w:firstLine="420"/>
      </w:pPr>
      <w:r>
        <w:rPr>
          <w:rFonts w:hint="eastAsia"/>
        </w:rPr>
        <w:t>城镇居民人均可支配收入1.33万元，同比增长12.5%。在岗职工年人均工资2.94万元，同比增长11.5%。农村居民人均纯收入7012元，同比增长17.7%。年末城乡居民储蓄存款余额51.26亿元；同比增长14%。</w:t>
      </w:r>
    </w:p>
    <w:p w14:paraId="0CAED7A8">
      <w:pPr>
        <w:pStyle w:val="4"/>
      </w:pPr>
      <w:r>
        <w:rPr>
          <w:rFonts w:hint="eastAsia"/>
        </w:rPr>
        <w:t>【社会保障体系日益完善】</w:t>
      </w:r>
    </w:p>
    <w:p w14:paraId="46354763">
      <w:pPr>
        <w:ind w:firstLine="420"/>
      </w:pPr>
      <w:r>
        <w:rPr>
          <w:rFonts w:hint="eastAsia"/>
        </w:rPr>
        <w:t>就业形势持续稳定，城镇新增就业5200多人，转移农村劳动力1.3万人，城镇登记失业率控制在2.48%以内。社会保险覆盖面进一步扩大，城镇居民医保、养老保险和新农保三项保险参保人数分别为2.6万人、3.1万人和14.9万人，新农保超额完成省试点工作任务，60周岁以上老人中已有3.82万人开始按月领取新农保基础养老金，新型农村合作医疗覆盖率达100%。社会保险五个险种征缴2.34亿元，支出1.75亿元。社会救助体系更加健全，在册低保户7500户，1.6万多人，支出1880万元，实现应保尽保；1400名五保老人基本生活得到有效保障；医疗救助800多人次，支出180万元，解决部分困难群众就医难问题。</w:t>
      </w:r>
    </w:p>
    <w:p w14:paraId="281E2D47">
      <w:pPr>
        <w:pStyle w:val="4"/>
      </w:pPr>
      <w:r>
        <w:rPr>
          <w:rFonts w:hint="eastAsia"/>
        </w:rPr>
        <w:t>【社会事业协调发展】</w:t>
      </w:r>
    </w:p>
    <w:p w14:paraId="57CCFB2B">
      <w:pPr>
        <w:ind w:firstLine="420"/>
      </w:pPr>
      <w:r>
        <w:rPr>
          <w:rFonts w:hint="eastAsia"/>
        </w:rPr>
        <w:t>教育创强工作力度加大，创建水口等3个教育强镇。投资4200万元，完成25所义务教育学校规范化建设和50个“校安工程”项目。南雄中学、南雄一中恢复初中办学。人才强市战略深入实施，人才队伍结构进一步优化。科技创新水平提升，成功向省申报科技项目11个。稳妥推进医药卫生体制改革，医疗卫生服务体系更加健全，医疗服务水平稳步提升。文化事业进一步发展，新华书店转制顺利完成，实施广电网络改革重组。城乡公共文化服务逐步完善，文化惠民活动不断深入。有一批群众文艺作品获得省级奖励，“香火龙”列入国家非物质文化遗产名录公示，《龙船歌》通过省级第三批非物质文化遗产专家组论证。体育事业加快发展，完成40个行政村“农民体育健身工程”建设，全民健身运动和体育竞技水平不断提高。人口和计生管理水平不断提高，被省政府批准从二类地区管理晋升为一类地区管理。</w:t>
      </w:r>
    </w:p>
    <w:p w14:paraId="0985E2C7">
      <w:pPr>
        <w:pStyle w:val="4"/>
      </w:pPr>
      <w:r>
        <w:rPr>
          <w:rFonts w:hint="eastAsia"/>
        </w:rPr>
        <w:t>【社会管理取得新成效】</w:t>
      </w:r>
    </w:p>
    <w:p w14:paraId="3110105E">
      <w:pPr>
        <w:ind w:firstLine="420"/>
      </w:pPr>
      <w:r>
        <w:rPr>
          <w:rFonts w:hint="eastAsia"/>
        </w:rPr>
        <w:t>坚持“打防管控”结合，完善市区重点部位、重点区域和重点单位的视频监控系统，持续开展各种违法犯罪专项打击行动，社会治安形势稳定；信访维稳扎实推进，各类矛盾纠纷得到有效解决；加强安全生产、交通运输安全和食品药品安全监管；公共突发性事件得到有效预防和处置。同时，加强政府自身建设。自觉接受市人大的监督和市政协参政议政，办理人大议案及建议33件、政协提案60件，办复率达100%。建立了重点项目、重要工作督查督办机制。清理精简行政审批事项，进一步简化手续，提高办事效率，加大政务公开工作力度，政务环境不断优化，政府工作更加规范透明。民主法制建设切实加强，廉政建设和机关作风建设不断深入，依法行政和服务水平稳步提高。</w:t>
      </w:r>
    </w:p>
    <w:p w14:paraId="5CA1DDBA">
      <w:pPr>
        <w:pStyle w:val="3"/>
      </w:pPr>
      <w:r>
        <w:rPr>
          <w:rFonts w:hint="eastAsia"/>
        </w:rPr>
        <w:t>重要会议</w:t>
      </w:r>
    </w:p>
    <w:p w14:paraId="66B89D12">
      <w:pPr>
        <w:pStyle w:val="4"/>
      </w:pPr>
      <w:r>
        <w:rPr>
          <w:rFonts w:hint="eastAsia"/>
        </w:rPr>
        <w:t>【市政府常务会议】</w:t>
      </w:r>
    </w:p>
    <w:p w14:paraId="28B69C9B">
      <w:pPr>
        <w:ind w:firstLine="420"/>
      </w:pPr>
      <w:r>
        <w:rPr>
          <w:rFonts w:hint="eastAsia"/>
        </w:rPr>
        <w:t>2011年共召开市政府常务会议6次，会议主要讨论研究以下内容：更换新城垃圾中转站设备、新建环城东路垃圾中转站和解决环卫临时工欠缴社保金等问题；改址兴建新疾病预防控中心大楼；彤置富水泥建材投资有限公司110KV供电线路工程可研报告及接入系统方案的选择；林业局下属事业单位林改配套改革；调整医疗机构在职和离退休人员预算经费、追加医疗机构人员增资经费；进一步完善老城改造市政公共设施的措施；对年度贷款余额增加的商业银行实施奖励；《南雄市国民经济和社会发展第十二个五年规划纲要（草案）》；将市粮食购销有限公司闲置资产划归国有资产管理中心管理；对全市优抚对象、城乡低保对象和农村五保供养对象发放价格临时补贴；关于珠玑巷景区旅游环境整治；市城管大队执法急需解决的几个问题；老城改造有关遗留问题；恢复南雄中学、市一中初中招生；将市人民医院规划建设成为“三级”医院以及新建ICU、内科住院大楼项目；凌江引水工程管理所、杨梅水库工作人员缴交社保金的问题；浈江河道韶关市管河段采砂不再进行招标的议题；该市贯彻《韶关市建设领域施工企业工人工资支付保证金管理办法》的实施意见；解决市安全生产监督管理局办公场所的问；组建精细化工基地现役消防队；《南雄市价格调节基金征收使用管理暂行办法》；国资委监管范围、国资委干部管理权限及国有资产清查；《关于南雄市耕地占用税征收的实施方案》；《关于采取措施加快经济发展的意见》；水西小岛东面地块前期配套工程；给予珠玑纸业十二五发展规划政策扶持问题；加快推进水泥项目建设；落实重度残疾人家庭有线数字电视实行优惠政策；做好中央、省扶持原中央苏区县加快发展政策对接工作；调整村（社区）“两委”干部工资津贴及办公经费；给予市一中银行贷款贴息；添置压缩垃圾车问题；做好房地产开发等建设项目水土保持工作；开展封山育林保护生态环境；农村计划生育节育奖励金；规划建设新档案馆；2011年广东国际旅游文化节南雄分会场活动总体工作方案；《南雄市重点项目前期工作经费使用管理办法（征求意见稿）》；《南雄市争取项目、资金、政策奖励办法（征求意见稿）》；解决省安监局在东莞大岭山（南雄）产业转移工业园开展安全生产管理示范点建设试点工作经费；建设和完善治安视频监控系统；增加机关单位工作人员津贴补贴、事业单位工作人员绩效工资及离退休人员生活补贴的问题；分期解决原水泥厂社会集资款的问题；对市预制构件厂土地挂牌转让和解决历史遗留问题；挂牌转让电池厂及相关问题；开展中小学校用地确权登记和发证工作；各镇成立中心幼儿园问题；2011年韶关市（南雄）经济社会科学发展考核模拟测评情况南雄市人民政府招待所体制改革；增加村级防治员和原在岗兽医员退岗补助问题；对外贸易总公司转制方案；《南雄市党政领导班子和领导干部安全生产责任制考核办法（征求意见稿）》；购买南雄市农村信用合作联社法人股份问题；成立转制国有企业管理办公室问题；《各镇（街道）经济社会科学发展考核办法（送审稿）》；知识产权相关工作；全安镇、雄州街道规范化学校建设实施细化方案等。</w:t>
      </w:r>
    </w:p>
    <w:p w14:paraId="4F55849F">
      <w:pPr>
        <w:pStyle w:val="4"/>
      </w:pPr>
      <w:r>
        <w:rPr>
          <w:rFonts w:hint="eastAsia"/>
        </w:rPr>
        <w:t>【市长办公会议】</w:t>
      </w:r>
    </w:p>
    <w:p w14:paraId="1C3AE577">
      <w:pPr>
        <w:ind w:firstLine="420"/>
      </w:pPr>
      <w:r>
        <w:rPr>
          <w:rFonts w:hint="eastAsia"/>
        </w:rPr>
        <w:t>2011年共召开市长办公会议14次，主要研究部署以下工作：黄坪村至大甫前林区干线公路情况；做好迎接2010年度省产业转移目标责任考核和抓好入园企业的促产促建；规范城区街（路）地名管理和在城区部分路段设置道路隔栏；广东南雄金马纤维板制品有限公司为与广东金泰源投资有限公司合作申请变更有关证件所有权人；加强珠玑巷景区旅游环境管理及与珠玑巷博物馆合作协议；新G323线改建工程征地拆迁遗留的协约安置户问题及铁路征地拆迁问题；雄州公园、铁路站场、凌江大道等项目的征地拆迁问题；进一步完善东莞大岭山（南雄）产业转移工业园安全生产管理示范点建设，迎接全省化工园区安全生产管理示范点建设试点现场会召开；新八一小学、雄州新城城市综合体、奥威斯等重点项目建设的进度情况；南雄市国税局、南雄市农信社异地兴建办公大楼等问题；韶赣汽车城筹建协调工作；“有关信访事项中部分业主要求办理房、地产证问题”工作会议等。</w:t>
      </w:r>
    </w:p>
    <w:p w14:paraId="7F47F5AD">
      <w:pPr>
        <w:pStyle w:val="4"/>
      </w:pPr>
      <w:r>
        <w:rPr>
          <w:rFonts w:hint="eastAsia"/>
        </w:rPr>
        <w:t>【市政府工作会议】</w:t>
      </w:r>
    </w:p>
    <w:p w14:paraId="5645FC84">
      <w:pPr>
        <w:ind w:firstLine="420"/>
      </w:pPr>
      <w:r>
        <w:rPr>
          <w:rFonts w:hint="eastAsia"/>
        </w:rPr>
        <w:t>2011年共召开市政府工作会议22次，会议主要部署解决以下问题：交通安全联席会议暨2011年春运工作动员；广晟有色金属集团公司在南雄市投资载体广州皮皮生物技术有限公司的用地及相关问题；关闭落后小型造纸企业；金叶大道南、北等路段绿化美化工作；龙华山温泉度假村整体转让给广东奥威斯实业投资集团股份有限公司；精细化工基地土地开发融资工作；南雄市人民政府与金泰源投资有限公司对珠玑工业园一期精细化工基地资金核算的会议；“在市区雄州大道东与永康路口交接处增加交通灯及电子警察系统工程项目”工作；韶赣高速公路珠玑连接线延长线与国道323线交接处安装交通信号灯和电子警察系统”工作；做好房地产开发等建设项目水土保持工作；南雄市生活垃圾卫生填埋场建设项目土地征收工作；南雄乐华陶瓷洁具公司在立项、环评、安评、土地办证、排污规划等工作；“彤置富水泥项目建设场地土石方工程协调会议”；渡槽柱礅被过往车辆撞斜（爆裂）交通肇事事件处理会议；“浈江电业有限责任公司在企业所得税征收方法改变后规范财务核算和分红问题”；南雄市高富盛石英石材有限公司勘探、开采石英石矿产资源；市区设置街路地名标志牌；收回市全安粮管所、珠玑粮管所、黄坑粮管所、百顺粮管所国有土地使用权相关事宜；异地新建八一路小学；乐华陶瓷洁具有限公司开采陶瓷土资源和广东高富盛投资担保公司建设石英石人造面板项目；开展生猪定点屠宰专项整治工作；推进人武建设工作；老城区“三旧”改造试点及老城区部分项目办证问题等。</w:t>
      </w:r>
    </w:p>
    <w:p w14:paraId="03D2760C">
      <w:pPr>
        <w:pStyle w:val="4"/>
      </w:pPr>
      <w:r>
        <w:rPr>
          <w:rFonts w:hint="eastAsia"/>
        </w:rPr>
        <w:t>【市政府经济形势分析会】</w:t>
      </w:r>
    </w:p>
    <w:p w14:paraId="1FE5868D">
      <w:pPr>
        <w:ind w:firstLine="420"/>
      </w:pPr>
      <w:r>
        <w:rPr>
          <w:rFonts w:hint="eastAsia"/>
        </w:rPr>
        <w:t>2011年南雄市政府召开的经济形势分析会共3次，每季度召开一次，主要研究分析前一季度全市经济运行情况，部署下一阶段经济工作，查找经济发展中存在问题，提出解决办法，为推动全市经济快速发展保驾护航。经济形势分析会由市政府主持召开，市委主要领导、市政府市长、副市长、市直副科以上单位一把手，镇（街）党（工）委书记、镇长参加会议。会议一般由重要经济部门汇报分析上一季度全市经济运行情况，市长做全市经济形势分析，市委书记做总结发言。</w:t>
      </w:r>
    </w:p>
    <w:p w14:paraId="5DF1D6FC">
      <w:pPr>
        <w:pStyle w:val="3"/>
      </w:pPr>
      <w:r>
        <w:rPr>
          <w:rFonts w:hint="eastAsia"/>
        </w:rPr>
        <w:t>2011年南雄市人民政府领导职务变动</w:t>
      </w:r>
    </w:p>
    <w:p w14:paraId="56D51ECF">
      <w:pPr>
        <w:ind w:firstLine="420"/>
      </w:pPr>
      <w:r>
        <w:rPr>
          <w:rFonts w:hint="eastAsia"/>
        </w:rPr>
        <w:t>代市长：刘清生（任至11月）</w:t>
      </w:r>
    </w:p>
    <w:p w14:paraId="2AD3469B">
      <w:pPr>
        <w:ind w:firstLine="420"/>
      </w:pPr>
      <w:r>
        <w:rPr>
          <w:rFonts w:hint="eastAsia"/>
        </w:rPr>
        <w:t>市  长：刘清生（11月任）</w:t>
      </w:r>
    </w:p>
    <w:p w14:paraId="48E1C77A">
      <w:pPr>
        <w:ind w:firstLine="420"/>
      </w:pPr>
      <w:r>
        <w:rPr>
          <w:rFonts w:hint="eastAsia"/>
        </w:rPr>
        <w:t>常务副市长：何人平（9月任）</w:t>
      </w:r>
    </w:p>
    <w:p w14:paraId="5A7ECE96">
      <w:pPr>
        <w:ind w:firstLine="420"/>
      </w:pPr>
      <w:r>
        <w:rPr>
          <w:rFonts w:hint="eastAsia"/>
        </w:rPr>
        <w:t>副市长：罗战勇 何光明 麦允谦</w:t>
      </w:r>
    </w:p>
    <w:p w14:paraId="36921F01">
      <w:pPr>
        <w:ind w:left="840" w:leftChars="400" w:firstLine="420"/>
      </w:pPr>
      <w:r>
        <w:rPr>
          <w:rFonts w:hint="eastAsia"/>
        </w:rPr>
        <w:t>刘悦明（11月任）</w:t>
      </w:r>
    </w:p>
    <w:p w14:paraId="78303B41">
      <w:pPr>
        <w:ind w:left="840" w:leftChars="400" w:firstLine="420"/>
      </w:pPr>
      <w:r>
        <w:rPr>
          <w:rFonts w:hint="eastAsia"/>
        </w:rPr>
        <w:t>吕道宏（11月任）</w:t>
      </w:r>
    </w:p>
    <w:p w14:paraId="59A9819F">
      <w:pPr>
        <w:ind w:left="840" w:leftChars="400" w:firstLine="420"/>
      </w:pPr>
      <w:r>
        <w:rPr>
          <w:rFonts w:hint="eastAsia"/>
        </w:rPr>
        <w:t>马细妹（11月任）</w:t>
      </w:r>
    </w:p>
    <w:p w14:paraId="09498779">
      <w:pPr>
        <w:ind w:left="840" w:leftChars="400" w:firstLine="420"/>
      </w:pPr>
      <w:r>
        <w:rPr>
          <w:rFonts w:hint="eastAsia"/>
        </w:rPr>
        <w:t>刘发龙（任至11月）</w:t>
      </w:r>
    </w:p>
    <w:p w14:paraId="2D296BB4">
      <w:pPr>
        <w:ind w:left="840" w:leftChars="400" w:firstLine="420"/>
      </w:pPr>
      <w:r>
        <w:rPr>
          <w:rFonts w:hint="eastAsia"/>
        </w:rPr>
        <w:t>卜小燕（任至11月）</w:t>
      </w:r>
    </w:p>
    <w:p w14:paraId="1611C1C9">
      <w:pPr>
        <w:ind w:left="840" w:leftChars="400" w:firstLine="420"/>
      </w:pPr>
      <w:r>
        <w:rPr>
          <w:rFonts w:hint="eastAsia"/>
        </w:rPr>
        <w:t>何人平（任至9月）</w:t>
      </w:r>
    </w:p>
    <w:p w14:paraId="0ADA7574">
      <w:pPr>
        <w:ind w:firstLine="420"/>
      </w:pPr>
      <w:r>
        <w:rPr>
          <w:rFonts w:hint="eastAsia"/>
        </w:rPr>
        <w:t>市长助理：吕道宏（任至11月）</w:t>
      </w:r>
    </w:p>
    <w:p w14:paraId="7C298E33">
      <w:pPr>
        <w:pStyle w:val="3"/>
      </w:pPr>
      <w:r>
        <w:rPr>
          <w:rFonts w:hint="eastAsia"/>
        </w:rPr>
        <w:t>政府办公室工作</w:t>
      </w:r>
    </w:p>
    <w:p w14:paraId="0525BF93">
      <w:pPr>
        <w:pStyle w:val="4"/>
      </w:pPr>
      <w:r>
        <w:rPr>
          <w:rFonts w:hint="eastAsia"/>
        </w:rPr>
        <w:t>【概况】</w:t>
      </w:r>
    </w:p>
    <w:p w14:paraId="3E3C4CFB">
      <w:pPr>
        <w:ind w:firstLine="420"/>
      </w:pPr>
      <w:r>
        <w:rPr>
          <w:rFonts w:hint="eastAsia"/>
        </w:rPr>
        <w:t>南雄市政府办公室是市政府门面和参谋部门，是市政府综合工作部门，主要工作任务是“三服务”（服务领导、服务基层、服务群众）。主要具体工作是完成市政府文件起草、上传下达、下情上报和筹办市政府召开的各类会议。办公室内设人秘股、调研股、督查室、综合协调股、建议提案股、应急办、政府纪检中心组、法制局、外事侨务局、政府采购中心。</w:t>
      </w:r>
    </w:p>
    <w:p w14:paraId="228A1B54">
      <w:pPr>
        <w:pStyle w:val="4"/>
      </w:pPr>
      <w:r>
        <w:rPr>
          <w:rFonts w:hint="eastAsia"/>
        </w:rPr>
        <w:t>【督察督办和综合协调工作】</w:t>
      </w:r>
    </w:p>
    <w:p w14:paraId="11EAE10B">
      <w:pPr>
        <w:ind w:firstLine="420"/>
      </w:pPr>
      <w:r>
        <w:rPr>
          <w:rFonts w:hint="eastAsia"/>
        </w:rPr>
        <w:t>每年政府办有计划、有组织、有步骤的对市政府决议、决定、重点项目及领导批示交办的事项开展督查、督办。在督办工作中注意抓好三个环节：及时督查有关部门拿出贯彻执行的具体意见，定期跟踪执行情况；搞好部门协调，防止发生扯皮，推脱现象；认真跟踪、审核完成情况，及时汇总报告。协调工作室沟通情况，统一认识，消除分歧，达成一致，保证各项事业顺利开展，使整个工作顺利运转的关键。由于具体工作中，各自的职责和任务不同，同一件事情容易出现“推诿、扯皮”现象，如果不及时协调，将对决策的有效实施产生不利影响。为推进政府各项工作的有利推进，政府办坚持原则性与灵活性的有机结合，工作中讲究协调艺术。注意处理好同业务部门的关系，具体工作召集各有关部门协商解决。如工业园二期园区征地问题，工作难度大，矛盾突出，个别几家单位难以很好的完成此项工作，政府办多次协调有关部门，解决征地过程中出现的规划、拆迁、补偿、安置、信访等，保证这项工作的顺利进行。政府办在具体的协调过程中，注意培养公正良好的形象，增强自身的协调能力。由于注意这些，使得政府办在组织大型活动和重要事项中，都能得到有关部门的大力协助，关系融洽，保证各项工作的圆满完成。</w:t>
      </w:r>
    </w:p>
    <w:p w14:paraId="114F68AB">
      <w:pPr>
        <w:pStyle w:val="4"/>
      </w:pPr>
      <w:r>
        <w:rPr>
          <w:rFonts w:hint="eastAsia"/>
        </w:rPr>
        <w:t>【制度化和规范化建设】</w:t>
      </w:r>
    </w:p>
    <w:p w14:paraId="45F68345">
      <w:pPr>
        <w:ind w:firstLine="420"/>
      </w:pPr>
      <w:r>
        <w:rPr>
          <w:rFonts w:hint="eastAsia"/>
        </w:rPr>
        <w:t>南雄市政府办公室围绕政府中心工作，不断强化“三服务”意识，发挥参谋助手、督促检查、综合协调和保障服务的作用，实现了办公室各项工作水平的新突破，为政府各项工作高效快捷开展，为全市的经济社会发展做出贡献。</w:t>
      </w:r>
    </w:p>
    <w:p w14:paraId="0B26F341">
      <w:pPr>
        <w:numPr>
          <w:ilvl w:val="0"/>
          <w:numId w:val="11"/>
        </w:numPr>
        <w:ind w:firstLine="420"/>
      </w:pPr>
      <w:r>
        <w:rPr>
          <w:rFonts w:hint="eastAsia"/>
        </w:rPr>
        <w:t>优化强化办公室职能，服务水平有新提高。政府办围绕政府中心工作，重大决策，全市重点项目建设开展重点督查，及时下发督查通报，表扬先进、鞭策后进，有力推动政府重大决策的贯彻落实，在全市形成拼抢赶超的良好局面。围绕全市经济社会发展中的重大问题，按照市政府领导的要求，开展信息调研工作，提高信息质量，服务领导决策，健全信息报送制度，畅通信息报送渠道，确保全市信息报送制度的规范化、制度化。发挥主观能动性，坚持原则性与灵活性相结合，做好服务领导、协调部门工作。利用发文、电话、会议等各种形式，及时把市委的重大决策和重要部署传达到基层，把基层的工作情况、意见建议反映给领导。</w:t>
      </w:r>
    </w:p>
    <w:p w14:paraId="6ABB1B66">
      <w:pPr>
        <w:numPr>
          <w:ilvl w:val="0"/>
          <w:numId w:val="11"/>
        </w:numPr>
        <w:ind w:firstLine="420"/>
      </w:pPr>
      <w:r>
        <w:rPr>
          <w:rFonts w:hint="eastAsia"/>
        </w:rPr>
        <w:t>加强办公室队伍建设。政府办公室把学习作为提高干部队伍素质、搞好服务的重要前提，采取有效措施，长抓不懈。每个月组织全办干部集体学习中央、省、市文件精神和公文写作、信息收集、调查研究等技能，干部队伍的能力水平得到提升，收到良好的效果。在总结办公室工作规律和经验的基础上，健全工作制度，明确工作程序，使办公室各项工作便于操作，便于管理，有章可循。细化岗位职责。对办公室领导班子、各股、各个岗位的职责任务、目标要求进行量化分解，责任到人，切实做到平时分工明确、任务具体、各尽其职、各负其责，忙时相互协作，使办公室各项工作既有分工，又有协作，规范工作程序。对会务、办文、调研等工作作详细的规定，避免工作的随意性和盲目性，减少工作纰漏。健全规章制度。出台值班、办公设备管理、车辆管理等多项工作制度，并严格按制度管理，使各项工作效率明显加快，服务质量明显提高。</w:t>
      </w:r>
    </w:p>
    <w:p w14:paraId="4059ED35">
      <w:pPr>
        <w:pStyle w:val="4"/>
      </w:pPr>
      <w:r>
        <w:rPr>
          <w:rFonts w:hint="eastAsia"/>
        </w:rPr>
        <w:t>【行政复议和行政诉讼等法制工作】</w:t>
      </w:r>
    </w:p>
    <w:p w14:paraId="7A6CDF22">
      <w:pPr>
        <w:ind w:firstLine="420"/>
      </w:pPr>
      <w:r>
        <w:rPr>
          <w:rFonts w:hint="eastAsia"/>
        </w:rPr>
        <w:t>贯彻执行国家和省、市政府法制工作的方针、政策、法律、法规、规章，为政府依法行政发挥作用。</w:t>
      </w:r>
    </w:p>
    <w:p w14:paraId="2E9E4E08">
      <w:pPr>
        <w:numPr>
          <w:ilvl w:val="0"/>
          <w:numId w:val="12"/>
        </w:numPr>
        <w:ind w:firstLine="420"/>
      </w:pPr>
      <w:r>
        <w:rPr>
          <w:rFonts w:hint="eastAsia"/>
        </w:rPr>
        <w:t>审核、清理、编纂规范性法律文件。贯彻中央精神，推进社会主义法制进程，规范政府行为，依法行政，使政府管理经济、社会的行为逐步纳入到法制化的轨道。</w:t>
      </w:r>
    </w:p>
    <w:p w14:paraId="781A616B">
      <w:pPr>
        <w:numPr>
          <w:ilvl w:val="0"/>
          <w:numId w:val="12"/>
        </w:numPr>
        <w:ind w:firstLine="420"/>
      </w:pPr>
      <w:r>
        <w:rPr>
          <w:rFonts w:hint="eastAsia"/>
        </w:rPr>
        <w:t>法律知识普及、法律法规培训。深入开展依法行政、法律推广和依法治市活动，举办经常性法律知识培训，让知法、懂法、守法观念深入人心。开展经常性法律检查工作，监督、检查法律落实情况。全市干部、群众法律意识得到普遍提高，依法办事、依法行政的观念和能力得到普遍提高。</w:t>
      </w:r>
    </w:p>
    <w:p w14:paraId="0E16A10B">
      <w:pPr>
        <w:numPr>
          <w:ilvl w:val="0"/>
          <w:numId w:val="12"/>
        </w:numPr>
        <w:ind w:firstLine="420"/>
      </w:pPr>
      <w:r>
        <w:rPr>
          <w:rFonts w:hint="eastAsia"/>
        </w:rPr>
        <w:t>办好人大议案、政协提案工作。每年的人大会结束之后，即召开有关单位碰头会，确定单位、落实到人，及时转办提案。做到议案、提案件件有落实，事事有答复，在规定时间内完成好此项工作。全年人大、政协议案办理满意率均未百分之百。                                                （张海平）</w:t>
      </w:r>
    </w:p>
    <w:p w14:paraId="14CA51FE">
      <w:pPr>
        <w:ind w:firstLine="0" w:firstLineChars="0"/>
        <w:rPr>
          <w:b/>
          <w:bCs/>
        </w:rPr>
      </w:pPr>
      <w:r>
        <w:rPr>
          <w:rFonts w:hint="eastAsia"/>
          <w:b/>
          <w:bCs/>
        </w:rPr>
        <w:t>附：2011年市政府办领导班子成员名单</w:t>
      </w:r>
    </w:p>
    <w:p w14:paraId="4E775B22">
      <w:pPr>
        <w:ind w:firstLine="0" w:firstLineChars="0"/>
      </w:pPr>
      <w:r>
        <w:rPr>
          <w:rFonts w:hint="eastAsia"/>
        </w:rPr>
        <w:t>主    任：周宏忠</w:t>
      </w:r>
    </w:p>
    <w:p w14:paraId="68106A41">
      <w:pPr>
        <w:ind w:firstLine="0" w:firstLineChars="0"/>
      </w:pPr>
      <w:r>
        <w:rPr>
          <w:rFonts w:hint="eastAsia"/>
        </w:rPr>
        <w:t>纪检组长：张  新</w:t>
      </w:r>
    </w:p>
    <w:p w14:paraId="54D3684A">
      <w:pPr>
        <w:ind w:firstLine="0" w:firstLineChars="0"/>
      </w:pPr>
      <w:r>
        <w:rPr>
          <w:rFonts w:hint="eastAsia"/>
        </w:rPr>
        <w:t>副 主 任：曾宪忠（任至8月）</w:t>
      </w:r>
    </w:p>
    <w:p w14:paraId="171C94D9">
      <w:pPr>
        <w:ind w:left="1050" w:leftChars="500" w:firstLine="0" w:firstLineChars="0"/>
      </w:pPr>
      <w:r>
        <w:rPr>
          <w:rFonts w:hint="eastAsia"/>
        </w:rPr>
        <w:t>吴  勤 曾  炳 刘光彬</w:t>
      </w:r>
    </w:p>
    <w:p w14:paraId="45738AC3">
      <w:pPr>
        <w:ind w:left="1050" w:leftChars="500" w:firstLine="0" w:firstLineChars="0"/>
      </w:pPr>
      <w:r>
        <w:rPr>
          <w:rFonts w:hint="eastAsia"/>
        </w:rPr>
        <w:t>陈宝林 何少民</w:t>
      </w:r>
    </w:p>
    <w:p w14:paraId="3B952F14">
      <w:pPr>
        <w:pStyle w:val="3"/>
      </w:pPr>
      <w:r>
        <w:rPr>
          <w:rFonts w:hint="eastAsia"/>
        </w:rPr>
        <w:t>外事侨务</w:t>
      </w:r>
    </w:p>
    <w:p w14:paraId="319912C3">
      <w:pPr>
        <w:pStyle w:val="4"/>
      </w:pPr>
      <w:r>
        <w:rPr>
          <w:rFonts w:hint="eastAsia"/>
        </w:rPr>
        <w:t>【概况】</w:t>
      </w:r>
    </w:p>
    <w:p w14:paraId="28D2CCFB">
      <w:pPr>
        <w:ind w:firstLine="420"/>
      </w:pPr>
      <w:r>
        <w:rPr>
          <w:rFonts w:hint="eastAsia"/>
        </w:rPr>
        <w:t>南雄市外事侨务局，正科机构，为市政府工作部门，在市政府办公室挂牌，设2个内设机构：办公室、签证股，机关行政编制3名。其中局长1名，副局长1名，股长职数1名。</w:t>
      </w:r>
    </w:p>
    <w:p w14:paraId="395D10BA">
      <w:pPr>
        <w:pStyle w:val="4"/>
      </w:pPr>
      <w:r>
        <w:rPr>
          <w:rFonts w:hint="eastAsia"/>
        </w:rPr>
        <w:t>【外事侨务工作】</w:t>
      </w:r>
    </w:p>
    <w:p w14:paraId="1FCD1EBE">
      <w:pPr>
        <w:ind w:firstLine="420"/>
      </w:pPr>
      <w:r>
        <w:rPr>
          <w:rFonts w:hint="eastAsia"/>
        </w:rPr>
        <w:t>2011年，接待美国旧金山中华文化中心寻根团、香港政制及内地外事侨务局林瑞麟局长、外交部驻港公署李元明副特派员等一批外宾对该市的考察访问。全年接待华侨华人、港澳同胞等来访7批191人次，其中外宾2批102人次，华人华侨5批89人次。</w:t>
      </w:r>
    </w:p>
    <w:p w14:paraId="2A76B134">
      <w:pPr>
        <w:pStyle w:val="4"/>
      </w:pPr>
      <w:r>
        <w:rPr>
          <w:rFonts w:hint="eastAsia"/>
        </w:rPr>
        <w:t>【签证工作】</w:t>
      </w:r>
    </w:p>
    <w:p w14:paraId="2DC943EB">
      <w:pPr>
        <w:ind w:firstLine="420"/>
      </w:pPr>
      <w:r>
        <w:rPr>
          <w:rFonts w:hint="eastAsia"/>
        </w:rPr>
        <w:t>2011年，市外事侨务局以综合、统筹、协调、服务为宗旨，把好出访项目和申报材料审核关的前提下，主动为全市有关部门人员签办港澳通行证。全年办理因公出境签证56批次，62人次。</w:t>
      </w:r>
    </w:p>
    <w:p w14:paraId="4289D54B">
      <w:pPr>
        <w:pStyle w:val="4"/>
      </w:pPr>
      <w:r>
        <w:rPr>
          <w:rFonts w:hint="eastAsia"/>
        </w:rPr>
        <w:t>【做好为侨服务工作】</w:t>
      </w:r>
    </w:p>
    <w:p w14:paraId="508F27E1">
      <w:pPr>
        <w:ind w:firstLine="420"/>
      </w:pPr>
      <w:r>
        <w:rPr>
          <w:rFonts w:hint="eastAsia"/>
        </w:rPr>
        <w:t>一是做细侨务工作。切实维护华侨华人和归侨侨眷的利益，把“知侨心、懂侨心、暖侨心”贯穿于侨务工作的全过程。对每一位来办事的归侨侨眷，诚心与他们交朋友，真心为他们办实事，做到凝聚侨心，汇聚侨知，发挥侨力。二是深入归侨侨眷家中，了解情况并及时解决问题，要求全局干部每年至少到归侨家中走访一次以上，至少召开一次归侨及侨眷代表参加的座谈会。三是开展贫困归侨春节慰问活动。17位贫困归侨得到扶持，扶持资金共2多万元。                                            （肖秀华）</w:t>
      </w:r>
    </w:p>
    <w:p w14:paraId="60CCDA84">
      <w:pPr>
        <w:ind w:firstLine="0" w:firstLineChars="0"/>
      </w:pPr>
      <w:r>
        <w:rPr>
          <w:rFonts w:hint="eastAsia"/>
          <w:b/>
          <w:bCs/>
        </w:rPr>
        <w:t>附：2011年市侨务局领导班子成员名单</w:t>
      </w:r>
      <w:r>
        <w:rPr>
          <w:rFonts w:hint="eastAsia"/>
        </w:rPr>
        <w:t>：</w:t>
      </w:r>
    </w:p>
    <w:p w14:paraId="017ECF47">
      <w:pPr>
        <w:ind w:firstLine="0" w:firstLineChars="0"/>
      </w:pPr>
      <w:r>
        <w:rPr>
          <w:rFonts w:hint="eastAsia"/>
        </w:rPr>
        <w:t>局  长：何哲瑜（任至8月）、蔡富（8月任）</w:t>
      </w:r>
    </w:p>
    <w:p w14:paraId="4B9A6F68">
      <w:pPr>
        <w:ind w:firstLine="0" w:firstLineChars="0"/>
      </w:pPr>
      <w:r>
        <w:rPr>
          <w:rFonts w:hint="eastAsia"/>
        </w:rPr>
        <w:t>副局长：肖秀华</w:t>
      </w:r>
    </w:p>
    <w:p w14:paraId="6C261947">
      <w:pPr>
        <w:pStyle w:val="3"/>
      </w:pPr>
      <w:r>
        <w:rPr>
          <w:rFonts w:hint="eastAsia"/>
        </w:rPr>
        <w:t>机关事务中心</w:t>
      </w:r>
    </w:p>
    <w:p w14:paraId="7E92FD4B">
      <w:pPr>
        <w:pStyle w:val="4"/>
      </w:pPr>
      <w:r>
        <w:rPr>
          <w:rFonts w:hint="eastAsia"/>
        </w:rPr>
        <w:t>【概况】</w:t>
      </w:r>
    </w:p>
    <w:p w14:paraId="08674CD7">
      <w:pPr>
        <w:ind w:firstLine="420"/>
      </w:pPr>
      <w:r>
        <w:rPr>
          <w:rFonts w:hint="eastAsia"/>
        </w:rPr>
        <w:t>机关事务中心是管理市委、市政府机关大院事务的机构。隶属政府组成正科级工作部门，内设机构有人秘股、物业管理股、财务股、保卫股、接待股。中心机关行政编制9名，其中：主任1名，副主任2名；股长5名；其他干部1名。直属单位有市人民政府汽车队、机关生活服务所。</w:t>
      </w:r>
    </w:p>
    <w:p w14:paraId="77FE5A1A">
      <w:pPr>
        <w:pStyle w:val="4"/>
      </w:pPr>
      <w:r>
        <w:rPr>
          <w:rFonts w:hint="eastAsia"/>
        </w:rPr>
        <w:t>【财务管理】</w:t>
      </w:r>
    </w:p>
    <w:p w14:paraId="57A29159">
      <w:pPr>
        <w:ind w:firstLine="420"/>
      </w:pPr>
      <w:r>
        <w:rPr>
          <w:rFonts w:hint="eastAsia"/>
        </w:rPr>
        <w:t>财务工作是机关事务中心的中心工作。为完善经费的管理制度，中心根据实际采取一系列措施：（1）实行统一管理，分户核算的财务管理制度，确保每笔资金使用落到实处。（2）及时按质完成市财政局布置的部门预算工作任务。（3）要求大院各单位弘扬艰苦奋斗作风、制止奢侈浪费行为，健全财务规章制度，强化预算控制。</w:t>
      </w:r>
    </w:p>
    <w:p w14:paraId="137A1A13">
      <w:pPr>
        <w:pStyle w:val="4"/>
      </w:pPr>
      <w:r>
        <w:rPr>
          <w:rFonts w:hint="eastAsia"/>
        </w:rPr>
        <w:t>【安全保卫】</w:t>
      </w:r>
    </w:p>
    <w:p w14:paraId="3E50B39A">
      <w:pPr>
        <w:numPr>
          <w:ilvl w:val="0"/>
          <w:numId w:val="13"/>
        </w:numPr>
        <w:ind w:firstLine="420"/>
      </w:pPr>
      <w:r>
        <w:rPr>
          <w:rFonts w:hint="eastAsia"/>
        </w:rPr>
        <w:t>对保安员实行三班三轮每班8小时站岗服务制，对执行守护、门卫、巡逻值班等保安工作制定《保安人员制度》和《保安人员考勤制度》。2011年，协助信访局疏导上访60多次，达460人次。（2）定期对消防栓、灭火器等消防设施进行检测，及时清理安全通道，确保畅通无阻。（3）做好停车场管理工作，创造便捷的停车环境。全年没有发生安全事故和重大的刑事案件。</w:t>
      </w:r>
    </w:p>
    <w:p w14:paraId="7B09C624">
      <w:pPr>
        <w:pStyle w:val="4"/>
      </w:pPr>
      <w:r>
        <w:rPr>
          <w:rFonts w:hint="eastAsia"/>
        </w:rPr>
        <w:t>【后勤保障】</w:t>
      </w:r>
    </w:p>
    <w:p w14:paraId="379E6771">
      <w:pPr>
        <w:numPr>
          <w:ilvl w:val="0"/>
          <w:numId w:val="14"/>
        </w:numPr>
        <w:ind w:firstLine="420"/>
      </w:pPr>
      <w:r>
        <w:rPr>
          <w:rFonts w:hint="eastAsia"/>
        </w:rPr>
        <w:t>做好会务服务。做好交通疏导和车辆停放工作，搞好会场环境卫生、调试灯光音响、布置会场氛围、安排茶水和会议用餐，确保会议顺利召开。全年中心共承接大小会议276次。（2）做好设备维护工作。加强电力、供水、消防等系统的设备运行管理，做好空调、管网的运行测试和维护保养，及时更换损坏的空调配件，确保办公大楼、大会堂供冷正常。（3）做好大院绿化、卫生工作，营造美化、清洁、舒适的工作环境。</w:t>
      </w:r>
    </w:p>
    <w:p w14:paraId="3E4E6EA7">
      <w:pPr>
        <w:pStyle w:val="4"/>
      </w:pPr>
      <w:r>
        <w:rPr>
          <w:rFonts w:hint="eastAsia"/>
        </w:rPr>
        <w:t>【接待情况】</w:t>
      </w:r>
    </w:p>
    <w:p w14:paraId="13046FF3">
      <w:pPr>
        <w:ind w:firstLine="420"/>
      </w:pPr>
      <w:r>
        <w:rPr>
          <w:rFonts w:hint="eastAsia"/>
        </w:rPr>
        <w:t>2011年，该市共接待省部级以上领导122人次，接待省厅、局级领导2745人次。接待地市级以上会议147次共1136人次。</w:t>
      </w:r>
    </w:p>
    <w:p w14:paraId="488B3169">
      <w:pPr>
        <w:pStyle w:val="4"/>
      </w:pPr>
      <w:r>
        <w:rPr>
          <w:rFonts w:hint="eastAsia"/>
        </w:rPr>
        <w:t>【车队行驶安全】</w:t>
      </w:r>
    </w:p>
    <w:p w14:paraId="6905CDB9">
      <w:pPr>
        <w:ind w:firstLine="420"/>
      </w:pPr>
      <w:r>
        <w:rPr>
          <w:rFonts w:hint="eastAsia"/>
        </w:rPr>
        <w:t>确保行车安全是中心重中之重的一项中心工作，该中心围绕“安全第一，优质服务”这一主题，狠抓车队安全驾驶各项措施的落实，取得明显成效。制定每月车辆检查日，设置安全监督检查员，做好司机安全教育工作，杜绝酒后驾车，克服麻痹思想和侥幸心理，时时做到安全警钟常鸣。完善奖罚制度，对于违反考勤制度和限油制度、交通规定制度的司机进行严格的处罚，对表现好，没有违反制度的司机通过民主评选为车队安全驾驶先进工作者。                                                        （李呈）</w:t>
      </w:r>
    </w:p>
    <w:p w14:paraId="099DF402">
      <w:pPr>
        <w:ind w:firstLine="0" w:firstLineChars="0"/>
        <w:rPr>
          <w:b/>
          <w:bCs/>
        </w:rPr>
      </w:pPr>
      <w:r>
        <w:rPr>
          <w:rFonts w:hint="eastAsia"/>
          <w:b/>
          <w:bCs/>
        </w:rPr>
        <w:t>附：2011年市机关事务中心领导班子成员名单</w:t>
      </w:r>
    </w:p>
    <w:p w14:paraId="4A619578">
      <w:pPr>
        <w:ind w:firstLine="0" w:firstLineChars="0"/>
      </w:pPr>
      <w:r>
        <w:rPr>
          <w:rFonts w:hint="eastAsia"/>
        </w:rPr>
        <w:t>主  任：邓昌忠</w:t>
      </w:r>
    </w:p>
    <w:p w14:paraId="4A97580F">
      <w:pPr>
        <w:ind w:firstLine="0" w:firstLineChars="0"/>
      </w:pPr>
      <w:r>
        <w:rPr>
          <w:rFonts w:hint="eastAsia"/>
        </w:rPr>
        <w:t>副主任：温秀英 陈川明</w:t>
      </w:r>
    </w:p>
    <w:p w14:paraId="6208098E">
      <w:pPr>
        <w:pStyle w:val="3"/>
      </w:pPr>
      <w:r>
        <w:rPr>
          <w:rFonts w:hint="eastAsia"/>
        </w:rPr>
        <w:t>档案工作</w:t>
      </w:r>
    </w:p>
    <w:p w14:paraId="25F9E923">
      <w:pPr>
        <w:pStyle w:val="4"/>
      </w:pPr>
      <w:r>
        <w:rPr>
          <w:rFonts w:hint="eastAsia"/>
        </w:rPr>
        <w:t>【概况】</w:t>
      </w:r>
    </w:p>
    <w:p w14:paraId="07E6C1E5">
      <w:pPr>
        <w:ind w:firstLine="420"/>
      </w:pPr>
      <w:r>
        <w:rPr>
          <w:rFonts w:hint="eastAsia"/>
        </w:rPr>
        <w:t>南雄市档案局（馆）是市人民政府负责全市档案事业行政管理和档案保管利用工作的正科级事业单位。根据2002年雄市机编[2002]151号“关于印发《南雄市档案局（馆）职能配置内设机构和人员编制规定》的通知”，市档案局与市档案馆实行局馆合一体制，内设人秘股、业务指导股、档案管理股三个股室，定事业编制6名。至2011年，局（馆）实有工作人员8人。其中，局（馆）长1人，副局（馆）长1人。南雄市档案馆于1991年9月被评定为省二级档案馆，2008年11月被评定为省一级档案馆。</w:t>
      </w:r>
    </w:p>
    <w:p w14:paraId="67C83B50">
      <w:pPr>
        <w:pStyle w:val="4"/>
      </w:pPr>
      <w:r>
        <w:rPr>
          <w:rFonts w:hint="eastAsia"/>
        </w:rPr>
        <w:t>【档案资源建设】</w:t>
      </w:r>
    </w:p>
    <w:p w14:paraId="6D0F8664">
      <w:pPr>
        <w:ind w:firstLine="420"/>
      </w:pPr>
      <w:r>
        <w:rPr>
          <w:rFonts w:hint="eastAsia"/>
        </w:rPr>
        <w:t>南雄市档案馆馆藏档案至2011年止，有档案全宗115个，包括文书档案、科技档案、专门档案、声像档案、实物档案等7个大类的档案，馆藏总量为52590卷又3647件、5696张367盘。其中，文书档案23140卷3520件，基建档案142卷，会计档案353卷，已故人员档案1062卷，声像档案5696张又367盘，专门档案27893卷，实物档案127件，总排架长702米。有志史资料、书籍、报刊期刊等各类资料67种，5940册，总排架长约61米。接收到各单位移交档案电子目录案卷级51758条，文件级309207条。</w:t>
      </w:r>
    </w:p>
    <w:p w14:paraId="6384C4C1">
      <w:pPr>
        <w:pStyle w:val="4"/>
      </w:pPr>
      <w:r>
        <w:rPr>
          <w:rFonts w:hint="eastAsia"/>
        </w:rPr>
        <w:t>【立卷归档与档案接收】</w:t>
      </w:r>
    </w:p>
    <w:p w14:paraId="23C03585">
      <w:pPr>
        <w:ind w:firstLine="420"/>
      </w:pPr>
      <w:r>
        <w:rPr>
          <w:rFonts w:hint="eastAsia"/>
        </w:rPr>
        <w:t>该局于2011年4月1日开始，至5月20日止，分三批集中市直各单位、各镇档案员，到档案馆进行2010年度档案的立卷归档和电子目录的输入等工作。共有113个单位的档案员参加了集中立卷归档，共立卷14609卷（件）。接收到各单位移交进馆档案1623卷1585件，其中文书档案533卷1584件、专门档案1090卷（件）、光碟1盘，接收到各单位移交档案电子目录案卷级539条，文件级44200条。</w:t>
      </w:r>
    </w:p>
    <w:p w14:paraId="4D6B9463">
      <w:pPr>
        <w:pStyle w:val="4"/>
      </w:pPr>
      <w:r>
        <w:rPr>
          <w:rFonts w:hint="eastAsia"/>
        </w:rPr>
        <w:t>【档案服务利用】</w:t>
      </w:r>
    </w:p>
    <w:p w14:paraId="78AD1D6A">
      <w:pPr>
        <w:ind w:firstLine="420"/>
      </w:pPr>
      <w:r>
        <w:rPr>
          <w:rFonts w:hint="eastAsia"/>
        </w:rPr>
        <w:t>2011年，馆内共接待各类查档人员3100人次，查阅各类档案3155卷（册），为全市领导决策，招商引资、林权改革、两路建设、土地征用、各类山林、土地、房屋纠纷的解决等提供了大量真实有效的凭证材料。</w:t>
      </w:r>
    </w:p>
    <w:p w14:paraId="5E007E68">
      <w:pPr>
        <w:pStyle w:val="4"/>
      </w:pPr>
      <w:r>
        <w:rPr>
          <w:rFonts w:hint="eastAsia"/>
        </w:rPr>
        <w:t>【档案编研成果】</w:t>
      </w:r>
    </w:p>
    <w:p w14:paraId="7441C901">
      <w:pPr>
        <w:ind w:firstLine="420"/>
      </w:pPr>
      <w:r>
        <w:rPr>
          <w:rFonts w:hint="eastAsia"/>
        </w:rPr>
        <w:t>2011年8月11日，经“广东省档案编研成果第二次评选委员会”审核评定，由该局报送的《南雄风情略》（2008年11月，由南雄市档案局编写）一书，获广东省档案编研成果第二次评选三等奖。</w:t>
      </w:r>
    </w:p>
    <w:p w14:paraId="1EB8DD2A">
      <w:pPr>
        <w:pStyle w:val="4"/>
      </w:pPr>
      <w:r>
        <w:rPr>
          <w:rFonts w:hint="eastAsia"/>
        </w:rPr>
        <w:t>【档案安全设施建设】</w:t>
      </w:r>
    </w:p>
    <w:p w14:paraId="13F19151">
      <w:pPr>
        <w:ind w:firstLine="420"/>
      </w:pPr>
      <w:r>
        <w:rPr>
          <w:rFonts w:hint="eastAsia"/>
        </w:rPr>
        <w:t>2011年，该局在原有档案安全设施的基础上，筹集资金一万多元，购置35公斤推车灭火器3部、6公斤ABC悬挂式自动灭火器7个、4公斤手提灭火器2个，确保档案馆馆藏档案的绝对安全。</w:t>
      </w:r>
    </w:p>
    <w:p w14:paraId="698CA745">
      <w:pPr>
        <w:pStyle w:val="4"/>
      </w:pPr>
      <w:r>
        <w:rPr>
          <w:rFonts w:hint="eastAsia"/>
        </w:rPr>
        <w:t>【镇级档案馆设置】</w:t>
      </w:r>
    </w:p>
    <w:p w14:paraId="5C5A8D83">
      <w:pPr>
        <w:ind w:firstLine="420"/>
      </w:pPr>
      <w:r>
        <w:rPr>
          <w:rFonts w:hint="eastAsia"/>
        </w:rPr>
        <w:t>为使档案的利用在全市新农村建设工作中发挥作用，2011年12月15日，成立南雄市档案馆坪田分馆暨坪田镇档案馆。南雄市档案馆坪田分馆暨坪田镇档案馆实行两块牌子、一套人马机制，主要行使对坪田镇政府机关、各站场所及村委会档案的保管和利用及业务指导工作，配备馆长、副馆长、专职档案员各一名（专职档案员可由副馆长兼任）。</w:t>
      </w:r>
    </w:p>
    <w:p w14:paraId="197F3A52">
      <w:pPr>
        <w:pStyle w:val="4"/>
      </w:pPr>
      <w:r>
        <w:rPr>
          <w:rFonts w:hint="eastAsia"/>
        </w:rPr>
        <w:t>【政府公开信息材料的接收管理】</w:t>
      </w:r>
    </w:p>
    <w:p w14:paraId="30A9300E">
      <w:pPr>
        <w:ind w:firstLine="420"/>
      </w:pPr>
      <w:r>
        <w:rPr>
          <w:rFonts w:hint="eastAsia"/>
        </w:rPr>
        <w:t>该局抽调专人，组织做好各单位政府公开信息材料的接受、管理和查阅工作，做到专人专管、交接有序，2011年，馆内共接收到各单位交来政府公开信息材料2488份。</w:t>
      </w:r>
    </w:p>
    <w:p w14:paraId="7B314B70">
      <w:pPr>
        <w:ind w:firstLine="420"/>
        <w:jc w:val="right"/>
      </w:pPr>
      <w:r>
        <w:rPr>
          <w:rFonts w:hint="eastAsia"/>
        </w:rPr>
        <w:t>（钟凌华）</w:t>
      </w:r>
    </w:p>
    <w:p w14:paraId="609F6BFB">
      <w:pPr>
        <w:ind w:firstLine="0" w:firstLineChars="0"/>
        <w:rPr>
          <w:b/>
          <w:bCs/>
        </w:rPr>
      </w:pPr>
      <w:r>
        <w:rPr>
          <w:rFonts w:hint="eastAsia"/>
          <w:b/>
          <w:bCs/>
        </w:rPr>
        <w:t>附：2011年市档案局领导班子成员名单：</w:t>
      </w:r>
    </w:p>
    <w:p w14:paraId="59F97358">
      <w:pPr>
        <w:ind w:firstLine="0" w:firstLineChars="0"/>
      </w:pPr>
      <w:r>
        <w:rPr>
          <w:rFonts w:hint="eastAsia"/>
        </w:rPr>
        <w:t>局  长：李应军</w:t>
      </w:r>
    </w:p>
    <w:p w14:paraId="011832BF">
      <w:pPr>
        <w:ind w:firstLine="0" w:firstLineChars="0"/>
      </w:pPr>
      <w:r>
        <w:rPr>
          <w:rFonts w:hint="eastAsia"/>
        </w:rPr>
        <w:t>副局长：叶呈发 陈尚平（任至8月）</w:t>
      </w:r>
    </w:p>
    <w:p w14:paraId="28E8812F">
      <w:pPr>
        <w:pStyle w:val="3"/>
      </w:pPr>
      <w:r>
        <w:rPr>
          <w:rFonts w:hint="eastAsia"/>
        </w:rPr>
        <w:t>行政服务</w:t>
      </w:r>
    </w:p>
    <w:p w14:paraId="0CB1DE35">
      <w:pPr>
        <w:pStyle w:val="4"/>
      </w:pPr>
      <w:r>
        <w:rPr>
          <w:rFonts w:hint="eastAsia"/>
        </w:rPr>
        <w:t>【概况】</w:t>
      </w:r>
    </w:p>
    <w:p w14:paraId="55CAB0EF">
      <w:pPr>
        <w:ind w:firstLine="420"/>
      </w:pPr>
      <w:r>
        <w:rPr>
          <w:rFonts w:hint="eastAsia"/>
        </w:rPr>
        <w:t>南雄市行政服务中心内设办公室、业务股、督查股、政务股。2011年共收件27898宗，办结率100%。2011年被韶关市行政服务中心评为韶关市县（市、区）行政服务“优秀单位”。</w:t>
      </w:r>
    </w:p>
    <w:p w14:paraId="0F1B0608">
      <w:pPr>
        <w:pStyle w:val="4"/>
      </w:pPr>
      <w:r>
        <w:rPr>
          <w:rFonts w:hint="eastAsia"/>
        </w:rPr>
        <w:t>【窗口规范管理】</w:t>
      </w:r>
    </w:p>
    <w:p w14:paraId="66A5C408">
      <w:pPr>
        <w:ind w:firstLine="420"/>
      </w:pPr>
      <w:r>
        <w:rPr>
          <w:rFonts w:hint="eastAsia"/>
        </w:rPr>
        <w:t>2011年，中心采取多项措施加强作风建设，创新管理模式，规范窗口管理。健全和完善《窗口员工考勤、考核制度》和《中心值日巡查制度》，对窗口进行规范管理；使用电子监控系统对窗口服务大厅工作情况进行监察；利用电子审批系统对窗口行政审批业务办理情况进行监察；从社会各界聘请“阳光使者”采取明察暗访的方式对窗口进行管理。</w:t>
      </w:r>
    </w:p>
    <w:p w14:paraId="3CE6A792">
      <w:pPr>
        <w:pStyle w:val="4"/>
      </w:pPr>
      <w:r>
        <w:rPr>
          <w:rFonts w:hint="eastAsia"/>
        </w:rPr>
        <w:t>【政府信息公开】</w:t>
      </w:r>
    </w:p>
    <w:p w14:paraId="2603842B">
      <w:pPr>
        <w:ind w:firstLine="420"/>
      </w:pPr>
      <w:r>
        <w:rPr>
          <w:rFonts w:hint="eastAsia"/>
        </w:rPr>
        <w:t>2011年，中心推进全市政务（政府信息）公开工作。4月，市政府办、市纪委、监察局、市行政服务中心、市信息中心联合在市委党校举办了“两公开”和网上行政审批知识培训，培训达136人次。中心还深入49个单位进行调研、督查、指导信息公开工作，切实提高全市两公开工作人员的业务水平，规范了操作程序。全年全市共通过政府网站和部门网站主动发布各类信息9600多条。并受理了大量的信息查询、咨询。其中咨询服务类信息4100人次，网上咨询数约1900人次，现场接待人数10640人次，咨询电话接听约4360人次，网页访问量82468人次。</w:t>
      </w:r>
    </w:p>
    <w:p w14:paraId="211AD42B">
      <w:pPr>
        <w:pStyle w:val="4"/>
      </w:pPr>
      <w:r>
        <w:rPr>
          <w:rFonts w:hint="eastAsia"/>
        </w:rPr>
        <w:t>【房地产一体化运作】</w:t>
      </w:r>
    </w:p>
    <w:p w14:paraId="4E8C425C">
      <w:pPr>
        <w:ind w:firstLine="420"/>
      </w:pPr>
      <w:r>
        <w:rPr>
          <w:rFonts w:hint="eastAsia"/>
        </w:rPr>
        <w:t>为使房地产一体化管理中心实现规范管理，高效运作，杜绝房地产税费征管漏洞和收入流失，扩大全市房地产税费财政收入，中心进行了大量的调研协调工作，做到及时发现问题，及时解决问题。如在办房产证这一环节上，为使办证时间尽量缩短，中心多次对其业务进行调研，专门召开房管所、房管窗口相关工作人员的协调会，精减办事环节，简化办事流程，经过多次的业务协调，办证时间都比承诺时间减少一半。通过一系列的举措，使房地产一体化管理中心运作更规范，提高办事效率和服务质量，使房地产一体化管理中心成为外商外企满意，群众办事舒心的阳光工程，为把中心打造成为低成本的阳光政务超市做出有益的探索。</w:t>
      </w:r>
    </w:p>
    <w:p w14:paraId="34CE8AA9">
      <w:pPr>
        <w:pStyle w:val="4"/>
      </w:pPr>
      <w:r>
        <w:rPr>
          <w:rFonts w:hint="eastAsia"/>
        </w:rPr>
        <w:t>【镇级便民服务试点工作】</w:t>
      </w:r>
    </w:p>
    <w:p w14:paraId="415B8D93">
      <w:pPr>
        <w:ind w:firstLine="420"/>
      </w:pPr>
      <w:r>
        <w:rPr>
          <w:rFonts w:hint="eastAsia"/>
        </w:rPr>
        <w:t>根据韶关市三级便民服务体系建设会议精神，为抓好全市镇级便民服务试点工作，中心统一三级便民体系建设指导思想和建设目标，多次到邻近的县市进行调研学习，如乐昌、江西池江等，并选取该市帽子峰、珠玑等镇作为试点。稳步推进该市镇级便民服务试点工作，把该市镇级便民服务做成有特色，有亮点。中心多次到试点镇进行调研，召开联席协调会议，全市的镇级便民服务中心以镇综治维稳中心为依托，将民政、财政、林业、国土、计生、农医等与基层群众生活密切相关的一些办事项目纳入到中心，规范办事流程、规范收费标准、公布投诉电话，并做到有牌子、有人员、有场所、有制度，已有12个岗位36个项目。镇级便民服务中心的建设，使基层的群众能更方便快捷地解决热点难点问题，促进基层的和谐发展。</w:t>
      </w:r>
    </w:p>
    <w:p w14:paraId="4B5FE7A3">
      <w:pPr>
        <w:pStyle w:val="4"/>
      </w:pPr>
      <w:r>
        <w:rPr>
          <w:rFonts w:hint="eastAsia"/>
        </w:rPr>
        <w:t>【招商引资跟踪服务】</w:t>
      </w:r>
    </w:p>
    <w:p w14:paraId="29938DC5">
      <w:pPr>
        <w:ind w:firstLine="420"/>
      </w:pPr>
      <w:r>
        <w:rPr>
          <w:rFonts w:hint="eastAsia"/>
        </w:rPr>
        <w:t>中心通过以工商窗口为龙头，将与招商引资办证办照业务密切相关的窗口有机结合，打造成为绿色通道。为使绿色通道更好地发挥作用，中心投入大量人力物力财力，完善绿色通道建设。如质监窗口组织机构代码证在办理过程中，需要收取两项费用，并需要顾客分别跑两个银行缴费。中心为解决这一难题，经过多次与质监局沟通研究，花钱引进广播电视台专用网络，购买添置POS机，培训窗口员工，使其业务及收费在中心就能办成办好，方便外商外企和办事群众，提高工作效率。2011年，绿色通道共为外商企业联审联办证照1800多宗，为全市招商引资办证办照提供优质高效的服务，发挥应有的作用。    （叶新亮）</w:t>
      </w:r>
    </w:p>
    <w:p w14:paraId="79D0D296">
      <w:pPr>
        <w:ind w:firstLine="0" w:firstLineChars="0"/>
      </w:pPr>
      <w:r>
        <w:rPr>
          <w:rFonts w:hint="eastAsia"/>
        </w:rPr>
        <w:t>附：2011年市行政服务中心领导班子成员名单：</w:t>
      </w:r>
    </w:p>
    <w:p w14:paraId="34F5AE50">
      <w:pPr>
        <w:ind w:firstLine="0" w:firstLineChars="0"/>
      </w:pPr>
      <w:r>
        <w:rPr>
          <w:rFonts w:hint="eastAsia"/>
        </w:rPr>
        <w:t>主  任：李 祥（任至8月）</w:t>
      </w:r>
    </w:p>
    <w:p w14:paraId="7FF524AC">
      <w:pPr>
        <w:ind w:left="840" w:leftChars="400" w:firstLine="0" w:firstLineChars="0"/>
      </w:pPr>
      <w:r>
        <w:rPr>
          <w:rFonts w:hint="eastAsia"/>
        </w:rPr>
        <w:t>刘先辉（8月任）</w:t>
      </w:r>
    </w:p>
    <w:p w14:paraId="26BE875A">
      <w:pPr>
        <w:ind w:firstLine="0" w:firstLineChars="0"/>
      </w:pPr>
      <w:r>
        <w:rPr>
          <w:rFonts w:hint="eastAsia"/>
        </w:rPr>
        <w:t>副主任：蔡先锋 何庆雄 姚璟</w:t>
      </w:r>
    </w:p>
    <w:p w14:paraId="264716A5">
      <w:pPr>
        <w:pStyle w:val="3"/>
      </w:pPr>
      <w:r>
        <w:rPr>
          <w:rFonts w:hint="eastAsia"/>
        </w:rPr>
        <w:t>法制工作</w:t>
      </w:r>
    </w:p>
    <w:p w14:paraId="428885DB">
      <w:pPr>
        <w:pStyle w:val="4"/>
      </w:pPr>
      <w:r>
        <w:rPr>
          <w:rFonts w:hint="eastAsia"/>
        </w:rPr>
        <w:t>【机构设置】</w:t>
      </w:r>
    </w:p>
    <w:p w14:paraId="6920F73B">
      <w:pPr>
        <w:ind w:firstLine="420"/>
      </w:pPr>
      <w:r>
        <w:rPr>
          <w:rFonts w:hint="eastAsia"/>
        </w:rPr>
        <w:t>南雄市人民政府法制局，正科级建制，在市政府办公室挂牌，设3个内设机构：行政复议应诉股、行政执法协调股、法律事务股。行政编制5名，其中局长1名、副局长1名；股长2名。</w:t>
      </w:r>
    </w:p>
    <w:p w14:paraId="42C7C3A2">
      <w:pPr>
        <w:pStyle w:val="4"/>
      </w:pPr>
      <w:r>
        <w:rPr>
          <w:rFonts w:hint="eastAsia"/>
        </w:rPr>
        <w:t>【政府法律顾问】</w:t>
      </w:r>
    </w:p>
    <w:p w14:paraId="78F06A86">
      <w:pPr>
        <w:ind w:firstLine="420"/>
      </w:pPr>
      <w:r>
        <w:rPr>
          <w:rFonts w:hint="eastAsia"/>
        </w:rPr>
        <w:t>该局共为铁路征地拆迁、西气东输用地等行政强制征收、旅游开发经营等招商引资、移民安置优抚、企业转制、重大行政许可、违章建筑整治等重要民生热点、市重点项目等行政决策问题提供法律意见47件。</w:t>
      </w:r>
    </w:p>
    <w:p w14:paraId="734590E3">
      <w:pPr>
        <w:pStyle w:val="4"/>
      </w:pPr>
      <w:r>
        <w:rPr>
          <w:rFonts w:hint="eastAsia"/>
        </w:rPr>
        <w:t>【规范性文件管理】</w:t>
      </w:r>
    </w:p>
    <w:p w14:paraId="0AA34C28">
      <w:pPr>
        <w:ind w:firstLine="420"/>
      </w:pPr>
      <w:r>
        <w:rPr>
          <w:rFonts w:hint="eastAsia"/>
        </w:rPr>
        <w:t>法制局共审核拟以市政府或市政府办公室名义发布的文件49件。9月，该局对本市现行有效的有关征地拆迁的规范性文件进行专项清理，共清理该类文件11件，其中废止10件。10月，该局对本市现行有效的所有规范性文件进行全面清理，共清理文件95件，其中保留72件，废止23件。2011年，该局上报规范性文件到韶关市政府和南雄市人大常委会备案8件。</w:t>
      </w:r>
    </w:p>
    <w:p w14:paraId="579579AE">
      <w:pPr>
        <w:pStyle w:val="4"/>
      </w:pPr>
      <w:r>
        <w:rPr>
          <w:rFonts w:hint="eastAsia"/>
        </w:rPr>
        <w:t>【行政复议】</w:t>
      </w:r>
    </w:p>
    <w:p w14:paraId="6681C0E3">
      <w:pPr>
        <w:ind w:firstLine="420"/>
      </w:pPr>
      <w:r>
        <w:rPr>
          <w:rFonts w:hint="eastAsia"/>
        </w:rPr>
        <w:t>政府共受理行政复议案件2宗，其中因申请人自行撤销申请而终止审理1宗，维持1宗。</w:t>
      </w:r>
    </w:p>
    <w:p w14:paraId="38716323">
      <w:pPr>
        <w:pStyle w:val="4"/>
      </w:pPr>
      <w:r>
        <w:rPr>
          <w:rFonts w:hint="eastAsia"/>
        </w:rPr>
        <w:t>【行政裁决和应诉】</w:t>
      </w:r>
    </w:p>
    <w:p w14:paraId="5A0C278B">
      <w:pPr>
        <w:ind w:firstLine="420"/>
      </w:pPr>
      <w:r>
        <w:rPr>
          <w:rFonts w:hint="eastAsia"/>
        </w:rPr>
        <w:t>该局审查办理以市政府名义作出的行政裁决案件4宗；参与行政复议案件2宗，代理行政诉讼1宗。</w:t>
      </w:r>
    </w:p>
    <w:p w14:paraId="47AFD285">
      <w:pPr>
        <w:pStyle w:val="4"/>
      </w:pPr>
      <w:r>
        <w:rPr>
          <w:rFonts w:hint="eastAsia"/>
        </w:rPr>
        <w:t>【招商引资合同审核】</w:t>
      </w:r>
    </w:p>
    <w:p w14:paraId="7059FFFE">
      <w:pPr>
        <w:ind w:firstLine="420"/>
      </w:pPr>
      <w:r>
        <w:rPr>
          <w:rFonts w:hint="eastAsia"/>
        </w:rPr>
        <w:t>该局共审核奥威斯综合旅游度假项目、广州会馆及其附属楼租赁开发等招商引资合同8件，提出修改意见8件。</w:t>
      </w:r>
    </w:p>
    <w:p w14:paraId="2DF66F1F">
      <w:pPr>
        <w:pStyle w:val="4"/>
      </w:pPr>
      <w:r>
        <w:rPr>
          <w:rFonts w:hint="eastAsia"/>
        </w:rPr>
        <w:t>【行政执法协调】</w:t>
      </w:r>
    </w:p>
    <w:p w14:paraId="3C80C7FB">
      <w:pPr>
        <w:ind w:firstLine="420"/>
      </w:pPr>
      <w:r>
        <w:rPr>
          <w:rFonts w:hint="eastAsia"/>
        </w:rPr>
        <w:t>该局共为江头镇政府、国土资源局、林业局、统计局等31个单位部门提供法律咨询意见78件；为城管局、交通局综合执法局、国土资源局等执法部门进行了执法指导22宗；为有关咨询单位出具书面的法制意见书15件；对行政机关的其他民事诉讼案件进行法律指导7宗。</w:t>
      </w:r>
    </w:p>
    <w:p w14:paraId="2C9F1BEA">
      <w:pPr>
        <w:pStyle w:val="4"/>
      </w:pPr>
      <w:r>
        <w:rPr>
          <w:rFonts w:hint="eastAsia"/>
        </w:rPr>
        <w:t>【行政执法证管理】</w:t>
      </w:r>
    </w:p>
    <w:p w14:paraId="2BE152AD">
      <w:pPr>
        <w:ind w:firstLine="420"/>
      </w:pPr>
      <w:r>
        <w:rPr>
          <w:rFonts w:hint="eastAsia"/>
        </w:rPr>
        <w:t>全年共办理行政执法证换发111件，为5个单位开通或变更了行政执法证管理系统内容，进行了5次办证系统使用培训。</w:t>
      </w:r>
    </w:p>
    <w:p w14:paraId="41BA788C">
      <w:pPr>
        <w:pStyle w:val="4"/>
      </w:pPr>
      <w:r>
        <w:rPr>
          <w:rFonts w:hint="eastAsia"/>
        </w:rPr>
        <w:t>【接待群众法律咨询】</w:t>
      </w:r>
    </w:p>
    <w:p w14:paraId="1D6383CA">
      <w:pPr>
        <w:ind w:firstLine="420"/>
      </w:pPr>
      <w:r>
        <w:rPr>
          <w:rFonts w:hint="eastAsia"/>
        </w:rPr>
        <w:t>全年共解答群众有关山林土地纠纷、民事纠纷、行政处罚、婚姻关系等各方面的法律咨询和来信来访37件。                                                                            （陈彝凤）</w:t>
      </w:r>
    </w:p>
    <w:p w14:paraId="188C6E68">
      <w:pPr>
        <w:ind w:firstLine="0" w:firstLineChars="0"/>
        <w:rPr>
          <w:b/>
          <w:bCs/>
        </w:rPr>
      </w:pPr>
      <w:r>
        <w:rPr>
          <w:rFonts w:hint="eastAsia"/>
          <w:b/>
          <w:bCs/>
        </w:rPr>
        <w:t>附：2011年市法制局领导班子成员名单：</w:t>
      </w:r>
    </w:p>
    <w:p w14:paraId="2C5AD36F">
      <w:pPr>
        <w:ind w:firstLine="0" w:firstLineChars="0"/>
      </w:pPr>
      <w:r>
        <w:rPr>
          <w:rFonts w:hint="eastAsia"/>
        </w:rPr>
        <w:t>局  长：陈云英</w:t>
      </w:r>
    </w:p>
    <w:p w14:paraId="530EE3E9">
      <w:pPr>
        <w:ind w:firstLine="0" w:firstLineChars="0"/>
      </w:pPr>
      <w:r>
        <w:rPr>
          <w:rFonts w:hint="eastAsia"/>
        </w:rPr>
        <w:t>副局长：谢振雄</w:t>
      </w:r>
    </w:p>
    <w:p w14:paraId="1D2D2F1A">
      <w:pPr>
        <w:pStyle w:val="3"/>
      </w:pPr>
      <w:r>
        <w:rPr>
          <w:rFonts w:hint="eastAsia"/>
        </w:rPr>
        <w:t>信息中心</w:t>
      </w:r>
    </w:p>
    <w:p w14:paraId="536EDE7A">
      <w:pPr>
        <w:pStyle w:val="4"/>
      </w:pPr>
      <w:r>
        <w:rPr>
          <w:rFonts w:hint="eastAsia"/>
        </w:rPr>
        <w:t>【概况】</w:t>
      </w:r>
    </w:p>
    <w:p w14:paraId="75C3C057">
      <w:pPr>
        <w:ind w:firstLine="420"/>
      </w:pPr>
      <w:r>
        <w:rPr>
          <w:rFonts w:hint="eastAsia"/>
        </w:rPr>
        <w:t>南雄市信息中心成立于2001年4月，是市直副科级公益一类事业法人单位，编制9人。承担全市信息产业建设的规划、组织、管理和协调工作，推进全市电子政务建设和政府信息化，为南雄市宏观经济运行服务。</w:t>
      </w:r>
    </w:p>
    <w:p w14:paraId="2487FA48">
      <w:pPr>
        <w:pStyle w:val="4"/>
      </w:pPr>
      <w:r>
        <w:rPr>
          <w:rFonts w:hint="eastAsia"/>
        </w:rPr>
        <w:t>【电子政务建设】</w:t>
      </w:r>
    </w:p>
    <w:p w14:paraId="2AAF9625">
      <w:pPr>
        <w:ind w:firstLine="420"/>
      </w:pPr>
      <w:r>
        <w:rPr>
          <w:rFonts w:hint="eastAsia"/>
        </w:rPr>
        <w:t>2011年在抓好政府公众信息网、视频点播网、党风廉政信息公开平台、行政审批网、电子监察网以及各镇、街道、机关单位政务网站建设，加大“履行职责、加快发展”的宣传工作，设置专栏，由“履职办”发布简报17期；为2011年广东国际旅游文化节，设立旅游文化节的专栏，发布文字和视频新闻。通过政府网站公开的政务类信息有11万多条，有效宣传报道南雄市政府的各项工作，让南雄走向世界，让世界了解南雄。</w:t>
      </w:r>
    </w:p>
    <w:p w14:paraId="296176A8">
      <w:pPr>
        <w:pStyle w:val="4"/>
      </w:pPr>
      <w:r>
        <w:rPr>
          <w:rFonts w:hint="eastAsia"/>
        </w:rPr>
        <w:t>【党风廉政信息公开平台】</w:t>
      </w:r>
    </w:p>
    <w:p w14:paraId="63CE199E">
      <w:pPr>
        <w:ind w:firstLine="420"/>
      </w:pPr>
      <w:r>
        <w:rPr>
          <w:rFonts w:hint="eastAsia"/>
        </w:rPr>
        <w:t>2011年，党廉平台启动政务公开、党务公开、事务公开、厂务公开四大模块。4月和7月信息中心对18个乡镇（街道）和涉及工作的市级89个科局单位在党校进行集中的培训。信息中心为党风廉政信息公开平台上线单位提供技术服务，指导实际操作，帮助解决在登陆、使用党风廉政平台时遇到的一系列问题。</w:t>
      </w:r>
    </w:p>
    <w:p w14:paraId="374144DF">
      <w:pPr>
        <w:pStyle w:val="4"/>
      </w:pPr>
      <w:r>
        <w:rPr>
          <w:rFonts w:hint="eastAsia"/>
        </w:rPr>
        <w:t>【信息化培训】</w:t>
      </w:r>
    </w:p>
    <w:p w14:paraId="2D3D00BA">
      <w:pPr>
        <w:ind w:firstLine="420"/>
      </w:pPr>
      <w:r>
        <w:rPr>
          <w:rFonts w:hint="eastAsia"/>
        </w:rPr>
        <w:t>根据省信息产业厅下达的培训任务，信息中心共开设30期农村中青年信息能力培训班，共培训1500人次。</w:t>
      </w:r>
    </w:p>
    <w:p w14:paraId="1AF9EC7C">
      <w:pPr>
        <w:pStyle w:val="4"/>
      </w:pPr>
      <w:r>
        <w:rPr>
          <w:rFonts w:hint="eastAsia"/>
        </w:rPr>
        <w:t>【扶贫开发“双到”工作】</w:t>
      </w:r>
    </w:p>
    <w:p w14:paraId="7F8268A2">
      <w:pPr>
        <w:ind w:firstLine="420"/>
      </w:pPr>
      <w:r>
        <w:rPr>
          <w:rFonts w:hint="eastAsia"/>
        </w:rPr>
        <w:t>根据市扶贫办分配的任务，该中心挂扶乌迳镇大竹村，帮扶贫困户14户29人。按照“规划到户、责任到人”的要求，中心多次到大竹村，对14户的基本情况进行深入调查研究，制定针对各户的帮扶方案，确保如期实现帮扶对象人均年收入2500元以上。信息中心走访慰问村干部和五保户，为贫苦户送上农用化肥；扶持村委会修建道路；扶持修整村委会办公楼，包括铺设水泥坪、建设宣传栏等，共投入帮扶资金2万多元。6月份，中心全体干部职工为贫苦户捐赠衣物，共捐赠衣物100多件。在该中心的帮扶下，大竹村的村容村貌都得到改善，贫困户的农业生产进展顺利，外出务工人员工作和收入稳定，2户从未通电的贫困户，实现家庭用电，修建好2户贫困户的危房。</w:t>
      </w:r>
    </w:p>
    <w:p w14:paraId="39400A3A">
      <w:pPr>
        <w:pStyle w:val="4"/>
      </w:pPr>
      <w:r>
        <w:rPr>
          <w:rFonts w:hint="eastAsia"/>
        </w:rPr>
        <w:t>【项目建设】</w:t>
      </w:r>
    </w:p>
    <w:p w14:paraId="2E983D66">
      <w:pPr>
        <w:ind w:firstLine="420"/>
      </w:pPr>
      <w:r>
        <w:rPr>
          <w:rFonts w:hint="eastAsia"/>
        </w:rPr>
        <w:t>2011年10月，信息中心向省经信委提出项目申请，并获得批准承担“新农村信息化管理”项目建设。准备选一个镇进行试点工作。南雄成为韶关地区同类项目唯一获批的县（市）、区。</w:t>
      </w:r>
    </w:p>
    <w:p w14:paraId="23D3D237">
      <w:pPr>
        <w:ind w:firstLine="420"/>
        <w:jc w:val="right"/>
      </w:pPr>
      <w:r>
        <w:rPr>
          <w:rFonts w:hint="eastAsia"/>
        </w:rPr>
        <w:t>（杨莉华）</w:t>
      </w:r>
    </w:p>
    <w:p w14:paraId="6A900338">
      <w:pPr>
        <w:ind w:firstLine="0" w:firstLineChars="0"/>
        <w:rPr>
          <w:b/>
          <w:bCs/>
        </w:rPr>
      </w:pPr>
      <w:r>
        <w:rPr>
          <w:rFonts w:hint="eastAsia"/>
          <w:b/>
          <w:bCs/>
        </w:rPr>
        <w:t>附：2011年市信息中心领导班子成员名单</w:t>
      </w:r>
    </w:p>
    <w:p w14:paraId="10B8855D">
      <w:pPr>
        <w:ind w:firstLine="0" w:firstLineChars="0"/>
      </w:pPr>
      <w:r>
        <w:rPr>
          <w:rFonts w:hint="eastAsia"/>
        </w:rPr>
        <w:t>主  任：杨长乐</w:t>
      </w:r>
    </w:p>
    <w:p w14:paraId="0A623C3E">
      <w:pPr>
        <w:ind w:firstLine="0" w:firstLineChars="0"/>
      </w:pPr>
      <w:r>
        <w:rPr>
          <w:rFonts w:hint="eastAsia"/>
        </w:rPr>
        <w:t>副主任：刘宏斌 肖凌</w:t>
      </w:r>
    </w:p>
    <w:p w14:paraId="4B21118B">
      <w:pPr>
        <w:pStyle w:val="2"/>
        <w:ind w:firstLine="883"/>
      </w:pPr>
      <w:r>
        <w:rPr>
          <w:rFonts w:hint="eastAsia"/>
        </w:rPr>
        <w:t>政协南雄市委员会</w:t>
      </w:r>
    </w:p>
    <w:p w14:paraId="0D3A5D56">
      <w:pPr>
        <w:pStyle w:val="3"/>
      </w:pPr>
      <w:r>
        <w:rPr>
          <w:rFonts w:hint="eastAsia"/>
        </w:rPr>
        <w:t>综述</w:t>
      </w:r>
    </w:p>
    <w:p w14:paraId="15E0DE8E">
      <w:pPr>
        <w:ind w:firstLine="420"/>
      </w:pPr>
      <w:r>
        <w:rPr>
          <w:rFonts w:hint="eastAsia"/>
        </w:rPr>
        <w:t>政协南雄市九届委员会设有22个界别，参加单位98个，有委员209人，其中政协常委33人。设专门委员会6个：即提案委员会、经济委员会、教科文卫体委员会、社会法制委员会、学习和文史资料委员会、港澳台侨和民族宗教委员会。各专门委员会主任由政协副主席兼任，副主任由各界别的有关领导兼任。同时，还根据专门委员会的具体情况，划分6个委员小组。</w:t>
      </w:r>
    </w:p>
    <w:p w14:paraId="5AD3855F">
      <w:pPr>
        <w:ind w:firstLine="420"/>
        <w:rPr>
          <w:rFonts w:hint="eastAsia"/>
        </w:rPr>
      </w:pPr>
      <w:r>
        <w:rPr>
          <w:rFonts w:hint="eastAsia"/>
        </w:rPr>
        <w:t>南雄市政协机关设有“一室二科”，即：政协办公室、组织联络科、宣传科。广东省广府人珠玑巷后裔海外联谊会挂靠南雄市政协。政协机关人员编制18名（其中广东省广府人珠玑巷后裔海外联谊会办公室3名），在职人数19人，其中：科室领导职数6人，现有领导5人。</w:t>
      </w:r>
    </w:p>
    <w:p w14:paraId="14BCD268">
      <w:pPr>
        <w:pStyle w:val="3"/>
        <w:bidi w:val="0"/>
        <w:rPr>
          <w:rFonts w:hint="default"/>
          <w:lang w:val="en-US" w:eastAsia="zh-CN"/>
        </w:rPr>
      </w:pPr>
      <w:r>
        <w:rPr>
          <w:rFonts w:hint="eastAsia"/>
          <w:lang w:val="en-US" w:eastAsia="zh-CN"/>
        </w:rPr>
        <w:t>市政协重要会议</w:t>
      </w:r>
    </w:p>
    <w:p w14:paraId="36F07290">
      <w:pPr>
        <w:pStyle w:val="4"/>
      </w:pPr>
      <w:r>
        <w:rPr>
          <w:rFonts w:hint="eastAsia"/>
        </w:rPr>
        <w:t>【八届六次会议】</w:t>
      </w:r>
    </w:p>
    <w:p w14:paraId="01525A4E">
      <w:pPr>
        <w:ind w:firstLine="420"/>
      </w:pPr>
      <w:r>
        <w:rPr>
          <w:rFonts w:hint="eastAsia"/>
        </w:rPr>
        <w:t>1月15日至17日，政协南雄市八届六次会议在南雄迎宾馆举行。会议期间，委员们听取和审议何万飞主席代表政协南雄市第八届委员会常务委员会所作的《工作报告》和陈尚妹副主席代表政协南雄市第八届委员会常务委员会所作的《提案工作情况的报告》。委员们列席南雄市十三届人大六次会议，听取并讨论刘清生代市长所作的《政府工作报告》。会议选举杨凤林为政协南雄市委员会秘书长。通过会议决议。</w:t>
      </w:r>
    </w:p>
    <w:p w14:paraId="774D3F94">
      <w:pPr>
        <w:pStyle w:val="4"/>
      </w:pPr>
      <w:r>
        <w:rPr>
          <w:rFonts w:hint="eastAsia"/>
        </w:rPr>
        <w:t>【九届一次会议】</w:t>
      </w:r>
    </w:p>
    <w:p w14:paraId="6E9FE992">
      <w:pPr>
        <w:ind w:firstLine="420"/>
      </w:pPr>
      <w:r>
        <w:rPr>
          <w:rFonts w:hint="eastAsia"/>
        </w:rPr>
        <w:t>11月7日至10日，政协南雄市九届一次会议在南雄迎宾馆举行。主席团常务主席何万飞主持会议。市委书记、市人大常委会主任许志新，市委副书记、市长刘清生，韶关市政协副秘委员会书长黄颂华，市委副书记王荣光，市人大常委会常务副主任肖芬先出席会议。市委常委、历届市政协领导、市直和垂直单位有关领导应邀列席会议。会议期间，委员们听取和审议何万飞代表政协南雄市第八届委员会常务委员会所作的《工作报告》和陈尚妹代表政协南雄市第八届委员会常务委员会所作的《关于提案工作情况的报告》；表彰政协南雄市第八届委员会优秀委员和政协南雄市第八届六次会议以来的优秀提案。委员们列席市第十四届人民代表大会第一次会议，听取并讨论《政府工作报告》会议赞同刘清生市长所作的《政府工作报告》。会议选举产生何万飞为政协南雄市第九届委员会主席，周济辉、刘发雄、赖华焜、刘卫忠、陈尚妹、刘光团为副主席，朱定球为秘书长，丁礼金等25位同志为常务委员。通过会议决议。中共南雄市委书记许志新在闭幕会上作重要讲话。何万飞主席作闭幕讲话。</w:t>
      </w:r>
    </w:p>
    <w:p w14:paraId="1991ABA2">
      <w:pPr>
        <w:pStyle w:val="4"/>
      </w:pPr>
      <w:r>
        <w:rPr>
          <w:rFonts w:hint="eastAsia"/>
        </w:rPr>
        <w:t>【提案督办】</w:t>
      </w:r>
    </w:p>
    <w:p w14:paraId="4349D64C">
      <w:pPr>
        <w:ind w:firstLine="420"/>
      </w:pPr>
      <w:r>
        <w:rPr>
          <w:rFonts w:hint="eastAsia"/>
        </w:rPr>
        <w:t>2月18日，市人大、市政府、市政协在迎宾馆2号会议室联合召开人大议案、建议和政协提案交办会。市政协副主席陈尚妹出席会议并讲话。市政协八届六次会议期间，共收到委员提案62件，经政协提案委员会认真审查，同意立案60件。立案提案中，联名提案19件，党派提案10件，委组提案3件，委员个人提案28件。参与提案的委员共有111人次，占委员总数的56%。这些提案涉及到经济建设、城市建设与城市管理、农林水、科教文卫体等多方面，分别由30个单位具体承办。</w:t>
      </w:r>
    </w:p>
    <w:p w14:paraId="2D5B487D">
      <w:pPr>
        <w:pStyle w:val="4"/>
      </w:pPr>
      <w:r>
        <w:rPr>
          <w:rFonts w:hint="eastAsia"/>
        </w:rPr>
        <w:t>【宣传文史】</w:t>
      </w:r>
    </w:p>
    <w:p w14:paraId="30D435D0">
      <w:pPr>
        <w:ind w:firstLine="420"/>
      </w:pPr>
      <w:r>
        <w:rPr>
          <w:rFonts w:hint="eastAsia"/>
        </w:rPr>
        <w:t>市政协召开2011年宣传工作会议，13名特约通讯员和获评先进单位的领导参加会议。市政协副主席刘发雄出席会议并讲话。2010年市政协在省、韶关市和南雄市媒体宣传人民政协用稿共201篇（条），比2009年增加89篇（条）。其中：省级用稿6篇，比2009年增加5篇；韶关媒体用稿69篇（条），比2009年增加54篇（条）；南雄媒体用稿126篇（条），比2009年增加34篇（条）。粤剧《魂迁珠玑》粤港澳巡回演出在广州开演。该市领导刘清生、何万飞、黄德群，珠玑巷联谊会秘书长衷玉华出席了演出活动。</w:t>
      </w:r>
    </w:p>
    <w:p w14:paraId="1586F53A">
      <w:pPr>
        <w:pStyle w:val="4"/>
      </w:pPr>
      <w:r>
        <w:rPr>
          <w:rFonts w:hint="eastAsia"/>
        </w:rPr>
        <w:t>【其他活动和工作】</w:t>
      </w:r>
    </w:p>
    <w:p w14:paraId="0F37DF1E">
      <w:pPr>
        <w:ind w:firstLine="420"/>
      </w:pPr>
      <w:r>
        <w:rPr>
          <w:rFonts w:hint="eastAsia"/>
        </w:rPr>
        <w:t>3月9日，市政协主席何万飞、副主席钟道海率政协机关干部职工18人前往江西省大余县政协学习交流联谊活动。</w:t>
      </w:r>
    </w:p>
    <w:p w14:paraId="06692A42">
      <w:pPr>
        <w:ind w:firstLine="420"/>
      </w:pPr>
      <w:r>
        <w:rPr>
          <w:rFonts w:hint="eastAsia"/>
        </w:rPr>
        <w:t>3月15日，南雄市政协组织市政协部分常委和政协委员评议南雄市水务工作。市政协主席何万飞，副主席刘发雄、周济辉，市政协秘书长、办公室主任杨凤林参加了评议。</w:t>
      </w:r>
    </w:p>
    <w:p w14:paraId="79A530A4">
      <w:pPr>
        <w:ind w:firstLine="420"/>
      </w:pPr>
      <w:r>
        <w:rPr>
          <w:rFonts w:hint="eastAsia"/>
        </w:rPr>
        <w:t>3月20日，市政协主席何万飞、广东南雄珠玑巷后裔联谊会会长黎子流、秘书长衷玉华在佛山参加佛山南雄珠玑巷后裔联谊会成立大会。</w:t>
      </w:r>
    </w:p>
    <w:p w14:paraId="38486A2C">
      <w:pPr>
        <w:ind w:firstLine="420"/>
      </w:pPr>
      <w:r>
        <w:rPr>
          <w:rFonts w:hint="eastAsia"/>
        </w:rPr>
        <w:t>3月22日，市政协主席何万飞带领政协部分常委和政协委员评议市卫生工作。副主席刘发雄、赖华焜，市政协秘书长、办公室主任杨凤林参加评议。委员们就有关提高医疗技术、新“农合”、疾病防控、无偿献血、医疗服务、医德医风、饮用水安全、对外预警信息发布、推广中医技术、抗生素滥用、看病贵、加强私人诊所管理等方面的问题提出意见和建议。</w:t>
      </w:r>
    </w:p>
    <w:p w14:paraId="0A012640">
      <w:pPr>
        <w:ind w:firstLine="420"/>
      </w:pPr>
      <w:r>
        <w:rPr>
          <w:rFonts w:hint="eastAsia"/>
        </w:rPr>
        <w:t>3月30日，市政协主席何万飞、办公室主任杨凤林率办公室人员前往湖口镇三角村扶贫调研，市交通局陈如亮局长、市委组织部蔡德华副部长以及湖口镇领导陪同调研。</w:t>
      </w:r>
    </w:p>
    <w:p w14:paraId="3BCE8856">
      <w:pPr>
        <w:ind w:firstLine="420"/>
      </w:pPr>
      <w:r>
        <w:rPr>
          <w:rFonts w:hint="eastAsia"/>
        </w:rPr>
        <w:t>4月15日，南雄市政协组织部分委员视察农业综合开发项目及田间工程建设情况。委员们就如何加强农业综合项目后续管理等问题提出意见和建议。市政协主席何万飞，副主席钟道海、刘发雄、陈尚妹参加视察活动。</w:t>
      </w:r>
    </w:p>
    <w:p w14:paraId="190ED320">
      <w:pPr>
        <w:ind w:firstLine="420"/>
      </w:pPr>
      <w:r>
        <w:rPr>
          <w:rFonts w:hint="eastAsia"/>
        </w:rPr>
        <w:t>4月21日，南雄市政协组织部分委员视察该市交通道路设施建设情况。委员们先后视察孔江至坪田县道改造工程、借村至精细化工园区公路硬底化建设以及东背岭大桥至龙华山温泉公路建设情况。市政协主席何万飞，副主席钟道海、刘发雄、陈尚妹参加视察。</w:t>
      </w:r>
    </w:p>
    <w:p w14:paraId="672E8D8F">
      <w:pPr>
        <w:ind w:firstLine="420"/>
      </w:pPr>
      <w:r>
        <w:rPr>
          <w:rFonts w:hint="eastAsia"/>
        </w:rPr>
        <w:t>5月9日，韶关市政协副主席、党组副书记李飞率政协提案委就“南雄市社会养老服务工作情况”来雄进行专题调研。该市政协主席何万飞、副主席陈尚妹、副市长罗战勇及有关部门领导陪同参加调研活动。</w:t>
      </w:r>
    </w:p>
    <w:p w14:paraId="00782E45">
      <w:pPr>
        <w:ind w:firstLine="420"/>
      </w:pPr>
      <w:r>
        <w:rPr>
          <w:rFonts w:hint="eastAsia"/>
        </w:rPr>
        <w:t>5月11日，广东南雄珠玑巷后裔联谊会会长、原广州市市长黎子流前来南雄市就珠玑巷旅游规划建设情况进行调研，在市政协主席何万飞等领导陪同下视察珠玑古巷，并在珠玑镇政府举行座谈交流。</w:t>
      </w:r>
    </w:p>
    <w:p w14:paraId="0131D77D">
      <w:pPr>
        <w:ind w:firstLine="420"/>
      </w:pPr>
      <w:r>
        <w:rPr>
          <w:rFonts w:hint="eastAsia"/>
        </w:rPr>
        <w:t>5月18日，“罗贵南迁良溪880周年庆典”在江门市蓬江区棠下镇良溪古村隆重举行。广州市原市长、珠玑巷后裔联谊会会长黎子流，南雄市政协主席何万飞，副主席周济辉、陈尚妹等领导到会庆贺。</w:t>
      </w:r>
    </w:p>
    <w:p w14:paraId="20E2F5CF">
      <w:pPr>
        <w:ind w:firstLine="420"/>
      </w:pPr>
      <w:r>
        <w:rPr>
          <w:rFonts w:hint="eastAsia"/>
        </w:rPr>
        <w:t>12月1日，韶关市政协主席邓苏夏、秘书长何炳光一行前来南雄市专题调研政协工作，市政协主席何万飞，副主席刘发雄、赖华焜、周济辉、刘卫忠、陈尚妹、刘光团以及各科室主任（科长）参加座谈会。（肖锋）</w:t>
      </w:r>
    </w:p>
    <w:p w14:paraId="75DD516E">
      <w:pPr>
        <w:pStyle w:val="3"/>
      </w:pPr>
      <w:r>
        <w:rPr>
          <w:rFonts w:hint="eastAsia"/>
        </w:rPr>
        <w:t>2011年政协南雄市领导班子成员名单</w:t>
      </w:r>
    </w:p>
    <w:p w14:paraId="05DFB292">
      <w:pPr>
        <w:ind w:firstLine="420"/>
      </w:pPr>
      <w:r>
        <w:rPr>
          <w:rFonts w:hint="eastAsia"/>
        </w:rPr>
        <w:t>主  席：何万飞</w:t>
      </w:r>
    </w:p>
    <w:p w14:paraId="013719FF">
      <w:pPr>
        <w:ind w:firstLine="420"/>
      </w:pPr>
      <w:r>
        <w:rPr>
          <w:rFonts w:hint="eastAsia"/>
        </w:rPr>
        <w:t>副主席：周济辉 刘发雄 赖华焜 刘卫忠</w:t>
      </w:r>
    </w:p>
    <w:p w14:paraId="3ACE0F00">
      <w:pPr>
        <w:ind w:left="840" w:leftChars="400" w:firstLine="420"/>
      </w:pPr>
      <w:r>
        <w:rPr>
          <w:rFonts w:hint="eastAsia"/>
        </w:rPr>
        <w:t>陈尚妹（女） 刘光团（11月任）</w:t>
      </w:r>
    </w:p>
    <w:p w14:paraId="6289CF7D">
      <w:pPr>
        <w:ind w:left="840" w:leftChars="400" w:firstLine="420"/>
      </w:pPr>
      <w:r>
        <w:rPr>
          <w:rFonts w:hint="eastAsia"/>
        </w:rPr>
        <w:t>钟道海（任至11月）</w:t>
      </w:r>
    </w:p>
    <w:p w14:paraId="40DA6FD6">
      <w:pPr>
        <w:ind w:firstLine="0" w:firstLineChars="0"/>
        <w:rPr>
          <w:b/>
          <w:bCs/>
        </w:rPr>
      </w:pPr>
      <w:r>
        <w:rPr>
          <w:rFonts w:hint="eastAsia"/>
          <w:b/>
          <w:bCs/>
        </w:rPr>
        <w:t>附：2011年市政协机关领导班子成员名单</w:t>
      </w:r>
    </w:p>
    <w:p w14:paraId="731515C2">
      <w:pPr>
        <w:ind w:firstLine="0" w:firstLineChars="0"/>
      </w:pPr>
      <w:r>
        <w:rPr>
          <w:rFonts w:hint="eastAsia"/>
        </w:rPr>
        <w:t>秘书长、办公室主任：朱定球</w:t>
      </w:r>
    </w:p>
    <w:p w14:paraId="7B1D3856">
      <w:pPr>
        <w:ind w:firstLine="0" w:firstLineChars="0"/>
      </w:pPr>
      <w:r>
        <w:rPr>
          <w:rFonts w:hint="eastAsia"/>
        </w:rPr>
        <w:t>宣传科科长：邬章云</w:t>
      </w:r>
    </w:p>
    <w:p w14:paraId="604FD2F7">
      <w:pPr>
        <w:ind w:firstLine="0" w:firstLineChars="0"/>
      </w:pPr>
      <w:r>
        <w:rPr>
          <w:rFonts w:hint="eastAsia"/>
        </w:rPr>
        <w:t>组织联络科科长：叶建华</w:t>
      </w:r>
    </w:p>
    <w:p w14:paraId="42696A06">
      <w:pPr>
        <w:ind w:firstLine="0" w:firstLineChars="0"/>
      </w:pPr>
      <w:r>
        <w:rPr>
          <w:rFonts w:hint="eastAsia"/>
        </w:rPr>
        <w:t>办公室副主任：黄永寿</w:t>
      </w:r>
    </w:p>
    <w:p w14:paraId="4DF84C16">
      <w:pPr>
        <w:ind w:firstLine="0" w:firstLineChars="0"/>
      </w:pPr>
      <w:r>
        <w:rPr>
          <w:rFonts w:hint="eastAsia"/>
        </w:rPr>
        <w:t>组织联络科副科长：廖韶芳</w:t>
      </w:r>
    </w:p>
    <w:p w14:paraId="6EC79EF2">
      <w:pPr>
        <w:pStyle w:val="3"/>
      </w:pPr>
      <w:r>
        <w:rPr>
          <w:rFonts w:hint="eastAsia"/>
        </w:rPr>
        <w:t>珠玑巷后裔联谊会主要活动</w:t>
      </w:r>
    </w:p>
    <w:p w14:paraId="59D51310">
      <w:pPr>
        <w:pStyle w:val="4"/>
      </w:pPr>
      <w:r>
        <w:rPr>
          <w:rFonts w:hint="eastAsia"/>
        </w:rPr>
        <w:t>【举行联谊会第四届理事会执行会长会议】</w:t>
      </w:r>
    </w:p>
    <w:p w14:paraId="125F9BD3">
      <w:pPr>
        <w:ind w:firstLine="420"/>
      </w:pPr>
      <w:r>
        <w:rPr>
          <w:rFonts w:hint="eastAsia"/>
        </w:rPr>
        <w:t>5月12日一13日，根据黎子流会长的提议，在中共韶关市委书记郑振涛、市长艾学峰的重视支持下，珠玑联谊会在韶关市荷花园举行联谊会第四届理事会执行会长会议。会长黎子流、执行会长梁广大、佀志广、吕伟雄、邓苏夏、林楚欣以及韶关市市长艾学峰、副市长兰茵，市政协副主席、韶关市委统战部部长何伟青，南雄市委、市政府、市政协主要领导许志新、刘清生、何万飞等出席会议，会议听取秘书处关于珠玑联谊会2010年工作总结和2011年工作计划并作了研究，听取2008年以来会内财务工作报告，听取南雄市政府关于珠玑古巷、梅岭景区旅游总体规划工作报告，并研究有关规划落实工作，以加快珠玑古巷的开发和建设。根据省委组织部和中共韶关市委及有关部门研究批准，增选韶关市市长艾学峰为名誉会长，中山市原常务副市长简庆华，中共南雄市委书记许志新、市长刘清生为执行会长；韶关市政协副主席、中共韶关市委统战部部长何伟青、南雄市政协主席何万飞、中共南雄市委副书记王荣光为常务副会长；南雄市委常委、副市长刘发龙为副会长；澳洲韶关海外联谊会会长曾朝明为名誉副会长；南雄市政协副主席陈尚妹为副秘书长；韶关市侨联主席廖凤英等为珠玑联谊会理事。</w:t>
      </w:r>
    </w:p>
    <w:p w14:paraId="7B0DDCBB">
      <w:pPr>
        <w:pStyle w:val="4"/>
      </w:pPr>
      <w:r>
        <w:rPr>
          <w:rFonts w:hint="eastAsia"/>
        </w:rPr>
        <w:t>【列入捐赠税前扣除资格公益性社会团体】</w:t>
      </w:r>
    </w:p>
    <w:p w14:paraId="4B525FCE">
      <w:pPr>
        <w:ind w:firstLine="420"/>
      </w:pPr>
      <w:r>
        <w:rPr>
          <w:rFonts w:hint="eastAsia"/>
        </w:rPr>
        <w:t>5月31日，广东省财政厅、国税局、地税局、民政厅等4个单位联合发出的《关于公布广东省第三批公益性捐赠税前扣除资格公益性社会团体名单的通知》（粤财法［2011]37号，广东南雄珠玑巷后裔联谊会为第三批获得该项资格的公益社会团体，中共广东省委统战部、韶关市政协、广东省侨办、广东省侨联、南雄市人民政府、南雄市政协等78个单位和社团向珠玑联谊会发来贺信。取得该项资格，为珠玑联谊会开展慈善公益活动拓展新的平台。</w:t>
      </w:r>
    </w:p>
    <w:p w14:paraId="1AE40266">
      <w:pPr>
        <w:pStyle w:val="4"/>
      </w:pPr>
      <w:r>
        <w:rPr>
          <w:rFonts w:hint="eastAsia"/>
        </w:rPr>
        <w:t>【成立香港南雄联谊会】</w:t>
      </w:r>
    </w:p>
    <w:p w14:paraId="214C69D7">
      <w:pPr>
        <w:ind w:firstLine="420"/>
      </w:pPr>
      <w:r>
        <w:rPr>
          <w:rFonts w:hint="eastAsia"/>
        </w:rPr>
        <w:t>9月18日，“香港南雄联谊会”成立，开创珠玑联谊工作新局面，为香港和故乡搭建联系各方的桥梁。该会的创办得到珠玑联谊会港区领导成员及珠玑后裔钟强、李文炳、王锦辉、陈经纶、卢道平、罗景云、黎兆深、肖剑君、唐可华、卢伟成、康小红、卢德基等40多位热心人士支持。</w:t>
      </w:r>
    </w:p>
    <w:p w14:paraId="465D2B8C">
      <w:pPr>
        <w:pStyle w:val="4"/>
      </w:pPr>
      <w:r>
        <w:rPr>
          <w:rFonts w:hint="eastAsia"/>
        </w:rPr>
        <w:t>【筹备成立“广府（珠玑）人海外联谊会”和“广广府学会”】</w:t>
      </w:r>
    </w:p>
    <w:p w14:paraId="057FE15E">
      <w:pPr>
        <w:ind w:firstLine="420"/>
      </w:pPr>
      <w:r>
        <w:rPr>
          <w:rFonts w:hint="eastAsia"/>
        </w:rPr>
        <w:t>9月19日，广东省珠江文化研究会和广东南雄珠玑巷后裔联谊会等单位的代表在东方宾馆举行联席会议，就筹建“广府（珠玑）人海外联谊会”与“广府学会”进行初步研究磋商。会议由广州市人民政府原市长、广东南雄珠玑巷后裔联谊会会长黎子流主持，广东省珠江文化研究会会长、省政府参事、中山大学教授黄伟宗、肇庆市人民政府副市长孙德，南雄市政协副主席陈尚妹以及秘书处衷玉华秘书长等12人参加会议。黎子流会长认为：建立“广府（珠玑）人海外联谊会”及“广府学会”，对团结广府族群、弘扬广府文化很有意义。经反复讨论协商，会议最后达成共识，同意按“封开宣言”精神成立“广府（珠玑）人海外联谊会”和“广府学会”筹备小组。由黎子流会长担任组长。（肖锋）</w:t>
      </w:r>
    </w:p>
    <w:tbl>
      <w:tblPr>
        <w:tblStyle w:val="15"/>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1E3FF62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2317286C">
            <w:pPr>
              <w:ind w:firstLine="0" w:firstLineChars="0"/>
            </w:pPr>
            <w:r>
              <w:rPr>
                <w:rFonts w:hint="eastAsia"/>
              </w:rPr>
              <w:drawing>
                <wp:inline distT="0" distB="0" distL="114300" distR="114300">
                  <wp:extent cx="6178550" cy="2646045"/>
                  <wp:effectExtent l="0" t="0" r="12700" b="1905"/>
                  <wp:docPr id="7" name="图片 7" descr="南雄年鉴201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南雄年鉴2012-38"/>
                          <pic:cNvPicPr>
                            <a:picLocks noChangeAspect="1"/>
                          </pic:cNvPicPr>
                        </pic:nvPicPr>
                        <pic:blipFill>
                          <a:blip r:embed="rId91" cstate="print"/>
                          <a:stretch>
                            <a:fillRect/>
                          </a:stretch>
                        </pic:blipFill>
                        <pic:spPr>
                          <a:xfrm>
                            <a:off x="0" y="0"/>
                            <a:ext cx="6178550" cy="2646045"/>
                          </a:xfrm>
                          <a:prstGeom prst="rect">
                            <a:avLst/>
                          </a:prstGeom>
                        </pic:spPr>
                      </pic:pic>
                    </a:graphicData>
                  </a:graphic>
                </wp:inline>
              </w:drawing>
            </w:r>
          </w:p>
        </w:tc>
      </w:tr>
    </w:tbl>
    <w:p w14:paraId="276E2414">
      <w:pPr>
        <w:ind w:firstLine="420"/>
      </w:pPr>
    </w:p>
    <w:p w14:paraId="7B468251">
      <w:pPr>
        <w:pStyle w:val="2"/>
        <w:ind w:firstLine="883"/>
      </w:pPr>
      <w:r>
        <w:rPr>
          <w:rFonts w:hint="eastAsia"/>
        </w:rPr>
        <w:t>中共南雄市纪律检查委员会</w:t>
      </w:r>
    </w:p>
    <w:p w14:paraId="5C6A48D9">
      <w:pPr>
        <w:pStyle w:val="3"/>
      </w:pPr>
      <w:r>
        <w:rPr>
          <w:rFonts w:hint="eastAsia"/>
        </w:rPr>
        <w:t>纪检监察</w:t>
      </w:r>
    </w:p>
    <w:p w14:paraId="544C1891">
      <w:pPr>
        <w:pStyle w:val="4"/>
      </w:pPr>
      <w:r>
        <w:rPr>
          <w:rFonts w:hint="eastAsia"/>
        </w:rPr>
        <w:t>【概况】</w:t>
      </w:r>
    </w:p>
    <w:p w14:paraId="4BCA2FBB">
      <w:pPr>
        <w:ind w:firstLine="420"/>
      </w:pPr>
      <w:r>
        <w:rPr>
          <w:rFonts w:hint="eastAsia"/>
        </w:rPr>
        <w:t>中共南雄市纪律检查委员会现有行政编制30名，工勤编3名。内设办公室、党风廉政建设室、执法监察室、机关效能监察室、纪检监察室、案件审理室、信访室、宣教调研室和干部室9个室。6月份，南雄市纪委监察局荣获“全国纪检监察系统先进集体”称号。南雄市委荣获“2011年度韶关市党风廉政建设先进单位”称号，南雄市纪委监察局荣获“2011年度韶关市纪检监察系统先进集体”称号。</w:t>
      </w:r>
    </w:p>
    <w:p w14:paraId="125E969E">
      <w:pPr>
        <w:pStyle w:val="3"/>
      </w:pPr>
      <w:r>
        <w:rPr>
          <w:rFonts w:hint="eastAsia"/>
          <w:lang w:val="en-US" w:eastAsia="zh-CN"/>
        </w:rPr>
        <w:t>重</w:t>
      </w:r>
      <w:r>
        <w:rPr>
          <w:rFonts w:hint="eastAsia"/>
        </w:rPr>
        <w:t>要会议</w:t>
      </w:r>
    </w:p>
    <w:p w14:paraId="6412C06D">
      <w:pPr>
        <w:pStyle w:val="4"/>
      </w:pPr>
      <w:r>
        <w:rPr>
          <w:rFonts w:hint="eastAsia"/>
        </w:rPr>
        <w:t>【南雄市基层纪检监察查办案件工作经验交流会暨“优秀案例”表彰大会】</w:t>
      </w:r>
    </w:p>
    <w:p w14:paraId="5DE3981A">
      <w:pPr>
        <w:ind w:firstLine="420"/>
      </w:pPr>
      <w:r>
        <w:rPr>
          <w:rFonts w:hint="eastAsia"/>
        </w:rPr>
        <w:t>2011年1月11日上午，南雄市纪委、监察局在市财政局三楼会议室召开南雄市基层纪检监察查办案件工作经验交流会暨“优秀案例”表彰大会，韶关市纪委副书记于莉莉、纪委常委叶远军、信访室主任曹建龙、案管室主任钟晓云、案审室主任廖志勇等领导参加会议。市委常委、纪委书记罗勇新主持这次会议。次日，为期两天的南雄市基层纪委信访举报和案件查处培训班落下帷幕，这是南雄市纪委自2007年以来连续第四年举办的为提高纪检监察干部业务素质和加强纪检干部综合能力的培训。全市纪检监察系统62个基层纪委、纪检组，120余名纪检监察领导干部参加培训，并进行结业考试。</w:t>
      </w:r>
    </w:p>
    <w:p w14:paraId="48EC1289">
      <w:pPr>
        <w:pStyle w:val="4"/>
      </w:pPr>
      <w:r>
        <w:rPr>
          <w:rFonts w:hint="eastAsia"/>
        </w:rPr>
        <w:t>【南雄市纪委十一届六次全会】</w:t>
      </w:r>
    </w:p>
    <w:p w14:paraId="06065996">
      <w:pPr>
        <w:ind w:firstLine="420"/>
      </w:pPr>
      <w:r>
        <w:rPr>
          <w:rFonts w:hint="eastAsia"/>
        </w:rPr>
        <w:t>3月2日上午，中共南雄市第十一届纪律检查委员会第六次全体会律检查委员会议在南雄大会堂举行。会议学习贯彻落实中央纪委十七届六次全会、省纪委十届五次全会、韶关市纪委十届六次全会及市委十一届九次全会精神，总结该市2010年党风廉政建设和反腐败工作，研究部署2011年任务。会议审议通过《中共南雄市第十一届纪律检查委员会第六次全体会议决议》和市委常委、纪委书记罗勇新代表市纪委常委会所作的工作报告。3月2日下午，南雄市纪委第十一届六次全会第二节会议在迎宾馆2号会议室召开。市纪委委员、各中心纪检监察组全体收编干部、各垂直管理单位纪委书记（纪检组长），市纪委机关全体干部职工共100多人参会。市纪委副书记、监察局长张达明及市纪委副书记何文忠分别就各自分管的工作做部署。会议对获得纪检监察工作、信息和宣传报道工作、主题实践活动的先进集体、先进个人进行表彰。</w:t>
      </w:r>
    </w:p>
    <w:p w14:paraId="4626E6EC">
      <w:pPr>
        <w:pStyle w:val="4"/>
      </w:pPr>
      <w:r>
        <w:rPr>
          <w:rFonts w:hint="eastAsia"/>
        </w:rPr>
        <w:t>【南雄市荣获省纪检监察荣誉纪念章颁奖大会】</w:t>
      </w:r>
    </w:p>
    <w:p w14:paraId="2BF5D227">
      <w:pPr>
        <w:ind w:firstLine="420"/>
      </w:pPr>
      <w:r>
        <w:rPr>
          <w:rFonts w:hint="eastAsia"/>
        </w:rPr>
        <w:t>7月15日下午，南雄市纪委召开荣获省纪检监察荣誉纪念章颁奖大会，南雄市共有8人荣获银质荣誉奖章，39人荣获纪念荣誉奖章，1人荣获南粤七一纪念章。市委常委、纪委书记罗勇新，市委常委、组织部长丘德周，副市长何人平等领导出席会议，荣获省纪检监察荣誉纪念章的党员领导干部、市纪委监察局班子成员共50多人参加会议。</w:t>
      </w:r>
    </w:p>
    <w:p w14:paraId="5A8B1EA1">
      <w:pPr>
        <w:pStyle w:val="4"/>
      </w:pPr>
      <w:r>
        <w:rPr>
          <w:rFonts w:hint="eastAsia"/>
        </w:rPr>
        <w:t>【南雄市纪委十二届一次全会】</w:t>
      </w:r>
    </w:p>
    <w:p w14:paraId="4684C6D6">
      <w:pPr>
        <w:ind w:firstLine="420"/>
      </w:pPr>
      <w:r>
        <w:rPr>
          <w:rFonts w:hint="eastAsia"/>
        </w:rPr>
        <w:t>9月27日下午，中国共产党南雄市第十二届纪律检查委员会召开第一次全体会议，会议选举产生新的常务委员会和书记、副书记。谢志铎、何文忠、曾光、邓华兴、谢兆锋、邱荣胜、王长连等7人为南雄市纪律检查委员会常务委员会委员；谢志铎为南雄市纪律检查委员会书记，何文忠、曾光为南雄市纪律检查委员会副书记。并报中共南雄市委第十二届一次全会审议通过。</w:t>
      </w:r>
    </w:p>
    <w:p w14:paraId="3C9FF04E">
      <w:pPr>
        <w:pStyle w:val="3"/>
      </w:pPr>
      <w:r>
        <w:rPr>
          <w:rFonts w:hint="eastAsia"/>
        </w:rPr>
        <w:t>主要工作</w:t>
      </w:r>
    </w:p>
    <w:p w14:paraId="71EB6D73">
      <w:pPr>
        <w:pStyle w:val="4"/>
      </w:pPr>
      <w:r>
        <w:rPr>
          <w:rFonts w:hint="eastAsia"/>
        </w:rPr>
        <w:t>【宣传教育】</w:t>
      </w:r>
    </w:p>
    <w:p w14:paraId="7A3660EA">
      <w:pPr>
        <w:ind w:firstLine="420"/>
      </w:pPr>
      <w:r>
        <w:rPr>
          <w:rFonts w:hint="eastAsia"/>
        </w:rPr>
        <w:t>强化自律式教育，通过开展领导干部任前廉政法规考试和孝廉文化“六进”活动，引导群众崇尚孝廉，教育党员干部“以孝促廉”。发挥警示教育功能，根据查处的典型案件精心编写警示教材，有针对性地进行警示教育。同时加大纪检监察宣传报道和信息工作力度。2011年，市纪委监察局共在《中国纪检监察报》上稿15篇、《广东党风》上稿6篇、《南方》上稿5篇，编报的纪检监察信息有9篇被省级以上采用，其中中纪委采用2篇，省纪委采用7篇，纪检监察宣传报道和信息工作连续十年保持韶关第一。</w:t>
      </w:r>
    </w:p>
    <w:p w14:paraId="7828BD07">
      <w:pPr>
        <w:pStyle w:val="4"/>
      </w:pPr>
      <w:r>
        <w:rPr>
          <w:rFonts w:hint="eastAsia"/>
        </w:rPr>
        <w:t>【制度建设】</w:t>
      </w:r>
    </w:p>
    <w:p w14:paraId="18FD2742">
      <w:pPr>
        <w:ind w:firstLine="420"/>
      </w:pPr>
      <w:r>
        <w:rPr>
          <w:rFonts w:hint="eastAsia"/>
        </w:rPr>
        <w:t>以落实“五个一”制度为突破口，把党风廉政建设和反腐败工作任务分解到岗到人，严格责任考核，强化责任追究。结合“履行职责、加快发展年”活动的开展，组建督查组和组织“阳光使者”对重点单位和部门贯彻落实党风廉政建设责任制、《廉政准则》、领导干部报告个人有关事项的规定等制度执行情况进行专项监督检查。全市各级党政主要领导对分管范围内党员干部上廉政教育课200多场次，受教育党员干部2万多人次。2011年，全市共有5个单位“一把手”因落实党风廉政建设责任制不到位而受到责任追究。</w:t>
      </w:r>
    </w:p>
    <w:p w14:paraId="001411D5">
      <w:pPr>
        <w:pStyle w:val="4"/>
      </w:pPr>
      <w:r>
        <w:rPr>
          <w:rFonts w:hint="eastAsia"/>
        </w:rPr>
        <w:t>【督察督办】</w:t>
      </w:r>
    </w:p>
    <w:p w14:paraId="3BC2318C">
      <w:pPr>
        <w:ind w:firstLine="420"/>
      </w:pPr>
      <w:r>
        <w:rPr>
          <w:rFonts w:hint="eastAsia"/>
        </w:rPr>
        <w:t>加强对扩内需促增长政策落实情况、“履行职责、加快发展年”活动、工程建设领域突出问题、“三项专项整治”行动的监督检查。对全市144个副科以上单位开展“履行职责、加快发展年”活动情况进行督导检查，确保履职活动取得实际成效。对重点项目进行监督检查，立案查处工程建设领域案件3宗，处分党员干部3人。加大对非法开采稀土矿点的打击力度，打击11个非法开采稀土矿点，立案查处2宗，有效遏制非法开采稀土矿的反弹势头；查处林业公安系统系列违法违纪案件，狠刹乱砍滥伐歪风；加大对违法违章建筑（用地）行为的打击力度，拆除违法建筑23处，拆除面积13500平方米，刑事拘留1人，逮捕3人，有力遏制南雄市违法违章建筑（用地）蔓延趋势。</w:t>
      </w:r>
    </w:p>
    <w:p w14:paraId="5CA9B22B">
      <w:pPr>
        <w:pStyle w:val="4"/>
      </w:pPr>
      <w:r>
        <w:rPr>
          <w:rFonts w:hint="eastAsia"/>
        </w:rPr>
        <w:t>【亮点创新】</w:t>
      </w:r>
    </w:p>
    <w:p w14:paraId="799AE886">
      <w:pPr>
        <w:ind w:firstLine="420"/>
      </w:pPr>
      <w:r>
        <w:rPr>
          <w:rFonts w:hint="eastAsia"/>
        </w:rPr>
        <w:t>在总结交流16个亮点、表彰5个优秀亮点的基础上，总结和推广试点成功的基层党风廉政建设优秀亮点。创建廉租房“阳光”分配机制、农村集体资产“三位一体”监管制度、“窗口前移、服务上门”活动、涉农事务限时办结制、农民负担监测网、土地使用权及矿业权网上交易平台等一批高质量的亮点，解决一批人民群众关心的热点、难点问题，促进社会管理创新和服务型政府建设，政府公信力增强。</w:t>
      </w:r>
    </w:p>
    <w:p w14:paraId="6B775906">
      <w:pPr>
        <w:pStyle w:val="4"/>
      </w:pPr>
      <w:r>
        <w:rPr>
          <w:rFonts w:hint="eastAsia"/>
        </w:rPr>
        <w:t>【办案惩处】</w:t>
      </w:r>
    </w:p>
    <w:p w14:paraId="5C0FAF29">
      <w:pPr>
        <w:ind w:firstLine="420"/>
      </w:pPr>
      <w:r>
        <w:rPr>
          <w:rFonts w:hint="eastAsia"/>
        </w:rPr>
        <w:t>全市纪检监察系统共受理群众信访举报244件，立案查处44件，给予党纪政纪处分44人，其中副科以上领导干部8人。通过办案，为国家和集体挽回经济损失260多万元。全市18个镇（街道）连续五年实现了100%的镇有自办案件。对有关换届的13宗信访件进行“直查快办”，确保换届的顺利进行。</w:t>
      </w:r>
    </w:p>
    <w:p w14:paraId="1AE4877D">
      <w:pPr>
        <w:pStyle w:val="4"/>
      </w:pPr>
      <w:r>
        <w:rPr>
          <w:rFonts w:hint="eastAsia"/>
        </w:rPr>
        <w:t>【纠风工作】</w:t>
      </w:r>
    </w:p>
    <w:p w14:paraId="19D96429">
      <w:pPr>
        <w:ind w:firstLine="420"/>
      </w:pPr>
      <w:r>
        <w:rPr>
          <w:rFonts w:hint="eastAsia"/>
        </w:rPr>
        <w:t>纠正医药购销和医疗服务中的不正之风，清缴医药回扣397人次，共计32万余元。拓宽民意表达渠道，抓好“民生热线”上线工作，利用“连心楼”、行政电子监察大厅等网络问政平台，及时处理和解决人民群众关注的突出问题。共接到群众来信咨询投诉9573件，受理投诉9558件，办结率98%。加大机关作风建设明察暗访力度，深入开展政风行风评议、履职督查等工作，对开会缺席、迟到早退、玩手机、打瞌睡及上班时间玩游戏、观看网络电影等违纪问题的20个单位44人进行通报批评，基层机关和基层站所工作作风明显好转。</w:t>
      </w:r>
    </w:p>
    <w:p w14:paraId="14415CB7">
      <w:pPr>
        <w:pStyle w:val="4"/>
      </w:pPr>
      <w:r>
        <w:rPr>
          <w:rFonts w:hint="eastAsia"/>
        </w:rPr>
        <w:t>【科学反腐】</w:t>
      </w:r>
    </w:p>
    <w:p w14:paraId="66BFA1F5">
      <w:pPr>
        <w:ind w:firstLine="420"/>
      </w:pPr>
      <w:r>
        <w:rPr>
          <w:rFonts w:hint="eastAsia"/>
        </w:rPr>
        <w:t>在权力公开透明运行“阳光工程”梳理职权目录、编制权力运行流程图、排查廉政风险点、制定防控举措和建立“阳光使者”监督机制的基础上，将党务公开与权力公开有机结合起来同步深入推进。全市760个基层党组织党务公开工作现已全面铺开，完善党务公开栏400多个，设置意见建议箱100多个，安装电子显示屏4个、电子触摸屏1个，建立起一支由市、镇（局）、村、组四级“阳光使者”组成的2万多人的监督队伍，立体监督网络初步形成。南雄开展权力公开与党务公开工作的做法得到省、韶关市领导的充分肯定。2011年，市主要领导先后在全省监督工作经验交流会、全省党的基层组织党务公开工作会议和全省党的建设工作会议上作了经验介绍。深入推进党风廉政信息公开平台建设，2011年，共发布党务公开数据4991笔，政务、村务、厂务、事务公开数据11265笔，财务公开数据39714笔，信息及时发布率达100%。对全市228辆公车进行了登记造册，统一粘贴“公务用车”标识，排查出30辆公务用车存在超编、借用、调用、换用的情况。同时，要求全市副科以上领导干部集中报告个人有关事项，并存档备查，全面掌控领导干部廉洁自律情况。</w:t>
      </w:r>
    </w:p>
    <w:p w14:paraId="41861703">
      <w:pPr>
        <w:pStyle w:val="4"/>
      </w:pPr>
      <w:r>
        <w:rPr>
          <w:rFonts w:hint="eastAsia"/>
        </w:rPr>
        <w:t>【队伍建设】</w:t>
      </w:r>
    </w:p>
    <w:p w14:paraId="30017D8C">
      <w:pPr>
        <w:ind w:firstLine="420"/>
      </w:pPr>
      <w:r>
        <w:rPr>
          <w:rFonts w:hint="eastAsia"/>
        </w:rPr>
        <w:t>继续实行纪检监察干部“三个三不准”规定，严格队伍内部管理，对违反规定的一名干部予以调离，保证队伍的纯洁性。通过选送培训、以会代培、自办培训班、新进干部岗前跟班培训等多形式多层次的业务培训，提高队伍的业务素质和综合能力。建立健全干部人文关怀机制，营造“快乐工作、快乐生活”的工作氛围，增强纪检监察干部的使命感、责任感和荣誉感，提高队伍的凝聚力和战斗力。     （谢金城）</w:t>
      </w:r>
    </w:p>
    <w:p w14:paraId="7DC33993">
      <w:pPr>
        <w:ind w:firstLine="0" w:firstLineChars="0"/>
        <w:rPr>
          <w:b/>
          <w:bCs/>
        </w:rPr>
      </w:pPr>
      <w:r>
        <w:rPr>
          <w:rFonts w:hint="eastAsia"/>
          <w:b/>
          <w:bCs/>
        </w:rPr>
        <w:t>附：2011年市纪委（监察局）领导班子成员名单</w:t>
      </w:r>
    </w:p>
    <w:p w14:paraId="06512B3E">
      <w:pPr>
        <w:ind w:firstLine="0" w:firstLineChars="0"/>
      </w:pPr>
      <w:r>
        <w:rPr>
          <w:rFonts w:hint="eastAsia"/>
        </w:rPr>
        <w:t>纪委书记：罗勇新（兼任至9月）</w:t>
      </w:r>
    </w:p>
    <w:p w14:paraId="5EA3CE23">
      <w:pPr>
        <w:ind w:left="1050" w:leftChars="500" w:firstLine="0" w:firstLineChars="0"/>
      </w:pPr>
      <w:r>
        <w:rPr>
          <w:rFonts w:hint="eastAsia"/>
        </w:rPr>
        <w:t>谢志铎（9月兼任）</w:t>
      </w:r>
    </w:p>
    <w:p w14:paraId="2A1E962B">
      <w:pPr>
        <w:ind w:firstLine="0" w:firstLineChars="0"/>
      </w:pPr>
      <w:r>
        <w:rPr>
          <w:rFonts w:hint="eastAsia"/>
        </w:rPr>
        <w:t>纪委副书记：张达明（任至9月）</w:t>
      </w:r>
    </w:p>
    <w:p w14:paraId="45C5F977">
      <w:pPr>
        <w:ind w:left="1260" w:leftChars="600" w:firstLine="0" w:firstLineChars="0"/>
      </w:pPr>
      <w:r>
        <w:rPr>
          <w:rFonts w:hint="eastAsia"/>
        </w:rPr>
        <w:t>何文忠</w:t>
      </w:r>
    </w:p>
    <w:p w14:paraId="5314BE2B">
      <w:pPr>
        <w:ind w:left="1260" w:leftChars="600" w:firstLine="0" w:firstLineChars="0"/>
      </w:pPr>
      <w:r>
        <w:rPr>
          <w:rFonts w:hint="eastAsia"/>
        </w:rPr>
        <w:t>曾   光（9月任）</w:t>
      </w:r>
    </w:p>
    <w:p w14:paraId="634598D1">
      <w:pPr>
        <w:ind w:firstLine="0" w:firstLineChars="0"/>
      </w:pPr>
      <w:r>
        <w:rPr>
          <w:rFonts w:hint="eastAsia"/>
        </w:rPr>
        <w:t>纪委常委：钟流辉（任至8月）</w:t>
      </w:r>
    </w:p>
    <w:p w14:paraId="024CBF00">
      <w:pPr>
        <w:ind w:left="1050" w:leftChars="500" w:firstLine="0" w:firstLineChars="0"/>
      </w:pPr>
      <w:r>
        <w:rPr>
          <w:rFonts w:hint="eastAsia"/>
        </w:rPr>
        <w:t>邓华兴（8月任）</w:t>
      </w:r>
    </w:p>
    <w:p w14:paraId="06815D32">
      <w:pPr>
        <w:ind w:left="1050" w:leftChars="500" w:firstLine="0" w:firstLineChars="0"/>
      </w:pPr>
      <w:r>
        <w:rPr>
          <w:rFonts w:hint="eastAsia"/>
        </w:rPr>
        <w:t>谢兆锋</w:t>
      </w:r>
    </w:p>
    <w:p w14:paraId="6FC7B5CB">
      <w:pPr>
        <w:ind w:left="1050" w:leftChars="500" w:firstLine="0" w:firstLineChars="0"/>
      </w:pPr>
      <w:r>
        <w:rPr>
          <w:rFonts w:hint="eastAsia"/>
        </w:rPr>
        <w:t>曾  光（任至9月）</w:t>
      </w:r>
    </w:p>
    <w:p w14:paraId="575EEF24">
      <w:pPr>
        <w:ind w:left="1050" w:leftChars="500" w:firstLine="0" w:firstLineChars="0"/>
      </w:pPr>
      <w:r>
        <w:rPr>
          <w:rFonts w:hint="eastAsia"/>
        </w:rPr>
        <w:t>刘光胜（任至8月）</w:t>
      </w:r>
    </w:p>
    <w:p w14:paraId="08984813">
      <w:pPr>
        <w:ind w:left="1050" w:leftChars="500" w:firstLine="0" w:firstLineChars="0"/>
      </w:pPr>
      <w:r>
        <w:rPr>
          <w:rFonts w:hint="eastAsia"/>
        </w:rPr>
        <w:t>邱荣胜（8月任）</w:t>
      </w:r>
    </w:p>
    <w:p w14:paraId="3F7F084E">
      <w:pPr>
        <w:ind w:left="1050" w:leftChars="500" w:firstLine="0" w:firstLineChars="0"/>
      </w:pPr>
      <w:r>
        <w:rPr>
          <w:rFonts w:hint="eastAsia"/>
        </w:rPr>
        <w:t>王长连（8月任）</w:t>
      </w:r>
    </w:p>
    <w:p w14:paraId="274E853D">
      <w:pPr>
        <w:ind w:firstLine="0" w:firstLineChars="0"/>
      </w:pPr>
      <w:r>
        <w:rPr>
          <w:rFonts w:hint="eastAsia"/>
        </w:rPr>
        <w:t>监察局局长：张达明（兼任至12月）</w:t>
      </w:r>
    </w:p>
    <w:p w14:paraId="6D47350D">
      <w:pPr>
        <w:ind w:left="1260" w:leftChars="600" w:firstLine="0" w:firstLineChars="0"/>
      </w:pPr>
      <w:r>
        <w:rPr>
          <w:rFonts w:hint="eastAsia"/>
        </w:rPr>
        <w:t>何文忠（12月兼任）</w:t>
      </w:r>
    </w:p>
    <w:p w14:paraId="02FFAE80">
      <w:pPr>
        <w:ind w:firstLine="0" w:firstLineChars="0"/>
      </w:pPr>
      <w:r>
        <w:rPr>
          <w:rFonts w:hint="eastAsia"/>
        </w:rPr>
        <w:t>监察局副局长：邱荣胜（8月任）</w:t>
      </w:r>
    </w:p>
    <w:p w14:paraId="5F265B72">
      <w:pPr>
        <w:ind w:left="1470" w:leftChars="700" w:firstLine="0" w:firstLineChars="0"/>
      </w:pPr>
      <w:r>
        <w:rPr>
          <w:rFonts w:hint="eastAsia"/>
        </w:rPr>
        <w:t>李见宏</w:t>
      </w:r>
    </w:p>
    <w:p w14:paraId="66AFBF87">
      <w:pPr>
        <w:ind w:left="1470" w:leftChars="700" w:firstLine="0" w:firstLineChars="0"/>
      </w:pPr>
      <w:r>
        <w:rPr>
          <w:rFonts w:hint="eastAsia"/>
        </w:rPr>
        <w:t>吴越（3月任）</w:t>
      </w:r>
    </w:p>
    <w:p w14:paraId="433379CE">
      <w:pPr>
        <w:pStyle w:val="2"/>
        <w:ind w:firstLine="883"/>
      </w:pPr>
      <w:r>
        <w:rPr>
          <w:rFonts w:hint="eastAsia"/>
        </w:rPr>
        <w:t>民主党派·群团组织</w:t>
      </w:r>
    </w:p>
    <w:p w14:paraId="07E0DE7E">
      <w:pPr>
        <w:pStyle w:val="3"/>
      </w:pPr>
      <w:r>
        <w:rPr>
          <w:rFonts w:hint="eastAsia"/>
        </w:rPr>
        <w:t>国民党南雄市支部</w:t>
      </w:r>
    </w:p>
    <w:p w14:paraId="2E0B0087">
      <w:pPr>
        <w:pStyle w:val="4"/>
      </w:pPr>
      <w:r>
        <w:rPr>
          <w:rFonts w:hint="eastAsia"/>
        </w:rPr>
        <w:t>【概况】</w:t>
      </w:r>
    </w:p>
    <w:p w14:paraId="7795F15F">
      <w:pPr>
        <w:ind w:firstLine="420"/>
      </w:pPr>
      <w:r>
        <w:rPr>
          <w:rFonts w:hint="eastAsia"/>
        </w:rPr>
        <w:t>1987年5月，中国民主同盟南雄小组成立（简称“民盟”），有盟员4人。1988年7月20日，成立支部，盟员10人。1994年10月19日，成立总支，下设三个支部，有盟员32人。2010年11月19日，民盟南雄总支召开第六次全体会议，选举产生第六届总支委员：主委赖华焜，副主委陈盛荣、莫民润，委员刘章山、曹春梅、陈川荣、陈卫星、胡图山、尹刚。总支下设三个支部：南雄中学支部，主委胡图山；南雄一中支部，主委陈川荣；联合支部，主委尹刚。现有盟员43人。</w:t>
      </w:r>
    </w:p>
    <w:p w14:paraId="5106ACA7">
      <w:pPr>
        <w:pStyle w:val="4"/>
      </w:pPr>
      <w:r>
        <w:rPr>
          <w:rFonts w:hint="eastAsia"/>
        </w:rPr>
        <w:t>【理论学习】</w:t>
      </w:r>
    </w:p>
    <w:p w14:paraId="0450C756">
      <w:pPr>
        <w:ind w:firstLine="420"/>
      </w:pPr>
      <w:r>
        <w:rPr>
          <w:rFonts w:hint="eastAsia"/>
        </w:rPr>
        <w:t>组织学习中共十七届六中全会精神和胡锦涛在纪念辛亥革命100周年大会上的讲话精神，把思想建设作为推动支部自身建设的根本，坚持中国共产党的领导，牢固树立和践行社会主义核心价值体系，提高支部党员的理论素养和思想觉悟。支委6人不定期碰头议事，做到工作多商量，思想常沟通，情况常通报，有效促进了支委成员之间的配合与协作，以支委成员的紧密团结协作，促进支部整个队伍的齐心协力，上下凝心聚力。支部被民革韶关市委评为“学习型先进支部”。</w:t>
      </w:r>
    </w:p>
    <w:p w14:paraId="70A3A2F6">
      <w:pPr>
        <w:pStyle w:val="4"/>
      </w:pPr>
      <w:r>
        <w:rPr>
          <w:rFonts w:hint="eastAsia"/>
        </w:rPr>
        <w:t>【参政议政工作】</w:t>
      </w:r>
    </w:p>
    <w:p w14:paraId="67AA3243">
      <w:pPr>
        <w:ind w:firstLine="420"/>
      </w:pPr>
      <w:r>
        <w:rPr>
          <w:rFonts w:hint="eastAsia"/>
        </w:rPr>
        <w:t>支部认真履行政治协商，民主监督，参政议政职责。政协南雄市八届五次会议期间，支部及支部的政协委员共提交了8份提案，全部立案并被有关部门采纳，其中支部的“关于举办辛亥革命100周年纪念活动的建议”，被中共南雄市委采纳，10月10日南雄市成功举行社会各界人士纪念辛亥革命100周年大会。</w:t>
      </w:r>
    </w:p>
    <w:p w14:paraId="49581010">
      <w:pPr>
        <w:pStyle w:val="4"/>
      </w:pPr>
      <w:r>
        <w:rPr>
          <w:rFonts w:hint="eastAsia"/>
        </w:rPr>
        <w:t>【社会调研】</w:t>
      </w:r>
    </w:p>
    <w:p w14:paraId="615C0226">
      <w:pPr>
        <w:ind w:firstLine="420"/>
      </w:pPr>
      <w:r>
        <w:rPr>
          <w:rFonts w:hint="eastAsia"/>
        </w:rPr>
        <w:t>支部在统战部的大力支持和帮助下，深入多个山区乡镇开展南雄市中药村种植情况的调查研究，并写出《中药材种植现状与发展前景》的调研报告，在《南雄通讯》2011年11期上刊登。</w:t>
      </w:r>
    </w:p>
    <w:p w14:paraId="271B6D93">
      <w:pPr>
        <w:pStyle w:val="4"/>
      </w:pPr>
      <w:r>
        <w:rPr>
          <w:rFonts w:hint="eastAsia"/>
        </w:rPr>
        <w:t>【党员学习资料征订】</w:t>
      </w:r>
    </w:p>
    <w:p w14:paraId="3C3689FB">
      <w:pPr>
        <w:ind w:firstLine="420"/>
      </w:pPr>
      <w:r>
        <w:rPr>
          <w:rFonts w:hint="eastAsia"/>
        </w:rPr>
        <w:t>尽管支部经费困难，但支部一直为党员订上人手1份学习资料，在职党员人手1份团结报，离退休党员自由选择，人性化选择，党员乐于学习。</w:t>
      </w:r>
    </w:p>
    <w:p w14:paraId="539365E9">
      <w:pPr>
        <w:ind w:firstLine="0" w:firstLineChars="0"/>
        <w:rPr>
          <w:b/>
          <w:bCs/>
        </w:rPr>
      </w:pPr>
      <w:r>
        <w:rPr>
          <w:rFonts w:hint="eastAsia"/>
          <w:b/>
          <w:bCs/>
        </w:rPr>
        <w:t>附：2011年国民党南雄市支部领导班子成员名单</w:t>
      </w:r>
    </w:p>
    <w:p w14:paraId="60DD4F82">
      <w:pPr>
        <w:ind w:firstLine="0" w:firstLineChars="0"/>
      </w:pPr>
      <w:r>
        <w:rPr>
          <w:rFonts w:hint="eastAsia"/>
        </w:rPr>
        <w:t>主任委员：刘卫忠</w:t>
      </w:r>
    </w:p>
    <w:p w14:paraId="5A7CCC08">
      <w:pPr>
        <w:ind w:firstLine="0" w:firstLineChars="0"/>
      </w:pPr>
      <w:r>
        <w:rPr>
          <w:rFonts w:hint="eastAsia"/>
        </w:rPr>
        <w:t>副主任委员：谭小山 朱兆</w:t>
      </w:r>
    </w:p>
    <w:p w14:paraId="407677F2">
      <w:pPr>
        <w:ind w:firstLine="0" w:firstLineChars="0"/>
      </w:pPr>
      <w:r>
        <w:rPr>
          <w:rFonts w:hint="eastAsia"/>
        </w:rPr>
        <w:t>清组织委员：刘文胜</w:t>
      </w:r>
    </w:p>
    <w:p w14:paraId="60BBAE48">
      <w:pPr>
        <w:ind w:firstLine="0" w:firstLineChars="0"/>
      </w:pPr>
      <w:r>
        <w:rPr>
          <w:rFonts w:hint="eastAsia"/>
        </w:rPr>
        <w:t>宣传委员：胡金明</w:t>
      </w:r>
    </w:p>
    <w:p w14:paraId="543AA605">
      <w:pPr>
        <w:ind w:firstLine="0" w:firstLineChars="0"/>
      </w:pPr>
      <w:r>
        <w:rPr>
          <w:rFonts w:hint="eastAsia"/>
        </w:rPr>
        <w:t>参政议政委员：郭慧敏</w:t>
      </w:r>
    </w:p>
    <w:p w14:paraId="7F0994B1">
      <w:pPr>
        <w:pStyle w:val="3"/>
      </w:pPr>
      <w:r>
        <w:rPr>
          <w:rFonts w:hint="eastAsia"/>
        </w:rPr>
        <w:t>民主同盟南雄市总支部</w:t>
      </w:r>
    </w:p>
    <w:p w14:paraId="3874E782">
      <w:pPr>
        <w:pStyle w:val="4"/>
      </w:pPr>
      <w:r>
        <w:rPr>
          <w:rFonts w:hint="eastAsia"/>
        </w:rPr>
        <w:t>【概况】</w:t>
      </w:r>
    </w:p>
    <w:p w14:paraId="49189998">
      <w:pPr>
        <w:ind w:firstLine="420"/>
      </w:pPr>
      <w:r>
        <w:rPr>
          <w:rFonts w:hint="eastAsia"/>
        </w:rPr>
        <w:t>中国国民党革命委员会（简称“民革”）是具有政治联盟性质的、致力于建设有中国特色社会主义和祖国统一事业的政党，是中国共产党领导的多党合作和政治协商制度中的参政党。南雄县于1990年5月成立民革联络小组，组长林佩琪，有5名成员。1991年8月13日，民革南雄县支部正式成立，林佩琪任主任委员，郑兰荣任宣传委员，叶隆越任组织委员，成员7人。1996年10月民革南雄县支部更名为民革南雄市支部。现支部共有民革党员37人。</w:t>
      </w:r>
    </w:p>
    <w:p w14:paraId="4CC28CD0">
      <w:pPr>
        <w:pStyle w:val="4"/>
      </w:pPr>
      <w:r>
        <w:rPr>
          <w:rFonts w:hint="eastAsia"/>
        </w:rPr>
        <w:t>【理论学习，参政议政】</w:t>
      </w:r>
    </w:p>
    <w:p w14:paraId="6A088E41">
      <w:pPr>
        <w:ind w:firstLine="420"/>
      </w:pPr>
      <w:r>
        <w:rPr>
          <w:rFonts w:hint="eastAsia"/>
        </w:rPr>
        <w:t>民盟南雄总支的成员在履行好参政议政、民主监督的基本职能，提高参政议政能力和民主监督水平，围绕以思想建设为核心，以组织建设为基础，以制度建设为保障，以能力建设为源泉，落实“人才强盟”战略，加强自身建设，提高盟员的思想政治素质、业务素质和综合素质，提升总支的参政能力和自觉接受中国共产党领导的意识，将自己建设成为高素质参政党基层组织。总支成员有15人次参加了由中共韶关市委统战部、民盟韶关市委、南雄市委组织的各种学习班和培训班。</w:t>
      </w:r>
    </w:p>
    <w:p w14:paraId="6E22DD98">
      <w:pPr>
        <w:pStyle w:val="4"/>
      </w:pPr>
      <w:r>
        <w:rPr>
          <w:rFonts w:hint="eastAsia"/>
        </w:rPr>
        <w:t>【履行参政议政和民主监督职责】</w:t>
      </w:r>
    </w:p>
    <w:p w14:paraId="3D748925">
      <w:pPr>
        <w:ind w:firstLine="420"/>
      </w:pPr>
      <w:r>
        <w:rPr>
          <w:rFonts w:hint="eastAsia"/>
        </w:rPr>
        <w:t>民盟总支重视发挥广大成员的群体作用，整合盟内资源，运用各种参政议政平台，鼓励他们发挥优势、突出特色、注重实效的原则，选好切入点，围绕全市的中心工作和人民群众关心的热点和难点问题，表达意见和建议，总支在民主监督方面一是监督力量增强。总支担任监督员的人数增加。在45位盟员中，担任特约监察员、教育督导员、行风监督员、阳光使者、政府采购评审员等各类监督员职务的人员达10人。二是监督途径逐步拓展。总支成员通过参加民主协商会、谈心交心会、座谈会，直接向党委、政府及有关部门提意见；党派成员通过各级人大、政协平台履行监督职能，参加专项执法检查，参与民主评议、政务咨询、参观视察等活动；许多盟员通过撰写、报送社情民意，行使监督职能。总支提交各级政协提案5件。</w:t>
      </w:r>
    </w:p>
    <w:p w14:paraId="2F81B16C">
      <w:pPr>
        <w:pStyle w:val="4"/>
      </w:pPr>
      <w:r>
        <w:rPr>
          <w:rFonts w:hint="eastAsia"/>
        </w:rPr>
        <w:t>【发扬民盟的优良传统，服务社会】</w:t>
      </w:r>
    </w:p>
    <w:p w14:paraId="3D196798">
      <w:pPr>
        <w:ind w:firstLine="420"/>
      </w:pPr>
      <w:r>
        <w:rPr>
          <w:rFonts w:hint="eastAsia"/>
        </w:rPr>
        <w:t>市盟员大多都是分布在教育、卫生界，总支引导他们发挥各自优势，立足岗位，敬业奉献，投入到发展全市教育、卫生事业实际活动中去，建功立业，为家乡的发展做出贡献。引导盟员发扬民盟前辈的做人讲良知，讲风骨，讲操守，讲气节的优良品质，增强自身的影响力和人格魅力。如主委赖华焜在本职工作中肩负着学校基础设施建设、引资办学、安全稳定、突发性事件处理、学校布局调整和农村义务教育学校危房改造等大而复杂、敏感和繁重的工作任务，可以说是呕心沥血，殚精竭虑；不躲、不推、不敷衍独挡一面处置了各种债务纠纷和教育系统中的大事、难事、复杂事和突发事件；针对教育基础设施建设薄弱的现状。</w:t>
      </w:r>
    </w:p>
    <w:p w14:paraId="00956098">
      <w:pPr>
        <w:ind w:firstLine="420"/>
      </w:pPr>
      <w:r>
        <w:rPr>
          <w:rFonts w:hint="eastAsia"/>
        </w:rPr>
        <w:t>陈盛荣在南雄一中做为业务副校长，抓教学质量和教科研成绩突出，今年再次被评为全国教育科研先进单位和韶关市考高优秀学校；中医院的曹春梅作为康复科主任，专业水平高，业务能力强，主持多项课题研究，多篇论文在核心刊物上发表，职称晋升为主任医生（正高）。</w:t>
      </w:r>
    </w:p>
    <w:p w14:paraId="1AAEED13">
      <w:pPr>
        <w:pStyle w:val="4"/>
      </w:pPr>
      <w:r>
        <w:rPr>
          <w:rFonts w:hint="eastAsia"/>
        </w:rPr>
        <w:t>【招揽人才增加组织活力】</w:t>
      </w:r>
    </w:p>
    <w:p w14:paraId="1DB49408">
      <w:pPr>
        <w:ind w:firstLine="420"/>
      </w:pPr>
      <w:r>
        <w:rPr>
          <w:rFonts w:hint="eastAsia"/>
        </w:rPr>
        <w:t>组织建设方面，南雄总支一直与上级盟组织密切联系，及时地进行上下沟通，过好组织生活，一方面将上级盟组织有关的文件及会议精神及时地传达给各位盟员，另一方面加强了盟员之间的信息交流，加强了盟员之间的凝聚力，同时通过组织生活，盟员共同研讨总支部的工作，齐心协力做好盟务工作。在组织发展过程中，该支部不仅注重自身素质的提高，注重发展对象的质量，加强组织建设，为组织注入新鲜血液。沈华文、聂金生二位同志被盟市委批准为新盟员。</w:t>
      </w:r>
    </w:p>
    <w:p w14:paraId="7E6218BF">
      <w:pPr>
        <w:ind w:firstLine="0" w:firstLineChars="0"/>
        <w:rPr>
          <w:b/>
          <w:bCs/>
        </w:rPr>
      </w:pPr>
      <w:r>
        <w:rPr>
          <w:rFonts w:hint="eastAsia"/>
          <w:b/>
          <w:bCs/>
        </w:rPr>
        <w:t>附：2011年民盟南雄总支部领导班子成员名单</w:t>
      </w:r>
    </w:p>
    <w:p w14:paraId="66FEF58F">
      <w:pPr>
        <w:ind w:firstLine="0" w:firstLineChars="0"/>
      </w:pPr>
      <w:r>
        <w:rPr>
          <w:rFonts w:hint="eastAsia"/>
        </w:rPr>
        <w:t>主  委：赖华焜</w:t>
      </w:r>
    </w:p>
    <w:p w14:paraId="2AF5D97D">
      <w:pPr>
        <w:ind w:firstLine="0" w:firstLineChars="0"/>
      </w:pPr>
      <w:r>
        <w:rPr>
          <w:rFonts w:hint="eastAsia"/>
        </w:rPr>
        <w:t>副主委：陈盛荣 莫民润</w:t>
      </w:r>
    </w:p>
    <w:p w14:paraId="1410707C">
      <w:pPr>
        <w:ind w:firstLine="0" w:firstLineChars="0"/>
      </w:pPr>
      <w:r>
        <w:rPr>
          <w:rFonts w:hint="eastAsia"/>
        </w:rPr>
        <w:t>委  员：刘章山 曹春梅 陈川荣</w:t>
      </w:r>
    </w:p>
    <w:p w14:paraId="3E521895">
      <w:pPr>
        <w:ind w:left="840" w:leftChars="400" w:firstLine="0" w:firstLineChars="0"/>
      </w:pPr>
      <w:r>
        <w:rPr>
          <w:rFonts w:hint="eastAsia"/>
        </w:rPr>
        <w:t>陈卫星 胡图山 尹刚</w:t>
      </w:r>
    </w:p>
    <w:p w14:paraId="3EE7058D">
      <w:pPr>
        <w:pStyle w:val="3"/>
      </w:pPr>
      <w:r>
        <w:rPr>
          <w:rFonts w:hint="eastAsia"/>
        </w:rPr>
        <w:t>九三学社南雄小组</w:t>
      </w:r>
    </w:p>
    <w:p w14:paraId="5DF897D4">
      <w:pPr>
        <w:pStyle w:val="4"/>
      </w:pPr>
      <w:r>
        <w:rPr>
          <w:rFonts w:hint="eastAsia"/>
        </w:rPr>
        <w:t>【概况】</w:t>
      </w:r>
    </w:p>
    <w:p w14:paraId="695359FE">
      <w:pPr>
        <w:ind w:firstLine="420"/>
      </w:pPr>
      <w:r>
        <w:rPr>
          <w:rFonts w:hint="eastAsia"/>
        </w:rPr>
        <w:t>九三学社是以科学技术界高、中级知识分子为主的具有政治联盟特点的政党，是接受中国共产党领导、同中国共产党通力合作的亲密友党，是进步性与广泛性相统一、致力于中国特色社会主义事业的参政党。</w:t>
      </w:r>
    </w:p>
    <w:p w14:paraId="4200B230">
      <w:pPr>
        <w:pStyle w:val="4"/>
      </w:pPr>
      <w:r>
        <w:rPr>
          <w:rFonts w:hint="eastAsia"/>
        </w:rPr>
        <w:t>【理论学习】</w:t>
      </w:r>
    </w:p>
    <w:p w14:paraId="5FD80C3F">
      <w:pPr>
        <w:ind w:firstLine="420"/>
      </w:pPr>
      <w:r>
        <w:rPr>
          <w:rFonts w:hint="eastAsia"/>
        </w:rPr>
        <w:t>南雄直属小组注重抓好社员理论学习，组织社员学习中国共产党的有关会议和文件精神，学习社章社史，学习九三学社韶关市委换届工作的有关文件，学习九三学社社员杨佳的先进事迹等。增强社员接受中国共产党领导的自觉性和坚定性，增强社员参政议政的责任感和使命感，增强责任意识和大局意识。</w:t>
      </w:r>
    </w:p>
    <w:p w14:paraId="433CBC7A">
      <w:pPr>
        <w:pStyle w:val="4"/>
      </w:pPr>
      <w:r>
        <w:rPr>
          <w:rFonts w:hint="eastAsia"/>
        </w:rPr>
        <w:t>【本职工作】</w:t>
      </w:r>
    </w:p>
    <w:p w14:paraId="72123182">
      <w:pPr>
        <w:ind w:firstLine="420"/>
      </w:pPr>
      <w:r>
        <w:rPr>
          <w:rFonts w:hint="eastAsia"/>
        </w:rPr>
        <w:t>小组大部分社员分布在医卫界，工作在临床第一线。工作中，社员们以救死扶伤为己任，关爱病人、医德高尚、爱岗敬业、勤奋工作、虚心好学、刻苦钻研业务知识，社员成为单位的业务骨干，在各自的专业做出了一番业绩。张联标、陈鹏、李文华、马一升社员分别担任南雄市中医院急诊科、骨伤科、外科和内科主任，他们在工作中以身作则，勤奋敬业，带领科室医务人员开展技术创新，提高诊治水平，科室业务迅速扩大，取得良好的社会效益和经济效益。王衍明社员勤奋敬业，责任心强，有较强的组织管理协调能力，于2011年9月被推荐并当选为水口镇副镇长。</w:t>
      </w:r>
    </w:p>
    <w:p w14:paraId="2A6C7319">
      <w:pPr>
        <w:pStyle w:val="4"/>
      </w:pPr>
      <w:r>
        <w:rPr>
          <w:rFonts w:hint="eastAsia"/>
        </w:rPr>
        <w:t>【开展活动，服务社会】</w:t>
      </w:r>
    </w:p>
    <w:p w14:paraId="39070081">
      <w:pPr>
        <w:ind w:firstLine="420"/>
      </w:pPr>
      <w:r>
        <w:rPr>
          <w:rFonts w:hint="eastAsia"/>
        </w:rPr>
        <w:t>直属小组发挥优势，尽力而为，注重实效的工作思路，利用社员专业特点，开展社会服务工作，热心为群众办实事、做好事。社员多次参加贫困农村义诊义治活动，慰问孤寡老人，为敬老院捐钱送物。</w:t>
      </w:r>
    </w:p>
    <w:p w14:paraId="33F24A91">
      <w:pPr>
        <w:pStyle w:val="4"/>
      </w:pPr>
      <w:r>
        <w:rPr>
          <w:rFonts w:hint="eastAsia"/>
        </w:rPr>
        <w:t>【履行参政议政职能】</w:t>
      </w:r>
    </w:p>
    <w:p w14:paraId="1B5FC0EC">
      <w:pPr>
        <w:ind w:firstLine="420"/>
      </w:pPr>
      <w:r>
        <w:rPr>
          <w:rFonts w:hint="eastAsia"/>
        </w:rPr>
        <w:t>直属小组组织和支持社员参与政治协商，民主监督，参政议政的各项活动，为促进全市经济发展和社会进步建言献策。直属小组组织社员深入基层，了解情况，倾听群众呼声，针对社会热点和群众关心的事情，开展调查研究，撰写题案。在2011年政协南雄市第八届六次会议上，直属小组提交《关于在市区主要交通路口安装红绿灯的建议》、《关于加大城镇和郊区违章建筑整治力度的建议》、《关于重新编制南雄市城区规划的建议》等三件集体提案。社员王衍明、陈优提交《关于加大对雄州森林公园建设管理力度的建议》等三份提案。其中，《关于在市区主要交通路口安装红绿灯的建议》、《关于加大城镇和郊区违章建筑整治力度的建议》和《关于加大对雄州森林公园建设管理力度的建议》等三件提案被确定为2011年市政协重点提案，在11月召开的政协南雄市第九届一次会议上被表彰为优秀提案。何旗明社员被表彰为第八届南雄市政协优秀委员。                                                              （钟祥灵）</w:t>
      </w:r>
    </w:p>
    <w:p w14:paraId="0593BEEF">
      <w:pPr>
        <w:ind w:firstLine="0" w:firstLineChars="0"/>
        <w:rPr>
          <w:b/>
          <w:bCs/>
        </w:rPr>
      </w:pPr>
      <w:r>
        <w:rPr>
          <w:rFonts w:hint="eastAsia"/>
          <w:b/>
          <w:bCs/>
        </w:rPr>
        <w:t>附：2011年九三学社南雄小组领导班子成员名单</w:t>
      </w:r>
    </w:p>
    <w:p w14:paraId="6FA2C1F9">
      <w:pPr>
        <w:ind w:firstLine="0" w:firstLineChars="0"/>
      </w:pPr>
      <w:r>
        <w:rPr>
          <w:rFonts w:hint="eastAsia"/>
        </w:rPr>
        <w:t>组  长：何旗明</w:t>
      </w:r>
    </w:p>
    <w:p w14:paraId="654D48CE">
      <w:pPr>
        <w:ind w:firstLine="0" w:firstLineChars="0"/>
      </w:pPr>
      <w:r>
        <w:rPr>
          <w:rFonts w:hint="eastAsia"/>
        </w:rPr>
        <w:t>副组长：陈优</w:t>
      </w:r>
    </w:p>
    <w:p w14:paraId="5FF0A16A">
      <w:pPr>
        <w:pStyle w:val="3"/>
      </w:pPr>
      <w:r>
        <w:rPr>
          <w:rFonts w:hint="eastAsia"/>
        </w:rPr>
        <w:t>总工会</w:t>
      </w:r>
    </w:p>
    <w:p w14:paraId="5EA34285">
      <w:pPr>
        <w:pStyle w:val="4"/>
      </w:pPr>
      <w:r>
        <w:rPr>
          <w:rFonts w:hint="eastAsia"/>
        </w:rPr>
        <w:t>【概况】</w:t>
      </w:r>
    </w:p>
    <w:p w14:paraId="19F03DE6">
      <w:pPr>
        <w:ind w:firstLine="420"/>
      </w:pPr>
      <w:r>
        <w:rPr>
          <w:rFonts w:hint="eastAsia"/>
        </w:rPr>
        <w:t>南雄市总工会是中共南雄市委领导下负责全市工会工作的群众团体，成立于1926年5月1日。市总工会下设办公室、组宣部、权益保障部、财务女工部。政科级单位，行政编制7人。下属事业单位南雄市工人文化宫，事业编制8人。2011年南雄市总工会被韶关市总工会评为“先进单位”。</w:t>
      </w:r>
    </w:p>
    <w:p w14:paraId="6ABB0B54">
      <w:pPr>
        <w:pStyle w:val="4"/>
      </w:pPr>
      <w:r>
        <w:rPr>
          <w:rFonts w:hint="eastAsia"/>
        </w:rPr>
        <w:t>【“两个普遍”重点工作】</w:t>
      </w:r>
    </w:p>
    <w:p w14:paraId="548F8CB4">
      <w:pPr>
        <w:ind w:firstLine="420"/>
      </w:pPr>
      <w:r>
        <w:rPr>
          <w:rFonts w:hint="eastAsia"/>
        </w:rPr>
        <w:t>全力推动企业依法普遍建立工会。发挥“党建带工建、工建服务党建”工作机制的作用，突出重点，主攻难点，争创亮点，全面加强工会组织建设。截至9月底，全市基层工会792家，基层工会涵盖单位7835家，工会会员54728人，农民工会员21727人；全市共建立健全女工委组织791个，有女职工会员21210人。其中，2011全市新建基层工会81家，基层工会涵盖单位56家；新发展会员2200人，其中农民工会员2100人，完成韶关下达的组建任务。开展“职工之家”和“职工满意企业”等创建活动，以组建工作夯实工会基础，以增强工会活力巩固组建成果。在开展“职工之家”建设活动的同时，抓基层工会“职工小家”建设活动，“五·一”节评选20个先进“职工之家”，3个先进“职工小家”。2月份在人民医院举行“全国模范职工之家”挂牌仪式，利用电视新闻宣传报道人民医院创建“全国模范职工之家”的先进事迹，推动全市“职工之家”建设活动的开展。市总工会分别举办全市工会干部和经审干部培训班，共170人参加培训，帮助工会干部优化知识结构，提高理论政策水平和工作能力。全力依法推进普遍开展工资集体协商。按照省协调劳动关系三方委员会《关于进一步推进企业工资集体协商工作的指导意见》，全市启动深入推进集体合同制度的“彩虹计划”。全市签订集体合同654份，覆盖单位5541家，劳动合同37448份，覆盖女职工1.9万人，覆盖职工3.7万人；签订工资专项合同175份，覆盖职工1.4万人；签订女职工专项合同654份，覆盖单位5541家，覆盖女职工1.9万人。</w:t>
      </w:r>
    </w:p>
    <w:p w14:paraId="60FED90F">
      <w:pPr>
        <w:pStyle w:val="4"/>
      </w:pPr>
      <w:r>
        <w:rPr>
          <w:rFonts w:hint="eastAsia"/>
        </w:rPr>
        <w:t>【困难职工与农民工帮扶工作】</w:t>
      </w:r>
    </w:p>
    <w:p w14:paraId="6D9F82C2">
      <w:pPr>
        <w:ind w:firstLine="420"/>
      </w:pPr>
      <w:r>
        <w:rPr>
          <w:rFonts w:hint="eastAsia"/>
        </w:rPr>
        <w:t>围绕为政府分忧、替企业解困，为职工服务的工作目标，利用“帮扶中心”平台，协助党政解决困难职工群众在生产、生活中遇到的问题。一是对26名有大病困难的职工发放临时医疗救助金2.5万元；二是全市职工医疗互助保险参保人数1668人，其中新参保333人，续保171人；女职工安康互助保险1535人，其中新参保44人，续保279人。三是免费对120余名下岗职工、农民工进行再就业技能培训；四是开展“百万帮扶暖千家”金秋助学活动，共资助困难职工、农民工家庭子女153人，助学帮扶资金16万元；五是开展以“心系职工情、温暖进万家”为主题的送温暖活动，全市共慰问困难职工1400多人，发放慰问金25万元。</w:t>
      </w:r>
    </w:p>
    <w:p w14:paraId="242FD01B">
      <w:pPr>
        <w:pStyle w:val="4"/>
      </w:pPr>
      <w:r>
        <w:rPr>
          <w:rFonts w:hint="eastAsia"/>
        </w:rPr>
        <w:t>【创建和谐劳动关系】</w:t>
      </w:r>
    </w:p>
    <w:p w14:paraId="6359FFAB">
      <w:pPr>
        <w:ind w:firstLine="420"/>
      </w:pPr>
      <w:r>
        <w:rPr>
          <w:rFonts w:hint="eastAsia"/>
        </w:rPr>
        <w:t>一是加强企业民主管理和厂务公开工作。到2011年9月止，全市国有及国有控股企业、集体及集体控股企业和事业单位全部实行厂务公开，实行率100%。非公有制企业实行厂务公开的实行率已达到建立工会组织数的80%；非公有制企业的职代会建制率已达到建会数的35%。二是切实抓好劳动保护工作。参与市安委会和市卫生局组织的安全生产和职业病防治大检查2次，共检查各类企业62家，发现各种事故隐患35处，发出整改通知书35份，有效地遏制各类事故的发生；参与拖欠工人工资和农民工劳动保障权益大检查3次，共抽检各类企业23家，其中涉及劳资纠纷6宗，涉及农民工52人，拖欠工资总额达5.4万元。三是搭建社会矛盾疏解工作平台。2011年，帮扶中心共接待办理各类来信来访31件，职工诉求通过政府、有关部门、工会得到解决。四是“安康杯”竞赛活动深入开展。市政府将“安康杯”竞赛活动纳入对全市各机关、企事业单位安全生产责任制考核内容之中，推动“安康杯”活动深入开展。全市共有110家企业，2.1万名职工参赛。南雄市汽车站工会荣获全国安康杯广东赛区竞赛“优胜班组”奖。五是维护职工的合法权益。市总工会与人社局成功把棉土窝矿采矿班组维权诉求化解在萌芽状态。当棉土窝矿采矿班组职工提出集体诉求时，市总工会及棉土窝矿工会能为职工说话，敢为职工说话，依法依规地为采矿班组职工争取合法权益。</w:t>
      </w:r>
    </w:p>
    <w:p w14:paraId="5C30CBA0">
      <w:pPr>
        <w:pStyle w:val="4"/>
      </w:pPr>
      <w:r>
        <w:rPr>
          <w:rFonts w:hint="eastAsia"/>
        </w:rPr>
        <w:t>【建功立业工程】</w:t>
      </w:r>
    </w:p>
    <w:p w14:paraId="3ABAE935">
      <w:pPr>
        <w:ind w:firstLine="420"/>
      </w:pPr>
      <w:r>
        <w:rPr>
          <w:rFonts w:hint="eastAsia"/>
        </w:rPr>
        <w:t>一是开展争先创优建功立业活动。按照韶关市总工会的部署，以班组建设为重点，以提高职工技能素质为目标，在全市深入开展以“我为节能减排做贡献”和“安康杯”为主题的职工活动。为推进该市节能减排和发展低碳经济，建设资源节约型社会中发挥作用。年内，全市参与劳动竞赛和群众性经济技术创新活动的企事业单位110家，参与活动的职工约2.5万人，提出合理化建议近1821条，创经济效益约278万元。二是推进职工文化建设，实施职工素质提升工程。该市落实职工素质建设工程，以开展“创建学习型组织，争做知识型职工”活动为载体，以提高广大职工的科学文化素质和技术技能素质为基础，加强职工文化建设，提高职工思想道德素质和科学文化素质。组织实施为职工、农民工就业培训工程，全年培训职工、农民工达120人，投入培训资金6万元；深入开展“创建学习型组织，争做知识型职工”文体活动。如经贸系统工会开展“经贸线职工体育大赛”；南雄市队参加韶关市“国民商贸杯”象棋、围棋赛荣获团体“第二名”。推进“职工书屋”建设。2011年南雄市总工会划拨资金为精细化工园区、彤置富水泥建材厂、乐华陶瓷洁具有限责任公司等6家“职工书屋”示范点购买、配送图书，总册数5000册，总价值8万多元。三是发挥劳模的引领示范作用。2011年，全市推荐评选表彰省“五一”劳动奖章1人。市总工会不断加强对劳模的管理服务工作，加大对困难劳模的帮扶力度，全年市总筹集6万多元用于各级劳模的荣誉津贴发放、生活困难补助、节日慰问及体检。                                              （凌宁）</w:t>
      </w:r>
    </w:p>
    <w:p w14:paraId="6044E962">
      <w:pPr>
        <w:ind w:firstLine="0" w:firstLineChars="0"/>
        <w:rPr>
          <w:b/>
          <w:bCs/>
        </w:rPr>
      </w:pPr>
      <w:r>
        <w:rPr>
          <w:rFonts w:hint="eastAsia"/>
          <w:b/>
          <w:bCs/>
        </w:rPr>
        <w:t>附：2011年市总工会领导班子成员名单</w:t>
      </w:r>
    </w:p>
    <w:p w14:paraId="4A632AFE">
      <w:pPr>
        <w:ind w:firstLine="0" w:firstLineChars="0"/>
      </w:pPr>
      <w:r>
        <w:rPr>
          <w:rFonts w:hint="eastAsia"/>
        </w:rPr>
        <w:t>主  席：张宗财（兼）</w:t>
      </w:r>
    </w:p>
    <w:p w14:paraId="6E36761B">
      <w:pPr>
        <w:ind w:firstLine="0" w:firstLineChars="0"/>
      </w:pPr>
      <w:r>
        <w:rPr>
          <w:rFonts w:hint="eastAsia"/>
        </w:rPr>
        <w:t>副主席：朱冬平 吴显娣</w:t>
      </w:r>
    </w:p>
    <w:p w14:paraId="4F91B43A">
      <w:pPr>
        <w:pStyle w:val="3"/>
      </w:pPr>
      <w:r>
        <w:rPr>
          <w:rFonts w:hint="eastAsia"/>
        </w:rPr>
        <w:t>共青团南雄市委员会</w:t>
      </w:r>
    </w:p>
    <w:p w14:paraId="6B2CBBAE">
      <w:pPr>
        <w:pStyle w:val="4"/>
      </w:pPr>
      <w:r>
        <w:rPr>
          <w:rFonts w:hint="eastAsia"/>
        </w:rPr>
        <w:t>【全市青年工作会议】</w:t>
      </w:r>
    </w:p>
    <w:p w14:paraId="6E7D741A">
      <w:pPr>
        <w:ind w:firstLine="420"/>
      </w:pPr>
      <w:r>
        <w:rPr>
          <w:rFonts w:hint="eastAsia"/>
        </w:rPr>
        <w:t>5月4日，共青团南雄市委召开十六届五次全委（扩大）会议，团市委委员、候补委员，各基层团（工）委书记（负责人）参加了会议；5月4日，共青团南雄市委举行纪念五四运动92周年座谈会，市领导以及各级团组织有关负责人和青年代表共100多人参加会议，来自各行业青年代表畅所欲言，分享工作经验和生活体会。</w:t>
      </w:r>
    </w:p>
    <w:p w14:paraId="036E4DEC">
      <w:pPr>
        <w:pStyle w:val="4"/>
      </w:pPr>
      <w:r>
        <w:rPr>
          <w:rFonts w:hint="eastAsia"/>
        </w:rPr>
        <w:t>【成立大学生联合会】</w:t>
      </w:r>
    </w:p>
    <w:p w14:paraId="4EEFE99D">
      <w:pPr>
        <w:ind w:firstLine="420"/>
      </w:pPr>
      <w:r>
        <w:rPr>
          <w:rFonts w:hint="eastAsia"/>
        </w:rPr>
        <w:t>2011年1月，成立韶关地区第一个由回乡大学生组成的南雄市大学生联合会。南雄市大学生联合会利用寒、暑假的时间，广泛开展三下乡、“爱心”献血、关爱农民工子女、扶贫济困“一元捐”等公益活动，受到社会和群众的一致好评，并获得2011年广东省首届“珠江公益节”优秀团队奖和优秀项目奖。</w:t>
      </w:r>
    </w:p>
    <w:p w14:paraId="35ED7B53">
      <w:pPr>
        <w:pStyle w:val="4"/>
      </w:pPr>
      <w:r>
        <w:rPr>
          <w:rFonts w:hint="eastAsia"/>
        </w:rPr>
        <w:t>【青少年思想道德建设】</w:t>
      </w:r>
    </w:p>
    <w:p w14:paraId="14D57214">
      <w:pPr>
        <w:ind w:firstLine="420"/>
      </w:pPr>
      <w:r>
        <w:rPr>
          <w:rFonts w:hint="eastAsia"/>
        </w:rPr>
        <w:t>利用传统节日及重大纪念日，以纪念</w:t>
      </w:r>
      <w:r>
        <w:rPr>
          <w:rFonts w:hint="eastAsia"/>
          <w:lang w:eastAsia="zh-CN"/>
        </w:rPr>
        <w:t>五四运动</w:t>
      </w:r>
      <w:r>
        <w:rPr>
          <w:rFonts w:hint="eastAsia"/>
        </w:rPr>
        <w:t>92周年等重大活动和重大节庆日为契机，在青少年中广泛开展“党在我心中”第三届红歌会、</w:t>
      </w:r>
      <w:r>
        <w:rPr>
          <w:rFonts w:hint="eastAsia"/>
          <w:lang w:eastAsia="zh-CN"/>
        </w:rPr>
        <w:t>庆祝建党</w:t>
      </w:r>
      <w:r>
        <w:rPr>
          <w:rFonts w:hint="eastAsia"/>
        </w:rPr>
        <w:t>九十周年、“红领巾心向党、祖国发展我成长”征文比赛、“南雄孝爱之星”评选等主题教育活动和爱国主义教育活动，坚持不懈用社会主义核心价值体系来教育引导青少年，培养青少年对党、对社会主义祖国的朴素感情，坚定青少年的理想信念。</w:t>
      </w:r>
    </w:p>
    <w:p w14:paraId="73679ED2">
      <w:pPr>
        <w:pStyle w:val="4"/>
      </w:pPr>
      <w:r>
        <w:rPr>
          <w:rFonts w:hint="eastAsia"/>
        </w:rPr>
        <w:t>【促进青年就业创业】</w:t>
      </w:r>
    </w:p>
    <w:p w14:paraId="21C259D7">
      <w:pPr>
        <w:ind w:firstLine="420"/>
      </w:pPr>
      <w:r>
        <w:rPr>
          <w:rFonts w:hint="eastAsia"/>
        </w:rPr>
        <w:t>成立南雄市青年农业促进会，同时18个乡镇（街道）成立镇级青农会，为创业青年提供一个交流合作的平台，实现资源共享；利用农村党员远程教育网，依托“农科网络大讲堂”平台，传授养殖和加工服务等多个项目知识，造就一支有文化、懂技术、会经营的新型青年农民队伍。</w:t>
      </w:r>
    </w:p>
    <w:p w14:paraId="514C8314">
      <w:pPr>
        <w:pStyle w:val="4"/>
      </w:pPr>
      <w:r>
        <w:rPr>
          <w:rFonts w:hint="eastAsia"/>
        </w:rPr>
        <w:t>【帮助弱势青少年群体】</w:t>
      </w:r>
    </w:p>
    <w:p w14:paraId="71D449B8">
      <w:pPr>
        <w:ind w:firstLine="420"/>
      </w:pPr>
      <w:r>
        <w:rPr>
          <w:rFonts w:hint="eastAsia"/>
        </w:rPr>
        <w:t>该委整合社会资源，争取团省委、省青基会、韶关团委及社会热心人士的大力支持，扎实推进希望工程助学行动，“圆梦大学”计划和“南粤会亲”助学行动，扩大希望工程的覆盖范围，使更多贫困学生得到关心和帮助。该委为55名贫困学生发放助学金；大力开展“爱心助学——圆梦大学”计划，资助11名考取大学的贫困学生；开展“南粤会亲”活动，结对资助22名小学生；推进留守儿童之家—“希望家园”的建设，在乌迳田心小心建立省级“希望家园”，满足留守少年儿童心理咨询、情感交流、学习帮助和文体活动等方面的需求。</w:t>
      </w:r>
    </w:p>
    <w:p w14:paraId="4E9FCD45">
      <w:pPr>
        <w:pStyle w:val="4"/>
      </w:pPr>
      <w:r>
        <w:rPr>
          <w:rFonts w:hint="eastAsia"/>
        </w:rPr>
        <w:t>【志愿服务行动】</w:t>
      </w:r>
    </w:p>
    <w:p w14:paraId="23A413C6">
      <w:pPr>
        <w:ind w:firstLine="420"/>
      </w:pPr>
      <w:r>
        <w:rPr>
          <w:rFonts w:hint="eastAsia"/>
        </w:rPr>
        <w:t>3月6日，团市委组织青年志愿者在全市范围内开展以“弘扬志愿精神，建设文明南雄”为主题的青年志愿者集中服务活动；6月26日上午，该委组织青年志愿者在市政府大门口右侧参加大型禁毒宣传活动，同时走进校园，在全市二所中学开展两场禁毒知识讲座。12月19日开展“幸福广东、健康同行”广东青年医疗志愿者志愿服务活动，以集中义诊和走村入户形式，深入贫困村开展送医送药志愿服务活动。健康直通车走进南雄16个贫困村，为群众送去爱心药包2800多个，价值28万元，义诊5000多人。</w:t>
      </w:r>
    </w:p>
    <w:p w14:paraId="58025DC2">
      <w:pPr>
        <w:pStyle w:val="4"/>
      </w:pPr>
      <w:r>
        <w:rPr>
          <w:rFonts w:hint="eastAsia"/>
        </w:rPr>
        <w:t>【团建工作】</w:t>
      </w:r>
    </w:p>
    <w:p w14:paraId="6E163981">
      <w:pPr>
        <w:ind w:firstLine="420"/>
      </w:pPr>
      <w:r>
        <w:rPr>
          <w:rFonts w:hint="eastAsia"/>
        </w:rPr>
        <w:t>2011年是全市基层团组织换届之年，全市以换届为契机，推动基层组织格局创新工作，通过配强配齐基层团干部，将一批高学历、能力强的年轻教师、大学生村官和青年致富带头人等编制外青年进入团组织，并有一部分乡镇党政班子兼任团委书记，各基层团委班子数均达到9名以上，切实加强团干部队伍建设；超额完成两新组织团建任务，新建15个非公有制团支部和2个新社会组织团支部。（袁斌）</w:t>
      </w:r>
    </w:p>
    <w:p w14:paraId="02A24318">
      <w:pPr>
        <w:ind w:firstLine="0" w:firstLineChars="0"/>
        <w:rPr>
          <w:b/>
          <w:bCs/>
        </w:rPr>
      </w:pPr>
      <w:r>
        <w:rPr>
          <w:rFonts w:hint="eastAsia"/>
          <w:b/>
          <w:bCs/>
        </w:rPr>
        <w:t>附：2011年共青团南雄市委领导班子成员名单</w:t>
      </w:r>
    </w:p>
    <w:p w14:paraId="3AC5117D">
      <w:pPr>
        <w:ind w:firstLine="0" w:firstLineChars="0"/>
      </w:pPr>
      <w:r>
        <w:rPr>
          <w:rFonts w:hint="eastAsia"/>
        </w:rPr>
        <w:t>书  记：陈华林（任至8月）</w:t>
      </w:r>
    </w:p>
    <w:p w14:paraId="2D448B67">
      <w:pPr>
        <w:ind w:firstLine="0" w:firstLineChars="0"/>
      </w:pPr>
      <w:r>
        <w:rPr>
          <w:rFonts w:hint="eastAsia"/>
        </w:rPr>
        <w:t>副书记：高春花 黄恢伟</w:t>
      </w:r>
    </w:p>
    <w:p w14:paraId="1BAF0841">
      <w:pPr>
        <w:pStyle w:val="3"/>
      </w:pPr>
      <w:r>
        <w:rPr>
          <w:rFonts w:hint="eastAsia"/>
        </w:rPr>
        <w:t>妇女联合会</w:t>
      </w:r>
    </w:p>
    <w:p w14:paraId="0D26B729">
      <w:pPr>
        <w:pStyle w:val="4"/>
      </w:pPr>
      <w:r>
        <w:rPr>
          <w:rFonts w:hint="eastAsia"/>
        </w:rPr>
        <w:t>【概况】</w:t>
      </w:r>
    </w:p>
    <w:p w14:paraId="49DEE4D0">
      <w:pPr>
        <w:ind w:firstLine="420"/>
      </w:pPr>
      <w:r>
        <w:rPr>
          <w:rFonts w:hint="eastAsia"/>
        </w:rPr>
        <w:t>市妇女联合会为正科级群众团体，内设3个部门（综合部、权益部，市妇女儿童工作委员会），办公室设在市妇联，人员编制5名，其中领导职数3名（1正2副）其它干部1名，工人1名。</w:t>
      </w:r>
    </w:p>
    <w:p w14:paraId="5B088B5B">
      <w:pPr>
        <w:pStyle w:val="4"/>
      </w:pPr>
      <w:r>
        <w:rPr>
          <w:rFonts w:hint="eastAsia"/>
        </w:rPr>
        <w:t>【就业技能培训服务】</w:t>
      </w:r>
    </w:p>
    <w:p w14:paraId="142F7985">
      <w:pPr>
        <w:ind w:firstLine="420"/>
      </w:pPr>
      <w:r>
        <w:rPr>
          <w:rFonts w:hint="eastAsia"/>
        </w:rPr>
        <w:t>一是推进“双转移”和农村妇女技能培训。2011年全市富余劳动力转移就业4800人，其中妇女3200人；二是配合劳动部门做好再就业援助工作，分期分批地对有求职意向的下岗失业人员进行技能培训。共举办培训班11期，参加培训450人次，女性230人；三是建立健全再就业服务体系，开展就业岗位。全市开发就业岗位5000个，安置下岗失业人员1100人，女性占25%，各项政策惠及下岗失业人员190人，扶持48名下岗失业妇女自主创业。</w:t>
      </w:r>
    </w:p>
    <w:p w14:paraId="648A589F">
      <w:pPr>
        <w:pStyle w:val="4"/>
      </w:pPr>
      <w:r>
        <w:rPr>
          <w:rFonts w:hint="eastAsia"/>
        </w:rPr>
        <w:t>【小额信贷服务支持行动】</w:t>
      </w:r>
    </w:p>
    <w:p w14:paraId="600C056A">
      <w:pPr>
        <w:ind w:firstLine="420"/>
      </w:pPr>
      <w:r>
        <w:rPr>
          <w:rFonts w:hint="eastAsia"/>
        </w:rPr>
        <w:t>该市第二批19户农村妇女得到了小额担保贷款，共计96万元。</w:t>
      </w:r>
    </w:p>
    <w:p w14:paraId="03391302">
      <w:pPr>
        <w:pStyle w:val="4"/>
      </w:pPr>
      <w:r>
        <w:rPr>
          <w:rFonts w:hint="eastAsia"/>
        </w:rPr>
        <w:t>【妇女健康服务支持行动】</w:t>
      </w:r>
    </w:p>
    <w:p w14:paraId="1E70A200">
      <w:pPr>
        <w:ind w:firstLine="420"/>
      </w:pPr>
      <w:r>
        <w:rPr>
          <w:rFonts w:hint="eastAsia"/>
        </w:rPr>
        <w:t>市妇联联合市妇幼保健院从2011年9月起至2012年6月，在全市实施贫困妇女免费“两癌”筛查项目；10月30日，市妇联邀请韶关市爱民女子医院在市三影塔广场联合举办“我要做妈妈不孕不育名医粤北行”活动。</w:t>
      </w:r>
    </w:p>
    <w:p w14:paraId="74F5386E">
      <w:pPr>
        <w:pStyle w:val="4"/>
      </w:pPr>
      <w:r>
        <w:rPr>
          <w:rFonts w:hint="eastAsia"/>
        </w:rPr>
        <w:t>【扶贫助困服务支持行动】</w:t>
      </w:r>
    </w:p>
    <w:p w14:paraId="396ECF80">
      <w:pPr>
        <w:ind w:firstLine="420"/>
      </w:pPr>
      <w:r>
        <w:rPr>
          <w:rFonts w:hint="eastAsia"/>
        </w:rPr>
        <w:t>一是开展扶贫救助工作。市妇联为挂钩扶贫村江头镇武岭村实行一对一帮扶；二是实施援建母亲安居房项目。3月，该市争取省、韶关市妇联7.5万元帮扶资金援建5户母亲安居房；三是开展创新广东信息化扶贫行动。联合广东移动南雄分公司，为该市单亲特困母亲开通12580扶贫济困爱心频道，提供就业和致富信息，拓宽脱贫致富的途径，为10名单亲特困母亲每人发放2000元生产资金；四是开展单亲特困母亲春节慰问活动。65户单亲特困母亲得到市妇联的援助，帮扶资金共2万多元，让单亲特困母亲在节日里感受到妇联是她们的“温暖之家”；五是帮助贫困先天性心脏病患儿申报“爱心手牵手”救心项目7名，已做手术6名。</w:t>
      </w:r>
    </w:p>
    <w:p w14:paraId="25E69B62">
      <w:pPr>
        <w:pStyle w:val="4"/>
      </w:pPr>
      <w:r>
        <w:rPr>
          <w:rFonts w:hint="eastAsia"/>
        </w:rPr>
        <w:t>【保护妇女儿童权益】</w:t>
      </w:r>
    </w:p>
    <w:p w14:paraId="675522EF">
      <w:pPr>
        <w:ind w:firstLine="420"/>
      </w:pPr>
      <w:r>
        <w:rPr>
          <w:rFonts w:hint="eastAsia"/>
        </w:rPr>
        <w:t>维护妇女儿童的合法权益，全年处理群众来信来访65宗，办结率98%；妇联干部陪审员参与案件审理32宗，与律师联合办案2宗，代理案件3件，为妇女提供法律援助16件。</w:t>
      </w:r>
    </w:p>
    <w:p w14:paraId="6FB8F8CD">
      <w:pPr>
        <w:pStyle w:val="4"/>
      </w:pPr>
      <w:r>
        <w:rPr>
          <w:rFonts w:hint="eastAsia"/>
        </w:rPr>
        <w:t>【配合禁毒部门开展系列活动】</w:t>
      </w:r>
    </w:p>
    <w:p w14:paraId="639833FC">
      <w:pPr>
        <w:ind w:firstLine="420"/>
      </w:pPr>
      <w:r>
        <w:rPr>
          <w:rFonts w:hint="eastAsia"/>
        </w:rPr>
        <w:t>一是结合“美德在农家”活动。在农村抓好“不让黄赌毒邪进我家”活动；在社区开展创建“无害家庭”活动；二是结合创“五好文明家庭”、“文明村镇”活动做好禁毒工作，开展禁毒日法制宣传活动。6月24日上午，市妇联与市政法委、市公安局、司法局、团市委举行禁毒日法制宣传活动，提高群众识毒、防毒、拒毒意识，形成人人远离毒品、人人参与禁毒。</w:t>
      </w:r>
    </w:p>
    <w:p w14:paraId="2EA49556">
      <w:pPr>
        <w:pStyle w:val="4"/>
      </w:pPr>
      <w:r>
        <w:rPr>
          <w:rFonts w:hint="eastAsia"/>
        </w:rPr>
        <w:t>【参与社会治安综合治理】</w:t>
      </w:r>
    </w:p>
    <w:p w14:paraId="4C704019">
      <w:pPr>
        <w:ind w:firstLine="420"/>
      </w:pPr>
      <w:r>
        <w:rPr>
          <w:rFonts w:hint="eastAsia"/>
        </w:rPr>
        <w:t>分别在黄坑、帽子峰、珠玑、邓坊等镇开展平安家庭创建活动，以点带面，先后建立起47个村试点。</w:t>
      </w:r>
    </w:p>
    <w:p w14:paraId="56436CE8">
      <w:pPr>
        <w:pStyle w:val="4"/>
      </w:pPr>
      <w:r>
        <w:rPr>
          <w:rFonts w:hint="eastAsia"/>
        </w:rPr>
        <w:t>【举行“庆三八、展风采、促和谐”活动】</w:t>
      </w:r>
    </w:p>
    <w:p w14:paraId="12B5BBB6">
      <w:pPr>
        <w:ind w:firstLine="420"/>
      </w:pPr>
      <w:r>
        <w:rPr>
          <w:rFonts w:hint="eastAsia"/>
        </w:rPr>
        <w:t>一是开展主题鲜明、内容丰富、形式多样的“三八”国际劳动妇女节活动，表彰一批巾帼建功先进个人、双学双比女能手；二是举办“庆三八、展风采”女子乒乓球团体比赛。组织12个队，近100多名妇女参与活动；三是组织开展“如何做一名新时代的妇女干部”主题征文活动。各镇（街道）妇联和市直妇委会女干部职工踊跃参与，共收到征文58篇。四是开展三八维权周活动。3月8日，市妇联联合司法局、卫生局、妇幼保健院开展“三八”妇女维权周宣传咨询活动，发出宣传资料3000多份。</w:t>
      </w:r>
    </w:p>
    <w:p w14:paraId="7463701E">
      <w:pPr>
        <w:pStyle w:val="4"/>
      </w:pPr>
      <w:r>
        <w:rPr>
          <w:rFonts w:hint="eastAsia"/>
        </w:rPr>
        <w:t>【开展“六一送健康、送温暖”活动】</w:t>
      </w:r>
    </w:p>
    <w:p w14:paraId="11DF50D3">
      <w:pPr>
        <w:ind w:firstLine="420"/>
      </w:pPr>
      <w:r>
        <w:rPr>
          <w:rFonts w:hint="eastAsia"/>
        </w:rPr>
        <w:t>一是“六一”期间，市妇联与妇幼保健院到古市中心小学开展“六一”暨“关爱留守儿童”座谈会，为学校送去5000元慰问金及书包和学习用品，市妇幼保健院为该校300多名同学免费体检；二是开展关爱留守儿童志愿服务活动。5月20日下午，市妇儿工委办联合市妇联、团市委组织来自教育系统、工、青、妇等群众团体的10名青年志愿者与该校30名留守儿童现场牵手结对，每名志愿者结对三名小朋友；三是开展留守儿童工作调研。5月17日，南雄市妇儿工委办会同市妇联、市教育局、团市委深入到黄坑镇坪岗小学、古市镇中心小学等学校开展留守儿童工作调研活动。针对当前留守儿童管理问题，相关部门领导都各自提出自己的意见和建议；四是组织留守儿童到韶关欢庆红色“六一”。6月1日，在韶关市、南雄市妇联的共同关心下，古市镇中心小学的20名留守儿童代表，与韶关市委副书记林耀明一起参观游览省委机关旧址和北伐纪念馆，孩子们度过一个难忘、特殊的红色“六一”儿童节。</w:t>
      </w:r>
    </w:p>
    <w:p w14:paraId="1EDEA9AD">
      <w:pPr>
        <w:pStyle w:val="4"/>
      </w:pPr>
      <w:r>
        <w:rPr>
          <w:rFonts w:hint="eastAsia"/>
        </w:rPr>
        <w:t>【扶持家庭教育大讲堂进社区（乡村）】</w:t>
      </w:r>
    </w:p>
    <w:p w14:paraId="2AEAF031">
      <w:pPr>
        <w:ind w:firstLine="420"/>
      </w:pPr>
      <w:r>
        <w:rPr>
          <w:rFonts w:hint="eastAsia"/>
        </w:rPr>
        <w:t>一是举办“关爱留守儿童”心理健康知识大讲堂活动。5月26日，市妇联与市教育局联合举办“关爱留守儿童心理健康大讲堂”活动。特邀韶关学院心理学徐教授来该市为2000多名留守儿童进行心理健康知识辅导；二是举办儿童心理健康知识讲座，11月18日，市妇联邀请广东省妇联家庭教育讲师团哈英敏教授，来南雄为1000多名家长讲授“让孩子快乐成长的方法”；三是成立“家庭教育讲师团”、志愿者爱心服务团队，使家庭教育大讲堂真正进社区（乡村）；四是帮助家长学习教育儿童锦囊妙语，市妇联动员全市留守儿童、流动儿童家长，订阅由广东省妇女联合会、中国移动通信广东公司、广州市骏穗通教育信息技术有限公司三方真诚合作提供的免费手机短信《家教锦囊》，为家长提供教育儿童的心灵锦囊。</w:t>
      </w:r>
    </w:p>
    <w:p w14:paraId="7AEEE3CF">
      <w:pPr>
        <w:pStyle w:val="4"/>
      </w:pPr>
      <w:r>
        <w:rPr>
          <w:rFonts w:hint="eastAsia"/>
        </w:rPr>
        <w:t>【女干部培养】</w:t>
      </w:r>
    </w:p>
    <w:p w14:paraId="0623B44E">
      <w:pPr>
        <w:ind w:firstLine="420"/>
      </w:pPr>
      <w:r>
        <w:rPr>
          <w:rFonts w:hint="eastAsia"/>
        </w:rPr>
        <w:t>市村（社区）“两委”换届，市妇联把握有利时机，主动争取党政领导重视支持，推进女性进村“两委”达到100%工作，推进农村妇女参政议政。深入到湖口、油山、乌迳、坪田、主田、邓坊等上届女村干部比例偏低的镇，开展女性进“两委”工作调研。市妇联向组织部汇报调研情况，得到市委领导的重视和支持。换届选举结果是：全市新当选的村（社区）“两委”成员中，女委员247人，比上一届153增加94人；女支书、主任10人（村、社区各5人），比上一届增加2人，女性进“两委”实现100%的目标。11月中旬，举办全市基层妇女干部培训班，参加人员为镇妇联干部、村（社区）妇代会主任及市直机关牵头单位妇委会主任约300人。培训内容分别为：女性形象塑造、如何促进农民增收致富、妇女维权法律知识讲座、女性健康常识、黄烟栽培技术等，对提高妇女干部的综合素质有很强的针对性和指导性，对加强女性自我修养，塑造新时期妇女干部新形象。</w:t>
      </w:r>
    </w:p>
    <w:p w14:paraId="6494C004">
      <w:pPr>
        <w:pStyle w:val="4"/>
      </w:pPr>
      <w:r>
        <w:rPr>
          <w:rFonts w:hint="eastAsia"/>
        </w:rPr>
        <w:t>【妇女之家】</w:t>
      </w:r>
    </w:p>
    <w:p w14:paraId="59E10738">
      <w:pPr>
        <w:ind w:firstLine="420"/>
      </w:pPr>
      <w:r>
        <w:rPr>
          <w:rFonts w:hint="eastAsia"/>
        </w:rPr>
        <w:t>为加强市妇联基层组织建设，健全基层妇女活动阵地，围绕建设“妇女之家”工作目标开展创建活动。推进“妇女之家”示范点创建，在加强和创新社会管理中发挥妇联组织的优势和作用，建立起妇联组织参与社会管理创新的工作机制。12月，该市派2位妇联干部去参加由省妇联举办的“妇女之家”示范点项目管理人员培训班培训。全市共创建了10个示范点，其中，水南村是省妇联的范点。</w:t>
      </w:r>
    </w:p>
    <w:p w14:paraId="3C04D392">
      <w:pPr>
        <w:pStyle w:val="4"/>
      </w:pPr>
      <w:r>
        <w:rPr>
          <w:rFonts w:hint="eastAsia"/>
        </w:rPr>
        <w:t>【妇女维权热线】</w:t>
      </w:r>
    </w:p>
    <w:p w14:paraId="28C2CABB">
      <w:pPr>
        <w:ind w:firstLine="420"/>
      </w:pPr>
      <w:r>
        <w:rPr>
          <w:rFonts w:hint="eastAsia"/>
        </w:rPr>
        <w:t>4月25日，市妇联开通12338妇女维权服务热线，为全市广大妇女群众提供法律、婚姻、家庭、心理、教育等咨询，全市共接到来电8宗，做到耐心倾听她们的心事，帮助她们解决问题，做好化解矛盾纠纷等社会公益服务。</w:t>
      </w:r>
    </w:p>
    <w:p w14:paraId="2F134374">
      <w:pPr>
        <w:pStyle w:val="4"/>
      </w:pPr>
      <w:r>
        <w:rPr>
          <w:rFonts w:hint="eastAsia"/>
        </w:rPr>
        <w:t>【城乡携手，统筹发展】</w:t>
      </w:r>
    </w:p>
    <w:p w14:paraId="7B32284D">
      <w:pPr>
        <w:ind w:firstLine="420"/>
      </w:pPr>
      <w:r>
        <w:rPr>
          <w:rFonts w:hint="eastAsia"/>
        </w:rPr>
        <w:t>全市各行各业文明岗结合自身优势和行业特点，开展岗村联动，城乡姐妹手拉手等活动。组织全市10个文明示范岗，帮助结对子农村妇女学校建立阅览室，向妇女学校捐献各类图书，征订《中国妇女报》、《家庭》和《农家女》杂志送入百姓家庭，为农村妇女提供精神食粮。</w:t>
      </w:r>
    </w:p>
    <w:p w14:paraId="0A4F63C4">
      <w:pPr>
        <w:pStyle w:val="4"/>
      </w:pPr>
      <w:r>
        <w:rPr>
          <w:rFonts w:hint="eastAsia"/>
        </w:rPr>
        <w:t>【报刊发行工作】</w:t>
      </w:r>
    </w:p>
    <w:p w14:paraId="7ABFEEF3">
      <w:pPr>
        <w:ind w:firstLine="420"/>
      </w:pPr>
      <w:r>
        <w:rPr>
          <w:rFonts w:hint="eastAsia"/>
        </w:rPr>
        <w:t>为宣传党的路线方针政策，传递妇联工作信息，加强和改进妇女思想政治工作，抽调专人，分成两组，深入到各乡镇、市直各单位妇委会、非公企业妇代会征订《中国妇女报》、《中国妇运》、《家庭》等报刊杂志。共征订《中国妇女报》60份、《中国妇运》45份、《家庭》3904份，完成征订任务。</w:t>
      </w:r>
    </w:p>
    <w:p w14:paraId="03CBA24F">
      <w:pPr>
        <w:pStyle w:val="4"/>
      </w:pPr>
      <w:r>
        <w:rPr>
          <w:rFonts w:hint="eastAsia"/>
        </w:rPr>
        <w:t>【评估业务培训班】</w:t>
      </w:r>
    </w:p>
    <w:p w14:paraId="3CC6C440">
      <w:pPr>
        <w:ind w:firstLine="420"/>
      </w:pPr>
      <w:r>
        <w:rPr>
          <w:rFonts w:hint="eastAsia"/>
        </w:rPr>
        <w:t>为指导和部署新一轮妇女儿童发展规划（2011-2020年）编制工作和本期规划终期评估工作，1月13日下午，南雄市妇儿工委召开全市妇女儿童发展新规划编制和本期规划评估业务培训班。各镇（街道）妇联主席和各成员单位联络员共40多人参加培训。全市实施妇女发展规划39个主要定量指标全面达标，达标率为100%；儿童发展规划40个主要定量指标中有39个全面达标，达标率为97.5%。</w:t>
      </w:r>
    </w:p>
    <w:p w14:paraId="54E5F633">
      <w:pPr>
        <w:pStyle w:val="4"/>
      </w:pPr>
      <w:r>
        <w:rPr>
          <w:rFonts w:hint="eastAsia"/>
        </w:rPr>
        <w:t>【女子成才班】</w:t>
      </w:r>
    </w:p>
    <w:p w14:paraId="4DF59A2B">
      <w:pPr>
        <w:ind w:firstLine="420"/>
        <w:jc w:val="right"/>
      </w:pPr>
      <w:r>
        <w:rPr>
          <w:rFonts w:hint="eastAsia"/>
        </w:rPr>
        <w:t>南雄市妇联与市职业高级中学联合办学，开办“女子成才班”，凡就读“女子成才班”的女生，在校期间的思想、生活和学习，能直接得到市妇联与市职中的关爱，市妇联将筹集资金给每个学生一定的经济补助；市职中将免去每个学生在校期间的住宿费，学生毕业成绩合格后，由学校优先安排到珠三角就业。实现“智力扶贫，学好技术，输送一人，脱贫一户”的目标，解决贫困家庭女孩的成才与就业问题。在校学生来源均是该市各乡镇中的单亲家庭（父母离异）、残疾人家庭、纯女户（农村生两个女孩子的家庭）以及年收入不到1500元的贫困家庭女孩。学制三年，学生毕业成绩合格，由学校优先安排到珠三角就业。截止2011年，学校已开办七届女子成才班，共招生455名，女子成才班学生共接受社会资助66.4万元。（谢祥英）</w:t>
      </w:r>
    </w:p>
    <w:p w14:paraId="7A375735">
      <w:pPr>
        <w:ind w:firstLine="0" w:firstLineChars="0"/>
        <w:rPr>
          <w:b/>
          <w:bCs/>
        </w:rPr>
      </w:pPr>
      <w:r>
        <w:rPr>
          <w:rFonts w:hint="eastAsia"/>
          <w:b/>
          <w:bCs/>
        </w:rPr>
        <w:t>附：2011年市妇联领导班子成员名单</w:t>
      </w:r>
    </w:p>
    <w:p w14:paraId="720504F5">
      <w:pPr>
        <w:ind w:firstLine="0" w:firstLineChars="0"/>
      </w:pPr>
      <w:r>
        <w:rPr>
          <w:rFonts w:hint="eastAsia"/>
        </w:rPr>
        <w:t>主  席：林彩虹</w:t>
      </w:r>
    </w:p>
    <w:p w14:paraId="621FBA8F">
      <w:pPr>
        <w:ind w:firstLine="0" w:firstLineChars="0"/>
      </w:pPr>
      <w:r>
        <w:rPr>
          <w:rFonts w:hint="eastAsia"/>
        </w:rPr>
        <w:t>副主席：邓红春 谢祥英</w:t>
      </w:r>
    </w:p>
    <w:p w14:paraId="052FE00F">
      <w:pPr>
        <w:pStyle w:val="3"/>
      </w:pPr>
      <w:r>
        <w:rPr>
          <w:rFonts w:hint="eastAsia"/>
        </w:rPr>
        <w:t>残疾人联合会</w:t>
      </w:r>
    </w:p>
    <w:p w14:paraId="7D5ACA37">
      <w:pPr>
        <w:pStyle w:val="4"/>
      </w:pPr>
      <w:r>
        <w:rPr>
          <w:rFonts w:hint="eastAsia"/>
        </w:rPr>
        <w:t>【概况】</w:t>
      </w:r>
    </w:p>
    <w:p w14:paraId="26564C43">
      <w:pPr>
        <w:ind w:firstLine="420"/>
      </w:pPr>
      <w:r>
        <w:rPr>
          <w:rFonts w:hint="eastAsia"/>
        </w:rPr>
        <w:t>南雄市残疾人联合会经市政府批准，于1990年6月正式成立的、将残疾人自身代表组织、社会福利团体和事业管理机构融为一体的残疾人事业单位，为中国残疾人联合会的地方组织。具有代表、服务、管理三种职能。正科级单位，现有理事长1人，副理事长1人，其他股室工作人员5人设有办公室、康复教育就业股，办公场地建筑总面积860.73平方米，分为二、三、四楼。</w:t>
      </w:r>
    </w:p>
    <w:p w14:paraId="29FA363A">
      <w:pPr>
        <w:pStyle w:val="4"/>
      </w:pPr>
      <w:r>
        <w:rPr>
          <w:rFonts w:hint="eastAsia"/>
        </w:rPr>
        <w:t>【残疾人康复服务】</w:t>
      </w:r>
    </w:p>
    <w:p w14:paraId="2E88DC00">
      <w:pPr>
        <w:ind w:firstLine="420"/>
      </w:pPr>
      <w:r>
        <w:rPr>
          <w:rFonts w:hint="eastAsia"/>
        </w:rPr>
        <w:t>残疾人综合康复中心接受残疾儿童康复训练18人，为12名残疾人提供医疗康复服务；为483名贫困精神病患者免费提供精神病治疗基本药品，每人每年360元，合计173.88万元，为16名贫困精神病患者住院治疗，每人按药费报账50%，共计4.9万元。免费发放轮椅25台，矫形器装配8件，为7名患者安装了大、小腿假肢；为4名视力残疾人配戴了助视器，</w:t>
      </w:r>
    </w:p>
    <w:p w14:paraId="2A59E6FF">
      <w:pPr>
        <w:pStyle w:val="4"/>
      </w:pPr>
      <w:r>
        <w:rPr>
          <w:rFonts w:hint="eastAsia"/>
        </w:rPr>
        <w:t>【残疾人培训就业】</w:t>
      </w:r>
    </w:p>
    <w:p w14:paraId="722CADFC">
      <w:pPr>
        <w:ind w:firstLine="420"/>
      </w:pPr>
      <w:r>
        <w:rPr>
          <w:rFonts w:hint="eastAsia"/>
        </w:rPr>
        <w:t>本着高度的事业心和责任感，对残疾人的一片热情，经上下共同努力，共输送93名各类残疾人到外地打工，月收入都在1300元以上，在一定程度上为残疾人家庭增加了收入，为社会创造财富；选送46名残疾人到始兴粤北培训基地进行种养培训，使他们能掌握一技之长，走上脱贫致富的道路。</w:t>
      </w:r>
    </w:p>
    <w:p w14:paraId="134120C6">
      <w:pPr>
        <w:pStyle w:val="4"/>
      </w:pPr>
      <w:r>
        <w:rPr>
          <w:rFonts w:hint="eastAsia"/>
        </w:rPr>
        <w:t>【扶贫助残】</w:t>
      </w:r>
    </w:p>
    <w:p w14:paraId="0E741C73">
      <w:pPr>
        <w:ind w:firstLine="420"/>
      </w:pPr>
      <w:r>
        <w:rPr>
          <w:rFonts w:hint="eastAsia"/>
        </w:rPr>
        <w:t>争取资金，开展扶贫助残活动。争取各级资金124万元用于发展南雄残疾人事业，其中：精神病救助28万元，脑痪康复35万元，社区建设7万元，燃油补助5万元，康园工疗20万元，阳光工程5.4万元，康复救助站2.6万元，争取跑步进厅顶目6万元，临时大病救助15万元。</w:t>
      </w:r>
    </w:p>
    <w:p w14:paraId="250D60DA">
      <w:pPr>
        <w:pStyle w:val="4"/>
      </w:pPr>
      <w:r>
        <w:rPr>
          <w:rFonts w:hint="eastAsia"/>
        </w:rPr>
        <w:t>【两个体系建设】</w:t>
      </w:r>
    </w:p>
    <w:p w14:paraId="24080C3B">
      <w:pPr>
        <w:ind w:firstLine="420"/>
      </w:pPr>
      <w:r>
        <w:rPr>
          <w:rFonts w:hint="eastAsia"/>
        </w:rPr>
        <w:t>建立残疾人社会保障体系和服务体系，落实科学发展观，维护残疾人的生存权和发展权，让广大残疾人生活得更幸福、更有尊严。免费为农村重度残疾人参加新农保1200人，政府出资144000元；免费为城镇重度残疾人参加医保349人，政府出资10780元；政府为城镇及农村重度残疾人优惠数码电视费10万元。</w:t>
      </w:r>
    </w:p>
    <w:p w14:paraId="241423C6">
      <w:pPr>
        <w:pStyle w:val="4"/>
      </w:pPr>
      <w:r>
        <w:rPr>
          <w:rFonts w:hint="eastAsia"/>
        </w:rPr>
        <w:t>【组织建设】</w:t>
      </w:r>
    </w:p>
    <w:p w14:paraId="53AEE061">
      <w:pPr>
        <w:ind w:firstLine="420"/>
      </w:pPr>
      <w:r>
        <w:rPr>
          <w:rFonts w:hint="eastAsia"/>
        </w:rPr>
        <w:t>加强基础实施建设，加快政务外网的投入。投入近5.9万元，通过政府采购，购买组建残联网络系统设备的路由器一个，路由器模块一个，交换机一个，防火墙一个。实现残疾人就业金，通过现代化工具的手段来完成年审地税代征工作，连接全省电子政务外网系统，实现征缴残疾人就业金全省统一联网，实现网上办公现代化。</w:t>
      </w:r>
    </w:p>
    <w:p w14:paraId="15D7FA6B">
      <w:pPr>
        <w:pStyle w:val="4"/>
      </w:pPr>
      <w:r>
        <w:rPr>
          <w:rFonts w:hint="eastAsia"/>
        </w:rPr>
        <w:t>【残疾人宣传文体】</w:t>
      </w:r>
    </w:p>
    <w:p w14:paraId="590C3DAB">
      <w:pPr>
        <w:ind w:firstLine="420"/>
      </w:pPr>
      <w:r>
        <w:rPr>
          <w:rFonts w:hint="eastAsia"/>
        </w:rPr>
        <w:t>开展助残扶残宣传活动，大力营造扶残助残的社会氛围，在“助残日”、“爱耳日”、“爱眼日”、“国际残疾人日”等活动期间，对身残志坚、自强不息的江头镇刘东华等种养大户进行典型的大力宣传；选送3名残疾人运动员参加省的培训；选送4名残疾人参加韶关市的才艺大表演。并有二名取得名次。（赖传文）</w:t>
      </w:r>
    </w:p>
    <w:p w14:paraId="6D04E09E">
      <w:pPr>
        <w:ind w:firstLine="0" w:firstLineChars="0"/>
        <w:rPr>
          <w:b/>
          <w:bCs/>
        </w:rPr>
      </w:pPr>
      <w:r>
        <w:rPr>
          <w:rFonts w:hint="eastAsia"/>
          <w:b/>
          <w:bCs/>
        </w:rPr>
        <w:t>附：2011年市残联领导班子成员名单</w:t>
      </w:r>
    </w:p>
    <w:p w14:paraId="5BEF3663">
      <w:pPr>
        <w:ind w:firstLine="0" w:firstLineChars="0"/>
      </w:pPr>
      <w:r>
        <w:rPr>
          <w:rFonts w:hint="eastAsia"/>
        </w:rPr>
        <w:t>理 事 长：李吉祥</w:t>
      </w:r>
    </w:p>
    <w:p w14:paraId="5F0A3E75">
      <w:pPr>
        <w:ind w:firstLine="0" w:firstLineChars="0"/>
      </w:pPr>
      <w:r>
        <w:rPr>
          <w:rFonts w:hint="eastAsia"/>
        </w:rPr>
        <w:t>副理事长：钟爱兰</w:t>
      </w:r>
    </w:p>
    <w:p w14:paraId="0A6EB8F4">
      <w:pPr>
        <w:pStyle w:val="3"/>
      </w:pPr>
      <w:r>
        <w:rPr>
          <w:rFonts w:hint="eastAsia"/>
        </w:rPr>
        <w:t>工商业联合会</w:t>
      </w:r>
    </w:p>
    <w:p w14:paraId="1439D932">
      <w:pPr>
        <w:pStyle w:val="4"/>
      </w:pPr>
      <w:r>
        <w:rPr>
          <w:rFonts w:hint="eastAsia"/>
        </w:rPr>
        <w:t>【概况】</w:t>
      </w:r>
    </w:p>
    <w:p w14:paraId="323A844F">
      <w:pPr>
        <w:ind w:firstLine="420"/>
      </w:pPr>
      <w:r>
        <w:rPr>
          <w:rFonts w:hint="eastAsia"/>
        </w:rPr>
        <w:t>工商业联合会又称南雄市总商会，是中国共产党领导下的由工商界组成的人民团体和民间商会，是党和政府联系非公有制经济人士的桥梁和纽带，是政府管理非公有制经济的助手，是中国共产党统一战线工作和经济工作的重要内容，有统战性、经济性、民间性的特点。南雄市工商业联合会又称南雄市总商会，与统战部合署办公。2011年底，全市个体工商户8960户，注册资金7.2亿元，其中私营企业550户。今年全市实现个体工商税收8000万元，占全市税收25%。</w:t>
      </w:r>
    </w:p>
    <w:p w14:paraId="5F2FC6DC">
      <w:pPr>
        <w:pStyle w:val="4"/>
      </w:pPr>
      <w:r>
        <w:rPr>
          <w:rFonts w:hint="eastAsia"/>
        </w:rPr>
        <w:t>【参政议政】</w:t>
      </w:r>
    </w:p>
    <w:p w14:paraId="44035E3C">
      <w:pPr>
        <w:ind w:firstLine="420"/>
      </w:pPr>
      <w:r>
        <w:rPr>
          <w:rFonts w:hint="eastAsia"/>
        </w:rPr>
        <w:t>参政议政是工商联的重点工作之一，是党和政府联系非公经济人士的一个很重要渠道，是加强政企沟通的一条重要途径。按照“经济上有发展、政治上有地位、社会上有形象”的目标，围绕构建和谐南雄、幸福南雄，参政议政，履行职能，提升工商联以及非公有制经济代表人士的政治地位，突出体现工商联在促进非公有制经济健康发展过程中的引导作用。该联多次组织工商联界别的部分人大代表、政协委员和工商联会员，在全县非公有制企业中大兴调查研究之风深入了解民情，充分反映社情民意，广泛集中民智的调查机制。发动工商联界别的人大代表、政协委员在求数量的基础上求质量，共撰写议案和提案7宗，其中获得优秀提案有1宗。如丁礼金委员提出的《关于加大精细化工产业宣传力度的建议》，陈五生委员提出的《关于加强城市管理的建议》均得到了市委市政府和有关部门的高度肯定。</w:t>
      </w:r>
    </w:p>
    <w:p w14:paraId="1769B121">
      <w:pPr>
        <w:pStyle w:val="4"/>
      </w:pPr>
      <w:r>
        <w:rPr>
          <w:rFonts w:hint="eastAsia"/>
        </w:rPr>
        <w:t>【促进非公经济稳步发展】</w:t>
      </w:r>
    </w:p>
    <w:p w14:paraId="5008DD48">
      <w:pPr>
        <w:ind w:firstLine="420"/>
      </w:pPr>
      <w:r>
        <w:rPr>
          <w:rFonts w:hint="eastAsia"/>
        </w:rPr>
        <w:t>促进和发展非公有制经济是工商联的第一要务。该联引导经济人士增强创新意识，引导民营企业朝着自主品牌发展之路，引导和帮助民营企业实施技术创新和技术进步，大胆创新，开拓进取，提高企业的竞争力，把自己的企业做大做强，促进民营经济大发展、快发展。该市的广东金友集团有限公司，以现代农业综合开发为主，依托本地的优越的农业资源，在绿色农业、有机农业等方面扩大农业产业基地来提高企业的竞争力和树立有机米品牌，有机农业基地已有3000亩。</w:t>
      </w:r>
    </w:p>
    <w:p w14:paraId="070F47C0">
      <w:pPr>
        <w:pStyle w:val="4"/>
      </w:pPr>
      <w:r>
        <w:rPr>
          <w:rFonts w:hint="eastAsia"/>
        </w:rPr>
        <w:t>【做好非公有制经济人士评估工作】</w:t>
      </w:r>
    </w:p>
    <w:p w14:paraId="0204CC67">
      <w:pPr>
        <w:ind w:firstLine="420"/>
      </w:pPr>
      <w:r>
        <w:rPr>
          <w:rFonts w:hint="eastAsia"/>
        </w:rPr>
        <w:t>开展对全市非公有制经济人士的评价工作。对全市100多名非公制经济人士一个全面的评价，把这项工作当作上半年工商联工作的大事来抓。一是成立领导小组。由市政协副主席统战部长周济辉任组长，工商联主席黄霄、副主席谭耀贵任副组长，工商联人秘长叶新亮任办公室主任。确保整个评价工作的顺利开展。二是深入实际，实事求是。为了真正做到客观公证给这些非公有经济人士一个准确的评估，工商联主席黄霄亲自到各个企业（公司），调查了解该企业（公司）的情况，并通过座谈会，协商会等形式，到工商局、国税局、地税局等11个单位，调查了解听取他们的评价及意见建设。工作中对一些困难企业给予帮助。帮助他们分析市场行情，克服困难，树立信心；对一些在国地税方面或守法、诚信存在问题的企业（公司）给予批评教育，教育他们要诚信，守法，争做社会主义建设的合格建设者，不做有损诚信形象和违法经营的事。对一些评价优秀的企业（公司），给予大力表扬鼓励，并将这些企业（公司）的负责人推荐到人大、政协、工商联担任人大代表、政协委员、工商联执委等政治职务。据统计，在这次市（县）换届工作中，全市有2名非公有制经济人士推荐担任韶关市人大代表，有1名非公有制经济人士担任韶关市政协委员；有25名非公有制经济代表人士推荐担任南雄市第九届政协委员（其中：有4人，担任政协常委）。</w:t>
      </w:r>
    </w:p>
    <w:p w14:paraId="1E37A619">
      <w:pPr>
        <w:pStyle w:val="4"/>
      </w:pPr>
      <w:r>
        <w:rPr>
          <w:rFonts w:hint="eastAsia"/>
        </w:rPr>
        <w:t>【做好工商联换届工作】</w:t>
      </w:r>
    </w:p>
    <w:p w14:paraId="4FE8597A">
      <w:pPr>
        <w:ind w:firstLine="420"/>
      </w:pPr>
      <w:r>
        <w:rPr>
          <w:rFonts w:hint="eastAsia"/>
        </w:rPr>
        <w:t>7-8月，该联响应省、韶关市工商联的号召，做好工商联（总商会）换届工作，8月31日，召开“南雄市工商联（总商会）第十次代表大会。选举产生了第十届执委委员40人，常委委员30人，副主席16人，主席1人，这次会议凸显三大亮点。一是会议规格高，影响好。参加会议的128名代表是从全市数万名非公经济人士中遴选出来的，是全市工商界的精英，具有代表性。同时，整个换届工作得到市委市政府主要领导的大力支持。会议期间，市委许志新书记亲自接见与会代表并与全体代表共进晚餐，合影留念，给与会的代表很大的精神鼓舞。会后，该联得到市委宣传部的大力支持，将这次会议的盛况，在市委宣传栏内展出达三个月之久，让全市人民一睹这次工商联代表大会的盛况和新一届工商联班子的风采。二是会议与时俱进，打破一贯任命行政领导担任工商联主席的传统，选举优秀民营企业家松树脂有限公司董事长丁礼金担任主席职务。三是成立工商联党组，由统战部一名副部长担任党组书记，并担任专职副主席，负责工商联日常工作。</w:t>
      </w:r>
    </w:p>
    <w:p w14:paraId="7EE65F5C">
      <w:pPr>
        <w:pStyle w:val="4"/>
      </w:pPr>
      <w:r>
        <w:rPr>
          <w:rFonts w:hint="eastAsia"/>
        </w:rPr>
        <w:t>【工商联会员队伍】</w:t>
      </w:r>
    </w:p>
    <w:p w14:paraId="6CBE9EED">
      <w:pPr>
        <w:ind w:firstLine="420"/>
      </w:pPr>
      <w:r>
        <w:rPr>
          <w:rFonts w:hint="eastAsia"/>
        </w:rPr>
        <w:t>会员是该联工作的重中之重，加大工作力度，发展壮大工商联队伍。全市工商联深入企业调研，开展工作，把热心于服务社会、有社会责任感、有一定实力的企业员工和个体工商户发展为会员。该会发展会员68，在全市已形成一支充满生机与影响力的非公有制经济代表人士队伍。为抓好组织建设，该联多次到市闽粤商贸促进会与会长张周商讨了解协会发展的情况，指导他们发挥协会优势，搞好会务活动扩大协会影响发展壮大协会。</w:t>
      </w:r>
    </w:p>
    <w:p w14:paraId="493D890D">
      <w:pPr>
        <w:pStyle w:val="4"/>
      </w:pPr>
      <w:r>
        <w:rPr>
          <w:rFonts w:hint="eastAsia"/>
        </w:rPr>
        <w:t>【扶贫助学】</w:t>
      </w:r>
    </w:p>
    <w:p w14:paraId="5028C308">
      <w:pPr>
        <w:ind w:firstLine="420"/>
      </w:pPr>
      <w:r>
        <w:rPr>
          <w:rFonts w:hint="eastAsia"/>
        </w:rPr>
        <w:t>引导会员参与“致富思源，富而思进”等公益活动，教育、引导会员热心社会公益事业，参加就业、扶贫、爱心三大光彩工程，在敬老、助困、助学、助残活动中多作贡献，为社会造福、为政府分忧、为群众解难，树立商会良好形象。南雄永康酒楼每年都会拿出一部分资金，资助贫因学生上大学；南雄洲发商积极为职工买保险，解决职工的后顾之忧。建设和谐的劳务关系。工商联领导亲自筹集扶贫助学金30多万元，扶持贫困学生76人。市工商联主席丁礼金将光彩事业延伸到革命老区油山等镇，利用荒山野岭种植松树达10000多亩。</w:t>
      </w:r>
    </w:p>
    <w:p w14:paraId="729CA484">
      <w:pPr>
        <w:ind w:firstLine="0" w:firstLineChars="0"/>
        <w:rPr>
          <w:b/>
          <w:bCs/>
        </w:rPr>
      </w:pPr>
      <w:r>
        <w:rPr>
          <w:rFonts w:hint="eastAsia"/>
          <w:b/>
          <w:bCs/>
        </w:rPr>
        <w:t>附：2011年市工商联（总商会）领导班子名单</w:t>
      </w:r>
    </w:p>
    <w:p w14:paraId="6F19CC1E">
      <w:pPr>
        <w:ind w:firstLine="0" w:firstLineChars="0"/>
      </w:pPr>
      <w:r>
        <w:rPr>
          <w:rFonts w:hint="eastAsia"/>
        </w:rPr>
        <w:t>主   席：丁礼金</w:t>
      </w:r>
    </w:p>
    <w:p w14:paraId="4373A226">
      <w:pPr>
        <w:ind w:firstLine="0" w:firstLineChars="0"/>
      </w:pPr>
      <w:r>
        <w:rPr>
          <w:rFonts w:hint="eastAsia"/>
        </w:rPr>
        <w:t>党组书记：董祖明</w:t>
      </w:r>
    </w:p>
    <w:p w14:paraId="16F7ADD0">
      <w:pPr>
        <w:ind w:firstLine="0" w:firstLineChars="0"/>
      </w:pPr>
      <w:r>
        <w:rPr>
          <w:rFonts w:hint="eastAsia"/>
        </w:rPr>
        <w:t>副主席：董祖明 熊文荣 康小松 敖卓海</w:t>
      </w:r>
    </w:p>
    <w:p w14:paraId="72B048FB">
      <w:pPr>
        <w:ind w:left="840" w:leftChars="400" w:firstLine="0" w:firstLineChars="0"/>
      </w:pPr>
      <w:r>
        <w:rPr>
          <w:rFonts w:hint="eastAsia"/>
        </w:rPr>
        <w:t>王伟雄 王才生 霍振辉 胡文甦</w:t>
      </w:r>
    </w:p>
    <w:p w14:paraId="4C11EC21">
      <w:pPr>
        <w:ind w:left="840" w:leftChars="400" w:firstLine="0" w:firstLineChars="0"/>
      </w:pPr>
      <w:r>
        <w:rPr>
          <w:rFonts w:hint="eastAsia"/>
        </w:rPr>
        <w:t>古广超 黄履华 吴远剑 陈德生</w:t>
      </w:r>
    </w:p>
    <w:p w14:paraId="7A377788">
      <w:pPr>
        <w:ind w:left="840" w:leftChars="400" w:firstLine="0" w:firstLineChars="0"/>
      </w:pPr>
      <w:r>
        <w:rPr>
          <w:rFonts w:hint="eastAsia"/>
        </w:rPr>
        <w:t>张周 林日辉 卢隆全 李庚骝</w:t>
      </w:r>
    </w:p>
    <w:p w14:paraId="7875E89D">
      <w:pPr>
        <w:ind w:firstLine="0" w:firstLineChars="0"/>
      </w:pPr>
      <w:r>
        <w:rPr>
          <w:rFonts w:hint="eastAsia"/>
        </w:rPr>
        <w:t>秘书长：黄奕雄</w:t>
      </w:r>
    </w:p>
    <w:p w14:paraId="1A6FD215">
      <w:pPr>
        <w:pStyle w:val="3"/>
      </w:pPr>
      <w:r>
        <w:rPr>
          <w:rFonts w:hint="eastAsia"/>
        </w:rPr>
        <w:t>科学协会</w:t>
      </w:r>
    </w:p>
    <w:p w14:paraId="12A4DFE7">
      <w:pPr>
        <w:pStyle w:val="4"/>
      </w:pPr>
      <w:r>
        <w:rPr>
          <w:rFonts w:hint="eastAsia"/>
        </w:rPr>
        <w:t>【概况】</w:t>
      </w:r>
    </w:p>
    <w:p w14:paraId="22E785E8">
      <w:pPr>
        <w:ind w:firstLine="420"/>
      </w:pPr>
      <w:r>
        <w:rPr>
          <w:rFonts w:hint="eastAsia"/>
        </w:rPr>
        <w:t>1956年，南雄县科学普及协会成立，附属县委宣传部。1969年科普协会撤销。1980年9月，南雄县科学技术协会成立，属正科级单位，群众团体，财政全额拨款。2002年机构改革行政编制3人，其中主席、副主席各1人。科协内设办公室、科普部、学协部。下属协会21个，共有会员2506人。</w:t>
      </w:r>
    </w:p>
    <w:p w14:paraId="62958277">
      <w:pPr>
        <w:pStyle w:val="4"/>
      </w:pPr>
      <w:r>
        <w:rPr>
          <w:rFonts w:hint="eastAsia"/>
        </w:rPr>
        <w:t>【开展科技服务】</w:t>
      </w:r>
    </w:p>
    <w:p w14:paraId="5BAE1591">
      <w:pPr>
        <w:ind w:firstLine="420"/>
      </w:pPr>
      <w:r>
        <w:rPr>
          <w:rFonts w:hint="eastAsia"/>
        </w:rPr>
        <w:t>联合科技信息局、卫生、农业、团市委、烟草、计生、防疫等等部门在全市18个乡镇（街道）进行文化、科技、卫生、农业种养等科技知识的推广和应用，做好三下乡活动。共开展送科技下乡活动4次，组织科技工作者、科技专家48人次参加活动，向农民发放科普资料6种，3000份（册）。组织中医、西医、妇科、儿科等方面的医科专家，以及科普志愿者53人参与下乡活动。免费为700多名群众做健康检查，免费为群众农户送去肥料、种子、农药等物资及各类技术资料1000份，请专家进行现场咨询、指导。科协在农业、供销单位的协助下，引进湘三号香芋、美国甜玉米、朝天椒等农副产品在全安、江头、邓坊、界址雄州等镇试种成功，现在江头、油山、帽子峰等镇建立“香芋科普示范基地”，邓坊镇建立“甜玉米科普示范基地”、界址镇建立“朝天椒科普示范基地”的种植。</w:t>
      </w:r>
    </w:p>
    <w:p w14:paraId="66C895F0">
      <w:pPr>
        <w:pStyle w:val="4"/>
      </w:pPr>
      <w:r>
        <w:rPr>
          <w:rFonts w:hint="eastAsia"/>
        </w:rPr>
        <w:t>【开展科普宣传】</w:t>
      </w:r>
    </w:p>
    <w:p w14:paraId="472877D9">
      <w:pPr>
        <w:ind w:firstLine="420"/>
      </w:pPr>
      <w:r>
        <w:rPr>
          <w:rFonts w:hint="eastAsia"/>
        </w:rPr>
        <w:t>动员和组织科技工作者、科技专家做科普报告，撰写科普文章，深入农村、基层普及先进的实用技术，发挥表率作用。全国科普日、科技活动周、科技进步活动月活动期间，市科协与市医学会、市预防医学会的科普志愿者在市区三影塔广场举办“预防疾病，科学生活”科普活动。为群众做安全用药、假劣药品鉴别、疾病预防咨询活动。全市共组织科技工作者、科技专家129人次参与科普宣传活动，分别到各乡镇组织科普集市8场次；播放科普电影2场，观看人数2万人次向群众发放科普资料8000万份（册）。为推进广播电视媒体科普工作，发挥广播电视媒体在科普宣传中的作用，科协与市广播电视台共同搭建科普平台，联合制作的《黄烟科技窗》节目，帮助农村和农民解决黄烟生产中的难题。在市电视台开办《科普大蓬车》栏目。电视科普专题节目，以寓教于乐的形式，把科普知识送到千家万户。</w:t>
      </w:r>
    </w:p>
    <w:p w14:paraId="783EBF97">
      <w:pPr>
        <w:pStyle w:val="4"/>
      </w:pPr>
      <w:r>
        <w:rPr>
          <w:rFonts w:hint="eastAsia"/>
        </w:rPr>
        <w:t>【开展科普进校园活动】</w:t>
      </w:r>
    </w:p>
    <w:p w14:paraId="76F85A2F">
      <w:pPr>
        <w:ind w:firstLine="420"/>
      </w:pPr>
      <w:r>
        <w:rPr>
          <w:rFonts w:hint="eastAsia"/>
        </w:rPr>
        <w:t>南雄市科协联合市教育局组织开展一系列规模大、影响力强的“科普进校园”活动，涉及医药、电力、声学、生命科、技防灾减灾等多个领域。有科技专家、科普志愿者现场讲解、辅导，直观、有趣地解剖科学奥秘，提高青少年学生对科学探索的兴趣。全市中小学生11000万人次参加、参观了科普讲座和图片展览。推荐和选派中小学生参加韶关市科协、教育局联合举办的物理、生化、电力手工制作等等方面的科普知识竞赛活动，南雄中学、市一中都能取得优异的成绩，南雄市科协为推动南雄的素质教育发挥了应有的作用。</w:t>
      </w:r>
    </w:p>
    <w:p w14:paraId="08D4FF19">
      <w:pPr>
        <w:pStyle w:val="4"/>
      </w:pPr>
      <w:r>
        <w:rPr>
          <w:rFonts w:hint="eastAsia"/>
        </w:rPr>
        <w:t>【科普惠农兴村计划】</w:t>
      </w:r>
    </w:p>
    <w:p w14:paraId="1355DBC8">
      <w:pPr>
        <w:ind w:firstLine="420"/>
      </w:pPr>
      <w:r>
        <w:rPr>
          <w:rFonts w:hint="eastAsia"/>
        </w:rPr>
        <w:t>一是在全市开展以“科普惠农兴村服务站、宣传栏、技术员”为内容的“站、栏、员”建设活动。下发和更换科普挂图8期13套。二是开展了中国科协、财政部科普惠农兴村计划项目调研和申报工作，推荐上报省科协2个项目，其中1个农技协、1个科普示范基地。</w:t>
      </w:r>
    </w:p>
    <w:p w14:paraId="42ED0DFF">
      <w:pPr>
        <w:ind w:firstLine="420"/>
        <w:jc w:val="right"/>
      </w:pPr>
      <w:r>
        <w:rPr>
          <w:rFonts w:hint="eastAsia"/>
        </w:rPr>
        <w:t>（杨小凤）</w:t>
      </w:r>
    </w:p>
    <w:p w14:paraId="7DC20EF1">
      <w:pPr>
        <w:ind w:firstLine="0" w:firstLineChars="0"/>
        <w:rPr>
          <w:b/>
          <w:bCs/>
        </w:rPr>
      </w:pPr>
      <w:r>
        <w:rPr>
          <w:rFonts w:hint="eastAsia"/>
          <w:b/>
          <w:bCs/>
        </w:rPr>
        <w:t>附：2011年市科协领导班子成员名单</w:t>
      </w:r>
    </w:p>
    <w:p w14:paraId="0685F888">
      <w:pPr>
        <w:ind w:firstLine="0" w:firstLineChars="0"/>
      </w:pPr>
      <w:r>
        <w:rPr>
          <w:rFonts w:hint="eastAsia"/>
        </w:rPr>
        <w:t>主席：吴美华</w:t>
      </w:r>
    </w:p>
    <w:p w14:paraId="79DE5966">
      <w:pPr>
        <w:pStyle w:val="3"/>
      </w:pPr>
      <w:r>
        <w:rPr>
          <w:rFonts w:hint="eastAsia"/>
        </w:rPr>
        <w:t>侨联</w:t>
      </w:r>
    </w:p>
    <w:p w14:paraId="532E9B46">
      <w:pPr>
        <w:pStyle w:val="4"/>
      </w:pPr>
      <w:r>
        <w:rPr>
          <w:rFonts w:hint="eastAsia"/>
        </w:rPr>
        <w:t>【概况】</w:t>
      </w:r>
    </w:p>
    <w:p w14:paraId="3D4E11C3">
      <w:pPr>
        <w:ind w:firstLine="420"/>
      </w:pPr>
      <w:r>
        <w:rPr>
          <w:rFonts w:hint="eastAsia"/>
        </w:rPr>
        <w:t>中国侨联是由全国归侨、侨眷组成的全国性人民团体，是党和政府联系广大归侨、侨眷和海外侨胞的桥梁和纽带。中国侨联是全国性的一级人民团体，是全国政协的组成单位，各级侨联与同级工会、青年团、妇联等人民团体享有同等待遇。南雄市归国华侨联合会与统战部合署办公。</w:t>
      </w:r>
    </w:p>
    <w:p w14:paraId="3B80A35B">
      <w:pPr>
        <w:pStyle w:val="4"/>
      </w:pPr>
      <w:r>
        <w:rPr>
          <w:rFonts w:hint="eastAsia"/>
        </w:rPr>
        <w:t>【侨胞服务】</w:t>
      </w:r>
    </w:p>
    <w:p w14:paraId="5EADA776">
      <w:pPr>
        <w:ind w:firstLine="420"/>
      </w:pPr>
      <w:r>
        <w:rPr>
          <w:rFonts w:hint="eastAsia"/>
        </w:rPr>
        <w:t>该会结合当地侨情，落实《归侨侨眷权益保护法》，为侨胞献爱心，办好事、做实事。1月上、中旬，市侨联副主席曾华带领有关人员深入到街道、乡镇开展春节慰问归侨侨眷贫困户活动，给他们带去慰问金和慰问礼品。该会先后为侨胞、港澳同胞办好事、做实事8件（次）；排忧解难3件（次）。</w:t>
      </w:r>
    </w:p>
    <w:p w14:paraId="37F4F359">
      <w:pPr>
        <w:pStyle w:val="4"/>
      </w:pPr>
      <w:r>
        <w:rPr>
          <w:rFonts w:hint="eastAsia"/>
        </w:rPr>
        <w:t>【举办省侨联“侨界文化交流基地”（南雄珠现古巷）挂牌仪式】</w:t>
      </w:r>
    </w:p>
    <w:p w14:paraId="211E39B0">
      <w:pPr>
        <w:ind w:firstLine="420"/>
      </w:pPr>
      <w:r>
        <w:rPr>
          <w:rFonts w:hint="eastAsia"/>
        </w:rPr>
        <w:t>1月至3月，该会做好省侨联“侨界文化交流基地”（南雄珠玑古巷）挂牌仪式的各项筹备工作。4月1日上午，南雄市举行省侨联“侨界文化交流基地”（南雄珠玑古巷）挂牌仪式。挂牌仪式由韶关市侨联主席廖凤英主持，省侨联副主席区德强首先在仪式上宣读《关于向首批广东省侨联“侨界文化交流基地”授牌的决定》；韶关市政协副主席王伟阳参加挂牌仪式并讲话，表示祝贺；南雄市政府副市长、市侨联主席罗战勇在仪式上致辞。2010年12月，省侨联授予南雄珠玑古巷为“侨界文化交流基地”，省侨联“侨界文化交流基地”（南雄珠玑古巷）的挂牌，省侨联副主席区德强、韶关市政协副主席王伟阳、南雄市政府副市长、市侨联主席罗战勇、南雄市政协副主席、市委统战部部长周济辉一起为省侨联“侨界文化交流基地”揭牌。来自南雄市委宣传部、统战部、市文广新局、旅游局、外事侨务局、工商联、对台办、广东珠玑巷后裔联谊会南雄办事处、珠玑镇等部门和单位的负责人以及南雄市侨联的全体委员、各界人士的代表共160多人参加挂牌仪式。</w:t>
      </w:r>
    </w:p>
    <w:p w14:paraId="157575D2">
      <w:pPr>
        <w:pStyle w:val="4"/>
      </w:pPr>
      <w:r>
        <w:rPr>
          <w:rFonts w:hint="eastAsia"/>
        </w:rPr>
        <w:t>【宣传报道工作】</w:t>
      </w:r>
    </w:p>
    <w:p w14:paraId="676869ED">
      <w:pPr>
        <w:ind w:firstLine="420"/>
      </w:pPr>
      <w:r>
        <w:rPr>
          <w:rFonts w:hint="eastAsia"/>
        </w:rPr>
        <w:t>该会把对外宣传报道当作侨联的一项重要工作，保持与侨联通讯员的沟通与联系，做好宣传报道的引导工作，组织一些采访报道活动。为通讯员服务，帮助通讯员解决在采访中碰到的困难，调动他们写稿的积极性，引导通讯员多写有关带“侨”字和地方“特色”的文章，以扩大侨联宣传工作在社会上的影响面。鼓励通讯员围绕全市投资环境、合作项目、优惠政策、珠玑巷后裔联谊，南雄的土特产及民俗风情等方面的内容，向海内外进行大张旗鼓地宣传，为该市搞好招商引资工作发挥喉舌作用，让世界了解南雄，使南雄走向世界。另外，该会曾华副主席抽出时间，利用双休日，写宣传报道稿件，以此促使和带动其他侨联通讯员多写稿、写好稿。2011年该会通讯员被广东侨联网用稿27篇（含相片）；被广东侨网用稿3篇（含相片）、被珠玑网用稿5篇（含相片）和被《珠玑》杂志用稿7篇（含相片）。</w:t>
      </w:r>
    </w:p>
    <w:p w14:paraId="060F7359">
      <w:pPr>
        <w:pStyle w:val="4"/>
      </w:pPr>
      <w:r>
        <w:rPr>
          <w:rFonts w:hint="eastAsia"/>
        </w:rPr>
        <w:t>【对外联谊，接待工作】</w:t>
      </w:r>
    </w:p>
    <w:p w14:paraId="702B1ECD">
      <w:pPr>
        <w:ind w:firstLine="420"/>
      </w:pPr>
      <w:r>
        <w:rPr>
          <w:rFonts w:hint="eastAsia"/>
        </w:rPr>
        <w:t>该会配合市有关部门，通过“走出去”，以港澳为基地，开展对外联谊工作。该会领导到香港参加有关侨团和社团举办的庆典和会务等活动。与香港各界人士和旅港乡亲沟通联络，向他们介绍南雄的发展情况并推介南雄的投资环境和名胜古迹，动员他们来南雄投资置业和观光旅游，寻根问祖。热情周到接待好每位来南雄的客人，使每位客人来时高兴，走时愉快，留下美好印象。该会先后接待美国奥斯订华商会主席沈中平先生；香港东区区议员赵承基先生一行32人；香港四洲集团主席戴德丰先生一行60多人；香港新界大埔参观考察团一行50多人；香港旺角同乡宗亲会联谊会参观考察寻根团一行44人到和澳门德荣制衣厂有限公司卢道平先生一行20多人。据统计，该会接待来南雄参观考察和寻根问祖的团组10个，165人（次）。</w:t>
      </w:r>
    </w:p>
    <w:p w14:paraId="13F71875">
      <w:pPr>
        <w:pStyle w:val="4"/>
      </w:pPr>
      <w:r>
        <w:rPr>
          <w:rFonts w:hint="eastAsia"/>
        </w:rPr>
        <w:t>【香港南雄联谊会成立大会筹备工作】</w:t>
      </w:r>
    </w:p>
    <w:p w14:paraId="36B0C0E8">
      <w:pPr>
        <w:ind w:firstLine="420"/>
      </w:pPr>
      <w:r>
        <w:rPr>
          <w:rFonts w:hint="eastAsia"/>
        </w:rPr>
        <w:t>1月20日至23日、4月26日至30日、7月24日至28日和9月17日至19日，市侨联副主席曾华与南雄市政协副主席、市委统战部部长周济辉等领导先后到香港与广大旅港乡亲和各界人士联络，开展联谊工作，在港期间，先后拜访了香港金城营造集团主席王锦辉先生；香港金满米业（集团）有限公司董事长陈经纶先生、广高（香港）有限公司董事总经理黄慧琼女士；香港四洲集团有限公司主席戴德丰先生；香港英泰五金工业有限公司董事长麦雄先生；香港教育工作者协会会长杨耀忠先生；广高（香港）有限公司行政总裁钟强、香港炳记有限公司董事长李文炳先生和澳门德荣制衣厂有限公司董事长卢道平先生等。与他们研究成立香港南雄联谊会的事宜并向他们介绍了成立香港南雄联谊会的筹备工作的情况。9月18日，香港南雄联谊会成立暨首届理事会就职典礼在香港尖沙咀帝国中心隆重举行。全国政协常委、香港四洲集团有限公司主席、金紫荆勋章获得者戴德丰先生、香港金城营造集团有限公司董事长、铜紫荆勋章获得者王锦辉先生、香港炳记行有限公司董事长李文炳先生、香港可顺激光刀模厂董事总经理唐可华先生、澳门德荣制衣厂有限公司董事长卢道平先生、联邦傢俬（香港）有限公司董事长肖剑君先生等社团首长和中联办有关负责人、韶关市政协副主席李飞先生、赵志发先生、何伟青先生、刘大济先生、王乙未先生，南雄市委书记许志新先生、市政协主席何万飞先生、市委副书记王荣光先生、副市长何光明先生、副市长、市侨联主席罗战勇先生、市政协副主席兼市委统战部部长周济辉先生、副主席陈尚妹女士，广东南雄珠玑巷后裔联谊会副会长兼秘书长衷玉华女士及有关部门负责人、港澳南雄政协委员、在雄港资企业老板、港澳有关社团的代表、联谊会会员、香港各界人士的代表共300多人欢聚一堂，共同参加香港南雄联谊会的成立暨首届理事会就职庆典活动。</w:t>
      </w:r>
    </w:p>
    <w:p w14:paraId="5A0614A6">
      <w:pPr>
        <w:ind w:firstLine="420"/>
      </w:pPr>
      <w:r>
        <w:rPr>
          <w:rFonts w:hint="eastAsia"/>
        </w:rPr>
        <w:t>会上选举产生香港南雄联谊会首届理事会成员共44人。广高（香港）有限公司行政总裁钟强先生当选为首届联谊会会长；李文炳先生等11人当选为副会长；黄慧琼女士当选为秘书长。南雄市委副书记王荣光先生代表市委、市人大、市政府、市政协在会上宣读贺信。新当选为首届会长的钟强先生在致辞中表示：“香港南雄联谊会的成立，对于进一步激发在港南雄乡亲热爱家乡，更加广泛地团结各界人士，凝聚力量，关心家乡发展，支持家乡建设，必将产生积极的促进作用。强调要把香港南雄联谊会办成增强香港南雄两地交流合作的广阔舞台和联络平台。”香港四洲集团公司主席戴德丰先生代表参加典礼的港澳社团和各界人士致辞，对香港南雄联谊会的成立暨首届理事会成员的就职表示热烈的祝贺。南雄市政协副主席、市委统战部部长周济辉先生也在会上致辞，他表示：成立香港南雄联谊会的目的，是联络感情，增进友谊，加强交流与合作，发扬爱国爱港爱乡精神，推进香港和南雄的社会经济发展。</w:t>
      </w:r>
    </w:p>
    <w:p w14:paraId="3A0FF402">
      <w:pPr>
        <w:ind w:firstLine="420"/>
      </w:pPr>
      <w:r>
        <w:rPr>
          <w:rFonts w:hint="eastAsia"/>
        </w:rPr>
        <w:t>在香港南雄联谊会成立暨首届理事会就职典礼上，南雄市委、市人民政府和有关港澳社团及人士向联谊会赠送礼品，以示祝贺。主礼嘉宾还为荣誉会长、名誉会长和新当选的正副会长、正副秘书长、理事颁发当选证牌。副市长、市侨联主席罗战勇作为主礼嘉宾之一，为有关理事颁发当选证牌，市侨联副主席曾华当选为香港南雄联谊会的首届理事。</w:t>
      </w:r>
    </w:p>
    <w:p w14:paraId="0BE353C3">
      <w:pPr>
        <w:ind w:firstLine="0" w:firstLineChars="0"/>
        <w:rPr>
          <w:b/>
          <w:bCs/>
        </w:rPr>
      </w:pPr>
      <w:r>
        <w:rPr>
          <w:rFonts w:hint="eastAsia"/>
          <w:b/>
          <w:bCs/>
        </w:rPr>
        <w:t>附：2011年市侨联领导班子成员名单</w:t>
      </w:r>
    </w:p>
    <w:p w14:paraId="02EB4380">
      <w:pPr>
        <w:ind w:firstLine="0" w:firstLineChars="0"/>
      </w:pPr>
      <w:r>
        <w:rPr>
          <w:rFonts w:hint="eastAsia"/>
        </w:rPr>
        <w:t>主  席：罗战勇（兼）</w:t>
      </w:r>
    </w:p>
    <w:p w14:paraId="5FBBE24E">
      <w:pPr>
        <w:ind w:firstLine="0" w:firstLineChars="0"/>
      </w:pPr>
      <w:r>
        <w:rPr>
          <w:rFonts w:hint="eastAsia"/>
        </w:rPr>
        <w:t>副主席：曾华 杨会英</w:t>
      </w:r>
    </w:p>
    <w:p w14:paraId="55F3C333">
      <w:pPr>
        <w:pStyle w:val="3"/>
      </w:pPr>
      <w:r>
        <w:rPr>
          <w:rFonts w:hint="eastAsia"/>
        </w:rPr>
        <w:t>社科联</w:t>
      </w:r>
    </w:p>
    <w:p w14:paraId="1D8464C5">
      <w:pPr>
        <w:pStyle w:val="4"/>
      </w:pPr>
      <w:r>
        <w:rPr>
          <w:rFonts w:hint="eastAsia"/>
        </w:rPr>
        <w:t>【概况】</w:t>
      </w:r>
    </w:p>
    <w:p w14:paraId="3A78E6D4">
      <w:pPr>
        <w:ind w:firstLine="420"/>
      </w:pPr>
      <w:r>
        <w:rPr>
          <w:rFonts w:hint="eastAsia"/>
        </w:rPr>
        <w:t>南雄市社会科学联合会（简称社科联），属于市委宣传部管辖，正科级，在职干部3人。有珠玑巷联谊会、纪检监察学会、政治思想工作研究会、党建学会、财政学会、税务学会、审计学会等10多个团体学会。是南雄市各社会科学学会、研究会组成的专业性人民团体。社科联是党和政府联系广大社科界专家学者的桥梁和纽带。以科学发展观发现新情况，探索新问题，走出新路子，开创新局面，发展南雄的哲学社会科学事业，为市委、市政府决策和建设服务。开展社科课题研究、挖掘珠玑古巷文化和雄州文化、普及宣传地方历史文化等。</w:t>
      </w:r>
    </w:p>
    <w:p w14:paraId="6C1F5E1E">
      <w:pPr>
        <w:pStyle w:val="4"/>
      </w:pPr>
      <w:r>
        <w:rPr>
          <w:rFonts w:hint="eastAsia"/>
        </w:rPr>
        <w:t>【社科宣传】</w:t>
      </w:r>
    </w:p>
    <w:p w14:paraId="20EF19B9">
      <w:pPr>
        <w:ind w:firstLine="420"/>
      </w:pPr>
      <w:r>
        <w:rPr>
          <w:rFonts w:hint="eastAsia"/>
        </w:rPr>
        <w:t>社科联围绕将南雄建设成为全国历史文化名城这一主题，推动广府文化发源地的研究和普及宣传工作，做好珠玑巷南迁后裔这篇大文章，挖掘珠玑历史文化底蕴。研究珠玑文化的来历，追踪“张九龄开拓梅关古道”的千古传闻以及珠玑古巷形成的渊源，跟踪协会各项社会活动。在韶关率先开展社科基地建设，在雄州街道河南村，充分利用该村城乡结合地的优势，争取上级支持，投资10多万元创办起河南社科基地为阵地，并于2011年11月被省委宣传部、省社科联授于“广东省优秀社科基地”牌匾。同时，建立大社科工作机制，开展社科普及、宣传咨询活动整合市内社科资源，宣传和普及社科知识。按照国家、省、市的统一安排和部署，市社科联都要会同市科协等部门在雄州街道河南社科基地开展科普月活动，组织有关学会、协会及相关单位开展科技下乡，科普进机关、科普进学校、科普进社区以及科普专题讲座、科技培训、卫生咨询、健康检查、义诊等活动。</w:t>
      </w:r>
    </w:p>
    <w:p w14:paraId="3CA625C6">
      <w:pPr>
        <w:ind w:firstLine="420"/>
        <w:jc w:val="right"/>
      </w:pPr>
      <w:r>
        <w:rPr>
          <w:rFonts w:hint="eastAsia"/>
        </w:rPr>
        <w:t>（郭泊铄）</w:t>
      </w:r>
    </w:p>
    <w:p w14:paraId="4A54D5B1">
      <w:pPr>
        <w:ind w:firstLine="0" w:firstLineChars="0"/>
        <w:rPr>
          <w:b/>
          <w:bCs/>
        </w:rPr>
      </w:pPr>
      <w:r>
        <w:rPr>
          <w:rFonts w:hint="eastAsia"/>
          <w:b/>
          <w:bCs/>
        </w:rPr>
        <w:t>附：2011年市社科联领导班子成员名单</w:t>
      </w:r>
    </w:p>
    <w:p w14:paraId="694FBFE5">
      <w:pPr>
        <w:ind w:firstLine="0" w:firstLineChars="0"/>
      </w:pPr>
      <w:r>
        <w:rPr>
          <w:rFonts w:hint="eastAsia"/>
        </w:rPr>
        <w:t>主 席：钟武</w:t>
      </w:r>
    </w:p>
    <w:p w14:paraId="65405AD4">
      <w:pPr>
        <w:ind w:firstLine="0" w:firstLineChars="0"/>
      </w:pPr>
      <w:r>
        <w:rPr>
          <w:rFonts w:hint="eastAsia"/>
        </w:rPr>
        <w:t>副主席：王精</w:t>
      </w:r>
    </w:p>
    <w:p w14:paraId="342331EB">
      <w:pPr>
        <w:pStyle w:val="3"/>
      </w:pPr>
      <w:r>
        <w:rPr>
          <w:rFonts w:hint="eastAsia"/>
        </w:rPr>
        <w:t>文联</w:t>
      </w:r>
    </w:p>
    <w:p w14:paraId="2E5DDFD5">
      <w:pPr>
        <w:pStyle w:val="4"/>
      </w:pPr>
      <w:r>
        <w:rPr>
          <w:rFonts w:hint="eastAsia"/>
        </w:rPr>
        <w:t>【概况】</w:t>
      </w:r>
    </w:p>
    <w:p w14:paraId="4473D04C">
      <w:pPr>
        <w:ind w:firstLine="420"/>
      </w:pPr>
      <w:r>
        <w:rPr>
          <w:rFonts w:hint="eastAsia"/>
        </w:rPr>
        <w:t>南雄市文学艺术界联合会为正科级事业编制单位，编制为2人。2011年属下的美术协会、书法协会、老年书法协会、音乐舞蹈戏剧协会、摄影协会、老年摄影协会、珠玑诗社、赏石盆景根艺协会、演讲与口才协会和南雄作家协会等10个协会，出版《珠玑文艺》4期，《南雄书法报》2期，开展大型文艺活动6场，各种展览4期。</w:t>
      </w:r>
    </w:p>
    <w:p w14:paraId="3F1C0190">
      <w:pPr>
        <w:pStyle w:val="4"/>
      </w:pPr>
      <w:r>
        <w:rPr>
          <w:rFonts w:hint="eastAsia"/>
        </w:rPr>
        <w:t>【文艺协会】</w:t>
      </w:r>
    </w:p>
    <w:p w14:paraId="17B7342C">
      <w:pPr>
        <w:ind w:firstLine="420"/>
      </w:pPr>
      <w:r>
        <w:rPr>
          <w:rFonts w:hint="eastAsia"/>
        </w:rPr>
        <w:t>文联组织协调美术协会、书法协会、老年书法协会、音乐舞蹈戏剧协会、摄影协会、老年摄影协会、珠玑诗社、赏石盆景根艺协会、演讲与口才协会和南雄作家协会等10个协会在遵守宪法和法律法规的前提下，按照各自的章程，开展各类文艺活动，繁荣文学艺术。老年书法协会、音乐舞蹈戏剧协会进行换届。该市作家协会副主席、音乐舞蹈戏剧协会理事李光利创作的小话剧《陈毅进山》荣获一等奖，小品《农民工大哥》荣获二等奖。9月，南雄市盲人作家谢经营创作的长篇小说《不灭的亮光》和《红土情缘》被选入“广东省残疾人才艺展示活动”，并在广东省博物馆展览。</w:t>
      </w:r>
    </w:p>
    <w:p w14:paraId="054DFFDB">
      <w:pPr>
        <w:pStyle w:val="4"/>
      </w:pPr>
      <w:r>
        <w:rPr>
          <w:rFonts w:hint="eastAsia"/>
        </w:rPr>
        <w:t>【协会换届】</w:t>
      </w:r>
    </w:p>
    <w:p w14:paraId="464CAF30">
      <w:pPr>
        <w:ind w:firstLine="420"/>
      </w:pPr>
      <w:r>
        <w:rPr>
          <w:rFonts w:hint="eastAsia"/>
        </w:rPr>
        <w:t>1月14日，音乐舞蹈戏剧协会召开换届选举大会。会议聘任衷玉华、刘显龙、戴群芳、郭盛鹏等为协会顾问，选举陈雯彩为该协会会长，张涛、廖跃梅、胡华文、李雪春、赵艳等为副会长，李雪春为秘书长。8月6日，老年书法协会进行换届选举刘列章为会长、邓功篪、肖祝林、张铭星、钟俊康、陈汉新为副会长，尹德麟为秘书长的协会理事会。</w:t>
      </w:r>
    </w:p>
    <w:p w14:paraId="6BC94B51">
      <w:pPr>
        <w:pStyle w:val="4"/>
      </w:pPr>
      <w:r>
        <w:rPr>
          <w:rFonts w:hint="eastAsia"/>
        </w:rPr>
        <w:t>【市文联举行表彰大会】</w:t>
      </w:r>
    </w:p>
    <w:p w14:paraId="47539374">
      <w:pPr>
        <w:ind w:firstLine="420"/>
      </w:pPr>
      <w:r>
        <w:rPr>
          <w:rFonts w:hint="eastAsia"/>
        </w:rPr>
        <w:t>1月25日，该市举行2009-2010年两年一度的文艺界表彰大会，表彰南雄作家协会、南雄老年书法协会、南雄演讲与口才协会3个先进集体及沈荣金、邓功篪等81位先进个人。</w:t>
      </w:r>
    </w:p>
    <w:p w14:paraId="4A7BB0BA">
      <w:pPr>
        <w:pStyle w:val="4"/>
      </w:pPr>
      <w:r>
        <w:rPr>
          <w:rFonts w:hint="eastAsia"/>
        </w:rPr>
        <w:t>【文学艺术活动】</w:t>
      </w:r>
    </w:p>
    <w:p w14:paraId="344747A8">
      <w:pPr>
        <w:ind w:firstLine="420"/>
      </w:pPr>
      <w:r>
        <w:rPr>
          <w:rFonts w:hint="eastAsia"/>
        </w:rPr>
        <w:t>文联围绕市委市政府的中心工作开展各种文学艺术活动，做好文化服务。一是开展“新春联送万家”活动和举办玉兔迎新春书画展。1月21日，该市老年书法协会送《春联》到水口镇，现场免费为村民挥毫书写春联。该市美术协会、书法协会、老年书法协会活动丰富多彩。在雄州大酒店举办迎春作品展又在博物馆举办玉兔迎新春书画展，展出了近40幅美术作品和80多幅书法作品，为南雄市民以及四方宾客献上一道喜庆的文化大餐。二是围绕“南雄生态林业”建设，3月15日，该市文联主席刘甫梅带领17名珠玑诗社社员前往湖口镇三水上下坡村开展义务植树活动，以实际行动，亲身体会来共同建设美好的“绿色家园”。3月19日、20日两天，市文联组织开展“生态文化”采风活动，邀请韶关市作协、韶关市诗社的作家与诗人，与该市作协和诗社的文友们一道，雨天探访帽子峰林场、畅游孔江湿地、青嶂山天池，在欣赏该市如画美景的同时讴歌自然，唤醒大家保护绿水青山，保护生态环境的观念和意识。三是就“如何做一名新时代妇女干部”、与市妇联、市文联组织开展“如何做一名新时代妇女干部”主题征文活动，活动共收到征文58篇，作者们从不同的角度，不同的层面描述自己心目中对新时代女干部的理解和要求。经评委对参选作品进行反复评审，最后评出一、二、三等奖及优秀奖共11名。四是开展“五一劳动节”有关活动。4月29日，该市书法、美术、音乐舞蹈戏剧协会会员们欢聚一堂，以歌舞表演与现场挥毫相融合的艺术形式欢庆“五一”国际劳动节，诠释艺术来自生活，美丽来自创造的内涵。五是“感恩九十年永远跟党走”、“红领巾心向党—我与祖国共成长”、“庆国庆、迎重阳”等内容举办各种展览、开展文学艺术活动，活跃群众文化。七是组织诗社到学校开展诗歌讲座培训活动。4月8日，该市文联主席刘甫梅及诗社常务副社长沈茂宝等6名珠玑诗社社员来到革命老区百顺镇百顺中学开展诗歌讲座培训活动，以发掘、扶植、培养诗歌新生力量，提高该市诗歌创作水平，打造诗歌新锐梯队有益身心的培训活动。4月28日，南雄市珠玑诗社常务副社长沈茂宝先生及多位社员到乌迳中学进行诗歌讲座活动，培养青少年对诗歌写作兴趣和提高青少年的写诗能力。</w:t>
      </w:r>
    </w:p>
    <w:p w14:paraId="0816D3F5">
      <w:pPr>
        <w:pStyle w:val="4"/>
      </w:pPr>
      <w:r>
        <w:rPr>
          <w:rFonts w:hint="eastAsia"/>
        </w:rPr>
        <w:t>【文化建设】</w:t>
      </w:r>
    </w:p>
    <w:p w14:paraId="3FD101D2">
      <w:pPr>
        <w:ind w:firstLine="420"/>
      </w:pPr>
      <w:r>
        <w:rPr>
          <w:rFonts w:hint="eastAsia"/>
        </w:rPr>
        <w:t>市文联有目的继续在文联网开展孝道讨论，让传统孝道与时代要求有机结合。参与讨论的有党员领导干部、教师、学生、退休老人近1000多人，讨论产生一大批转发于报刊杂志的文章，并利用群众文体活动大力弘扬传统文化。如在三影塔广场组织300多人的队伍齐颂《弟子规》，在社会中产生影响，使学习践行孝道在雄州大地营造出和谐氛围。</w:t>
      </w:r>
    </w:p>
    <w:p w14:paraId="3526E3C6">
      <w:pPr>
        <w:pStyle w:val="4"/>
      </w:pPr>
      <w:r>
        <w:rPr>
          <w:rFonts w:hint="eastAsia"/>
        </w:rPr>
        <w:t>【阵地建设】</w:t>
      </w:r>
    </w:p>
    <w:p w14:paraId="7CECFA6A">
      <w:pPr>
        <w:ind w:firstLine="420"/>
      </w:pPr>
      <w:r>
        <w:rPr>
          <w:rFonts w:hint="eastAsia"/>
        </w:rPr>
        <w:t>以“两报两刊一橱窗一网站”为平台，抓好阵地建设。市文联先后出版《南雄书法报》2期，在宣传橱窗设展1次，《珠玑文艺》4期。南雄文联网设置散文小说、新作与热点、诗词楹联、校园文学、书法美术、摄影艺术、音舞戏剧、赏石盆景根艺、文联动态等多个栏目，内容更新，文艺充实。</w:t>
      </w:r>
    </w:p>
    <w:p w14:paraId="4063EF53">
      <w:pPr>
        <w:pStyle w:val="4"/>
      </w:pPr>
      <w:r>
        <w:rPr>
          <w:rFonts w:hint="eastAsia"/>
        </w:rPr>
        <w:t>【古村落研究】</w:t>
      </w:r>
    </w:p>
    <w:p w14:paraId="648C70AA">
      <w:pPr>
        <w:ind w:firstLine="420"/>
      </w:pPr>
      <w:r>
        <w:rPr>
          <w:rFonts w:hint="eastAsia"/>
        </w:rPr>
        <w:t>市文联挖掘民间文化，注重对古村落历史文化的宣传引导，对古建筑物的古装饰、灰雕、木雕等艺术及建筑技巧进行搜集整理，提升软文化实力。该市古村落研究专家沈荣金先生三年多来的走访、调研和考证，该市百顺镇黄屋城的人文资料已整理成册，并多方论证确认南雄三大古道之一——百顺路。同时，“雄州县治设于溪塘之考证”工作基本完成，论证溪塘是南雄历经古代三朝的州府所在地。11月配合省第三届广东省古村落（韶关）专家组做好黄屋城的考察评估工作，“广东省古村落”申报工作初步完成，并对珠玑叟里园、珠玑塘东两个村的发展变化和民俗文化资料进行搜集整理，对珠玑旅游文化产业的发展积累一大批资料。</w:t>
      </w:r>
    </w:p>
    <w:p w14:paraId="52E765B3">
      <w:pPr>
        <w:pStyle w:val="4"/>
      </w:pPr>
      <w:r>
        <w:rPr>
          <w:rFonts w:hint="eastAsia"/>
        </w:rPr>
        <w:t>【文艺交流】</w:t>
      </w:r>
    </w:p>
    <w:p w14:paraId="42D01547">
      <w:pPr>
        <w:ind w:firstLine="420"/>
      </w:pPr>
      <w:r>
        <w:rPr>
          <w:rFonts w:hint="eastAsia"/>
        </w:rPr>
        <w:t>1月31日，南雄珠玑诗社在市政协会议室召开2010年度总结暨新年座谈会，南雄市委常委、纪委书记、珠玑诗社名誉社长罗勇新、市政协原副主席、广东南雄珠玑巷后裔联谊会副会长、珠玑诗社社长衷玉华、市文联主席刘甫梅出席大会并作讲话。3月6日，省文联党组书记、专职副主席白洁，党组成员、专职副主席李仙花，副巡视员黄浩，人事部主任刘小毅，组联部主任樊广莲等到该市文联进行调研，探索各项活动与文化市场结合的发展模式。4月14日，乳源县文联主席赵良洲带领该县6位文艺工作者来到该市江头镇狮子岩采风并与该市文联主席刘甫梅女士交流文学艺术界的工作经验。4月19日，该市文艺工作者一行11人在文联主席刘甫梅的带领下，到江西省大余县与当地文艺界朋友进行诗词、书法、文学、音乐等文化交流，共享梅岭文化、红色文化，两地文艺界朋友还就历史与文化的传承进行探讨。5月5日，省老年书画家协会常务副主席刘亮、副主席宋仁庭、董百振、吴云峰、黄先传等老年书画艺术家们与该市书法爱好者进行书法艺术交流。                                                             （赵才文）</w:t>
      </w:r>
    </w:p>
    <w:p w14:paraId="09E8F4C7">
      <w:pPr>
        <w:ind w:firstLine="0" w:firstLineChars="0"/>
        <w:rPr>
          <w:b/>
          <w:bCs/>
        </w:rPr>
      </w:pPr>
      <w:r>
        <w:rPr>
          <w:rFonts w:hint="eastAsia"/>
          <w:b/>
          <w:bCs/>
        </w:rPr>
        <w:t>附：2011年市文联领导班子成员名单</w:t>
      </w:r>
    </w:p>
    <w:p w14:paraId="4875BA46">
      <w:pPr>
        <w:ind w:firstLine="0" w:firstLineChars="0"/>
      </w:pPr>
      <w:r>
        <w:rPr>
          <w:rFonts w:hint="eastAsia"/>
        </w:rPr>
        <w:t>主席：刘甫梅</w:t>
      </w:r>
    </w:p>
    <w:p w14:paraId="248C0E91">
      <w:pPr>
        <w:pStyle w:val="2"/>
        <w:ind w:firstLine="883"/>
      </w:pPr>
      <w:r>
        <w:rPr>
          <w:rFonts w:hint="eastAsia"/>
        </w:rPr>
        <w:t>政法</w:t>
      </w:r>
    </w:p>
    <w:p w14:paraId="492D1E15">
      <w:pPr>
        <w:pStyle w:val="3"/>
      </w:pPr>
      <w:r>
        <w:rPr>
          <w:rFonts w:hint="eastAsia"/>
        </w:rPr>
        <w:t>综述</w:t>
      </w:r>
    </w:p>
    <w:p w14:paraId="0D417C71">
      <w:pPr>
        <w:pStyle w:val="4"/>
      </w:pPr>
      <w:r>
        <w:rPr>
          <w:rFonts w:hint="eastAsia"/>
        </w:rPr>
        <w:t>【概况】</w:t>
      </w:r>
    </w:p>
    <w:p w14:paraId="141D5CE6">
      <w:pPr>
        <w:ind w:firstLine="420"/>
      </w:pPr>
      <w:r>
        <w:rPr>
          <w:rFonts w:hint="eastAsia"/>
        </w:rPr>
        <w:t>南雄市委政法委员会是市委领导和管理政法的职能部门和重要组织形式，是市委的一个重要职能部门，协助市委统一领导和管理全市政法工作。南雄市社会治安综合治理委员会办公室、南雄市禁毒委员会办公室、专项办公室、市社会工作委员会办公室与市委政法委合署办公。内设机构总数核定5个，核定专项编制16人，其中后勤编制1人。2011年在职干部数15人。</w:t>
      </w:r>
    </w:p>
    <w:p w14:paraId="50D99F73">
      <w:pPr>
        <w:pStyle w:val="4"/>
      </w:pPr>
      <w:r>
        <w:rPr>
          <w:rFonts w:hint="eastAsia"/>
        </w:rPr>
        <w:t>【维稳工作】</w:t>
      </w:r>
    </w:p>
    <w:p w14:paraId="6B95B068">
      <w:pPr>
        <w:ind w:firstLine="420"/>
      </w:pPr>
      <w:r>
        <w:rPr>
          <w:rFonts w:hint="eastAsia"/>
        </w:rPr>
        <w:t>市维稳工作借镇街综治信访维稳中心“两头延伸”的东风，全力推进市、镇、村“三级平台”全面建设，全市镇街“中心”和村居（包括规模以上企业）综治信访维稳工作站建设已经全面完成，达到了有机构、有场所、有牌子、有人员、有制度、有台帐的“六有”建设标准，全市矛盾纠纷“大排查、大调解”格局进一步形成。市通过建立和健全镇、村矛盾纠纷排查调处每月工作例会制度，逐步开展定期排查和集中排查矛盾纠纷的工作机制。特别是各有关职能部门紧紧围绕做好全国及全省“两会”、国庆庆典等重大活动期间的信访维稳工作，认真贯彻实施人民调解法，大力加强行业性、专业性人民调解组织，把调解优先的理念贯穿到执法司法全过程，有效化解一大批矛盾纠纷。市各级调解组织和调解员调解矛盾纠纷453件，调解成功440件，成功率97.3%。人民法院全年受理民商事案件1323件（含旧存22件），在审结的1273件民商事案件中，调解、撤诉结案的933件，调撤率达73.3%，当前社会和谐稳定的局面进一步巩固。</w:t>
      </w:r>
    </w:p>
    <w:p w14:paraId="44920618">
      <w:pPr>
        <w:pStyle w:val="4"/>
      </w:pPr>
      <w:r>
        <w:rPr>
          <w:rFonts w:hint="eastAsia"/>
        </w:rPr>
        <w:t>【禁毒工作】</w:t>
      </w:r>
    </w:p>
    <w:p w14:paraId="7BDD16C7">
      <w:pPr>
        <w:ind w:firstLine="420"/>
      </w:pPr>
      <w:r>
        <w:rPr>
          <w:rFonts w:hint="eastAsia"/>
        </w:rPr>
        <w:t>深入开展宣传和打击毒品犯罪等各项工作，取得显著成效。全市侦破吸贩毒案件9起，抓获嫌疑人9人，缴获吸品3.4克。6月26日联合公安局、司法局、妇联、团委组织主题为“参与禁毒斗争、构建和谐社会”大型禁毒宣传活动，发放宣传资料2000份。</w:t>
      </w:r>
    </w:p>
    <w:p w14:paraId="2EC04862">
      <w:pPr>
        <w:pStyle w:val="4"/>
      </w:pPr>
      <w:r>
        <w:rPr>
          <w:rFonts w:hint="eastAsia"/>
        </w:rPr>
        <w:t>【社工工作】</w:t>
      </w:r>
    </w:p>
    <w:p w14:paraId="5969A356">
      <w:pPr>
        <w:ind w:firstLine="420"/>
      </w:pPr>
      <w:r>
        <w:rPr>
          <w:rFonts w:hint="eastAsia"/>
        </w:rPr>
        <w:t>南雄市社工委在社会建设工作中坚持以中国特色社会主义理论体系为指导，按照构建社会主义和谐社会的理念，顺应人民群众过上幸福美好生活的新期待，以人人享有基本公共服务为目标，以改革创新为动力，扎扎实实开展工作，强化政府社会管理和公共服务职能，着力保障和改善民生，完善社会服务，创新社会管理，加强社会规范，促进社会公平正义。</w:t>
      </w:r>
    </w:p>
    <w:p w14:paraId="30873A87">
      <w:pPr>
        <w:pStyle w:val="4"/>
      </w:pPr>
      <w:r>
        <w:rPr>
          <w:rFonts w:hint="eastAsia"/>
        </w:rPr>
        <w:t>【队伍建设】</w:t>
      </w:r>
    </w:p>
    <w:p w14:paraId="38C889F9">
      <w:pPr>
        <w:ind w:firstLine="420"/>
      </w:pPr>
      <w:r>
        <w:rPr>
          <w:rFonts w:hint="eastAsia"/>
        </w:rPr>
        <w:t>2011年，在政法队伍中相继开展社会主义法治理论教育、“规范执法行为，促进执法公正”专项整改活动以及解放思想大讨论等专项活动。政法各部门在活动中结合市委“履行职责加快发展”教育活动，以“三项”整治行动中查出的问题，作为警示教育内容。公安机关以教育促推动，开展“大走访”开门评警活动；市人民法院、市人民检察院等政法各部门都相继开展“发扬传统、坚定信念、执法为民”主题教育、“社会主义法治理念再学习再教育”的教育活动，“履行职责，加快发展年”学联教育活动，同时拥现出不少先进集体和个人，市公安局附城公安检查站和因在亚运安保学习教育工作中表现突出，被省厅荣记集体二等功；5个部门被韶关市公安局荣记集体三等功，18名民警荣立个人三等功，交警大队大队长刘军被省厅评为“2011年春运道路交通安全管理工作先进个人”；检察院，法院，司法，政法委全年共计37人（次）被嘉奖。                                                                            （肖清龙）</w:t>
      </w:r>
    </w:p>
    <w:p w14:paraId="28222150">
      <w:pPr>
        <w:ind w:firstLine="0" w:firstLineChars="0"/>
      </w:pPr>
      <w:r>
        <w:rPr>
          <w:rFonts w:hint="eastAsia"/>
          <w:b/>
          <w:bCs/>
        </w:rPr>
        <w:t>附：2011年市政法委领导班子成员名单</w:t>
      </w:r>
    </w:p>
    <w:p w14:paraId="13E96691">
      <w:pPr>
        <w:ind w:firstLine="0" w:firstLineChars="0"/>
      </w:pPr>
      <w:r>
        <w:rPr>
          <w:rFonts w:hint="eastAsia"/>
        </w:rPr>
        <w:t>书  记：刘悦明（兼任至9月）</w:t>
      </w:r>
    </w:p>
    <w:p w14:paraId="24F2826E">
      <w:pPr>
        <w:ind w:left="840" w:leftChars="400" w:firstLine="0" w:firstLineChars="0"/>
      </w:pPr>
      <w:r>
        <w:rPr>
          <w:rFonts w:hint="eastAsia"/>
        </w:rPr>
        <w:t>刘发龙（10月兼任）</w:t>
      </w:r>
    </w:p>
    <w:p w14:paraId="75175B16">
      <w:pPr>
        <w:ind w:firstLine="0" w:firstLineChars="0"/>
      </w:pPr>
      <w:r>
        <w:rPr>
          <w:rFonts w:hint="eastAsia"/>
        </w:rPr>
        <w:t>副书记：陈伦寿 杨应生 叶凌峰 叶建英</w:t>
      </w:r>
    </w:p>
    <w:p w14:paraId="3005D83A">
      <w:pPr>
        <w:ind w:firstLine="0" w:firstLineChars="0"/>
      </w:pPr>
      <w:r>
        <w:rPr>
          <w:rFonts w:hint="eastAsia"/>
        </w:rPr>
        <w:t>中心纪检组长：陈世旺</w:t>
      </w:r>
    </w:p>
    <w:p w14:paraId="66C7DC6C">
      <w:pPr>
        <w:pStyle w:val="3"/>
      </w:pPr>
      <w:r>
        <w:rPr>
          <w:rFonts w:hint="eastAsia"/>
        </w:rPr>
        <w:t>公安</w:t>
      </w:r>
    </w:p>
    <w:p w14:paraId="6BE0A354">
      <w:pPr>
        <w:pStyle w:val="4"/>
      </w:pPr>
      <w:r>
        <w:rPr>
          <w:rFonts w:hint="eastAsia"/>
        </w:rPr>
        <w:t>【概况】</w:t>
      </w:r>
    </w:p>
    <w:p w14:paraId="0C3484BD">
      <w:pPr>
        <w:ind w:firstLine="420"/>
      </w:pPr>
      <w:r>
        <w:rPr>
          <w:rFonts w:hint="eastAsia"/>
        </w:rPr>
        <w:t>南雄市公安局位于南雄市雄州街道雄中路338号，为正科级单位。内设机构14个（其中副科级建制12个、正股级建制2个），派出所23个，看守所、拘留所各1个，均为副科级建制。核定政法专项编制387人。2011年在职人员411人，其中民警405人。</w:t>
      </w:r>
    </w:p>
    <w:p w14:paraId="1B2FA4AB">
      <w:pPr>
        <w:pStyle w:val="4"/>
      </w:pPr>
      <w:r>
        <w:rPr>
          <w:rFonts w:hint="eastAsia"/>
        </w:rPr>
        <w:t>【维稳工作】</w:t>
      </w:r>
    </w:p>
    <w:p w14:paraId="19E6392B">
      <w:pPr>
        <w:ind w:firstLine="420"/>
      </w:pPr>
      <w:r>
        <w:rPr>
          <w:rFonts w:hint="eastAsia"/>
        </w:rPr>
        <w:t>加强情报信息和矛盾纠纷排查调处工作，为深圳大运会、广东省国际旅游文化节的顺利举行和全市政治稳定、经济发展创造稳定的社会环境。开展集中处理群众信访问题专项活动，清理涉警信访积案，实现涉警信访大幅减少，今年接待受理群众来信来访33起，均已办结，未发生因涉法涉诉问题引发的非正常进京到省上访事件。</w:t>
      </w:r>
    </w:p>
    <w:p w14:paraId="586C1261">
      <w:pPr>
        <w:pStyle w:val="4"/>
      </w:pPr>
      <w:r>
        <w:rPr>
          <w:rFonts w:hint="eastAsia"/>
        </w:rPr>
        <w:t>【严打专项斗争】</w:t>
      </w:r>
    </w:p>
    <w:p w14:paraId="39C9F524">
      <w:pPr>
        <w:ind w:firstLine="420"/>
      </w:pPr>
      <w:r>
        <w:rPr>
          <w:rFonts w:hint="eastAsia"/>
        </w:rPr>
        <w:t>以“打黑除恶”和“创平安、迎大运”重点打击行动为龙头，组织开展“粤安11”、“断源”、“亮剑”、“清网”、“三项整治”等一系列严打专项行动，遏制刑事案件的发生。共破刑事案件468宗（含年前案160宗），其中，破“两抢一盗”案件368宗、经济犯罪案件13宗，打掉犯罪团伙12个，抓获犯罪嫌疑人116名，网上逃犯67人。抓好命案攻坚工作，实现命案全破目标。</w:t>
      </w:r>
    </w:p>
    <w:p w14:paraId="3387C6A0">
      <w:pPr>
        <w:pStyle w:val="4"/>
      </w:pPr>
      <w:r>
        <w:rPr>
          <w:rFonts w:hint="eastAsia"/>
        </w:rPr>
        <w:t>【社会治安管理】</w:t>
      </w:r>
    </w:p>
    <w:p w14:paraId="442FADC2">
      <w:pPr>
        <w:ind w:firstLine="420"/>
      </w:pPr>
      <w:r>
        <w:rPr>
          <w:rFonts w:hint="eastAsia"/>
        </w:rPr>
        <w:t>大力整治各类治安问题，全年查处治安案件1289起，查处违法人员1019人次。将打击涉黄涉赌违法犯罪作为“打四黑除四害”专项行动的工作重点，以市区为重点开展打击扫除“黄赌毒”、特种行业治安秩序整治。查处赌博案件57起、贩吸毒案件24起，抓获“黄赌毒”违法犯罪嫌疑人309人，有效净化社会风气。</w:t>
      </w:r>
    </w:p>
    <w:p w14:paraId="74E1C6E5">
      <w:pPr>
        <w:pStyle w:val="4"/>
      </w:pPr>
      <w:r>
        <w:rPr>
          <w:rFonts w:hint="eastAsia"/>
        </w:rPr>
        <w:t>【户政管理】</w:t>
      </w:r>
    </w:p>
    <w:p w14:paraId="2CFB5969">
      <w:pPr>
        <w:ind w:firstLine="420"/>
      </w:pPr>
      <w:r>
        <w:rPr>
          <w:rFonts w:hint="eastAsia"/>
        </w:rPr>
        <w:t>抓好户口登记专项整治工作，开展对1990年后新增户籍人口198261人进行清理核对，占应清人数的99.76%，清理出重户数272人、虚假户口29人。办理《广东省居住证》2610张，超额完成任务。受理居民“二代证”申请3.58万人，发放2.22万张，审批各项业务材料4499人，提供人口信息查询2.56万人次。</w:t>
      </w:r>
    </w:p>
    <w:p w14:paraId="231FC6E3">
      <w:pPr>
        <w:pStyle w:val="4"/>
      </w:pPr>
      <w:r>
        <w:rPr>
          <w:rFonts w:hint="eastAsia"/>
        </w:rPr>
        <w:t>【出入境管理】</w:t>
      </w:r>
    </w:p>
    <w:p w14:paraId="6F394C82">
      <w:pPr>
        <w:ind w:firstLine="420"/>
      </w:pPr>
      <w:r>
        <w:rPr>
          <w:rFonts w:hint="eastAsia"/>
        </w:rPr>
        <w:t>加强对出国护照、通行证的申领管理工作，严格把好审查关。今年管理来雄外国人1人、办理出国护照1472人、港澳通行证9999人次、探亲186人次、单程赴港澳定居10人、台湾游127人次、商务签注8人次。</w:t>
      </w:r>
    </w:p>
    <w:p w14:paraId="2F0A882B">
      <w:pPr>
        <w:pStyle w:val="4"/>
      </w:pPr>
      <w:r>
        <w:rPr>
          <w:rFonts w:hint="eastAsia"/>
        </w:rPr>
        <w:t>【道路交通管理】</w:t>
      </w:r>
    </w:p>
    <w:p w14:paraId="61D37BA9">
      <w:pPr>
        <w:ind w:firstLine="420"/>
      </w:pPr>
      <w:r>
        <w:rPr>
          <w:rFonts w:hint="eastAsia"/>
        </w:rPr>
        <w:t>围绕创建“平安广东”和“幸福南雄”中心工作，强化机动车及驾驶人管理，治理道路交通安全隐患，规范交通事故处理，加大交通肇事逃逸案件侦查力度，完成各项交通警卫任务。全年发生交通事故24宗，死亡15人，受伤19人，经济损失18.65万元。同比上年，四项指数分别下降11%、6%、17%、3%。</w:t>
      </w:r>
    </w:p>
    <w:p w14:paraId="7A6DEEA3">
      <w:pPr>
        <w:pStyle w:val="4"/>
      </w:pPr>
      <w:r>
        <w:rPr>
          <w:rFonts w:hint="eastAsia"/>
        </w:rPr>
        <w:t>【消防管理】</w:t>
      </w:r>
    </w:p>
    <w:p w14:paraId="132C1A59">
      <w:pPr>
        <w:ind w:firstLine="420"/>
      </w:pPr>
      <w:r>
        <w:rPr>
          <w:rFonts w:hint="eastAsia"/>
        </w:rPr>
        <w:t>坚持“打防并举、预防为主”方针，开展火灾隐患排查，堵塞消防安全漏洞。全市发生火灾事故2起，同比下降88.2%。</w:t>
      </w:r>
    </w:p>
    <w:p w14:paraId="2D36D94B">
      <w:pPr>
        <w:pStyle w:val="4"/>
      </w:pPr>
      <w:r>
        <w:rPr>
          <w:rFonts w:hint="eastAsia"/>
        </w:rPr>
        <w:t>【监所管理】</w:t>
      </w:r>
    </w:p>
    <w:p w14:paraId="1A65E586">
      <w:pPr>
        <w:ind w:firstLine="420"/>
      </w:pPr>
      <w:r>
        <w:rPr>
          <w:rFonts w:hint="eastAsia"/>
        </w:rPr>
        <w:t>以深入开展“两防一退”（即防事故、防非正常死亡、退出舆情关注热点）专项活动为契机，推进监所管理规范化建设。今年收押569人，全年累计关押量1824人次，月均关押152人。各项工作考评排名均在韶关市公安监管系统前列。</w:t>
      </w:r>
    </w:p>
    <w:p w14:paraId="2B244EB5">
      <w:pPr>
        <w:pStyle w:val="4"/>
      </w:pPr>
      <w:r>
        <w:rPr>
          <w:rFonts w:hint="eastAsia"/>
        </w:rPr>
        <w:t>【“大走访”开门评警活动】</w:t>
      </w:r>
    </w:p>
    <w:p w14:paraId="0455F669">
      <w:pPr>
        <w:ind w:firstLine="420"/>
      </w:pPr>
      <w:r>
        <w:rPr>
          <w:rFonts w:hint="eastAsia"/>
        </w:rPr>
        <w:t>以基层所队和窗口单位为重点，由局领导带头，组织开展“大走访”开门评警活动，重点实施十大举措（民警走访受评、案件当事人回访倒评、网民“拍砖”点评、代表座谈议评、隐患整改查评、积案息诉促评、政法单位执法访评、警民活动敞开纳评、公安典型群众选评、便民服务项目迎评），通过“十万民警走访受评”活动，接受各方评议，改进公安工作。召开“千名代表座谈议评”会38次，回访案件当事人50人，参与走访民警6550人次，收集意见建议851条，排查整治各类矛盾纠纷300多宗。</w:t>
      </w:r>
    </w:p>
    <w:p w14:paraId="167765C9">
      <w:pPr>
        <w:pStyle w:val="4"/>
      </w:pPr>
      <w:r>
        <w:rPr>
          <w:rFonts w:hint="eastAsia"/>
        </w:rPr>
        <w:t>【扶贫开发“双到”活动】</w:t>
      </w:r>
    </w:p>
    <w:p w14:paraId="5C88FD76">
      <w:pPr>
        <w:ind w:firstLine="420"/>
      </w:pPr>
      <w:r>
        <w:rPr>
          <w:rFonts w:hint="eastAsia"/>
        </w:rPr>
        <w:t>积极落实对油山镇锦陂村的扶贫工作，按照“一村一策、一户一法”工作思路，实行定点、定人、定责包干扶贫，取得明显效果。投入帮扶资金12.33万元，争取上级有关单位和社会扶持资金211.5万元，用于农田水利投资和农村电网改造，帮助贫困户脱贫56户254人。</w:t>
      </w:r>
    </w:p>
    <w:p w14:paraId="2926FD47">
      <w:pPr>
        <w:pStyle w:val="4"/>
      </w:pPr>
      <w:r>
        <w:rPr>
          <w:rFonts w:hint="eastAsia"/>
        </w:rPr>
        <w:t>【队伍建设】</w:t>
      </w:r>
    </w:p>
    <w:p w14:paraId="1C16FBC7">
      <w:pPr>
        <w:ind w:firstLine="420"/>
      </w:pPr>
      <w:r>
        <w:rPr>
          <w:rFonts w:hint="eastAsia"/>
        </w:rPr>
        <w:t>开展“履行职责、加快发展年”、“发扬传统、坚定信念、坚持执法为民、树立良好警风”等主题教育活动，加强作风建设、提高行政效率、服务群众、促进队伍公正文明执法。通过工作执法一网考，把执法质量考核、民警基本执法资格考试同强化队伍正规化建设以及政务公开、党务公开结合起来，提高民警的综合素质。</w:t>
      </w:r>
    </w:p>
    <w:p w14:paraId="2CCE770A">
      <w:pPr>
        <w:pStyle w:val="4"/>
      </w:pPr>
      <w:r>
        <w:rPr>
          <w:rFonts w:hint="eastAsia"/>
        </w:rPr>
        <w:t>【典型案例】</w:t>
      </w:r>
    </w:p>
    <w:p w14:paraId="2B1AAE61">
      <w:pPr>
        <w:numPr>
          <w:ilvl w:val="0"/>
          <w:numId w:val="15"/>
        </w:numPr>
        <w:ind w:firstLine="420"/>
      </w:pPr>
      <w:r>
        <w:rPr>
          <w:rFonts w:hint="eastAsia"/>
        </w:rPr>
        <w:t>故意杀人案：2011年4月18日14时许，南雄公安局接群众报案，称凌江河教场桥至田边水（地名）河面发现一具尸体。公安局经过深入细致的走访和排查，核实死者为谢某宝（男，1984年出生，无业人员，南雄市雄州街道人），4月15日离家后不知所踪。查明尸源后，专案组连夜召开案情分析会，制定侦查方案，兵分几组开展工作。结合城区的视频调查，排查出朱某清（男，27岁，南雄市人）有重大作案嫌疑，经审讯，朱某清供认：4月16日凌晨，朱某清与谢某宝等人一起吃夜宵，在闲聊中，发现谢某宝是前年曾殴打自己且苦寻未果之人。为泄私愤，朱某清打电话叫来朋友谢某宝（男，28岁，南雄市人），将喝醉酒的谢某宝用摩托车骗至教场桥附近河边的一个抽水房旁，从摩托车尾箱里拿出事先准备好的空啤酒瓶击打谢某宝的头部，并用击碎的啤酒瓶缺口刺伤谢某宝的左胸部及背部，黄某胜则在一旁看着并传递空啤酒瓶。谢某宝被打倒在地，朱某清又用脚踢谢某宝，发现谢某宝不动，就将谢某宝拖至河边并推下河，然后与黄某胜驾车逃离现场。4月30日，专案组将犯罪嫌疑人黄某胜抓获。2、非法开采稀土矿案：2011年9月4日、5日，南雄市公安局治安大队分别在南亩镇、坪田镇捣毁两个非法开采稀土矿窝点，破获2宗非法开采稀土矿案，抓获违法犯罪人员8人，收缴非法开采稀土矿工具一批，非法采矿石1100多市斤，非法获利人民币16000多元。</w:t>
      </w:r>
    </w:p>
    <w:p w14:paraId="6E8A3674">
      <w:pPr>
        <w:ind w:firstLine="0" w:firstLineChars="0"/>
        <w:jc w:val="right"/>
      </w:pPr>
      <w:r>
        <w:rPr>
          <w:rFonts w:hint="eastAsia"/>
        </w:rPr>
        <w:t>（叶青）</w:t>
      </w:r>
    </w:p>
    <w:p w14:paraId="75605074">
      <w:pPr>
        <w:ind w:firstLine="0" w:firstLineChars="0"/>
        <w:rPr>
          <w:b/>
          <w:bCs/>
        </w:rPr>
      </w:pPr>
      <w:r>
        <w:rPr>
          <w:rFonts w:hint="eastAsia"/>
          <w:b/>
          <w:bCs/>
        </w:rPr>
        <w:t>附：2011年市公安局领导班子成员名单</w:t>
      </w:r>
    </w:p>
    <w:p w14:paraId="61694AF9">
      <w:pPr>
        <w:ind w:firstLine="0" w:firstLineChars="0"/>
      </w:pPr>
      <w:r>
        <w:rPr>
          <w:rFonts w:hint="eastAsia"/>
        </w:rPr>
        <w:t>党委书记、局长：刘悦明（兼）</w:t>
      </w:r>
    </w:p>
    <w:p w14:paraId="1799C8D7">
      <w:pPr>
        <w:ind w:firstLine="0" w:firstLineChars="0"/>
      </w:pPr>
      <w:r>
        <w:rPr>
          <w:rFonts w:hint="eastAsia"/>
        </w:rPr>
        <w:t>党委副书记、政委：杨云（任至8月）</w:t>
      </w:r>
    </w:p>
    <w:p w14:paraId="29576730">
      <w:pPr>
        <w:ind w:firstLine="0" w:firstLineChars="0"/>
      </w:pPr>
      <w:r>
        <w:rPr>
          <w:rFonts w:hint="eastAsia"/>
        </w:rPr>
        <w:t>党委委员、副局长：陈小桦（任至8月）</w:t>
      </w:r>
    </w:p>
    <w:p w14:paraId="71E5DBC5">
      <w:pPr>
        <w:ind w:left="1890" w:leftChars="900" w:firstLine="0" w:firstLineChars="0"/>
      </w:pPr>
      <w:r>
        <w:rPr>
          <w:rFonts w:hint="eastAsia"/>
        </w:rPr>
        <w:t>叶建英（任至8月）</w:t>
      </w:r>
    </w:p>
    <w:p w14:paraId="58381E93">
      <w:pPr>
        <w:ind w:left="1890" w:leftChars="900" w:firstLine="0" w:firstLineChars="0"/>
      </w:pPr>
      <w:r>
        <w:rPr>
          <w:rFonts w:hint="eastAsia"/>
        </w:rPr>
        <w:t>邓德尧 钟彬 成铭</w:t>
      </w:r>
    </w:p>
    <w:p w14:paraId="10332430">
      <w:pPr>
        <w:ind w:left="1890" w:leftChars="900" w:firstLine="0" w:firstLineChars="0"/>
      </w:pPr>
      <w:r>
        <w:rPr>
          <w:rFonts w:hint="eastAsia"/>
        </w:rPr>
        <w:t>何南京（8月任）</w:t>
      </w:r>
    </w:p>
    <w:p w14:paraId="4BDD7EC4">
      <w:pPr>
        <w:ind w:left="1890" w:leftChars="900" w:firstLine="0" w:firstLineChars="0"/>
      </w:pPr>
      <w:r>
        <w:rPr>
          <w:rFonts w:hint="eastAsia"/>
        </w:rPr>
        <w:t>陈本雄（8月任）</w:t>
      </w:r>
    </w:p>
    <w:p w14:paraId="7ECFC2CF">
      <w:pPr>
        <w:ind w:firstLine="0" w:firstLineChars="0"/>
      </w:pPr>
      <w:r>
        <w:rPr>
          <w:rFonts w:hint="eastAsia"/>
        </w:rPr>
        <w:t>党委委员、纪委书记：钟卫国</w:t>
      </w:r>
    </w:p>
    <w:p w14:paraId="75D63204">
      <w:pPr>
        <w:ind w:firstLine="0" w:firstLineChars="0"/>
      </w:pPr>
      <w:r>
        <w:rPr>
          <w:rFonts w:hint="eastAsia"/>
        </w:rPr>
        <w:t>党委委员、政工室主任：张明</w:t>
      </w:r>
    </w:p>
    <w:p w14:paraId="3E938049">
      <w:pPr>
        <w:ind w:firstLine="0" w:firstLineChars="0"/>
      </w:pPr>
      <w:r>
        <w:rPr>
          <w:rFonts w:hint="eastAsia"/>
        </w:rPr>
        <w:t>党委委员、指挥中心主任：徐立宏</w:t>
      </w:r>
    </w:p>
    <w:p w14:paraId="360101B1">
      <w:pPr>
        <w:pStyle w:val="3"/>
      </w:pPr>
      <w:r>
        <w:rPr>
          <w:rFonts w:hint="eastAsia"/>
        </w:rPr>
        <w:t>检察</w:t>
      </w:r>
    </w:p>
    <w:p w14:paraId="04455FC6">
      <w:pPr>
        <w:pStyle w:val="4"/>
      </w:pPr>
      <w:r>
        <w:rPr>
          <w:rFonts w:hint="eastAsia"/>
        </w:rPr>
        <w:t>【概况】</w:t>
      </w:r>
    </w:p>
    <w:p w14:paraId="507156E9">
      <w:pPr>
        <w:ind w:firstLine="420"/>
      </w:pPr>
      <w:r>
        <w:rPr>
          <w:rFonts w:hint="eastAsia"/>
        </w:rPr>
        <w:t>南雄市人民检察院位于南雄市环城东路66号，干警编制46人，现有干警41人。内设机构有政工科、纪检监察组、检委办、办公室、侦查一科、侦查二科、反渎职侵权局、公诉科、侦查监督科、预防科、监所检察科、民事行政检察科、控告申诉检察科、案件管理中心、法警大队15个部门。</w:t>
      </w:r>
    </w:p>
    <w:p w14:paraId="0F7A41B2">
      <w:pPr>
        <w:pStyle w:val="4"/>
      </w:pPr>
      <w:r>
        <w:rPr>
          <w:rFonts w:hint="eastAsia"/>
        </w:rPr>
        <w:t>【刑事检察】</w:t>
      </w:r>
    </w:p>
    <w:p w14:paraId="3E2BDA65">
      <w:pPr>
        <w:ind w:firstLine="420"/>
      </w:pPr>
      <w:r>
        <w:rPr>
          <w:rFonts w:hint="eastAsia"/>
        </w:rPr>
        <w:t>南雄市人民检察院致力于维护社会稳定，与有关部门密切配合，认真履行批捕、起诉职责，依法严厉打击严重刑事犯罪，重点打击黑恶势力犯罪、严重暴力犯罪、多发性侵财犯罪以及严重危害公共安全犯罪，2011年受理批捕案件103宗132人，批准逮捕99宗126人。受理移送起诉案件79宗103人（上年度积存案件19宗31人），起诉63宗83人，移送韶关市人民检察院审查起诉5宗10人，公安机关撤回起诉1人。</w:t>
      </w:r>
    </w:p>
    <w:p w14:paraId="0D2B52C2">
      <w:pPr>
        <w:pStyle w:val="4"/>
      </w:pPr>
      <w:r>
        <w:rPr>
          <w:rFonts w:hint="eastAsia"/>
        </w:rPr>
        <w:t>【预防和查处职务犯罪】</w:t>
      </w:r>
    </w:p>
    <w:p w14:paraId="045652CE">
      <w:pPr>
        <w:ind w:firstLine="420"/>
      </w:pPr>
      <w:r>
        <w:rPr>
          <w:rFonts w:hint="eastAsia"/>
        </w:rPr>
        <w:t>全年立案侦查贪污贿赂犯罪案件7宗7人（其中受贿4宗4人，行贿3宗3人），渎职案件1宗1人，侦查终结8宗8人，移送审查起诉8宗8人（上年度积存案件1宗1人），通过查办各类职务犯罪案件为国家挽回经济损失28.5万元。</w:t>
      </w:r>
    </w:p>
    <w:p w14:paraId="140CB57A">
      <w:pPr>
        <w:pStyle w:val="4"/>
      </w:pPr>
      <w:r>
        <w:rPr>
          <w:rFonts w:hint="eastAsia"/>
        </w:rPr>
        <w:t>【法治宣传】</w:t>
      </w:r>
    </w:p>
    <w:p w14:paraId="42E9A7DF">
      <w:pPr>
        <w:ind w:firstLine="420"/>
      </w:pPr>
      <w:r>
        <w:rPr>
          <w:rFonts w:hint="eastAsia"/>
        </w:rPr>
        <w:t>2011年，在湖口镇建设韶关市第一个基层检察院标准化的党风廉政建设职务犯罪预防教育基地，有550人到预防基地接受警示教育，举办开展惩治和预防渎职侵权犯罪展览巡展，有1400多人参观巡展。提供行贿档案查询80人（次）。上法制课14次，同步预防6宗，同步预防资金计达6000多万元。</w:t>
      </w:r>
    </w:p>
    <w:p w14:paraId="44E783F7">
      <w:pPr>
        <w:pStyle w:val="4"/>
      </w:pPr>
      <w:r>
        <w:rPr>
          <w:rFonts w:hint="eastAsia"/>
        </w:rPr>
        <w:t>【诉讼监督】</w:t>
      </w:r>
    </w:p>
    <w:p w14:paraId="237CCC13">
      <w:pPr>
        <w:ind w:firstLine="420"/>
      </w:pPr>
      <w:r>
        <w:rPr>
          <w:rFonts w:hint="eastAsia"/>
        </w:rPr>
        <w:t>坚持打击犯罪与保障人权并重，既注意监督纠正有罪不究、执法不严的问题，又重视监督纠正侵犯人权的问题，努力做到严格执法、客观公正。要求侦查机关说明不立案理由13件13人，提前介入25次。向公安机关发出追捕意见书29份。</w:t>
      </w:r>
    </w:p>
    <w:p w14:paraId="3FA2C37E">
      <w:pPr>
        <w:pStyle w:val="4"/>
      </w:pPr>
      <w:r>
        <w:rPr>
          <w:rFonts w:hint="eastAsia"/>
        </w:rPr>
        <w:t>【控告申诉检察】</w:t>
      </w:r>
    </w:p>
    <w:p w14:paraId="747AC052">
      <w:pPr>
        <w:ind w:firstLine="420"/>
      </w:pPr>
      <w:r>
        <w:rPr>
          <w:rFonts w:hint="eastAsia"/>
        </w:rPr>
        <w:t>南雄市人民检察院建立化解信访积案、避免矛盾积累激化机制，切实落实控告申诉首办责任制，畅通控告申诉渠道，加强举报中心建设，提供网上举报，广泛开展文明接待活动，推行上下级检察院联合接访。受理群众来信来访21件（次），其中来信15件，来访6次，已全部处理完毕；检察长接访3人，接待案件1件，批转案件1件。同时，积极联系各镇（街道）涉检信访联络点和检察信息联络员，保持基层群众信访“绿色通道”畅通。</w:t>
      </w:r>
    </w:p>
    <w:p w14:paraId="428D0068">
      <w:pPr>
        <w:pStyle w:val="4"/>
      </w:pPr>
      <w:r>
        <w:rPr>
          <w:rFonts w:hint="eastAsia"/>
        </w:rPr>
        <w:t>【民事行政检察】</w:t>
      </w:r>
    </w:p>
    <w:p w14:paraId="57BF3927">
      <w:pPr>
        <w:ind w:firstLine="420"/>
      </w:pPr>
      <w:r>
        <w:rPr>
          <w:rFonts w:hint="eastAsia"/>
        </w:rPr>
        <w:t>加大抗诉工作力度和再审检察建议力度，重点监督纠正涉及民生和损害国家利益、社会公共利益以及严重违反法定程序或审判人员贪赃枉法、徇私舞弊导致的错误裁判。2011年受理审查民事行政申诉案件6宗，立案6宗。强化刑罚执行和监管活动法律监督。加强派驻监管场所检察室规范化建设，推进与监管场所信息联网和监控联网，推动建立刑罚变更执行同步监督机制。依法对减刑、假释、保外就医等情况严格监督，发现和消除隐患3次，起诉1宗4人在监仓内重新犯罪和追诉漏罪1宗1人，走访矫正人员23人。</w:t>
      </w:r>
    </w:p>
    <w:p w14:paraId="525C07FD">
      <w:pPr>
        <w:pStyle w:val="4"/>
      </w:pPr>
      <w:r>
        <w:rPr>
          <w:rFonts w:hint="eastAsia"/>
        </w:rPr>
        <w:t>【阳光检务】</w:t>
      </w:r>
    </w:p>
    <w:p w14:paraId="5FF0D623">
      <w:pPr>
        <w:ind w:firstLine="420"/>
      </w:pPr>
      <w:r>
        <w:rPr>
          <w:rFonts w:hint="eastAsia"/>
        </w:rPr>
        <w:t>把深入推进阳光检务当作一项重要工作来抓，进一步公开阳光检务的内容，设置检务公开大厅，购置检务公开的办公设施和方便群众了解检察业务的电子触摸屏，拓宽公开的渠道，完善公开方式，推进阳光检务工作的制度化、长效化、规范化。使检察工作更加透明、公开和公正，提升社会各界、人大代表和政协委员对检察工作的满意度，提升检察工作的公信力，进一步促进各项检察工作的发展。     （孔令军）</w:t>
      </w:r>
    </w:p>
    <w:p w14:paraId="2A32C4E4">
      <w:pPr>
        <w:ind w:firstLine="0" w:firstLineChars="0"/>
        <w:rPr>
          <w:b/>
          <w:bCs/>
        </w:rPr>
      </w:pPr>
      <w:r>
        <w:rPr>
          <w:rFonts w:hint="eastAsia"/>
          <w:b/>
          <w:bCs/>
        </w:rPr>
        <w:t>附：2011年市检察院领导班子成员名单</w:t>
      </w:r>
    </w:p>
    <w:p w14:paraId="6F411E5D">
      <w:pPr>
        <w:ind w:firstLine="0" w:firstLineChars="0"/>
      </w:pPr>
      <w:r>
        <w:rPr>
          <w:rFonts w:hint="eastAsia"/>
        </w:rPr>
        <w:t>检察长：栾怀持（任至8月）</w:t>
      </w:r>
    </w:p>
    <w:p w14:paraId="624535B2">
      <w:pPr>
        <w:ind w:left="840" w:leftChars="400" w:firstLine="0" w:firstLineChars="0"/>
      </w:pPr>
      <w:r>
        <w:rPr>
          <w:rFonts w:hint="eastAsia"/>
        </w:rPr>
        <w:t>赖正志（8月任）</w:t>
      </w:r>
    </w:p>
    <w:p w14:paraId="775894AD">
      <w:pPr>
        <w:ind w:firstLine="0" w:firstLineChars="0"/>
      </w:pPr>
      <w:r>
        <w:rPr>
          <w:rFonts w:hint="eastAsia"/>
        </w:rPr>
        <w:t>副检察长：刘辉林 利保登</w:t>
      </w:r>
    </w:p>
    <w:p w14:paraId="31872071">
      <w:pPr>
        <w:ind w:left="1050" w:leftChars="500" w:firstLine="0" w:firstLineChars="0"/>
      </w:pPr>
      <w:r>
        <w:rPr>
          <w:rFonts w:hint="eastAsia"/>
        </w:rPr>
        <w:t>贺真（任至7月）</w:t>
      </w:r>
    </w:p>
    <w:p w14:paraId="167B9D60">
      <w:pPr>
        <w:ind w:left="1050" w:leftChars="500" w:firstLine="0" w:firstLineChars="0"/>
      </w:pPr>
      <w:r>
        <w:rPr>
          <w:rFonts w:hint="eastAsia"/>
        </w:rPr>
        <w:t>王晓云（7月任）</w:t>
      </w:r>
    </w:p>
    <w:p w14:paraId="32C88C00">
      <w:pPr>
        <w:ind w:firstLine="0" w:firstLineChars="0"/>
      </w:pPr>
      <w:r>
        <w:rPr>
          <w:rFonts w:hint="eastAsia"/>
        </w:rPr>
        <w:t>党组成员兼纪检组长：李兵</w:t>
      </w:r>
    </w:p>
    <w:p w14:paraId="0099361F">
      <w:pPr>
        <w:ind w:firstLine="0" w:firstLineChars="0"/>
      </w:pPr>
      <w:r>
        <w:rPr>
          <w:rFonts w:hint="eastAsia"/>
        </w:rPr>
        <w:t>党组成员兼政工科长：刘军</w:t>
      </w:r>
    </w:p>
    <w:p w14:paraId="01735A52">
      <w:pPr>
        <w:pStyle w:val="3"/>
      </w:pPr>
      <w:r>
        <w:rPr>
          <w:rFonts w:hint="eastAsia"/>
        </w:rPr>
        <w:t>审判</w:t>
      </w:r>
    </w:p>
    <w:p w14:paraId="66D264CD">
      <w:pPr>
        <w:pStyle w:val="4"/>
      </w:pPr>
      <w:r>
        <w:rPr>
          <w:rFonts w:hint="eastAsia"/>
        </w:rPr>
        <w:t>【概况】</w:t>
      </w:r>
    </w:p>
    <w:p w14:paraId="6DAC69C4">
      <w:pPr>
        <w:ind w:firstLine="420"/>
      </w:pPr>
      <w:r>
        <w:rPr>
          <w:rFonts w:hint="eastAsia"/>
        </w:rPr>
        <w:t>南雄市人民法院（以下简称市法院）位于南雄市雄州街道新城林荫西路11号，现有干警86人。内设机构13个：政工科、办公室、监察（纪检）室、研究室、审判管理办公室、书记员管理办公室、立案庭、民事审判第一、二、三庭、刑事审判庭、行政审判庭、执行局。直属机构1个：法警大队。派出机构3个：乌迳法庭、湖口法庭、全安法庭。</w:t>
      </w:r>
    </w:p>
    <w:p w14:paraId="3CD8427E">
      <w:pPr>
        <w:ind w:firstLine="420"/>
      </w:pPr>
      <w:r>
        <w:rPr>
          <w:rFonts w:hint="eastAsia"/>
        </w:rPr>
        <w:t>2011年，开展“发扬传统、坚定信念、执法为民”主题教育活动，开展“创先争优、争当人民满意公务员”活动和南雄市委组织开展的“履行职责、加快发展年”的活动，开展“社会主义法治理念再学习再教育”的教育活动，为努力建设一支高素质的法院队伍，确保司法公正廉洁，打下良好的基础。全年受理各类案件1823件（与上年同比减少1.1%），审、执结案件1788件（与上年同比减少0.5%），结案率为98.1%，解决诉讼标的金额6920.18万元。</w:t>
      </w:r>
    </w:p>
    <w:p w14:paraId="4353413B">
      <w:pPr>
        <w:pStyle w:val="4"/>
      </w:pPr>
      <w:r>
        <w:rPr>
          <w:rFonts w:hint="eastAsia"/>
        </w:rPr>
        <w:t>【刑事审判】</w:t>
      </w:r>
    </w:p>
    <w:p w14:paraId="197EE46D">
      <w:pPr>
        <w:ind w:firstLine="420"/>
      </w:pPr>
      <w:r>
        <w:rPr>
          <w:rFonts w:hint="eastAsia"/>
        </w:rPr>
        <w:t>2011年受理各类刑事案件84件118人，已全部审结。判处十年以上有期徒刑的罪犯有14人，判处三年以上十年以下有期徒刑的罪犯有30人，判处三年以下有期徒刑、拘役的罪犯有74人。在刑事审判中，始终坚持“宽严相济”的刑事政策，积极推进量刑规范化建设，依法严惩严重刑事犯罪，维护社会稳定；积极推行刑事诉讼和解及附带民事诉讼调解制度，注重对刑事附带民事赔偿的调解，全年刑事附带民事赔偿和解调解率达69.5%。</w:t>
      </w:r>
    </w:p>
    <w:p w14:paraId="72065BE9">
      <w:pPr>
        <w:pStyle w:val="4"/>
      </w:pPr>
      <w:r>
        <w:rPr>
          <w:rFonts w:hint="eastAsia"/>
        </w:rPr>
        <w:t>【民事审判】</w:t>
      </w:r>
    </w:p>
    <w:p w14:paraId="5BDF3B57">
      <w:pPr>
        <w:ind w:firstLine="420"/>
      </w:pPr>
      <w:r>
        <w:rPr>
          <w:rFonts w:hint="eastAsia"/>
        </w:rPr>
        <w:t>2011年受理民商事案件1323件，结案1293件，结案率97.7%，解决标的金额4887.79万元。在审结案件中，调解、撤诉结案的935件，调撤率达72.3%。民事审判始终坚持“司法为民、能动司法”的理念，贯彻“能调则调，调解优先，调判结合，案结事了”的办案原则，审理好各类纠纷案件，努力化解社会矛盾，维护社会和谐稳定。</w:t>
      </w:r>
    </w:p>
    <w:p w14:paraId="65646DC4">
      <w:pPr>
        <w:pStyle w:val="4"/>
      </w:pPr>
      <w:r>
        <w:rPr>
          <w:rFonts w:hint="eastAsia"/>
        </w:rPr>
        <w:t>【行政审判】</w:t>
      </w:r>
    </w:p>
    <w:p w14:paraId="787B2DE2">
      <w:pPr>
        <w:ind w:firstLine="420"/>
      </w:pPr>
      <w:r>
        <w:rPr>
          <w:rFonts w:hint="eastAsia"/>
        </w:rPr>
        <w:t>2011年受理行政案件9件，结案9件。审查计划生育社会抚养费征收等各类行政非诉案件130件。在行政审判工作中，坚持从促进依法行政和维护社会稳定的大局出发，及时化解矛盾，减少社会不稳定因素，做到既监督行政机关依法行政，又保护行政管理相对人的合法权益，促进行政机关依法行使社会管理职能，推进我市文明管理和依法治市进程。</w:t>
      </w:r>
    </w:p>
    <w:p w14:paraId="6045E0F8">
      <w:pPr>
        <w:pStyle w:val="4"/>
      </w:pPr>
      <w:r>
        <w:rPr>
          <w:rFonts w:hint="eastAsia"/>
        </w:rPr>
        <w:t>【执行工作】</w:t>
      </w:r>
    </w:p>
    <w:p w14:paraId="26DF0970">
      <w:pPr>
        <w:ind w:firstLine="420"/>
      </w:pPr>
      <w:r>
        <w:rPr>
          <w:rFonts w:hint="eastAsia"/>
        </w:rPr>
        <w:t>2011年受理各类执行案件407件，执结402件，执结率为99.8%。申请执行标的额2353.2万元，已执结标的额2030.3万元，执行标的额实际到位率86.3%。在执行工作中，推行阳光执行、建立执行公开、听证等制度，强化执行措施，加大执行力度，最大限度地提高执结率和执行财产实际到位率，促进执行工作的良性循环。</w:t>
      </w:r>
    </w:p>
    <w:p w14:paraId="7BE72D3C">
      <w:pPr>
        <w:pStyle w:val="4"/>
      </w:pPr>
      <w:r>
        <w:rPr>
          <w:rFonts w:hint="eastAsia"/>
        </w:rPr>
        <w:t>【开展审判、执行公开活动】</w:t>
      </w:r>
    </w:p>
    <w:p w14:paraId="47F9C506">
      <w:pPr>
        <w:ind w:firstLine="420"/>
      </w:pPr>
      <w:r>
        <w:rPr>
          <w:rFonts w:hint="eastAsia"/>
        </w:rPr>
        <w:t>2011年，核查、评查计248件案件，没有发现案件质量问题。完善被二审改判和发回重审案评查办法。通过案件核查、评查，有效促进司法公正。完善邀请人大代表、政协委员参加“百庭观摩”和人大代表、政协委员参加“见证执行”活动，增强人大监督工作的针对性和实效性，促进我院审判、执行法官规范行为。全年共联络代表、委员计140多人次。邀请人大代表参与“百案调解”，促使法官转变工作作风、热忱服务群众，化解社会矛盾，为构建和谐社会和经济可持续发展做出贡献。聘请部分人大代表为廉政监督员，充分落实人大监督的意见，不断完善外部监督，从而促进法院工作的科学发展。完善人民陪审员制度，成立人民陪审员工作指导小组，制定包括人民陪审员名额的提出、选任、培训、表彰、奖励、补助、免职等具体办法，人选来源于妇联、教师等20多个部门，具有广泛性、代表性。</w:t>
      </w:r>
    </w:p>
    <w:p w14:paraId="20C5292C">
      <w:pPr>
        <w:pStyle w:val="4"/>
      </w:pPr>
      <w:r>
        <w:rPr>
          <w:rFonts w:hint="eastAsia"/>
        </w:rPr>
        <w:t>【落实司法为民措施】</w:t>
      </w:r>
    </w:p>
    <w:p w14:paraId="7B797BA6">
      <w:pPr>
        <w:ind w:firstLine="420"/>
      </w:pPr>
      <w:r>
        <w:rPr>
          <w:rFonts w:hint="eastAsia"/>
        </w:rPr>
        <w:t>市法院继续以“便民、为民、利民”作为工作的出发点和落脚点，加强立案信访“窗口”建设，简化立案手续，依法及时受理群众诉求；建立“绿色诉讼通道”，依法为弱势群体当事人行使权利提供便利；保障困难群众权益，对经济确有困难的当事人，依法准予缓、减、免交诉讼费，体现司法的人文关怀，努力为群众提供优质、便利的司法服务。审查立案1823件，立案及时率、准确率均达到100%。为当事人缓、减、免诉讼费共计60950元。成立“诉前联调”工作室，年内调结案件76件。落实最高院提出的“四个必须、五项制度”措施，全年接到群众来信、来访案件85件，信访总量与上一年的137件次比较，信访总量减少了38%，首次将信访总量控制在100件次内，信访工作取得突破性的成效。加强交通事故巡回法庭的工作，按照快立、快审、快结的“一站式”服务方式，高效、低成本地审结交通事故人身损害赔偿案件，把社会矛盾化解在萌芽状态。2011年，办理交通事故人身损害赔偿案件189宗，总标的额600余万元，兑现率达百分之百。取得良好的法律效果和社会效果。</w:t>
      </w:r>
    </w:p>
    <w:p w14:paraId="04F6D1AA">
      <w:pPr>
        <w:pStyle w:val="4"/>
      </w:pPr>
      <w:r>
        <w:rPr>
          <w:rFonts w:hint="eastAsia"/>
        </w:rPr>
        <w:t>【开展量刑规范化改革】</w:t>
      </w:r>
    </w:p>
    <w:p w14:paraId="42701FB1">
      <w:pPr>
        <w:ind w:firstLine="420"/>
      </w:pPr>
      <w:r>
        <w:rPr>
          <w:rFonts w:hint="eastAsia"/>
        </w:rPr>
        <w:t>“规范裁量权，将量刑纳入法庭审理程序”是中央确定的重要司法改革项目，也是人民法院第三个五年改革纲要的重要内容，是当前刑事审判改革的焦点热点问题。目的在于进一步规范量刑活动，规范法官裁量权，同时将量刑纳入法庭审理程序，引入量刑建议，增强量刑公开性与透明度。市法院严格执行最高人民法院的《人民法院量刑指导意见（试行）》以及《关于规范量刑程序若干问题的意见（试行）》两个指导性文件。确定未成年犯、未遂犯、自首、立功等14种常见量刑情节对基准刑的调节幅度，对交通肇事、故意伤害、抢劫、盗窃、毒品等15种犯罪进行规范。统一量刑方法和步骤、量刑情节适用标准，使量刑越来越公正和精细，确保量刑公平公正。在程序方面，把量刑活动纳入法庭审理程序，在法庭审理过程中增加量刑控辩程序。审判法官听取控辩双方以及其他当事人提出的量刑建议或意见，保障被告人能够获得充分的量刑辩护权，保障被害人参与量刑活动；在裁判文书中说明量刑理由。在实体方面，采用定性分析与定量分析相结合的量刑方法，进行综合量刑，并总结出自首、认罪、累犯、赔偿损失等13种常见量刑情节对基准刑的调节幅度。通过规范化改革，一是实现量刑的公正和均衡，案件质量和效率明显提高，实现社会公平正义。二是增强量刑的公开性和透明度，有效制约“人情案、关系案、金钱案”的发生，实现公正廉洁司法。三是推动刑事司法公正的良性运转，提高人民法院的公信力和权威性。             （叶贤斌）</w:t>
      </w:r>
    </w:p>
    <w:p w14:paraId="677E68E0">
      <w:pPr>
        <w:ind w:firstLine="0" w:firstLineChars="0"/>
        <w:rPr>
          <w:b/>
          <w:bCs/>
        </w:rPr>
      </w:pPr>
      <w:r>
        <w:rPr>
          <w:rFonts w:hint="eastAsia"/>
          <w:b/>
          <w:bCs/>
        </w:rPr>
        <w:t>附：2011年市人民法院领导班子成员名单</w:t>
      </w:r>
    </w:p>
    <w:p w14:paraId="68488CB6">
      <w:pPr>
        <w:ind w:firstLine="0" w:firstLineChars="0"/>
      </w:pPr>
      <w:r>
        <w:rPr>
          <w:rFonts w:hint="eastAsia"/>
        </w:rPr>
        <w:t>党组书记、院长：肖裕忠</w:t>
      </w:r>
    </w:p>
    <w:p w14:paraId="6D635A40">
      <w:pPr>
        <w:ind w:firstLine="0" w:firstLineChars="0"/>
      </w:pPr>
      <w:r>
        <w:rPr>
          <w:rFonts w:hint="eastAsia"/>
        </w:rPr>
        <w:t>副院长：谢雄生（任至8月）</w:t>
      </w:r>
    </w:p>
    <w:p w14:paraId="2BFBA945">
      <w:pPr>
        <w:ind w:left="840" w:leftChars="400" w:firstLine="0" w:firstLineChars="0"/>
      </w:pPr>
      <w:r>
        <w:rPr>
          <w:rFonts w:hint="eastAsia"/>
        </w:rPr>
        <w:t>贺真（8月任）</w:t>
      </w:r>
    </w:p>
    <w:p w14:paraId="6A99DF59">
      <w:pPr>
        <w:ind w:left="840" w:leftChars="400" w:firstLine="0" w:firstLineChars="0"/>
      </w:pPr>
      <w:r>
        <w:rPr>
          <w:rFonts w:hint="eastAsia"/>
        </w:rPr>
        <w:t>何文涛 王文森</w:t>
      </w:r>
    </w:p>
    <w:p w14:paraId="262F5DAE">
      <w:pPr>
        <w:ind w:firstLine="0" w:firstLineChars="0"/>
      </w:pPr>
      <w:r>
        <w:rPr>
          <w:rFonts w:hint="eastAsia"/>
        </w:rPr>
        <w:t>党组成员：郑章新 阳华 陈建麟</w:t>
      </w:r>
    </w:p>
    <w:p w14:paraId="6852851B">
      <w:pPr>
        <w:pStyle w:val="3"/>
      </w:pPr>
      <w:r>
        <w:rPr>
          <w:rFonts w:hint="eastAsia"/>
        </w:rPr>
        <w:t>司法行政</w:t>
      </w:r>
    </w:p>
    <w:p w14:paraId="19BC3609">
      <w:pPr>
        <w:pStyle w:val="4"/>
      </w:pPr>
      <w:r>
        <w:rPr>
          <w:rFonts w:hint="eastAsia"/>
        </w:rPr>
        <w:t>【概况】</w:t>
      </w:r>
    </w:p>
    <w:p w14:paraId="2A912275">
      <w:pPr>
        <w:ind w:firstLine="420"/>
      </w:pPr>
      <w:r>
        <w:rPr>
          <w:rFonts w:hint="eastAsia"/>
        </w:rPr>
        <w:t>1981年2月成立南雄县司法局，局内设：政工科（副科级）、办公室、宣教股、基层股、公律股、南雄市公证处、南雄市法律援助处、广东永顺律师事务所。18个乡镇（街道）设司法所。2011年，局机关人员编制数为19人，在编人员18人；南雄市公职律师事务所人员编制数为5人，在编人员1人；南雄市公证处人员编制数为5人，在编人员1人；南雄市法律援助处人员编制数为3人，在编人员2人。乡镇（街道）司法所人员编制数37人，在编人员29人。</w:t>
      </w:r>
    </w:p>
    <w:p w14:paraId="69ACA621">
      <w:pPr>
        <w:pStyle w:val="4"/>
      </w:pPr>
      <w:r>
        <w:rPr>
          <w:rFonts w:hint="eastAsia"/>
        </w:rPr>
        <w:t>【普法教育和法学教育】</w:t>
      </w:r>
    </w:p>
    <w:p w14:paraId="0EE85350">
      <w:pPr>
        <w:ind w:firstLine="420"/>
      </w:pPr>
      <w:r>
        <w:rPr>
          <w:rFonts w:hint="eastAsia"/>
        </w:rPr>
        <w:t>南雄市普法部门严格按照上级普法主管部门的部署和全国法治市（县）创建工作要求，在全面总结“五五”普法工作的基础上，认真组织实施“六五”普法工作。坚持以推进依法治市、建设文明法治南雄为总揽，以推进领导干部、国家公务员、青少年和企业经营管理人员和外来务工人员的学法用法为重点，以宣传《宪法》等国家基本法律以及与经济社会发展、与社会和谐稳定、与民生密切相关的法律法规为主要内容，以“法律六进”为平台，积极创新法制宣传方式方法，提高普法实效，推进普法工作的深入开展，有力促进“和谐南雄、平安南雄、法治南雄”建设。2011年12月，市普法办组织全市机关、企事业干部、职工9500人参加年度普法教育和考试，参考率98.5%，合格率100%；并于“三八”妇女节、“6.26”国际禁毒日、“12.4”法制宣传日联合相关部门开展法制宣传活动，发放资料6400多份，接受法律咨询820人次。</w:t>
      </w:r>
    </w:p>
    <w:p w14:paraId="5E9C6310">
      <w:pPr>
        <w:pStyle w:val="4"/>
      </w:pPr>
      <w:r>
        <w:rPr>
          <w:rFonts w:hint="eastAsia"/>
        </w:rPr>
        <w:t>【公证工作】</w:t>
      </w:r>
    </w:p>
    <w:p w14:paraId="79EDCA80">
      <w:pPr>
        <w:ind w:firstLine="420"/>
      </w:pPr>
      <w:r>
        <w:rPr>
          <w:rFonts w:hint="eastAsia"/>
        </w:rPr>
        <w:t>按照省司法厅提出的拓展和规范法律服务的要求，从解决当前公证队伍存在人员缺少的问题入手，以提高公证效率、确保公证质量为主题，认真组织公证人员开展多层次的业务培训和理论研讨活动，进一步规范公证工作，提升公证服务能力，改善公证执业环境。2011年，办结各类公证475件，其中：国内民事公证390件，涉外公证85件。为机关和个人、企事业单位提供优质的公证服务，有效地防止纠纷案件的发生，收到良好的社会效果。</w:t>
      </w:r>
    </w:p>
    <w:p w14:paraId="77D09BBD">
      <w:pPr>
        <w:pStyle w:val="4"/>
      </w:pPr>
      <w:r>
        <w:rPr>
          <w:rFonts w:hint="eastAsia"/>
        </w:rPr>
        <w:t>【律师工作】</w:t>
      </w:r>
    </w:p>
    <w:p w14:paraId="2EA8E27E">
      <w:pPr>
        <w:ind w:firstLine="420"/>
      </w:pPr>
      <w:r>
        <w:rPr>
          <w:rFonts w:hint="eastAsia"/>
        </w:rPr>
        <w:t>2011年，永顺律师事务所律师担任常年法律顾问5家，办理各类案件28件，非诉讼法律事务6件。</w:t>
      </w:r>
    </w:p>
    <w:p w14:paraId="3FDF183E">
      <w:pPr>
        <w:pStyle w:val="4"/>
      </w:pPr>
      <w:r>
        <w:rPr>
          <w:rFonts w:hint="eastAsia"/>
        </w:rPr>
        <w:t>【法律援助】</w:t>
      </w:r>
    </w:p>
    <w:p w14:paraId="12D9686E">
      <w:pPr>
        <w:ind w:firstLine="420"/>
      </w:pPr>
      <w:r>
        <w:rPr>
          <w:rFonts w:hint="eastAsia"/>
        </w:rPr>
        <w:t>南雄市法律援助中心开通12348法律服务热线，为无能力或无完全能力支付法律服务费用的广大群众解决民事纠纷、进行法律咨询提供便捷的渠道，营造良好的法治氛围，切实维护社会稳定。2011年，市法律援助处受理援助案件92件，其中刑事辩护案件46件，民事代理案件45件，解答法律咨询398人次。</w:t>
      </w:r>
    </w:p>
    <w:p w14:paraId="2D41C885">
      <w:pPr>
        <w:pStyle w:val="4"/>
      </w:pPr>
      <w:r>
        <w:rPr>
          <w:rFonts w:hint="eastAsia"/>
        </w:rPr>
        <w:t>【基层法律服务】</w:t>
      </w:r>
    </w:p>
    <w:p w14:paraId="4621B30E">
      <w:pPr>
        <w:ind w:firstLine="420"/>
      </w:pPr>
      <w:r>
        <w:rPr>
          <w:rFonts w:hint="eastAsia"/>
        </w:rPr>
        <w:t>基层法律服务所着力加强司法行政基层基础建设，构建以司法所为平台的基层大调解格局，同时加强“人民调解室”的专业化建设，开拓维稳工作新领域，进一步加强资源整合，做好社会矫正、安置帮教工作；基层法律服务工作者认真扎实开展法律服务工作，发挥法律知识扎实、办案经验丰富等优势，积极协同司法所做好司法行政的各项工作，引导群众理性合法表达诉求，切实维护社会秩序稳定。</w:t>
      </w:r>
    </w:p>
    <w:p w14:paraId="68B62EE3">
      <w:pPr>
        <w:pStyle w:val="4"/>
      </w:pPr>
      <w:r>
        <w:rPr>
          <w:rFonts w:hint="eastAsia"/>
        </w:rPr>
        <w:t>【人民调解】</w:t>
      </w:r>
    </w:p>
    <w:p w14:paraId="7AEF8750">
      <w:pPr>
        <w:ind w:firstLine="420"/>
      </w:pPr>
      <w:r>
        <w:rPr>
          <w:rFonts w:hint="eastAsia"/>
        </w:rPr>
        <w:t>2011年，市各级调解组织和调解员调解矛盾纠纷453件，调解成功440件，成功率97.3%，防止“民转刑”案件7件，涉及7人，司法所参与调解疑难复杂纠纷52件，协助各镇（街道）政府（办事处）处理群体性社会矛盾纠纷42件，制止群体性械斗1件，防止群体性上访11件涉及154人，为维护社会和谐稳定作出积极贡献。</w:t>
      </w:r>
    </w:p>
    <w:p w14:paraId="61F19A1E">
      <w:pPr>
        <w:pStyle w:val="4"/>
      </w:pPr>
      <w:r>
        <w:rPr>
          <w:rFonts w:hint="eastAsia"/>
        </w:rPr>
        <w:t>【安置帮教工作】</w:t>
      </w:r>
    </w:p>
    <w:p w14:paraId="6552A014">
      <w:pPr>
        <w:ind w:firstLine="420"/>
      </w:pPr>
      <w:r>
        <w:rPr>
          <w:rFonts w:hint="eastAsia"/>
        </w:rPr>
        <w:t>各基层司法所严格按照安置帮教工作要求，做到1人1档，对刑释解教人员定期帮教，及时了解他们的生产、生活和思想情况，切实协调有关部门解决他们的实际困难，预防和减少重新犯罪。2011年，接受到刑释解教67人的通知书，其中刑释人员64人，解教人员3人。</w:t>
      </w:r>
    </w:p>
    <w:p w14:paraId="719B60E6">
      <w:pPr>
        <w:pStyle w:val="4"/>
      </w:pPr>
      <w:r>
        <w:rPr>
          <w:rFonts w:hint="eastAsia"/>
        </w:rPr>
        <w:t>【社区矫正工作】</w:t>
      </w:r>
    </w:p>
    <w:p w14:paraId="5D017F27">
      <w:pPr>
        <w:ind w:firstLine="420"/>
      </w:pPr>
      <w:r>
        <w:rPr>
          <w:rFonts w:hint="eastAsia"/>
        </w:rPr>
        <w:t>社区矫正工作主要围绕“迎大运、保平安”活动及其相关的会议、文件、通知精神和要求进行。一是重新对符合社区矫正人员进行摸底，做到人员齐，情况明；二是排查出重点的社区矫正人员，实行重点掌控；三是按照“应收尽收”的原则，加快接受社区矫正人员进度；四是进一步规范社区矫正监管工作。2011年，累计接受社区矫正人员41人，解除17人，在册人数24人。</w:t>
      </w:r>
    </w:p>
    <w:p w14:paraId="04E0C74A">
      <w:pPr>
        <w:pStyle w:val="4"/>
      </w:pPr>
      <w:r>
        <w:rPr>
          <w:rFonts w:hint="eastAsia"/>
        </w:rPr>
        <w:t>【队伍建设】</w:t>
      </w:r>
    </w:p>
    <w:p w14:paraId="10272F53">
      <w:pPr>
        <w:ind w:firstLine="420"/>
      </w:pPr>
      <w:r>
        <w:rPr>
          <w:rFonts w:hint="eastAsia"/>
        </w:rPr>
        <w:t>2011年，南雄市司法局的队伍建设工作以“创先争优”主题教育实践活动为载体，以“履行职责、加快发展”活动为抓手，以落实“社会矛盾化解、社会管理创新、公正廉洁执法”三项工作为重点，通过大力加强领导班子建设、思想政治建设、教育培训、干部队伍建设、党的建设等活动，有力促进全局司法行政工作水平的整体提升，进一步打造一支公正廉洁的司法行政干部队伍。</w:t>
      </w:r>
    </w:p>
    <w:p w14:paraId="300D121F">
      <w:pPr>
        <w:ind w:firstLine="420"/>
        <w:jc w:val="right"/>
      </w:pPr>
      <w:r>
        <w:rPr>
          <w:rFonts w:hint="eastAsia"/>
        </w:rPr>
        <w:t>（王小清）</w:t>
      </w:r>
    </w:p>
    <w:p w14:paraId="3B6202DA">
      <w:pPr>
        <w:ind w:firstLine="0" w:firstLineChars="0"/>
        <w:rPr>
          <w:b/>
          <w:bCs/>
        </w:rPr>
      </w:pPr>
      <w:r>
        <w:rPr>
          <w:rFonts w:hint="eastAsia"/>
          <w:b/>
          <w:bCs/>
        </w:rPr>
        <w:t>附：2011年市司法局领导班子成员名单</w:t>
      </w:r>
    </w:p>
    <w:p w14:paraId="2FFEA72B">
      <w:pPr>
        <w:ind w:firstLine="0" w:firstLineChars="0"/>
      </w:pPr>
      <w:r>
        <w:rPr>
          <w:rFonts w:hint="eastAsia"/>
        </w:rPr>
        <w:t>局长：陈志雄</w:t>
      </w:r>
    </w:p>
    <w:p w14:paraId="133707ED">
      <w:pPr>
        <w:ind w:firstLine="0" w:firstLineChars="0"/>
      </w:pPr>
      <w:r>
        <w:rPr>
          <w:rFonts w:hint="eastAsia"/>
        </w:rPr>
        <w:t>副局长：李集光 钟爱莲</w:t>
      </w:r>
    </w:p>
    <w:p w14:paraId="45B2E297">
      <w:pPr>
        <w:ind w:firstLine="0" w:firstLineChars="0"/>
      </w:pPr>
      <w:r>
        <w:rPr>
          <w:rFonts w:hint="eastAsia"/>
        </w:rPr>
        <w:t>纪检组长：邓彩军</w:t>
      </w:r>
    </w:p>
    <w:p w14:paraId="45DEDB65">
      <w:pPr>
        <w:ind w:firstLine="0" w:firstLineChars="0"/>
      </w:pPr>
    </w:p>
    <w:tbl>
      <w:tblPr>
        <w:tblStyle w:val="15"/>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4E576C1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3E941C70">
            <w:pPr>
              <w:ind w:firstLine="0" w:firstLineChars="0"/>
            </w:pPr>
            <w:r>
              <w:rPr>
                <w:rFonts w:hint="eastAsia"/>
              </w:rPr>
              <w:drawing>
                <wp:inline distT="0" distB="0" distL="114300" distR="114300">
                  <wp:extent cx="6177915" cy="2806065"/>
                  <wp:effectExtent l="0" t="0" r="13335" b="13335"/>
                  <wp:docPr id="8" name="图片 8" descr="南雄年鉴201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南雄年鉴2012-39"/>
                          <pic:cNvPicPr>
                            <a:picLocks noChangeAspect="1"/>
                          </pic:cNvPicPr>
                        </pic:nvPicPr>
                        <pic:blipFill>
                          <a:blip r:embed="rId92" cstate="print"/>
                          <a:stretch>
                            <a:fillRect/>
                          </a:stretch>
                        </pic:blipFill>
                        <pic:spPr>
                          <a:xfrm>
                            <a:off x="0" y="0"/>
                            <a:ext cx="6177915" cy="2806065"/>
                          </a:xfrm>
                          <a:prstGeom prst="rect">
                            <a:avLst/>
                          </a:prstGeom>
                        </pic:spPr>
                      </pic:pic>
                    </a:graphicData>
                  </a:graphic>
                </wp:inline>
              </w:drawing>
            </w:r>
          </w:p>
        </w:tc>
      </w:tr>
    </w:tbl>
    <w:p w14:paraId="456C37FE">
      <w:pPr>
        <w:ind w:firstLine="0" w:firstLineChars="0"/>
      </w:pPr>
    </w:p>
    <w:p w14:paraId="6C7B7A70">
      <w:pPr>
        <w:pStyle w:val="2"/>
        <w:ind w:firstLine="883"/>
      </w:pPr>
      <w:r>
        <w:rPr>
          <w:rFonts w:hint="eastAsia"/>
        </w:rPr>
        <w:t>军事</w:t>
      </w:r>
    </w:p>
    <w:p w14:paraId="44335D92">
      <w:pPr>
        <w:pStyle w:val="3"/>
      </w:pPr>
      <w:r>
        <w:rPr>
          <w:rFonts w:hint="eastAsia"/>
        </w:rPr>
        <w:t>人民武装</w:t>
      </w:r>
    </w:p>
    <w:p w14:paraId="54AB6E6E">
      <w:pPr>
        <w:pStyle w:val="4"/>
      </w:pPr>
      <w:r>
        <w:rPr>
          <w:rFonts w:hint="eastAsia"/>
        </w:rPr>
        <w:t>【概况】</w:t>
      </w:r>
    </w:p>
    <w:p w14:paraId="6DF69C9E">
      <w:pPr>
        <w:ind w:firstLine="420"/>
      </w:pPr>
      <w:r>
        <w:rPr>
          <w:rFonts w:hint="eastAsia"/>
        </w:rPr>
        <w:t>广东省南雄市人民武装部（以下简称市人武部）位于市区光明西路，为正团级军事机关。设部长、政委各1名，市委书记兼任人武部党委第一书记，机关设军事科、政工科、后勤科，同时管理着市民兵武器装备仓库和国防教育训练基地。编制现役军官和职工二十余人，辖基层武装部21个，专武干部45人。南雄市设人民武装委员会和国防动员委员会管理全市武装工作，办公室设在市人武部军事科。</w:t>
      </w:r>
    </w:p>
    <w:p w14:paraId="35191150">
      <w:pPr>
        <w:ind w:firstLine="420"/>
      </w:pPr>
      <w:r>
        <w:rPr>
          <w:rFonts w:hint="eastAsia"/>
        </w:rPr>
        <w:t>2011年，市人武部在本职岗位上，为国防军队建设出谋，为地方经济社会发展出力，取得较为丰硕的成果。完成弹药销毁、民兵整组、党管武装现场会表演、征兵、处突抢险等工作任务。</w:t>
      </w:r>
    </w:p>
    <w:p w14:paraId="6C17CBCA">
      <w:pPr>
        <w:pStyle w:val="4"/>
      </w:pPr>
      <w:r>
        <w:rPr>
          <w:rFonts w:hint="eastAsia"/>
        </w:rPr>
        <w:t>【思想政治】</w:t>
      </w:r>
    </w:p>
    <w:p w14:paraId="630675C5">
      <w:pPr>
        <w:ind w:firstLine="420"/>
      </w:pPr>
      <w:r>
        <w:rPr>
          <w:rFonts w:hint="eastAsia"/>
        </w:rPr>
        <w:t>市人武部加强思想政治建设，打牢部队高举旗帜、听党指挥的思想根基。准确把握思想政治建设面临的新任务新要求，把中国特色社会主义理论体系的根本立场、基本观点、科学方法贯穿于思想政治建设实践，努力使思想政治建设适应新形势、实现新发展。一是突出抓好中国特色社会主义理论武装，扎实做好“双应”政治工作准备。二是扎实有效地开展学习实践科学发展观活动，努力把以人为本、统筹兼顾、质量效益、务实创新等理念，进一步转化为推动科学发展的坚强意志、谋划科学发展的正确思路、领导科学发展的实际能力、促进科学发展的制度措施。三是深化当代革命军人核心价值观培育。围绕坚定理想信念、忠实履行使命强化战斗精神、纯洁道德情操，以强烈的政治责任感和使命感，积极投入到深化培育活动中来。四是努力提升党建科学水平，继续开展好</w:t>
      </w:r>
      <w:r>
        <w:rPr>
          <w:rFonts w:hint="eastAsia"/>
          <w:lang w:eastAsia="zh-CN"/>
        </w:rPr>
        <w:t>庆祝建党</w:t>
      </w:r>
      <w:r>
        <w:rPr>
          <w:rFonts w:hint="eastAsia"/>
        </w:rPr>
        <w:t>90周年系列活动，不断增强引领部队建设科学发展的能力。</w:t>
      </w:r>
    </w:p>
    <w:p w14:paraId="32F2AABB">
      <w:pPr>
        <w:pStyle w:val="4"/>
      </w:pPr>
      <w:r>
        <w:rPr>
          <w:rFonts w:hint="eastAsia"/>
        </w:rPr>
        <w:t>【战备训练】</w:t>
      </w:r>
    </w:p>
    <w:p w14:paraId="7D23A0EB">
      <w:pPr>
        <w:ind w:firstLine="420"/>
      </w:pPr>
      <w:r>
        <w:rPr>
          <w:rFonts w:hint="eastAsia"/>
        </w:rPr>
        <w:t>按照《民兵军事训练与考核大纲》要求，市人武部认真拟制年度训练计划，立足现有武器装备和训练条件，本着突出重点，改进方法，注重实效的原则，坚持狠抓中心工作。坚持军事斗争准备龙头地位不动摇，从难、从严、正规化治训，全面提高各级各类人员训练质量。在年度军委扩大会议上，胡主席为拓展和深化军事斗争准备提出新的更高要求。必须进一步增强“三个基于”搞建设谋发展的意识，不断提高部队完成多样化军事任务的能力，使各项建设和工作高度自觉围绕“龙头”来开展和加强。随着军事斗争准备的不断深入，市人武部带领民兵预备役部队按照“平时服务、急时应急、战时应战”的要求，大抓军事训练，重点加强民兵应急分队和民兵专业分队的训练，添置装备，提高素质，增强完成多样化军事任务的能力。市民兵应急分队在协助公安人员担负南雄市的巡逻维稳、执勤处突、黄烟缉私等任务中，完成任务出色，受到上级党委、市委市政府的一致好评。在推进信息化建设上，市人武部坚持信息主导，全面巩固现有指挥信息系统建设成果，抓好作战指挥专网、一体化指挥平台、“北斗”卫星监控系统建设。严格落实作战数据库充实完善、重要防卫目标资料整编、军事设施保护等工作，进一步提高作战保障体系建设水平。全面深化按纲正规施训，大力开展岗位练兵活动，突出抓好基础课目、武器平台标准、信息终端精准训练。着眼增强指挥员、参谋人员的组织指挥能力和谋略水平，抓好干部特别是人武部干部训练，广泛开展“三手”、“四会”竞赛活动。5月7日，市民兵应急分队集训动员大会在市国防教育训练基地召开，市人武部部长郭英伦上校、副部长叶向京中校与人武部干部职工、参训分队官兵130余人参加大会。根据训练计划安排，从当天开始，市民兵应急分队将在基地开展为期15天的封闭式军事训练。</w:t>
      </w:r>
    </w:p>
    <w:p w14:paraId="23CFBC72">
      <w:pPr>
        <w:pStyle w:val="4"/>
      </w:pPr>
      <w:r>
        <w:rPr>
          <w:rFonts w:hint="eastAsia"/>
        </w:rPr>
        <w:t>【安全工作】</w:t>
      </w:r>
    </w:p>
    <w:p w14:paraId="5B5FB3BC">
      <w:pPr>
        <w:ind w:firstLine="420"/>
      </w:pPr>
      <w:r>
        <w:rPr>
          <w:rFonts w:hint="eastAsia"/>
        </w:rPr>
        <w:t>市人武部重视安全工作，年初便成立安全工作领导小组，落实安全形势分析和检查整改制度。认真学习贯彻《安全条例》，高标准抓好安全工作落实，按照依法从严治军的要求，把安全稳定工作作为各项工作的重中之重，在抓好平时管理教育的基础上，进一步深化安全发展理念，坚持党委领导和“主官亲自抓、负总责”的工作思路，严格责任追究制和落实干部问责制，始终盯住薄弱环节做工作，重点抓好战备值班、干部住库、车辆管理和枪弹动用等制度的落实，确保人员、车辆、武器装备和营院的安全稳定。积极配合地方做好退役人员的稳控工作，努力维护社会稳定、构建和谐社会作贡献。所有重要库室和岗位指定专人负责，做到定人、定岗、定责，较好地形成抓管理、讲安全、保稳定的氛围和合力。结合条令月活动和司机队伍教育整训，认真抓部队的安全稳定工作，针对排查出来的问题隐患，抓好整改落实，较好的纠正工作中存在的安全隐患。坚持经常性检查督促指导工作，发现和纠正存在的</w:t>
      </w:r>
      <w:r>
        <w:rPr>
          <w:rFonts w:hint="eastAsia"/>
          <w:lang w:eastAsia="zh-CN"/>
        </w:rPr>
        <w:t>安全隐患</w:t>
      </w:r>
      <w:r>
        <w:rPr>
          <w:rFonts w:hint="eastAsia"/>
        </w:rPr>
        <w:t>，做到人、车、枪、弹、库日日有检查，周周有讲评，月月有小结，确保部队安全无事故。6月3日，市民兵武器装备仓库报废危险品在广州军区、广东省军区及韶关军分区等领导、专家的指导下，在南雄市弹药销毁站集中销毁处理，市人武部部接到任务后，积极协调，科学筹划，严密组织，处理报废引信和多种弹药近1.5吨。10月，根据活动方案安排，市人武部组织开展人员、车辆安全教育整训活动，对全体干部职工进行为期5天的安全教育，对车辆进行全面维护检修，并重点对汽车驾驶员进行理论和实践考核。</w:t>
      </w:r>
    </w:p>
    <w:p w14:paraId="03E4883D">
      <w:pPr>
        <w:pStyle w:val="4"/>
      </w:pPr>
      <w:r>
        <w:rPr>
          <w:rFonts w:hint="eastAsia"/>
        </w:rPr>
        <w:t>【民兵组织整顿】</w:t>
      </w:r>
    </w:p>
    <w:p w14:paraId="30B03613">
      <w:pPr>
        <w:ind w:firstLine="420"/>
      </w:pPr>
      <w:r>
        <w:rPr>
          <w:rFonts w:hint="eastAsia"/>
        </w:rPr>
        <w:t>3月中旬至5月初，市人武部认真按照韶关军分区有关指示精神，全面开展后备力量组织整顿工作。整顿以党中央、国务院、中央军委关于国防后备力量建设和深化军事斗争的一系列重要指示为依据，紧紧围绕加强民兵预备役体系作战能力和成建制遂行任务能力建设，按照急时应急、战时应战的需求，结合本地实际，以“编强建实、提高兵员素质”为目标，深化“规范后备力量各支队伍组建秩序”成果，通过规范编组秩序，优化组织结构，改进编组方式，狠抓兵员落实，进一步提高后备力量组织建设质量，有效提升民兵预备役部队遂行多样化军事任务能力。通过民兵组织整顿，进一步落实编制和人员，为全面提高民兵参战支前和维护社会稳定打下基础。同时，重点对有动员任务的分队和人员进行核对和编组，为应急作战兵员动员提供可靠的依据。</w:t>
      </w:r>
    </w:p>
    <w:p w14:paraId="39154BCE">
      <w:pPr>
        <w:pStyle w:val="4"/>
      </w:pPr>
      <w:r>
        <w:rPr>
          <w:rFonts w:hint="eastAsia"/>
        </w:rPr>
        <w:t>【兵役工作】</w:t>
      </w:r>
    </w:p>
    <w:p w14:paraId="450792C4">
      <w:pPr>
        <w:ind w:firstLine="420"/>
      </w:pPr>
      <w:r>
        <w:rPr>
          <w:rFonts w:hint="eastAsia"/>
        </w:rPr>
        <w:t>市人武部积极并向南雄市主要领导进行专题汇报，协调召开“两委会”，成立征兵工作办公室。11月1日，组织召开南雄市2011年冬季征兵工作会议，会上全面传达学习市征兵会议精神，总结2010年征兵工作情况，讲明今冬征兵工作的特点、目标及要求，并对去年完成征集任务较好的先进单位和个人进行表彰。会上部署今冬征兵工作任务，何人平副市长代表征兵工作领导小组与各镇主官签订征兵任务责任书，2011年冬季征兵工作全面展开。12月20日，随着最后3名女兵交接运输完毕，南雄市今冬146名新兵的征集、交接、运输任务全面完成。今年该市登记退伍义务兵和复员、转业士官122人，其中21名城镇退役士兵和3名转业士官符合安置条件。按照政策，以一次性发放安置金，鼓励自谋职业的方式安置为主。全市有优待家庭325户，执行去年的优待标准，农村户口义务兵按上年度农村人均收入的100%发放，金额为5945元，城镇户口义务兵按上年度城镇人均收入的70%发放，金额为8320元。在部队立功受奖和获得优秀士兵的义务兵，还能获得优待金的相应比例的物质奖励。</w:t>
      </w:r>
    </w:p>
    <w:p w14:paraId="05C6E9B6">
      <w:pPr>
        <w:pStyle w:val="4"/>
      </w:pPr>
      <w:r>
        <w:rPr>
          <w:rFonts w:hint="eastAsia"/>
        </w:rPr>
        <w:t>【国防动员】</w:t>
      </w:r>
    </w:p>
    <w:p w14:paraId="6A0FDA06">
      <w:pPr>
        <w:ind w:firstLine="420"/>
      </w:pPr>
      <w:r>
        <w:rPr>
          <w:rFonts w:hint="eastAsia"/>
        </w:rPr>
        <w:t>市人武部贯彻落实全国国防教育工作会议精神，结合纪念《国防教育法》施行10周年活动，开展形势教育，抓好领导干部国防教育，打牢广大干部群众爱国拥军、参战支前的思想基础，增强全民国防观念。完善国防教育基地建设，进一步加强和改进学生军训工作。开展第二届党管武装好书记、好镇长评选活动，营造全社会关心支持国防建设的浓厚氛围。按照“研究任务、摸清潜力、确定布局、优化编组”的思路，论证基干民兵组训规模，稳步推动民兵建设转型。深入贯彻落实新《兵役法》和《国防动员法》，做好国防动员和征兵工作。进一步加大新《兵役法》和《国防动员法》的宣传力度，研究制定配套政策，做好基础性工作；加强对新形势下征兵工作新情况、新问题的研究，积极探索征集高文化素质青年的具体办法，采取有效措施，推动依法征兵、精确征兵的深入发展，高标准完成年度征兵和士官直招任务。加大经济、装备、信息动员准备力度，进一步搞好经济、装备、信息动员潜力的统计调查，摸清经济动员建设发展现状，落实好战备物资的储备。加强人防和交通战备道路基础设施建设，主要是加大人防指挥和防护工程及交通战备道路的基础设施建设。</w:t>
      </w:r>
    </w:p>
    <w:p w14:paraId="6DD9C65B">
      <w:pPr>
        <w:pStyle w:val="4"/>
      </w:pPr>
      <w:r>
        <w:rPr>
          <w:rFonts w:hint="eastAsia"/>
        </w:rPr>
        <w:t>【学生军训】</w:t>
      </w:r>
    </w:p>
    <w:p w14:paraId="3DD08C61">
      <w:pPr>
        <w:ind w:firstLine="420"/>
      </w:pPr>
      <w:r>
        <w:rPr>
          <w:rFonts w:hint="eastAsia"/>
        </w:rPr>
        <w:t>8月10日～23日，应南雄市教育局要求，根据国防动员委员会安排，市人武部副部长张文超中校带领专武干部和应急分队队员23人，为南雄市第一中学1500余名高一新生组织为期7天的国防教育与军事训练。通过教育训练，学生们掌握一定的国防军事知识，见识我国国防建设取得的丰硕成果，对国内外严峻形势有一个基本的了解，懂得发扬爱国主义精神，自觉履行国防义务的重要性，也初步掌握士兵的必备技术、战术基础知识，增强国防观念和组织纪律意识。</w:t>
      </w:r>
    </w:p>
    <w:p w14:paraId="207C94E2">
      <w:pPr>
        <w:pStyle w:val="4"/>
      </w:pPr>
      <w:r>
        <w:rPr>
          <w:rFonts w:hint="eastAsia"/>
        </w:rPr>
        <w:t>【后勤保障】</w:t>
      </w:r>
    </w:p>
    <w:p w14:paraId="33070B49">
      <w:pPr>
        <w:ind w:firstLine="420"/>
      </w:pPr>
      <w:r>
        <w:rPr>
          <w:rFonts w:hint="eastAsia"/>
        </w:rPr>
        <w:t>市人武部按照“开源节流，保障有力”的总体目标，进一步完善财务管理制度，严格规范财务管理行为，执行单位内部一系列财务制度，坚持把钱花在保障中心的“刀刃”上。特别是在年度进行的报废弹药危险品销毁、民兵干部和应急分队集训、三八班训练、征兵、党管武装现场会等大项活动中做到专款专用，保障有力。该部还积极强化财务队伍人员素质，注重成本控制、厉行节约，规范采购行为，落实大项经费上会研究等制度。按照信息化条件下训练的新要求，有针对性地解决部队后勤装备保障的重点难点问题，落实训练经费、弹药、油料和物资器材保障，形成围绕中心、服务中心、保障中心的良好局面。</w:t>
      </w:r>
    </w:p>
    <w:p w14:paraId="3941CA69">
      <w:pPr>
        <w:pStyle w:val="4"/>
      </w:pPr>
      <w:r>
        <w:rPr>
          <w:rFonts w:hint="eastAsia"/>
        </w:rPr>
        <w:t>【军民共建】</w:t>
      </w:r>
    </w:p>
    <w:p w14:paraId="7B44BAF5">
      <w:pPr>
        <w:ind w:firstLine="420"/>
      </w:pPr>
      <w:r>
        <w:rPr>
          <w:rFonts w:hint="eastAsia"/>
        </w:rPr>
        <w:t>市人武部与所有共建单位坚持团结一心，共同为南雄市的经济社会发展出谋出力。在扶贫帮困工作中，市人武部将扶贫工作纳入年度工作计划和党委重要的议事日程，年初召开扶贫工作会议，成立扶贫“双到”（即责任到人、规划到户）工作领导小组，党委专门审议年度扶贫工作的方案计划，研究扶贫工作的措施，在后勤科设立扶贫“双到”工作办公室，到扶贫点江头镇涌溪村解该村的具体情况，并和当地政府签定扶贫工作责任书，今年已投入2万余元资金用于扶贫帮困工作。5月中旬，市人武部全体干部和扶贫户进行面对面的接触，一对一分工，分别组织三批干部到扶贫点家中与贫困户同吃、同住、同劳动。安排增产项目，给每个贫困户发放启动资金。6月30日，在“广东扶贫济困日”发动干部职工进行募捐活动，筹得资金5500元用于当地的扶贫济困活动。市三八女子民兵班除完成规定的训练任务外，还担负市重点旅游项目梅花长廊的日常维护工作，担任梅岭景区义务讲解员，还经常开展关爱留守儿童，关心孤寡老人等学雷锋活动。长期组织民兵应急分队参加地方经济建设，积极参加驻地大项活动，参与抢险救灾，维护群众利益，为当地经济建设和社会稳定做出积极贡献。</w:t>
      </w:r>
    </w:p>
    <w:p w14:paraId="26220610">
      <w:pPr>
        <w:pStyle w:val="4"/>
      </w:pPr>
      <w:r>
        <w:rPr>
          <w:rFonts w:hint="eastAsia"/>
        </w:rPr>
        <w:t>【党管武装现场会】</w:t>
      </w:r>
    </w:p>
    <w:p w14:paraId="33426719">
      <w:pPr>
        <w:ind w:firstLine="420"/>
      </w:pPr>
      <w:r>
        <w:rPr>
          <w:rFonts w:hint="eastAsia"/>
        </w:rPr>
        <w:t>12月18日～19日，广东省党管武装工作现场会在韶关市召开，会议主题是：以党的十七大和十七届六中全会、胡锦涛总书记视察广东重要讲话精神为指导，深入贯彻落实科学发展观，总结推广党管武装工作经验做法，宣扬表彰党管武装工作先进典型，明确今后五年党管武装工作建设的目标任务，进一步凝聚共识，理清思路，加大力度，在新的起点上提升党管武装工作建设水平，努力实现国防建设与经济建设协调发展。中央政治局常委、省委书记、省军区第一书记汪洋出席会议并讲话。广州军区副政委刘良凯中将，省委副书记、代省长朱小丹，省委常委、省政法委书记、省公安厅厅长梁伟发，省委常委、秘书长、办公厅主任徐少华，省委常委、省军区司令员刘联华少将，省军区政委蔡多文少将，副省长刘坤出席会议，全省各地级市主官参加大会。此次大会上，南雄市三八班全体女民兵受领欢迎靶精度射击表演任务，为高标准完成此次任务，市人武部部长、政委亲自组织，坚持以任务实际牵引，重点突出精度射击、战术场动作、射击课目组织程序等，经过三个月多的半封闭式军事训练，最终，三八班的第一个精度射击表演课目高标准完成，得到省市及省军区领导好评。                                             （黄兆海）</w:t>
      </w:r>
    </w:p>
    <w:p w14:paraId="4CBD6540">
      <w:pPr>
        <w:ind w:firstLine="0" w:firstLineChars="0"/>
        <w:rPr>
          <w:b/>
          <w:bCs/>
        </w:rPr>
      </w:pPr>
      <w:r>
        <w:rPr>
          <w:rFonts w:hint="eastAsia"/>
          <w:b/>
          <w:bCs/>
        </w:rPr>
        <w:t>附：2011年市人武部领导班子成员名单</w:t>
      </w:r>
    </w:p>
    <w:p w14:paraId="74A25922">
      <w:pPr>
        <w:ind w:firstLine="0" w:firstLineChars="0"/>
      </w:pPr>
      <w:r>
        <w:rPr>
          <w:rFonts w:hint="eastAsia"/>
        </w:rPr>
        <w:t>第一书记：许志新（兼）</w:t>
      </w:r>
    </w:p>
    <w:p w14:paraId="1686D798">
      <w:pPr>
        <w:ind w:firstLine="0" w:firstLineChars="0"/>
      </w:pPr>
      <w:r>
        <w:rPr>
          <w:rFonts w:hint="eastAsia"/>
        </w:rPr>
        <w:t>武装部长：肖恒明（任至4月）</w:t>
      </w:r>
    </w:p>
    <w:p w14:paraId="4BEDB58E">
      <w:pPr>
        <w:ind w:firstLine="0" w:firstLineChars="0"/>
      </w:pPr>
      <w:r>
        <w:rPr>
          <w:rFonts w:hint="eastAsia"/>
        </w:rPr>
        <w:t>郭英伦（4月任）</w:t>
      </w:r>
    </w:p>
    <w:p w14:paraId="703B559E">
      <w:pPr>
        <w:ind w:firstLine="0" w:firstLineChars="0"/>
      </w:pPr>
      <w:r>
        <w:rPr>
          <w:rFonts w:hint="eastAsia"/>
        </w:rPr>
        <w:t>政治委员：毛利群</w:t>
      </w:r>
    </w:p>
    <w:p w14:paraId="0DD0D1F2">
      <w:pPr>
        <w:ind w:firstLine="0" w:firstLineChars="0"/>
      </w:pPr>
      <w:r>
        <w:rPr>
          <w:rFonts w:hint="eastAsia"/>
        </w:rPr>
        <w:t>副部长兼军事科长：叶向京</w:t>
      </w:r>
    </w:p>
    <w:p w14:paraId="0E469C05">
      <w:pPr>
        <w:ind w:firstLine="0" w:firstLineChars="0"/>
      </w:pPr>
      <w:r>
        <w:rPr>
          <w:rFonts w:hint="eastAsia"/>
        </w:rPr>
        <w:t>副部长：张文超</w:t>
      </w:r>
    </w:p>
    <w:p w14:paraId="3A9F08AD">
      <w:pPr>
        <w:ind w:firstLine="0" w:firstLineChars="0"/>
      </w:pPr>
      <w:r>
        <w:rPr>
          <w:rFonts w:hint="eastAsia"/>
        </w:rPr>
        <w:t>政工科长：李金明</w:t>
      </w:r>
    </w:p>
    <w:p w14:paraId="1931B0FB">
      <w:pPr>
        <w:ind w:firstLine="0" w:firstLineChars="0"/>
      </w:pPr>
      <w:r>
        <w:rPr>
          <w:rFonts w:hint="eastAsia"/>
        </w:rPr>
        <w:t>后勤科长：于伟元（任至4月）</w:t>
      </w:r>
    </w:p>
    <w:p w14:paraId="021973A5">
      <w:pPr>
        <w:ind w:firstLine="0" w:firstLineChars="0"/>
      </w:pPr>
      <w:r>
        <w:rPr>
          <w:rFonts w:hint="eastAsia"/>
        </w:rPr>
        <w:t>乔向阳（4月任）</w:t>
      </w:r>
    </w:p>
    <w:p w14:paraId="04D32788">
      <w:pPr>
        <w:pStyle w:val="3"/>
      </w:pPr>
      <w:r>
        <w:rPr>
          <w:rFonts w:hint="eastAsia"/>
        </w:rPr>
        <w:t>武警</w:t>
      </w:r>
    </w:p>
    <w:p w14:paraId="12782EA4">
      <w:pPr>
        <w:pStyle w:val="4"/>
      </w:pPr>
      <w:r>
        <w:rPr>
          <w:rFonts w:hint="eastAsia"/>
        </w:rPr>
        <w:t>【概况】</w:t>
      </w:r>
    </w:p>
    <w:p w14:paraId="776A15D9">
      <w:pPr>
        <w:ind w:firstLine="420"/>
      </w:pPr>
      <w:r>
        <w:rPr>
          <w:rFonts w:hint="eastAsia"/>
        </w:rPr>
        <w:t>国人民武装警察部队韶关支队南雄中队，组建于1949年，主要担负南雄市看守所的武装看守、南雄地区的“处突”、“反恐”，城市武装巡逻、重大临时勤务等维稳任务。</w:t>
      </w:r>
    </w:p>
    <w:p w14:paraId="3BA96038">
      <w:pPr>
        <w:pStyle w:val="4"/>
      </w:pPr>
      <w:r>
        <w:rPr>
          <w:rFonts w:hint="eastAsia"/>
        </w:rPr>
        <w:t>【党支部班子建设】</w:t>
      </w:r>
    </w:p>
    <w:p w14:paraId="0BAE3788">
      <w:pPr>
        <w:ind w:firstLine="420"/>
      </w:pPr>
      <w:r>
        <w:rPr>
          <w:rFonts w:hint="eastAsia"/>
        </w:rPr>
        <w:t>2011年，在支队党委、大队党委的正确领导下，认真贯彻上级党委扩大会议精神，紧紧围绕支队“走在全省前列，争创先进支队”目标，大力加强党组织的建设，始终用党的性质宗旨引领部队。坚持以能力建设和先进性建设为主线，以创先争优活动为抓手，大力加强思想政治领导，充分发挥集体领导作用，不断强化部队凝聚力战斗力，促进党支部“三个能力”不断提高，真正使党支部成为坚不可摧的战斗堡垒。</w:t>
      </w:r>
    </w:p>
    <w:p w14:paraId="06999568">
      <w:pPr>
        <w:pStyle w:val="4"/>
      </w:pPr>
      <w:r>
        <w:rPr>
          <w:rFonts w:hint="eastAsia"/>
        </w:rPr>
        <w:t>【思想政治工作】</w:t>
      </w:r>
    </w:p>
    <w:p w14:paraId="310C0597">
      <w:pPr>
        <w:ind w:firstLine="420"/>
      </w:pPr>
      <w:r>
        <w:rPr>
          <w:rFonts w:hint="eastAsia"/>
        </w:rPr>
        <w:t>中队始终把思想政治建设摆在首位，着眼驻地环境的特点，探索思想政治工作的新路子、新特点、新方法，打牢官兵的政治思想基础，狠抓以“培育当代革命军人核心价值观，争做党和人民忠诚卫士”为主题的政治教育，抓实基本环节，丰富形式载体，切实用真理的力量、情感的力量、文化的力量、人格的力量，引导官兵坚定政治信仰、强化警魂意识、纯洁思想道德、激发战斗精神，打牢高举旗帜、听党指挥、履行使命的思想政治基础，以我军历史使命教育，理想信念教育，战斗精神教育，社会主义荣辱观教育为牵引，筑牢忠诚于党，热爱人民，报效国家，献身使命，崇尚荣誉的核心价值观，使广大官兵始终保持政治上的坚定和思想道德的纯洁，向党和人民交出合格的答卷。</w:t>
      </w:r>
    </w:p>
    <w:p w14:paraId="4E48376C">
      <w:pPr>
        <w:pStyle w:val="4"/>
      </w:pPr>
      <w:r>
        <w:rPr>
          <w:rFonts w:hint="eastAsia"/>
        </w:rPr>
        <w:t>【军事训练】</w:t>
      </w:r>
    </w:p>
    <w:p w14:paraId="7305552F">
      <w:pPr>
        <w:ind w:firstLine="420"/>
      </w:pPr>
      <w:r>
        <w:rPr>
          <w:rFonts w:hint="eastAsia"/>
        </w:rPr>
        <w:t>中队在训练中坚持以遂行多样化任务为牵引，以质量为核心，从难、从严要求，按纲科学施训，不断打牢官兵的战斗精神和技、战术基础，使训练水平不断提高，为圆满完成各类急难险重任务打下良好基础；完善训练配套设施，努力规范训练秩序，倡导科学练兵，强化训练安全措施，严防训练事故。突出抓好基础科目训练，战备执勤。</w:t>
      </w:r>
    </w:p>
    <w:p w14:paraId="0B939149">
      <w:pPr>
        <w:pStyle w:val="4"/>
      </w:pPr>
      <w:r>
        <w:rPr>
          <w:rFonts w:hint="eastAsia"/>
        </w:rPr>
        <w:t>【执勤战备】</w:t>
      </w:r>
    </w:p>
    <w:p w14:paraId="4CCC0DBB">
      <w:pPr>
        <w:ind w:firstLine="420"/>
      </w:pPr>
      <w:r>
        <w:rPr>
          <w:rFonts w:hint="eastAsia"/>
        </w:rPr>
        <w:t>2011年，中队抽调部分官兵协助驻地公安部门完成春节武装巡逻任务，元宵晚会安保任务。中队抽组部分官兵参加第26届深圳世界大学生运动会安保任务。中队抽调部分官兵参加2011年广东国际旅游文化节安保任务。</w:t>
      </w:r>
    </w:p>
    <w:p w14:paraId="45010B41">
      <w:pPr>
        <w:pStyle w:val="4"/>
      </w:pPr>
      <w:r>
        <w:rPr>
          <w:rFonts w:hint="eastAsia"/>
        </w:rPr>
        <w:t>【拥政爱民】</w:t>
      </w:r>
    </w:p>
    <w:p w14:paraId="0DF995AA">
      <w:pPr>
        <w:ind w:firstLine="420"/>
      </w:pPr>
      <w:r>
        <w:rPr>
          <w:rFonts w:hint="eastAsia"/>
        </w:rPr>
        <w:t>贯彻军地双重领导体制、加强军政军民关系，发扬热爱人民的优良传统，坚持全心全意为人民服务，积极为驻地人民开展各项活动：1、传播科学文化知识，定期邀请地方学校（南雄市市一中）教师为部队进行科学文化教育，提高官兵的科学文化素质和各种专业技能。2、每年3、4月份开展学习雷锋月活动，每月配合公安机关，打扫卫生，清洁路面。3、在春节、八一、重阳等时节组织官兵到南雄市敬老院清洁卫生，慰问孤寡老人。4、每年新兵下队，老兵退伍，全国献血日，组织中队官兵义务献血。</w:t>
      </w:r>
    </w:p>
    <w:p w14:paraId="6B903364">
      <w:pPr>
        <w:pStyle w:val="4"/>
      </w:pPr>
      <w:r>
        <w:rPr>
          <w:rFonts w:hint="eastAsia"/>
        </w:rPr>
        <w:t>【后勤管理】</w:t>
      </w:r>
    </w:p>
    <w:p w14:paraId="7C2D1EE4">
      <w:pPr>
        <w:ind w:firstLine="420"/>
      </w:pPr>
      <w:r>
        <w:rPr>
          <w:rFonts w:hint="eastAsia"/>
        </w:rPr>
        <w:t>中队坚持“保障有力”为目标，狠抓后勤建设和管理，提高后勤规范化建设管理水平，后勤综合保障能力不断增强。2011年中队投入资金40余万升级三级网信息化装备，完成新勤务值班室，新网络学习室的修葺使用。投入资金30余万建成室内多功能训练馆一座，发展农副业生产优势，采集烟土、塘泥各50余担，对菜地土壤进行改良，全年种养猪8头，鹅10只、鸡200只、鸭100只、鱼3000尾、瓜菜6000公斤，不断提高中队的伙食标准，加强伙食的管理要求，让战士们能“吃得好、吃得饱、吃的放心”；旺季时吃不完的蔬菜采用腌制、晾干的办法进行储藏；全年计划腌制达10个品种的小菜；加大反恐器材的经费投入，使装备更加全面，更加现代化，为执勤“处突”等各项任务的圆满完成提供坚实保障。（刘玉学）</w:t>
      </w:r>
      <w:r>
        <w:rPr>
          <w:rFonts w:hint="eastAsia"/>
          <w:b/>
          <w:bCs/>
        </w:rPr>
        <w:t>附：2011年市武警中队领导班子成员名单</w:t>
      </w:r>
    </w:p>
    <w:p w14:paraId="3A4AEAEF">
      <w:pPr>
        <w:ind w:firstLine="0" w:firstLineChars="0"/>
      </w:pPr>
      <w:r>
        <w:rPr>
          <w:rFonts w:hint="eastAsia"/>
        </w:rPr>
        <w:t>中队长：黄小马</w:t>
      </w:r>
    </w:p>
    <w:p w14:paraId="2D707336">
      <w:pPr>
        <w:ind w:firstLine="0" w:firstLineChars="0"/>
      </w:pPr>
      <w:r>
        <w:rPr>
          <w:rFonts w:hint="eastAsia"/>
        </w:rPr>
        <w:t>指导员：刘玉学</w:t>
      </w:r>
    </w:p>
    <w:p w14:paraId="710C1E4F">
      <w:pPr>
        <w:pStyle w:val="3"/>
      </w:pPr>
      <w:r>
        <w:rPr>
          <w:rFonts w:hint="eastAsia"/>
        </w:rPr>
        <w:t>消防</w:t>
      </w:r>
    </w:p>
    <w:p w14:paraId="1870B714">
      <w:pPr>
        <w:pStyle w:val="4"/>
      </w:pPr>
      <w:r>
        <w:rPr>
          <w:rFonts w:hint="eastAsia"/>
        </w:rPr>
        <w:t>【概况】</w:t>
      </w:r>
    </w:p>
    <w:p w14:paraId="2B15A281">
      <w:pPr>
        <w:ind w:firstLine="420"/>
      </w:pPr>
      <w:r>
        <w:rPr>
          <w:rFonts w:hint="eastAsia"/>
        </w:rPr>
        <w:t>南雄市公安消防大队组建于1974年，隶属于韶关市公安消防支队，是一支以防火、灭火、抢险救援、社会救助工作为中心任务的现役公安队伍．大队下辖有1个现役消防中队——南雄中队和1个合同制消防队——南雄市精细化工基地政府专职消防队，并负责管理南雄市综合应急救援大队。大队配备执勤消防车辆7台，通讯指挥车1台，消防行政执法车2台。肩负着南雄市2289.5平方公里内18个镇46万人民的生命财产安全保卫重任以及韶赣高速公路88-138KM的抢险救援任务。</w:t>
      </w:r>
    </w:p>
    <w:p w14:paraId="39C241DD">
      <w:pPr>
        <w:ind w:firstLine="420"/>
      </w:pPr>
      <w:r>
        <w:rPr>
          <w:rFonts w:hint="eastAsia"/>
        </w:rPr>
        <w:t>2011年，大队围绕“清剿火患”战役、社会单位四个能力建设、打造铁军中队等核心工作目标，大力加强政治建设和党风廉政建设，从严治警、从优待警，全面提升基层部队的战斗力和监督执法工作水平，确保部队安全稳定和高度集中统一出色的完成各项灭火、抢险救援和消防安全保卫任务，有力地维护南雄市社会面消防安全稳定，实现火灾形势和部队管理“双稳定”，促进南雄经济又好又快的发展。</w:t>
      </w:r>
    </w:p>
    <w:p w14:paraId="32FF7E20">
      <w:pPr>
        <w:pStyle w:val="4"/>
      </w:pPr>
      <w:r>
        <w:rPr>
          <w:rFonts w:hint="eastAsia"/>
        </w:rPr>
        <w:t>【队伍建设】</w:t>
      </w:r>
    </w:p>
    <w:p w14:paraId="1E8B1AD9">
      <w:pPr>
        <w:ind w:firstLine="420"/>
      </w:pPr>
      <w:r>
        <w:rPr>
          <w:rFonts w:hint="eastAsia"/>
        </w:rPr>
        <w:t>2011年，大队投入专项经费修缮应急救援中心，改善办公条件，为全体官兵营造良好的生活学习氛围，创造一个栓心留人的环境。同时大队完成执勤车辆车库改造，确保部队执勤战斗力。</w:t>
      </w:r>
    </w:p>
    <w:p w14:paraId="7E07CC29">
      <w:pPr>
        <w:pStyle w:val="4"/>
      </w:pPr>
      <w:r>
        <w:rPr>
          <w:rFonts w:hint="eastAsia"/>
        </w:rPr>
        <w:t>【执勤备战】</w:t>
      </w:r>
    </w:p>
    <w:p w14:paraId="6F4E5EE0">
      <w:pPr>
        <w:ind w:firstLine="420"/>
      </w:pPr>
      <w:r>
        <w:rPr>
          <w:rFonts w:hint="eastAsia"/>
        </w:rPr>
        <w:t>南雄大队制定《重大节日期间执勤备战工作制度》，修订完善《灭火救援组织指挥程序》，制定《高层建筑处置预案》、《人员密集场所处置预案》等10多种应急预案，以南雄市综合应急救援大队为据点，加强化学危险品理化性质、处置对策的专业理论学习，开展石油化工、人员密集场所等火灾扑救和危险化学品泄漏事故等处置的战术战法研究、专业训练和模拟实战演练。2011年，大队接警出动176起，出动车辆401辆，出动警力2205人，抢救被困人员14人，疏散被困人员19人，抢救财产价值934.7万元。大队成功处置“3.3”砂石车侧翻埋人事故、“5.10”6吨化工树脂泄露事故、“6.14”韶赣高速梅关收费集装箱火灾、“7.9”湖口镇白木加工厂火灾、“8.12”韶赣高速货车火灾、“8.21”韶赣高速环已酮及香蕉水火灾、“11.2”水南村新运大道交通事故抢险救援等多起在社会上、媒体上引起较大反响的灭火、救援事件，受到地方党委政府的高度评价，全体消防官兵用行动捍卫南雄社会面的平安稳定。在传统节日和重要活动期间，大队消防官兵更是始终坚守在第一线，确保全市火灾形势的平稳，为平安南雄做出不可磨灭的贡献。</w:t>
      </w:r>
    </w:p>
    <w:p w14:paraId="0EE50353">
      <w:pPr>
        <w:pStyle w:val="4"/>
      </w:pPr>
      <w:r>
        <w:rPr>
          <w:rFonts w:hint="eastAsia"/>
        </w:rPr>
        <w:t>【消防宣传教育】</w:t>
      </w:r>
    </w:p>
    <w:p w14:paraId="0ADAA3F7">
      <w:pPr>
        <w:ind w:firstLine="420"/>
      </w:pPr>
      <w:r>
        <w:rPr>
          <w:rFonts w:hint="eastAsia"/>
        </w:rPr>
        <w:t>大队坚持把预防和遏制重特大火灾作为消防工作第一要务，以预防重特大火灾为目标，以“五进”工作为重点，加强消防安全宣传，突出公众聚集场所和重点防火单位安全管理、易燃易爆、“四小”场所行业、“一畅两会”消防安全、重大隐患整治专项活动，部署“大运安保”等行动，大力开展“清剿火患”战役，加大消防安全执法检查力度，及时排查火灾隐患和监督整改，全市消防环境明显改善。2011年间全市悬挂消防安全标语横幅209条次，市电视台播放消防公益广告百余条次，通过移动、联通、电信发送消防信息10余万条，消防宣传图片展出1000多张，印发各类消防宣传资料3万余份；同时积极运用微博、飞信、Q群等社交平台进行消防知识传播；举办单位消防安全责任人、管理人、特殊工种人员培训班6期，培训1685人；开放消防站30余次，重点消防单位员工、学校师生及社会各界人士6000余人接受消防安全教育。</w:t>
      </w:r>
    </w:p>
    <w:p w14:paraId="24C18B9A">
      <w:pPr>
        <w:pStyle w:val="4"/>
      </w:pPr>
      <w:r>
        <w:rPr>
          <w:rFonts w:hint="eastAsia"/>
        </w:rPr>
        <w:t>【思想政治教育】</w:t>
      </w:r>
    </w:p>
    <w:p w14:paraId="15D30C26">
      <w:pPr>
        <w:ind w:firstLine="420"/>
      </w:pPr>
      <w:r>
        <w:rPr>
          <w:rFonts w:hint="eastAsia"/>
        </w:rPr>
        <w:t>大队始终把提高自身的团结凝聚力和科学决策能力作为部队建设的头等大事来抓，坚持以“三个代表”重要思想和科学发展观统领一切指挥和决策行动，狠抓班子建设和队伍建设，按照胡惊涛总书记“三句话”总要求指示精神，提出“推动消防工作又好又快发展、努力争创经济欠发达地区的先进队伍”目标，并将加强班子建设作为推进消防工作的建设根本，进一步加强思想、工作、领导作风和学风建设，开创队伍建设正规化的新局面。大队党委围绕部队思想教育的重点、难点、疑点问题，认真落实党委议教、教育准备会、检查总结等教育制度，开展“立警为公，执法为民”、社会主义荣辱观、社会主义法治理念、“三争优”等专题教育，邀请地方党校教授进行辅导讲座，结合部队实际适时开展爱国奉献、革命人生观、尊干爱兵、艰苦奋斗、遵纪守法等基本教育，并积极利用驻地爱国教育基地开展爱国主义教育。同时，大队把经常性思想教育贯穿于消防工作和部队建设的全过程，融入到官兵的生活和工作中。针对新时期心理工作的特点，建立健全的心理健康教育组织机构，邀请地方专家开展心理咨询、诊治活动，并建立官兵心理健康档案，定期开展心理健康检查，大队无任何官兵心理问题诱发的事故和案件。</w:t>
      </w:r>
    </w:p>
    <w:p w14:paraId="34914378">
      <w:pPr>
        <w:pStyle w:val="4"/>
      </w:pPr>
      <w:r>
        <w:rPr>
          <w:rFonts w:hint="eastAsia"/>
        </w:rPr>
        <w:t>【拥政爱民工作】</w:t>
      </w:r>
    </w:p>
    <w:p w14:paraId="33FA65F4">
      <w:pPr>
        <w:ind w:firstLine="420"/>
      </w:pPr>
      <w:r>
        <w:rPr>
          <w:rFonts w:hint="eastAsia"/>
        </w:rPr>
        <w:t>2011年，大队积极参加“南粤会亲”活动，与18名特困学生结成扶贫帮困对子，走访慰问定点扶助对象近百次，帮助他们完成学业。同时大队义务为群众送水、冲洗街道、摘马蜂窝、爱心献血，定期为革命烈士家属、孤寡老人送去生活日用品等等一系列助民爱民活动，树立消防部队的良好形象，用实际行动生动诠释“军民鱼水一家情”的深刻内涵，充分体现出消防部队“忠诚可靠、服务人民、竭诚奉献”的精神追求。</w:t>
      </w:r>
    </w:p>
    <w:p w14:paraId="24B0FAA5">
      <w:pPr>
        <w:ind w:firstLine="420"/>
      </w:pPr>
      <w:r>
        <w:rPr>
          <w:rFonts w:hint="eastAsia"/>
        </w:rPr>
        <w:t>特别是在举办美食文化节等大型活动期间，大队官兵积极响应市委、市政府的号召，经常加班加点，主动放弃休息时间，圆满完成市委、市政府给予的工作任务。                            （王斌斌）</w:t>
      </w:r>
    </w:p>
    <w:p w14:paraId="42E79E1E">
      <w:pPr>
        <w:ind w:firstLine="0" w:firstLineChars="0"/>
        <w:rPr>
          <w:b/>
          <w:bCs/>
        </w:rPr>
      </w:pPr>
      <w:r>
        <w:rPr>
          <w:rFonts w:hint="eastAsia"/>
          <w:b/>
          <w:bCs/>
        </w:rPr>
        <w:t>附：2011年市消防大队领导班子名单</w:t>
      </w:r>
    </w:p>
    <w:p w14:paraId="2EBE4A9B">
      <w:pPr>
        <w:ind w:firstLine="0" w:firstLineChars="0"/>
      </w:pPr>
      <w:r>
        <w:rPr>
          <w:rFonts w:hint="eastAsia"/>
        </w:rPr>
        <w:t>大队长：陈 伟</w:t>
      </w:r>
    </w:p>
    <w:p w14:paraId="5C1DF043">
      <w:pPr>
        <w:ind w:firstLine="0" w:firstLineChars="0"/>
      </w:pPr>
      <w:r>
        <w:rPr>
          <w:rFonts w:hint="eastAsia"/>
        </w:rPr>
        <w:t>教导员：郑阳雄</w:t>
      </w:r>
    </w:p>
    <w:p w14:paraId="31166032">
      <w:pPr>
        <w:pStyle w:val="3"/>
      </w:pPr>
      <w:r>
        <w:rPr>
          <w:rFonts w:hint="eastAsia"/>
        </w:rPr>
        <w:t>人民防空</w:t>
      </w:r>
    </w:p>
    <w:p w14:paraId="42F42507">
      <w:pPr>
        <w:pStyle w:val="4"/>
      </w:pPr>
      <w:r>
        <w:rPr>
          <w:rFonts w:hint="eastAsia"/>
        </w:rPr>
        <w:t>【概况】</w:t>
      </w:r>
    </w:p>
    <w:p w14:paraId="3D59F0D4">
      <w:pPr>
        <w:ind w:firstLine="420"/>
      </w:pPr>
      <w:r>
        <w:rPr>
          <w:rFonts w:hint="eastAsia"/>
        </w:rPr>
        <w:t>2011年，南雄市人民防空办公室（简称市人防办），办公室设在政府大楼一楼；完善办公设备，专职人员由过去的2人调整为5人，主任由政府办领导周宏忠担任负责人防日常工作；编制全年工作计划，确保全年人防工作有步骤、有目标、有计划的实施每年两次在市区进行鸣防空警报取得较好效果。</w:t>
      </w:r>
    </w:p>
    <w:p w14:paraId="120EC545">
      <w:pPr>
        <w:pStyle w:val="4"/>
      </w:pPr>
      <w:r>
        <w:rPr>
          <w:rFonts w:hint="eastAsia"/>
        </w:rPr>
        <w:t>【应急准备建设】</w:t>
      </w:r>
    </w:p>
    <w:p w14:paraId="0414B12A">
      <w:pPr>
        <w:ind w:firstLine="420"/>
      </w:pPr>
      <w:r>
        <w:rPr>
          <w:rFonts w:hint="eastAsia"/>
        </w:rPr>
        <w:t>在组织指挥方面，落实战时本级人防指挥场、指挥人员、部门和工作人员；挂牌成立人防应急指挥场所，并投资2万多元，完善多媒体设施；同时根据我市防空袭方案和应急行动方案，制作多媒体《防空案》，定期按方案组织演练。在警报设施建设方面，完成本级中心城区人防警报网络建设，制定警报网络建设规划；组织防空警报试鸣，并结合试鸣进行指挥干部室内演练；建立警报设施专业管理队伍，坚持每个季度定期到市区6个警报点进行检查、测试和进行防尘维护。</w:t>
      </w:r>
    </w:p>
    <w:p w14:paraId="689FAAED">
      <w:pPr>
        <w:pStyle w:val="4"/>
      </w:pPr>
      <w:r>
        <w:rPr>
          <w:rFonts w:hint="eastAsia"/>
        </w:rPr>
        <w:t>【人防工程建设】</w:t>
      </w:r>
    </w:p>
    <w:p w14:paraId="04A89EA2">
      <w:pPr>
        <w:ind w:firstLine="420"/>
      </w:pPr>
      <w:r>
        <w:rPr>
          <w:rFonts w:hint="eastAsia"/>
        </w:rPr>
        <w:t>市人防办发挥人民防空工程产权制度改革的政策效应，制定出台《南雄市人防工程使用与维护管理办法》，构建全市人民防空工程使用与维护管理长效机制。全年征收异地建设费172万元。初步建立人防指挥体系，安装警报系统7个，定期邀请韶关市人防办的领导和工程技术人员到我市制定人防工程建设。目前规划方面优先考虑在帽子峰林场、澜河743矿、梅岭镇、全安镇建设人民防空疏散基地。</w:t>
      </w:r>
    </w:p>
    <w:p w14:paraId="08D71621">
      <w:pPr>
        <w:pStyle w:val="4"/>
      </w:pPr>
      <w:r>
        <w:rPr>
          <w:rFonts w:hint="eastAsia"/>
        </w:rPr>
        <w:t>【机关“准军事化”建设】</w:t>
      </w:r>
    </w:p>
    <w:p w14:paraId="22F5D519">
      <w:pPr>
        <w:ind w:firstLine="420"/>
      </w:pPr>
      <w:r>
        <w:rPr>
          <w:rFonts w:hint="eastAsia"/>
        </w:rPr>
        <w:t>南雄市不断加强人防机关“准军事化”建设。安装人防机关“准军事化”要求，每年年初召开有关部门参加的人防工作联席会议，总结和分析一年来的工作情况，布置下一年工作目标和任务；加强与市政府和军事机关的密切配合，重大事项能及时向政府、军事机关和上级人防部门请示、报告，自觉接受政府和军事机关的领导、检查和督查；在市政府的关心支持下，进一步完善办公设施，办公室做到设备自动化，环境卫生整洁，档案资料齐全；积极参加上级举办的学习班和岗位练兵活动，提供工作人员专业技术水平；做到人防工作有计划、有总结，从而推动人防工作的顺利开展。                             （张海平）</w:t>
      </w:r>
    </w:p>
    <w:p w14:paraId="04EA52C5">
      <w:pPr>
        <w:ind w:firstLine="0" w:firstLineChars="0"/>
        <w:rPr>
          <w:b/>
          <w:bCs/>
        </w:rPr>
      </w:pPr>
      <w:r>
        <w:rPr>
          <w:rFonts w:hint="eastAsia"/>
          <w:b/>
          <w:bCs/>
        </w:rPr>
        <w:t>附：2011年市人防办领导小组成员名单</w:t>
      </w:r>
    </w:p>
    <w:p w14:paraId="3BF69992">
      <w:pPr>
        <w:ind w:firstLine="0" w:firstLineChars="0"/>
      </w:pPr>
      <w:r>
        <w:rPr>
          <w:rFonts w:hint="eastAsia"/>
        </w:rPr>
        <w:t>组长：周宏忠</w:t>
      </w:r>
    </w:p>
    <w:p w14:paraId="79B6F2E4">
      <w:pPr>
        <w:ind w:firstLine="0" w:firstLineChars="0"/>
      </w:pPr>
      <w:r>
        <w:rPr>
          <w:rFonts w:hint="eastAsia"/>
        </w:rPr>
        <w:t>成员：刘光彬 夏源林 刘海标 陈炜</w:t>
      </w:r>
    </w:p>
    <w:p w14:paraId="5E730EA8">
      <w:pPr>
        <w:ind w:firstLine="0" w:firstLineChars="0"/>
      </w:pPr>
    </w:p>
    <w:tbl>
      <w:tblPr>
        <w:tblStyle w:val="15"/>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75D7438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565ED85C">
            <w:pPr>
              <w:ind w:firstLine="0" w:firstLineChars="0"/>
            </w:pPr>
            <w:r>
              <w:rPr>
                <w:rFonts w:hint="eastAsia"/>
              </w:rPr>
              <w:drawing>
                <wp:inline distT="0" distB="0" distL="114300" distR="114300">
                  <wp:extent cx="6183630" cy="4309110"/>
                  <wp:effectExtent l="0" t="0" r="7620" b="15240"/>
                  <wp:docPr id="10" name="图片 10" descr="南雄年鉴201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南雄年鉴2012-40"/>
                          <pic:cNvPicPr>
                            <a:picLocks noChangeAspect="1"/>
                          </pic:cNvPicPr>
                        </pic:nvPicPr>
                        <pic:blipFill>
                          <a:blip r:embed="rId93" cstate="print"/>
                          <a:stretch>
                            <a:fillRect/>
                          </a:stretch>
                        </pic:blipFill>
                        <pic:spPr>
                          <a:xfrm>
                            <a:off x="0" y="0"/>
                            <a:ext cx="6183630" cy="4309110"/>
                          </a:xfrm>
                          <a:prstGeom prst="rect">
                            <a:avLst/>
                          </a:prstGeom>
                        </pic:spPr>
                      </pic:pic>
                    </a:graphicData>
                  </a:graphic>
                </wp:inline>
              </w:drawing>
            </w:r>
          </w:p>
        </w:tc>
      </w:tr>
    </w:tbl>
    <w:p w14:paraId="0DF032F8">
      <w:pPr>
        <w:ind w:firstLine="0" w:firstLineChars="0"/>
      </w:pPr>
    </w:p>
    <w:p w14:paraId="21F01E58">
      <w:pPr>
        <w:pStyle w:val="2"/>
        <w:ind w:firstLine="883"/>
      </w:pPr>
      <w:r>
        <w:rPr>
          <w:rFonts w:hint="eastAsia"/>
        </w:rPr>
        <w:t>经济管理</w:t>
      </w:r>
    </w:p>
    <w:p w14:paraId="04550DEC">
      <w:pPr>
        <w:pStyle w:val="3"/>
      </w:pPr>
      <w:r>
        <w:rPr>
          <w:rFonts w:hint="eastAsia"/>
        </w:rPr>
        <w:t>发展和改革</w:t>
      </w:r>
    </w:p>
    <w:p w14:paraId="3BFC337C">
      <w:pPr>
        <w:pStyle w:val="4"/>
      </w:pPr>
      <w:r>
        <w:rPr>
          <w:rFonts w:hint="eastAsia"/>
        </w:rPr>
        <w:t>【概况】</w:t>
      </w:r>
    </w:p>
    <w:p w14:paraId="6A62BE21">
      <w:pPr>
        <w:ind w:firstLine="420"/>
      </w:pPr>
      <w:r>
        <w:rPr>
          <w:rFonts w:hint="eastAsia"/>
        </w:rPr>
        <w:t>南雄市发展和改革局是负责研究提出全市国民经济和社会发展战略、发展规划和政策、进行总量平衡、结构调整，指导总体经济体制改革的宏观调控部门。南雄市发展和改革局，代管南雄市重点建设项目办公室，加挂南雄市物价局牌子。下设办公室、综合规划、投资管理、社会发展、价格收费、价格检查、价调金管理、价格监测和成本调查8个股室。核定机关行政编制20名，事业编制4名、后勤编制1名。其中：局长1名，副局长2名、纪检组长1名。下属1个事业单位，为价格认证中心。此外，市政府重点建设项目办公室核定事业编制3名，其中主任1名，由市发改局副局长兼任。</w:t>
      </w:r>
    </w:p>
    <w:p w14:paraId="66B0FEDC">
      <w:pPr>
        <w:ind w:firstLine="420"/>
      </w:pPr>
      <w:r>
        <w:rPr>
          <w:rFonts w:hint="eastAsia"/>
        </w:rPr>
        <w:t>2011年，全市实现生产总值75.31亿元，同比增长15.8%。其中第一产业完成19.92亿元，同比增长5.9%；第二产业完成23.75亿元，同比增长30.3%；第三产业完成31.64亿元，同比增长12.6%。地方财政一般预算收入完成3.4亿元，同比增长20.2%；全市固定资产投资完成62.73亿元，同比增长21.6%；农村居民人均纯收入7012元，同比增长17.7%；城镇登记失业率控制在2.48%以内。</w:t>
      </w:r>
    </w:p>
    <w:p w14:paraId="7C3150EC">
      <w:pPr>
        <w:pStyle w:val="4"/>
      </w:pPr>
      <w:r>
        <w:rPr>
          <w:rFonts w:hint="eastAsia"/>
        </w:rPr>
        <w:t>【发展规划的组织编制】</w:t>
      </w:r>
    </w:p>
    <w:p w14:paraId="620BDA6B">
      <w:pPr>
        <w:ind w:firstLine="420"/>
      </w:pPr>
      <w:r>
        <w:rPr>
          <w:rFonts w:hint="eastAsia"/>
        </w:rPr>
        <w:t>编制下发年度南雄国民经济和社会发展计划，强化季度、年度经济运行分析工作，做好年度计划组织实施工作。2011年，结合国家宏观政策走向和经济动态，科学分析和预测下一年度经济运行的趋势和特点，编制为全市经济社会科学发展提供具有指导意义的“双十六”计划指标体系，下达年度发展计划，为推动我市经济社会发展指明方向，为推进经济社会又好又快发展提管理供有力支撑。</w:t>
      </w:r>
    </w:p>
    <w:p w14:paraId="21241565">
      <w:pPr>
        <w:pStyle w:val="4"/>
      </w:pPr>
      <w:r>
        <w:rPr>
          <w:rFonts w:hint="eastAsia"/>
        </w:rPr>
        <w:t>【重大政策争取】</w:t>
      </w:r>
    </w:p>
    <w:p w14:paraId="766E85B6">
      <w:pPr>
        <w:ind w:firstLine="420"/>
      </w:pPr>
      <w:r>
        <w:rPr>
          <w:rFonts w:hint="eastAsia"/>
        </w:rPr>
        <w:t>2010年5月南雄市被中共中央党史研究室确认定成为“原中央苏区县”，为把南雄作为“原中央苏区县”的政治优势转化为政策优势，成为推动南雄经济社会加快发展的动力和源泉，积极与中央、省发改部门联系和沟通，加快推进作为“原中央苏区县”享受参照西部地区政策执行的落实工作。省发改委受省政府的委托，下发《关于扶持原中央苏区县南雄市、饶平县加快发展有关问题的复函》（粤发改区域函［2011]901号），明确南雄市作为“原中央苏区县”给予12项扶持政策。</w:t>
      </w:r>
    </w:p>
    <w:p w14:paraId="4D6DBBBF">
      <w:pPr>
        <w:pStyle w:val="4"/>
      </w:pPr>
      <w:r>
        <w:rPr>
          <w:rFonts w:hint="eastAsia"/>
        </w:rPr>
        <w:t>【投资领域】</w:t>
      </w:r>
    </w:p>
    <w:p w14:paraId="5CA186ED">
      <w:pPr>
        <w:ind w:firstLine="420"/>
      </w:pPr>
      <w:r>
        <w:rPr>
          <w:rFonts w:hint="eastAsia"/>
        </w:rPr>
        <w:t>2011年全市完成固定资产投资62.73亿元，同比增长21.6%。分地域看，城镇投资完成62.31亿元，增长21%；农村投资完成0.42亿元，增长3.9倍。分经济类型看，国有及国有控股完成投资19.04亿元，下降30.8%；民营投资43.69亿元，增长81.5%。分产业看，第一产业投资3.22亿元，增长62.7%；第二产业投资36.05亿元，增长68.2%；第三产业投资23.46亿元，下降16.8%。</w:t>
      </w:r>
    </w:p>
    <w:p w14:paraId="57B6F580">
      <w:pPr>
        <w:pStyle w:val="4"/>
      </w:pPr>
      <w:r>
        <w:rPr>
          <w:rFonts w:hint="eastAsia"/>
        </w:rPr>
        <w:t>【重点项目建设】</w:t>
      </w:r>
    </w:p>
    <w:p w14:paraId="38A30D31">
      <w:pPr>
        <w:ind w:firstLine="420"/>
      </w:pPr>
      <w:r>
        <w:rPr>
          <w:rFonts w:hint="eastAsia"/>
        </w:rPr>
        <w:t>2011年全市实施重点建设项目36个，完成投资33.7亿元，完成年度计划的118%。2011年南雄列入广东省和韶关市重点项目年度投资计划超额完成，省政府下达我市的省重点项目2个（产业转移工业园、金友公司农产品生产加工物流仓储基地），完成投资26.5亿元，占年度计划的155.8%。韶关市重点项目4个（产业转移工业园、金友公司农产品生产加工物流仓储基地、龙华山温泉休闲度假中心、绿洲公司全自动纸餐具扩产技改项目），完成投资28亿元，占年度计划的152%。</w:t>
      </w:r>
    </w:p>
    <w:p w14:paraId="6CB10F00">
      <w:pPr>
        <w:pStyle w:val="4"/>
      </w:pPr>
      <w:r>
        <w:rPr>
          <w:rFonts w:hint="eastAsia"/>
        </w:rPr>
        <w:t>【韶赣铁路建设】</w:t>
      </w:r>
    </w:p>
    <w:p w14:paraId="4575E9CC">
      <w:pPr>
        <w:ind w:firstLine="420"/>
      </w:pPr>
      <w:r>
        <w:rPr>
          <w:rFonts w:hint="eastAsia"/>
        </w:rPr>
        <w:t>赣韶铁路（南雄段）全长约35公里，途径珠玑、雄州、全安、古市四个镇（街道）十九个村委会，涉及征用土地2386.3亩，拆迁房屋3.26万平方米。韶赣铁路（南雄段）的征地工作任务已基本完成，完成协议征（用）地2144.50亩，已支付征地补偿费4888.62万元；房屋拆迁工作有序开展，拆除房屋总面积2.9万平方米，房屋拆迁补偿费921.72万元。已启动站前广场及其配套设施建设前期工作，完成站前广场控规和站场连接道路可行性研究报告的编制。</w:t>
      </w:r>
    </w:p>
    <w:p w14:paraId="1CFEEE5F">
      <w:pPr>
        <w:pStyle w:val="4"/>
      </w:pPr>
      <w:r>
        <w:rPr>
          <w:rFonts w:hint="eastAsia"/>
        </w:rPr>
        <w:t>【体制改革】</w:t>
      </w:r>
    </w:p>
    <w:p w14:paraId="15135294">
      <w:pPr>
        <w:ind w:firstLine="420"/>
      </w:pPr>
      <w:r>
        <w:rPr>
          <w:rFonts w:hint="eastAsia"/>
        </w:rPr>
        <w:t>行政管理体制进一步深化。一是制定《南雄市镇（街道）经济社会科学发展考核办法》，建立健全镇（街道）经济社会科学发展观评价指标体系，使镇（街道）发展考核评价体系对科学发展的导向作用更加突出。二是按照国家、省、市关于深化医药卫生体制改革的要求，根据《南雄市委、南雄市政府关于深化医疗卫生体制改革的实施意见》和《南雄市医疗卫生体制改革近期重点实施方案（2009-2011年》，结合韶关与南雄市人民政府签订的2011年医改工作责任书内容，组织协调财政、卫生、社保、民政等职能部门认真抓好医疗改革五项重点工作的落实。三是政府投资项目执行2010年12月10日韶关市人民政府第十二届56次常务会议通过的《韶关市政府投资项目管理办法》。</w:t>
      </w:r>
    </w:p>
    <w:p w14:paraId="0D546472">
      <w:pPr>
        <w:pStyle w:val="4"/>
      </w:pPr>
      <w:r>
        <w:rPr>
          <w:rFonts w:hint="eastAsia"/>
        </w:rPr>
        <w:t>【华电集团热电冷联供项目】</w:t>
      </w:r>
    </w:p>
    <w:p w14:paraId="5921F4CC">
      <w:pPr>
        <w:ind w:firstLine="420"/>
      </w:pPr>
      <w:r>
        <w:rPr>
          <w:rFonts w:hint="eastAsia"/>
        </w:rPr>
        <w:t>华电南雄热电厂项目暂时按2×350MW国产超临界循环流化床燃煤供热发电机组设计，同步建设烟气脱硫和脱硝装置，工程项目计划总资金约32亿元，最终装机方案将根据最终批复的《南雄市东莞大岭山（南雄）产业转移工业园热电冷联供专项规划》确定。拟采用印尼煤掺烧部分低质无烟煤作为设计煤种，山西、内蒙、江西等地的无烟煤与高硫煤作为校核煤种。自2009年9月省发改委批准开展项目前期工作以来，市各职能部门积极配合，为项目上报做大量工作，包括：实地考察项目选址、实地考察韶赣高速公路、赣韶铁路等交通运输情况、提供项目选址周边取水品选址、相关灰场选址、厂址的风向气象等资料、提供省市相关部门出具的项目支持性批复等文件、进行企业热负荷调查和汇总工作，项目前期工作得到有效推进。省发改委已将项目正式上报到国家能源局。                                               （肖兴云）</w:t>
      </w:r>
    </w:p>
    <w:p w14:paraId="4CFD38B5">
      <w:pPr>
        <w:ind w:firstLine="0" w:firstLineChars="0"/>
        <w:rPr>
          <w:b/>
          <w:bCs/>
        </w:rPr>
      </w:pPr>
      <w:r>
        <w:rPr>
          <w:rFonts w:hint="eastAsia"/>
          <w:b/>
          <w:bCs/>
        </w:rPr>
        <w:t>附：2011年市发改局领导班子成员名单</w:t>
      </w:r>
    </w:p>
    <w:p w14:paraId="72CAC375">
      <w:pPr>
        <w:ind w:firstLine="0" w:firstLineChars="0"/>
      </w:pPr>
      <w:r>
        <w:rPr>
          <w:rFonts w:hint="eastAsia"/>
        </w:rPr>
        <w:t>局  长：王友华</w:t>
      </w:r>
    </w:p>
    <w:p w14:paraId="4CF0207C">
      <w:pPr>
        <w:ind w:firstLine="0" w:firstLineChars="0"/>
      </w:pPr>
      <w:r>
        <w:rPr>
          <w:rFonts w:hint="eastAsia"/>
        </w:rPr>
        <w:t>副局长：李指源 游伦芳</w:t>
      </w:r>
    </w:p>
    <w:p w14:paraId="5E9039BF">
      <w:pPr>
        <w:ind w:firstLine="0" w:firstLineChars="0"/>
      </w:pPr>
      <w:r>
        <w:rPr>
          <w:rFonts w:hint="eastAsia"/>
        </w:rPr>
        <w:t>纪检组长：刘金华</w:t>
      </w:r>
    </w:p>
    <w:p w14:paraId="0C44247F">
      <w:pPr>
        <w:pStyle w:val="3"/>
      </w:pPr>
      <w:r>
        <w:rPr>
          <w:rFonts w:hint="eastAsia"/>
        </w:rPr>
        <w:t>统计</w:t>
      </w:r>
    </w:p>
    <w:p w14:paraId="43E78C11">
      <w:pPr>
        <w:pStyle w:val="4"/>
      </w:pPr>
      <w:r>
        <w:rPr>
          <w:rFonts w:hint="eastAsia"/>
        </w:rPr>
        <w:t>【概况】</w:t>
      </w:r>
    </w:p>
    <w:p w14:paraId="33B4F9B0">
      <w:pPr>
        <w:ind w:firstLine="420"/>
      </w:pPr>
      <w:r>
        <w:rPr>
          <w:rFonts w:hint="eastAsia"/>
        </w:rPr>
        <w:t>南雄市统计局为市人民政府工作部门，局机关行政编制10名。其中：局长1名、副局长2名；股长5名、副股长1名。工勤服务人员2名。内设办公室，综合法制股、工业投资能源股、抽样调查股、农村贸易社会股。2011年实有10人，其中行政编制9人，工勤服务人员1人。挂靠管理的市普查中心，事业编制5名，其中主任1名（可高配副科），副主任1名，实有5人。</w:t>
      </w:r>
    </w:p>
    <w:p w14:paraId="5E012EF2">
      <w:pPr>
        <w:pStyle w:val="4"/>
      </w:pPr>
      <w:r>
        <w:rPr>
          <w:rFonts w:hint="eastAsia"/>
        </w:rPr>
        <w:t>【人口普查总结会议】</w:t>
      </w:r>
    </w:p>
    <w:p w14:paraId="58418089">
      <w:pPr>
        <w:ind w:firstLine="420"/>
      </w:pPr>
      <w:r>
        <w:rPr>
          <w:rFonts w:hint="eastAsia"/>
        </w:rPr>
        <w:t>2011年3月13日市政府在迎宾馆一号会议室召开全市统计工作暨第六次全国人口普查总结会议。市第六次全国人口普查工作领导小组成员，各镇（街道）镇长（主任）、分管统计工作的领导、综合统计员，市直（含垂直管理）副科以上单位分管统计工作的领导，统计报表归口管理单位统计员，受表彰的先进单位代表、先进个人共200多人参加会议。会议的主要内容：一是传达贯彻省、韶关市统计工作会议精神；二是总结我市第六次全国人口普查及2011年统计工作情况，部署2012年统计工作任务；三是表彰奖励第六次全国人口普查工作和统计工作涌现的先进单位和先进个人。</w:t>
      </w:r>
    </w:p>
    <w:p w14:paraId="6F363EDA">
      <w:pPr>
        <w:pStyle w:val="4"/>
      </w:pPr>
      <w:r>
        <w:rPr>
          <w:rFonts w:hint="eastAsia"/>
        </w:rPr>
        <w:t>【统计工作考评及内务管理】</w:t>
      </w:r>
    </w:p>
    <w:p w14:paraId="67C3558C">
      <w:pPr>
        <w:ind w:firstLine="420"/>
      </w:pPr>
      <w:r>
        <w:rPr>
          <w:rFonts w:hint="eastAsia"/>
        </w:rPr>
        <w:t>2011年3月29日，经局务会议研究，重新修订完善《南雄市2001度镇（街）统计工作考核评比办法》和局机关《工作人员效能管理办法》、《2011年度业务工作考核奖励办法》、《2011年度统计服务成果奖励办法》《财务管理制度》、《公务接待制度》、《车辆管理制度》、《考勤制度》、《统计局工作人员履行职责量化考核方案》等一套完善的内务管理、履行职责和考核评比制度，进一步明确各岗位职责，落实责任人，完善奖惩措施。</w:t>
      </w:r>
    </w:p>
    <w:p w14:paraId="0B67DEA7">
      <w:pPr>
        <w:pStyle w:val="4"/>
      </w:pPr>
      <w:r>
        <w:rPr>
          <w:rFonts w:hint="eastAsia"/>
        </w:rPr>
        <w:t>【履行职责、加快发展】</w:t>
      </w:r>
    </w:p>
    <w:p w14:paraId="70427545">
      <w:pPr>
        <w:ind w:firstLine="420"/>
      </w:pPr>
      <w:r>
        <w:rPr>
          <w:rFonts w:hint="eastAsia"/>
        </w:rPr>
        <w:t>2011年2月11日至2011年11月30日，严格按照市开展“履行职责、加快发展年”活动实施方案的要求，精心组织开展“履行职责、加快发展年”活动。通过采取加强领导，成立机构、制定方案，有序开展、加强宣传，营造氛围、加强教育，提高认识、学习讨论，理清职责、自查整改，务求实效等有力措施，认真抓好学习动员、自查整改、考评验收、巩固提高等阶段的各项教育活动，取得比较好的成效，基本达到着力解决党员干部职工履行职责的思想问题，使党员干部职工把心思用在履行职责上，把精力用在抓发展上；着力解决党员干部职工正确履行自身职责问题，使党员干部职工“在其位、谋其政”，认真履行工作职责，积极主动做好本职工作，为我市发展发挥作用、贡献力量；着力解决党员干部职工怎样履职问题，提高党员干部职工执行力，提升服务效能；干部职工理清自己的工作职责和思路，能够主动、忠实、正确履行职责，促进各项统计业务工作的开展。</w:t>
      </w:r>
    </w:p>
    <w:p w14:paraId="2281CFF7">
      <w:pPr>
        <w:pStyle w:val="4"/>
      </w:pPr>
      <w:r>
        <w:rPr>
          <w:rFonts w:hint="eastAsia"/>
        </w:rPr>
        <w:t>【扶贫双到】</w:t>
      </w:r>
    </w:p>
    <w:p w14:paraId="1CB7764D">
      <w:pPr>
        <w:ind w:firstLine="420"/>
      </w:pPr>
      <w:r>
        <w:rPr>
          <w:rFonts w:hint="eastAsia"/>
        </w:rPr>
        <w:t>2011年，切实履行扶贫工作职责，多次组织工作组到挂扶村，与当地镇党委、政府和村委会研究落实2011年的扶贫工作任务，尤其是做好2010年已脱贫的22户的巩固措施和剩余7户贫困户的脱贫措施以及村道水泥硬化工程等公共事业建设的资金筹集和实施计划的落实等工作，并在局财力较困难的情况下，拿出10000元支持村委会至叶坑2.2公里村道水泥硬化工程建设，同时，出资10000多元，并联系组织市农科所果树专业技术人员和专业队伍对界址赵屋村委会的老果场进行改造，为800多株不结果板栗树进行嫁接新品种，预计3年后将为村委会带来4万多元的年收入，为村委会的集体经济做一件实实在在的事情。</w:t>
      </w:r>
    </w:p>
    <w:p w14:paraId="30FDDA3F">
      <w:pPr>
        <w:pStyle w:val="4"/>
      </w:pPr>
      <w:r>
        <w:rPr>
          <w:rFonts w:hint="eastAsia"/>
        </w:rPr>
        <w:t>【权力公开、阳光工程】</w:t>
      </w:r>
    </w:p>
    <w:p w14:paraId="3923F6C6">
      <w:pPr>
        <w:ind w:firstLine="420"/>
      </w:pPr>
      <w:r>
        <w:rPr>
          <w:rFonts w:hint="eastAsia"/>
        </w:rPr>
        <w:t>按照市委权力公开透明运行“阳光工程”工作的要求，进一步完善相关制度，通过邀请“阳光使者”参加一系列活动推进工作的开展。一是2011年6月17日召开“阳光使者”培训会议，通报“阳光使者”产生的经过，明确“阳光使者”参与监督的主要工作和事项，颁发“阳光使者”聘书；二是2011年9月18日邀请4名“阳光使者”参与监督2011年统计从业资格认定考试；三是邀请6名“阳光使者”参与统计执法检查组2011年9月21至23日到各单位实地核查，10月14日立案决策及10月20日决策处分决定过程的监督，使权力公开透明运行“阳光工程”工作落到实处，确保权力公开透明，不被滥用，杜绝以权谋私、以数字谋私的行为，推进党风廉政建设工作的开展。</w:t>
      </w:r>
    </w:p>
    <w:p w14:paraId="377230FD">
      <w:pPr>
        <w:pStyle w:val="4"/>
      </w:pPr>
      <w:r>
        <w:rPr>
          <w:rFonts w:hint="eastAsia"/>
        </w:rPr>
        <w:t>【县域经济考核】</w:t>
      </w:r>
    </w:p>
    <w:p w14:paraId="68025644">
      <w:pPr>
        <w:ind w:firstLine="420"/>
      </w:pPr>
      <w:r>
        <w:rPr>
          <w:rFonts w:hint="eastAsia"/>
        </w:rPr>
        <w:t>认真按照《韶关市县处级党政领导班子和领导干部落实科学发展观考核评价办法》，分析统计部门承担的分值中能够得分及容易失分情况，制订相应的对策和工作措施，全程跟踪韶关市各县市（区）的情况，及时向市委、市政府主要领导汇报县域经济考核面临的主要困难，及时与相关职能部门沟通应对困难的办法，主动与发改部门联系请示市政府多次召开联席会议和摸拟测评考核会议，并精心准备提出今年考核中面临的严峻形势和解决的办法，与相关部门一道商讨应对措施，取得较好的成绩，在2011年度县域经济考核中统计部门得分为例韶关市第二名。</w:t>
      </w:r>
    </w:p>
    <w:p w14:paraId="34EB330F">
      <w:pPr>
        <w:pStyle w:val="4"/>
      </w:pPr>
      <w:r>
        <w:rPr>
          <w:rFonts w:hint="eastAsia"/>
        </w:rPr>
        <w:t>【统计“四大工程”建设】</w:t>
      </w:r>
    </w:p>
    <w:p w14:paraId="68D90DF0">
      <w:pPr>
        <w:ind w:firstLine="420"/>
      </w:pPr>
      <w:r>
        <w:rPr>
          <w:rFonts w:hint="eastAsia"/>
        </w:rPr>
        <w:t>按照上级统计部门的部署和要求，采取各种措施，扎实推进调查单位名录工程、企业一套表工程、数据处理软件工程和联网直报工程统计“四大工程”建设。一是加强调研。组织人员到有关单位对上级统计部门推进统计“四大工程”建设对现行统计方法制度的重大影响以及实行联网直报后将会对统计工作显现的主要问题进行调研，提出应对的措施建议；二是加强汇报。多次向市委、市政府主要领导和分管领导汇报，争取市委、市政府给予高度重视和大力支持。一是成立由副市长刘发龙任组长，政府办、发改、经信、监察、财政、统计等单位的主要领导任副组长，编办、科技、民政、人社、住建、交通、外经、旅游、国税、地税、工商、质监、信息中心、园区管理处等单位的分管领导为成员的统计“四大工程”建设工作领导小组及其办公室，并以雄府办[201158</w:t>
      </w:r>
      <w:r>
        <w:t xml:space="preserve"> ]</w:t>
      </w:r>
      <w:r>
        <w:rPr>
          <w:rFonts w:hint="eastAsia"/>
        </w:rPr>
        <w:t>号文发至各有关单位，同时在文件中明确各成员单位职责分工，使各成员单位明确任务，各负其职。二是召开动员大会。2011年9月29日上午收听收看韶关召开的统计“四大工程”建设电视电话会议结束后，市立即召开由市统计“四大工程”建设领导小组成员、全市“三上”企业、房地产开发企业的企业负责人及统计员、统计局全体工作人员等240多人参加的统计“四大工程”建设动员大会，贯彻落实国家、省和韶关市会议精神，部署统计“四大工程”建设工作。三是认真履职。切实履行组织实施职责，加强与相关部门的协调，推进统计“四大工程”建设各项工作的开展。一是与发改等部门召开协调会议，对接相关工作；二是由局领导带队先后到彤置富水泥建材投资有限公司协调检查电脑配备及网络环境建设工作；到技监局协调办理房地产企业的组织机构代码证等工作；到东莞大岭山（南雄）产业园管理处，督促其加强领导，加大投入，全力加快网络直报服务中心的建设。三是精心组织，认真备课，对所有“三上”企业的统计人员进行联网直报业务培训。</w:t>
      </w:r>
    </w:p>
    <w:p w14:paraId="0636AF53">
      <w:pPr>
        <w:pStyle w:val="4"/>
      </w:pPr>
      <w:r>
        <w:rPr>
          <w:rFonts w:hint="eastAsia"/>
        </w:rPr>
        <w:t>【干部培训】</w:t>
      </w:r>
    </w:p>
    <w:p w14:paraId="53B03296">
      <w:pPr>
        <w:ind w:firstLine="420"/>
      </w:pPr>
      <w:r>
        <w:rPr>
          <w:rFonts w:hint="eastAsia"/>
        </w:rPr>
        <w:t>2011年8月4日下午，市委、市政府举办领导干部统计知识培训讲座。市长刘清生主持讲座。市四套班子领导成员、市直（含垂直管理）副科以上单位一把手、人大经工委主任、各镇（街道）镇长、分管统计工作领导、综合统计员及有关经济部门主管领导、统计员400多人参加培训。会议邀请韶关市统计局局长潘萌作统计与经济运行报告，潘萌以韶关上半年经济形势为背景，结合南雄上半年经济运行情况，并与其他县（市、区）主要经济指标对比，总结分析我市经济发展的优势和不足；重点介绍统计知识，特别是核算工作，并就近年来国家统计方法制度改革情况和统计“四大工程”概况，以及如何积极适应统计改革提出意见和建议。希望领导干部认真学习“记分”规则，关注经济运行情况，切实解决薄弱环节，努力完成目标任务，促进经济加快发展。刘清生市长指出，只有重视和加强统计工作，南雄的经济和社会才有可能实现跨越发展，才能为广大群众营造幸福、和谐的社会环境。要求各级领导、各部门要认真学习和掌握统计知识，查找统计工作中的薄弱环节，及时解决统计工作中的问题和困难；切实加强部门联合联动工作，进一步加强部门统计工作，不断提高统计工作服务经济发展的及时性。要切实重视国家统计局推行的统计“四大工程建设”工作，进一步加强统计基础建设，提高数据质量，为迎接统计改革做好一切准备工作。</w:t>
      </w:r>
    </w:p>
    <w:p w14:paraId="22901370">
      <w:pPr>
        <w:pStyle w:val="4"/>
      </w:pPr>
      <w:r>
        <w:rPr>
          <w:rFonts w:hint="eastAsia"/>
        </w:rPr>
        <w:t>【统计执法】</w:t>
      </w:r>
    </w:p>
    <w:p w14:paraId="5D8F6D5A">
      <w:pPr>
        <w:ind w:firstLine="420"/>
      </w:pPr>
      <w:r>
        <w:rPr>
          <w:rFonts w:hint="eastAsia"/>
        </w:rPr>
        <w:t>2011年8月24日联合法制局、监察局发出《关于开展统计执法大检查的通知》，并从统计局、法制局、监察局抽调人员组成两个检查组，重点抽查市城市综合管理局、市卫生监督所、雄洲水电公司、棉土窝矿等四个单位。这次统计执法大检查引入阳光统计执法机制，经抽选，邀请李曼钦、曾明军、梁占武、郭永华、刘开雄、廖景高六名“阳光使者”参与监督，阳光使者参与检查组2011年9月21至23日到各单位实地核查，10月14日立案研究及10月20日处分决定过程的监督。</w:t>
      </w:r>
    </w:p>
    <w:p w14:paraId="085B9316">
      <w:pPr>
        <w:pStyle w:val="4"/>
      </w:pPr>
      <w:r>
        <w:rPr>
          <w:rFonts w:hint="eastAsia"/>
        </w:rPr>
        <w:t>【纪律教育】</w:t>
      </w:r>
    </w:p>
    <w:p w14:paraId="48C45437">
      <w:pPr>
        <w:ind w:firstLine="420"/>
      </w:pPr>
      <w:r>
        <w:rPr>
          <w:rFonts w:hint="eastAsia"/>
        </w:rPr>
        <w:t>按照市委的统一部署，2011年8月29日至9月30日，紧紧抓住以“以人为本、执政为民”为主题，结合开展的权力公开透明运行“阳光工程”试点和党的基层组织党务公开联系点工作及“履行职责、加快发展年活动”，加强组织领导，扎实开展动员学习讨论、联系实际查摆问题、认真整改狠抓落实、延伸教育等2011年度纪律教育学习月各个阶段的教育学习活动，取得一定的效果。增强和提高党员干部及公职人员的思想作风、宗旨意识、党性观念、纪律意识、廉洁意识，夯实党员干部及公职人员的廉洁从政道德基础，筑牢拒腐防变思想防线，为推动统计业务工作提供有力的纪律保障。</w:t>
      </w:r>
    </w:p>
    <w:p w14:paraId="64791A22">
      <w:pPr>
        <w:pStyle w:val="4"/>
      </w:pPr>
      <w:r>
        <w:rPr>
          <w:rFonts w:hint="eastAsia"/>
        </w:rPr>
        <w:t>【从业资格认定】</w:t>
      </w:r>
    </w:p>
    <w:p w14:paraId="27539A9E">
      <w:pPr>
        <w:ind w:firstLine="420"/>
      </w:pPr>
      <w:r>
        <w:rPr>
          <w:rFonts w:hint="eastAsia"/>
        </w:rPr>
        <w:t>2011年9月13日至17日举办2011年统计从业资格认定培训班，来自全市有关单位22人参加培训。培训班上主要讲授《统计法基础知识》、《统计基础知识与统计实务》两门课。2011年9月18日22位学员参加全省统一组织的考试，考试期间邀请刘金华、梁占武、曾庆权、曾宪群等4名“阳光使者”全程参与监督考试，“阳光使者”通过听取本次统计从业资格主考官曾文彬副局长汇报省统计局关于统计从业资格考试的管理要求和准备工作情况以及现场监督考试后，认为统计局能严格按照省统计局编印的《统计从业资格考试工作手册》的要求，精心组织考试，考风、考纪好，没有出现违反考纪行为，比较满意，同时进行测评，得4票满意票。                                                             （陈晖）</w:t>
      </w:r>
    </w:p>
    <w:p w14:paraId="184931A9">
      <w:pPr>
        <w:ind w:firstLine="0" w:firstLineChars="0"/>
        <w:rPr>
          <w:b/>
          <w:bCs/>
        </w:rPr>
      </w:pPr>
      <w:r>
        <w:rPr>
          <w:rFonts w:hint="eastAsia"/>
          <w:b/>
          <w:bCs/>
        </w:rPr>
        <w:t>附：2011年市统计局领导班子成员名单</w:t>
      </w:r>
    </w:p>
    <w:p w14:paraId="373934D9">
      <w:pPr>
        <w:ind w:firstLine="0" w:firstLineChars="0"/>
      </w:pPr>
      <w:r>
        <w:rPr>
          <w:rFonts w:hint="eastAsia"/>
        </w:rPr>
        <w:t>局  长：肖梅山</w:t>
      </w:r>
    </w:p>
    <w:p w14:paraId="4CB2897D">
      <w:pPr>
        <w:ind w:firstLine="0" w:firstLineChars="0"/>
      </w:pPr>
      <w:r>
        <w:rPr>
          <w:rFonts w:hint="eastAsia"/>
        </w:rPr>
        <w:t>副局长：刘宏星 曾文彬</w:t>
      </w:r>
    </w:p>
    <w:p w14:paraId="415FE6E8">
      <w:pPr>
        <w:ind w:firstLine="0" w:firstLineChars="0"/>
      </w:pPr>
      <w:r>
        <w:rPr>
          <w:rFonts w:hint="eastAsia"/>
        </w:rPr>
        <w:t>纪检组长：桂晓明（任至8月）</w:t>
      </w:r>
    </w:p>
    <w:p w14:paraId="7FFC984B">
      <w:pPr>
        <w:ind w:left="1050" w:leftChars="500" w:firstLine="0" w:firstLineChars="0"/>
      </w:pPr>
      <w:r>
        <w:rPr>
          <w:rFonts w:hint="eastAsia"/>
        </w:rPr>
        <w:t>周才斌（9月任）</w:t>
      </w:r>
    </w:p>
    <w:p w14:paraId="4F5F5DD5">
      <w:pPr>
        <w:pStyle w:val="3"/>
      </w:pPr>
      <w:r>
        <w:rPr>
          <w:rFonts w:hint="eastAsia"/>
        </w:rPr>
        <w:t>农村调查</w:t>
      </w:r>
    </w:p>
    <w:p w14:paraId="00C4E8D0">
      <w:pPr>
        <w:pStyle w:val="4"/>
      </w:pPr>
      <w:r>
        <w:rPr>
          <w:rFonts w:hint="eastAsia"/>
        </w:rPr>
        <w:t>【概况】</w:t>
      </w:r>
    </w:p>
    <w:p w14:paraId="07FE3D56">
      <w:pPr>
        <w:ind w:firstLine="420"/>
      </w:pPr>
      <w:r>
        <w:rPr>
          <w:rFonts w:hint="eastAsia"/>
        </w:rPr>
        <w:t>国家统计局南雄调查队是参照国家公务员制度并由国家统计局实行垂直管理的政府统计调查机构。主要职责是完成国家统计局布置的各项统计调查任务；接受地方政府交办的有关调查任务；完成上级调查队交办的地方调查任务；协助地方统计局完成重大国情国力普查任务；负责查处调查队组织实施的统计调查中发生的违法行为；完成国家统计局和上级调查队交办的其他事项，根据统计法律法规的有关规定，调查队“依法独立行使统计调查、统计报告、统计监督的职权”、“依法独立开展统计调查，独立上报统计资料”。</w:t>
      </w:r>
    </w:p>
    <w:p w14:paraId="6ABBA7C7">
      <w:pPr>
        <w:pStyle w:val="4"/>
      </w:pPr>
      <w:r>
        <w:rPr>
          <w:rFonts w:hint="eastAsia"/>
        </w:rPr>
        <w:t>【农产量和农作物播种面积调查】</w:t>
      </w:r>
    </w:p>
    <w:p w14:paraId="2E97FC58">
      <w:pPr>
        <w:ind w:firstLine="420"/>
      </w:pPr>
      <w:r>
        <w:rPr>
          <w:rFonts w:hint="eastAsia"/>
        </w:rPr>
        <w:t>农产量和农作物播种面积调查是对农业生产经营户为调查单元和对象，对其农业产量以及农作物播种面积进行统计、测算，客观反映农业生产方面的一项常规调查项目。</w:t>
      </w:r>
    </w:p>
    <w:p w14:paraId="01F2AD57">
      <w:pPr>
        <w:pStyle w:val="4"/>
      </w:pPr>
      <w:r>
        <w:rPr>
          <w:rFonts w:hint="eastAsia"/>
        </w:rPr>
        <w:t>【主要畜禽监测调查】</w:t>
      </w:r>
    </w:p>
    <w:p w14:paraId="05D009DA">
      <w:pPr>
        <w:ind w:firstLine="420"/>
      </w:pPr>
      <w:r>
        <w:rPr>
          <w:rFonts w:hint="eastAsia"/>
        </w:rPr>
        <w:t>畜牧业生产是农业生产的重要组成部分，畜产品是城乡居民的主要副食品之一，也是</w:t>
      </w:r>
      <w:r>
        <w:rPr>
          <w:rFonts w:hint="eastAsia"/>
          <w:lang w:eastAsia="zh-CN"/>
        </w:rPr>
        <w:t>菜篮子工程</w:t>
      </w:r>
      <w:r>
        <w:rPr>
          <w:rFonts w:hint="eastAsia"/>
        </w:rPr>
        <w:t>的主要内容，抓好畜牧业生产，保持主要畜产品的合理价格水平，对稳定市场供应，满足消费需求，增加农民收入，促进农村经济发展具有特别重要的意义。主要畜禽监测调查能够及时准确地反映畜牧业生产发展情况，为党和政府制定畜牧业发展政策，推动社会主义新农村建设提供科学依据。</w:t>
      </w:r>
    </w:p>
    <w:p w14:paraId="5606D132">
      <w:pPr>
        <w:pStyle w:val="4"/>
      </w:pPr>
      <w:r>
        <w:rPr>
          <w:rFonts w:hint="eastAsia"/>
        </w:rPr>
        <w:t>【农村住户调查】</w:t>
      </w:r>
    </w:p>
    <w:p w14:paraId="629B992F">
      <w:pPr>
        <w:ind w:firstLine="420"/>
      </w:pPr>
      <w:r>
        <w:rPr>
          <w:rFonts w:hint="eastAsia"/>
        </w:rPr>
        <w:t>全面解农村居民收入、消费、生产、积累和社会活动情况，研究农村居民收入和生活质量的变化，监测农村摆脱贫困和全面建设小康的进程，满足各级政府和宏观决策部门研究制定农村经济政策的需要，以及社会各界的信息需求，为国民经济核算提供基础数据。</w:t>
      </w:r>
    </w:p>
    <w:p w14:paraId="0650187D">
      <w:pPr>
        <w:pStyle w:val="4"/>
      </w:pPr>
      <w:r>
        <w:rPr>
          <w:rFonts w:hint="eastAsia"/>
        </w:rPr>
        <w:t>【农民工监测调查】</w:t>
      </w:r>
    </w:p>
    <w:p w14:paraId="7B0931FE">
      <w:pPr>
        <w:ind w:firstLine="420"/>
      </w:pPr>
      <w:r>
        <w:rPr>
          <w:rFonts w:hint="eastAsia"/>
        </w:rPr>
        <w:t>通过定期收集农民工相关统计信息，准确反映农民工数量、流向、结构、就业、收支、生活、社会保障及创业等情况，从宏观上把握农民工发展变化情况。为制定科学的农民工政策、加强和改善农民工工作提供科学依据。</w:t>
      </w:r>
    </w:p>
    <w:p w14:paraId="05889EA6">
      <w:pPr>
        <w:pStyle w:val="4"/>
      </w:pPr>
      <w:r>
        <w:rPr>
          <w:rFonts w:hint="eastAsia"/>
        </w:rPr>
        <w:t>【农产品生产价格调查】</w:t>
      </w:r>
    </w:p>
    <w:p w14:paraId="354B4C1A">
      <w:pPr>
        <w:ind w:firstLine="420"/>
      </w:pPr>
      <w:r>
        <w:rPr>
          <w:rFonts w:hint="eastAsia"/>
        </w:rPr>
        <w:t>农产品生产价格是指农产品生产者第一手（直接）出售其产品时实际获得的单位产品价格，开展农产品生产价格调查是为全面收集农产品生产价格资料，客观反映农产品生产价格水平和结构变动情况，满足农业与国民经济核算需要，为各级政府制定农业保护与农产品流通政策提供决策依据。</w:t>
      </w:r>
    </w:p>
    <w:p w14:paraId="556935C8">
      <w:pPr>
        <w:pStyle w:val="4"/>
      </w:pPr>
      <w:r>
        <w:rPr>
          <w:rFonts w:hint="eastAsia"/>
        </w:rPr>
        <w:t>【主要农产品中间消耗调查】</w:t>
      </w:r>
    </w:p>
    <w:p w14:paraId="61D55F6D">
      <w:pPr>
        <w:ind w:firstLine="420"/>
      </w:pPr>
      <w:r>
        <w:rPr>
          <w:rFonts w:hint="eastAsia"/>
        </w:rPr>
        <w:t>本项调查的目的是为掌握农业中间消耗及变动情况，满足农业增加值核算和国民经济核算的需要，系统地调查、搜集和整理主要农产品中间消耗项目资料、计算主要农品单位消耗定额或技术比率，据此测定中间消耗水平和变动情况。</w:t>
      </w:r>
    </w:p>
    <w:p w14:paraId="5A7B7110">
      <w:pPr>
        <w:pStyle w:val="4"/>
      </w:pPr>
      <w:r>
        <w:rPr>
          <w:rFonts w:hint="eastAsia"/>
        </w:rPr>
        <w:t>【农业生产资料价格调查】</w:t>
      </w:r>
    </w:p>
    <w:p w14:paraId="0FA15AAA">
      <w:pPr>
        <w:ind w:firstLine="420"/>
      </w:pPr>
      <w:r>
        <w:rPr>
          <w:rFonts w:hint="eastAsia"/>
        </w:rPr>
        <w:t>农业生产资料价格调查是农业生产资料在流通领域最后一个环节，是工业、商业及其他单位和个人向农民出售农业生产资料的价格，农业生产资料价格指数（AMPI），据此测定市场农业生产资料价格变动趋势和变动程度，目的在于掌握农业生产资料的平均价格水平，为国家制定经济政策提供依据，为研究城乡市场流通状况和国民经济核算提供参考依据。</w:t>
      </w:r>
    </w:p>
    <w:p w14:paraId="38C331C8">
      <w:pPr>
        <w:pStyle w:val="4"/>
      </w:pPr>
      <w:r>
        <w:rPr>
          <w:rFonts w:hint="eastAsia"/>
        </w:rPr>
        <w:t>【农户固定资产投资抽样调查】</w:t>
      </w:r>
    </w:p>
    <w:p w14:paraId="4474019A">
      <w:pPr>
        <w:ind w:firstLine="420"/>
      </w:pPr>
      <w:r>
        <w:rPr>
          <w:rFonts w:hint="eastAsia"/>
        </w:rPr>
        <w:t>农户建房投资是农村固定资产投资的主要构成部分，是拉动农村固定资产投资增长的重要力量。全面解农村住户固定资产的投资状况，准确反映农户固定资产的总量、分布与结构，为各级政府制定农村政策提供基础数据。</w:t>
      </w:r>
    </w:p>
    <w:p w14:paraId="07EE32C7">
      <w:pPr>
        <w:pStyle w:val="4"/>
      </w:pPr>
      <w:r>
        <w:rPr>
          <w:rFonts w:hint="eastAsia"/>
        </w:rPr>
        <w:t>【居民消费价格调查】</w:t>
      </w:r>
    </w:p>
    <w:p w14:paraId="1758A688">
      <w:pPr>
        <w:ind w:firstLine="420"/>
      </w:pPr>
      <w:r>
        <w:rPr>
          <w:rFonts w:hint="eastAsia"/>
        </w:rPr>
        <w:t>居民消费价格，是指城乡居民购买并用于日常生活消费的商品和服务项目的价格，居民消费价格调查（CPI）旨在反映一定时期内居民所消费商品及服务项目的价格水平变动趋势和变动程度，其变动率在一定程度上反映通货膨胀（或紧缩）的程度，编制CPI的目的是解价格变动的基本情况，分析研究价格变动对社会经济和民居生活的影响。                                                       （原佛光）</w:t>
      </w:r>
    </w:p>
    <w:p w14:paraId="481E7D30">
      <w:pPr>
        <w:ind w:firstLine="0" w:firstLineChars="0"/>
        <w:rPr>
          <w:b/>
          <w:bCs/>
        </w:rPr>
      </w:pPr>
      <w:r>
        <w:rPr>
          <w:rFonts w:hint="eastAsia"/>
          <w:b/>
          <w:bCs/>
        </w:rPr>
        <w:t>附：2011年市调查队领导班子成员名单</w:t>
      </w:r>
    </w:p>
    <w:p w14:paraId="440F5CBA">
      <w:pPr>
        <w:ind w:firstLine="0" w:firstLineChars="0"/>
      </w:pPr>
      <w:r>
        <w:rPr>
          <w:rFonts w:hint="eastAsia"/>
        </w:rPr>
        <w:t>队长：陈伦明</w:t>
      </w:r>
    </w:p>
    <w:p w14:paraId="73154E54">
      <w:pPr>
        <w:pStyle w:val="3"/>
      </w:pPr>
      <w:r>
        <w:rPr>
          <w:rFonts w:hint="eastAsia"/>
        </w:rPr>
        <w:t>审计</w:t>
      </w:r>
    </w:p>
    <w:p w14:paraId="56ABE9EE">
      <w:pPr>
        <w:pStyle w:val="4"/>
      </w:pPr>
      <w:r>
        <w:rPr>
          <w:rFonts w:hint="eastAsia"/>
        </w:rPr>
        <w:t>【概况】</w:t>
      </w:r>
    </w:p>
    <w:p w14:paraId="414D0432">
      <w:pPr>
        <w:ind w:firstLine="420"/>
      </w:pPr>
      <w:r>
        <w:rPr>
          <w:rFonts w:hint="eastAsia"/>
        </w:rPr>
        <w:t>南雄市审计局是市人民政府的组成部门，根据市机构编制委员会《关于印发南雄市审计局主要职责内设机构和人员编制规定的通知》，赋予审计监督的职能，内设办公室、法规审理股、经济责任审计办公室、财税金融与外资审计股、行政事业与经贸审计股、农业与资源环保审计股六个股室，2011年末，市审计局在职人员17人，其中行政管理人员8人，审计业务人员7人，工勤人员2人。</w:t>
      </w:r>
    </w:p>
    <w:p w14:paraId="164F5AB8">
      <w:pPr>
        <w:ind w:firstLine="420"/>
      </w:pPr>
      <w:r>
        <w:rPr>
          <w:rFonts w:hint="eastAsia"/>
        </w:rPr>
        <w:t>2011年，市审计局坚持“依法审计、服务大局、围绕中心、突出重点、求真务实”的工作方针，紧紧围绕市委市政府“调结构、上水平”这一工作核心，着力在促进全力打好“三场硬战”、保障中央扩内需政策落实、维护财政资金安全、提高资金使用效益、维护人民群众切身利益等方面发挥积极作用，注重从体制、机制、制度层面揭示、分析和反映问题，提出改进和完善的建议，提升审计机关服务南雄经济社会科学发展的能力和水平。完成项目64项，查出违规金额5万元、管理不规范金额2463万元，应上缴财政金额5万元；提出审计建议57条，被采纳38条；向市委市政府和韶关市审计局提交信息29篇，被采用5篇。在认真开展审计工作的同时积极配合市委、市政府做好认真做好“六五”普法、信访维稳、计划生育、社会治安综合治理、政务公开、政府信息公开、跟踪服务入园企个业等各项中心工作。</w:t>
      </w:r>
    </w:p>
    <w:p w14:paraId="24C7DF83">
      <w:pPr>
        <w:pStyle w:val="4"/>
      </w:pPr>
      <w:r>
        <w:rPr>
          <w:rFonts w:hint="eastAsia"/>
        </w:rPr>
        <w:t>【队伍建设】</w:t>
      </w:r>
    </w:p>
    <w:p w14:paraId="39FE1D3E">
      <w:pPr>
        <w:ind w:firstLine="420"/>
      </w:pPr>
      <w:r>
        <w:rPr>
          <w:rFonts w:hint="eastAsia"/>
        </w:rPr>
        <w:t>市审计局不断规范运行机制，加强党支部的各项建设和抓好队伍的教育管理。一是认真执行“三会一课”制度，积极开展支部活动。二是开展《优秀共产党员的具体标准》的学习讨论活动。三是强化党员的管理。组织全局党员干部到瑶坑村红色基地参观学习、到挂点帮扶的村开展党员活动、到贫困户家中慰问，为群众办好事实事，促进城乡基层党组织共建，增强党员的责任感和支部的凝聚力、战斗力。四是通过选派人员参加上级审计机关和市组织人事部门举办的各种培训班，切实加强审计人员对政治理论、国家政策、上级会议精神、专业知识和计算机知识的学习，特别是加强AO系统的学习和运用，进一步提高业务素质和工作能力。五是做好党务公开工作。对支部所属党员的基本情况、“四重一大”等重要事项、党员联系群众、党费收缴等情况进行及时的公开公示，有效的约束和规范党员干部的执政行为，提高党员干部反腐倡廉建设的自觉性。</w:t>
      </w:r>
    </w:p>
    <w:p w14:paraId="6BF7539D">
      <w:pPr>
        <w:pStyle w:val="4"/>
      </w:pPr>
      <w:r>
        <w:rPr>
          <w:rFonts w:hint="eastAsia"/>
        </w:rPr>
        <w:t>【规范化建设】</w:t>
      </w:r>
    </w:p>
    <w:p w14:paraId="28CE3E03">
      <w:pPr>
        <w:ind w:firstLine="420"/>
      </w:pPr>
      <w:r>
        <w:rPr>
          <w:rFonts w:hint="eastAsia"/>
        </w:rPr>
        <w:t>市审计局按照市委市政府和上级审计部门的部署和要求，结合各项专题活动，以解放思想为先导、以提高审计执行力为主题、以改革创新为动力，认真做好规范化建设的相关工作。一是开展“履行职责，加快发展年”活动，进一步强化对“履职”、“本职”的认识，坚定信心，从而营造良好的干事创业氛围，提高全局人员的工作主动性、积极性和自觉性。二是结合“履职”活动开展《审计人员要有“归零”意识》的学习讨论活动，要求审计人员联系自身实际进行深入思考，写出心得体会，使审计人员降低骄傲情绪，在“零”状态中，总结过去经验、客观认识成绩、正确对待荣誉、找准自身在心态、作风、能力方面存在的差距和不足。三是根据省厅的要求，高质量完成审计专网、会商系统和省厅审计作业室三个信息化建设任务；四是按照新的要求进一步修改制定《南雄市审计局会议制度》、《南雄市审计局领导班子议事制度》、《南雄市审计局重要情况通报和报告制度》、《南雄市审计局领导干部述职述廉制度》、《南雄市审计局党支部民主生活会制度》、《南雄市审计局谈话警示制度》、《南雄市审计局信访工作制度》、《南雄市审计局审计项目计划管理办法》、《南雄市审计局审计业务工作操作流程》等一系列内部管理制度和业务管理制，抓好新《国家审计准则》的贯彻落实。</w:t>
      </w:r>
    </w:p>
    <w:p w14:paraId="5A856C59">
      <w:pPr>
        <w:pStyle w:val="4"/>
      </w:pPr>
      <w:r>
        <w:rPr>
          <w:rFonts w:hint="eastAsia"/>
        </w:rPr>
        <w:t>【预算执行审计】</w:t>
      </w:r>
    </w:p>
    <w:p w14:paraId="3A4D5A47">
      <w:pPr>
        <w:ind w:firstLine="420"/>
      </w:pPr>
      <w:r>
        <w:rPr>
          <w:rFonts w:hint="eastAsia"/>
        </w:rPr>
        <w:t>2011年，市审计局紧紧围绕市委、市政府提出的“一个目标五大战略”这条主线，突出对全部政府资金运行具体情况的全面把握，从体制、安全、绩效的角度来审视财政运行系统，重点关注宏观政策措施的执行，加大对部门预算、收支两条线，国库集中支付和政府采购支付等财政改革落实情况的审计，以财政资金审计为基础，财政支出审计为重点，促进增强预算的约束力，加强转移支付资金审计，促进建立科学规范的财政转移支付制度，完善公共财政制度的目的出发，对市2010年度本级预算执行和其他财政收支情况进行审计，主要审计南雄市财政局具体组织的预算执行情况和财政各项制度改革情况、市地方税务系统税收征管情况及财务收支情况和市卫生局、国土局两个部门的预算执行和财务收支情况。6月，受市人民政府委托向市人大作《关于2010年度本级预算执行和其他财政收支的审计工作报告》，得到市人大常委会的肯定和高度评价。</w:t>
      </w:r>
    </w:p>
    <w:p w14:paraId="0E129E44">
      <w:pPr>
        <w:pStyle w:val="4"/>
      </w:pPr>
      <w:r>
        <w:rPr>
          <w:rFonts w:hint="eastAsia"/>
        </w:rPr>
        <w:t>【经济责任审计】</w:t>
      </w:r>
    </w:p>
    <w:p w14:paraId="3D644889">
      <w:pPr>
        <w:ind w:firstLine="420"/>
      </w:pPr>
      <w:r>
        <w:rPr>
          <w:rFonts w:hint="eastAsia"/>
        </w:rPr>
        <w:t>2011年开展经济责任审计项目47项，完成25项，查出违规金额5万元，管理不规范金额1032万元，切实发挥经济责任审计在规范财经管理、维护经济秩序、加强对权力的制约和监督、促进党风廉政建设和反腐败等方面的预警防范作用。一是配合组织、人事部门认真做好今年的换届选举的经济责任审计工作。2011年4月局组织全局审计力量并从财政局、地税局、农业局和统计局抽调专业人员组成三个审计组，对市18个镇（街）36名党政主要领导干部任期经济责任情况进行审计。二是认真做好年度经济责任审计工作联席会议召开的准备工作，确保会议于5月31日顺利召开。联席会议听取2010年经济责任审计情况的情况汇报和2011年开展经济责任审计工作的建议，对2010年中办、国办重新印发的《党政主要领导干部和国有企业领导人员经济责任审计规定》进行学习，制定通过《南雄市市管领导干部经济责任告知承诺办法》。</w:t>
      </w:r>
    </w:p>
    <w:p w14:paraId="512EEF79">
      <w:pPr>
        <w:pStyle w:val="4"/>
      </w:pPr>
      <w:r>
        <w:rPr>
          <w:rFonts w:hint="eastAsia"/>
        </w:rPr>
        <w:t>【扩内需审计】</w:t>
      </w:r>
    </w:p>
    <w:p w14:paraId="01C66569">
      <w:pPr>
        <w:ind w:firstLine="420"/>
      </w:pPr>
      <w:r>
        <w:rPr>
          <w:rFonts w:hint="eastAsia"/>
        </w:rPr>
        <w:t>市审计局按照“提前介入、着力防控、保障落实、促进发展”的原则，为保障中央和省扩大内需促进经济平稳较快发展政策的贯彻落实，完善相关政策措施，确保相关政策措施取得实效，扎实开展对“扩内需、保增长”专项资金的监督检查工作，跟踪审计“扩内需”资金，先后对上级财政安排我市的10个“扩内需”建设项目资金3733.61万元进行动态跟踪审计，有效确保我市扩内需促增长建设项目的顺利进行。</w:t>
      </w:r>
    </w:p>
    <w:p w14:paraId="628A90D3">
      <w:pPr>
        <w:pStyle w:val="4"/>
      </w:pPr>
      <w:r>
        <w:rPr>
          <w:rFonts w:hint="eastAsia"/>
        </w:rPr>
        <w:t>【专项资金审计】</w:t>
      </w:r>
    </w:p>
    <w:p w14:paraId="20B8D5E7">
      <w:pPr>
        <w:ind w:firstLine="420"/>
      </w:pPr>
      <w:r>
        <w:rPr>
          <w:rFonts w:hint="eastAsia"/>
        </w:rPr>
        <w:t>市审计局为改善民生，促进社会和谐，维护广大人民群众的根本利益，组织对中小学校舍安全工程第四阶段、省中小学教师“代转公”和“两相当”问题第四阶段、甘肃舟曲救灾资金物资审计和广东扶贫济困捐赠款物专项跟踪审计第三阶段、因公出国经费、青嶂山小流坑自然保护区、水口镇农业综合开发项目、城区防洪堤、孔江水库除险加固工程、市慈善总会2011年“扶贫济困日”活动筹款等专项资金进行绩效审计和审计调查。审计结果表明，财政及相关部门加强专项资金够较好地执行招投标、监理等管理制度，违法违规及管理不规范问题明显减少，取得良好的经济和社会效益。</w:t>
      </w:r>
    </w:p>
    <w:p w14:paraId="3BDB18DA">
      <w:pPr>
        <w:pStyle w:val="4"/>
      </w:pPr>
      <w:r>
        <w:rPr>
          <w:rFonts w:hint="eastAsia"/>
        </w:rPr>
        <w:t>【其他审计】</w:t>
      </w:r>
    </w:p>
    <w:p w14:paraId="4E8D8CF2">
      <w:pPr>
        <w:ind w:firstLine="420"/>
      </w:pPr>
      <w:r>
        <w:rPr>
          <w:rFonts w:hint="eastAsia"/>
        </w:rPr>
        <w:t>市审计局做好上级审计部门和市委、市政府交办的地方政府性债务审计、《政府采购法》执行情况的专项检查、木材公司、泷头林场、南亩林场转制清产核资、生态公益林补助资金发放情况检查等事项的审计工作任务。（邬惠雄）</w:t>
      </w:r>
    </w:p>
    <w:p w14:paraId="4C796248">
      <w:pPr>
        <w:ind w:firstLine="0" w:firstLineChars="0"/>
        <w:rPr>
          <w:b/>
          <w:bCs/>
        </w:rPr>
      </w:pPr>
      <w:r>
        <w:rPr>
          <w:rFonts w:hint="eastAsia"/>
          <w:b/>
          <w:bCs/>
        </w:rPr>
        <w:t>附：2011年市审计局领导班子成员名单：</w:t>
      </w:r>
    </w:p>
    <w:p w14:paraId="0A23B90B">
      <w:pPr>
        <w:ind w:firstLine="0" w:firstLineChars="0"/>
      </w:pPr>
      <w:r>
        <w:rPr>
          <w:rFonts w:hint="eastAsia"/>
        </w:rPr>
        <w:t>局  长：陈宏华</w:t>
      </w:r>
    </w:p>
    <w:p w14:paraId="2E57D30E">
      <w:pPr>
        <w:ind w:firstLine="0" w:firstLineChars="0"/>
      </w:pPr>
      <w:r>
        <w:rPr>
          <w:rFonts w:hint="eastAsia"/>
        </w:rPr>
        <w:t>副局长：朱志康 郭蕙梅</w:t>
      </w:r>
    </w:p>
    <w:p w14:paraId="596D863F">
      <w:pPr>
        <w:ind w:firstLine="0" w:firstLineChars="0"/>
      </w:pPr>
      <w:r>
        <w:rPr>
          <w:rFonts w:hint="eastAsia"/>
        </w:rPr>
        <w:t>纪检组长：何小华</w:t>
      </w:r>
    </w:p>
    <w:p w14:paraId="347AA3E7">
      <w:pPr>
        <w:pStyle w:val="3"/>
      </w:pPr>
      <w:r>
        <w:rPr>
          <w:rFonts w:hint="eastAsia"/>
        </w:rPr>
        <w:t>质量技术监督</w:t>
      </w:r>
    </w:p>
    <w:p w14:paraId="7A8A3DB2">
      <w:pPr>
        <w:pStyle w:val="4"/>
      </w:pPr>
      <w:r>
        <w:rPr>
          <w:rFonts w:hint="eastAsia"/>
        </w:rPr>
        <w:t>【概况】</w:t>
      </w:r>
    </w:p>
    <w:p w14:paraId="30D308D7">
      <w:pPr>
        <w:ind w:firstLine="420"/>
      </w:pPr>
      <w:r>
        <w:rPr>
          <w:rFonts w:hint="eastAsia"/>
        </w:rPr>
        <w:t>南雄市质量技术监督局前身是1986年6月成立的南雄县标准计量管理局，1990年更名为南雄县技术监督局，1996年南雄撤县设市后改为南雄市技术监督局，1999年下半年实施省以下垂直管理体制后，更名为南雄市质量技术监督局。现座落于雄州镇环城东路52号。内设机构有：办公室、质量标准化股、锅特计量股、食品监管股、稽查队以及一个下属事业单位：南雄市质量技术监督检测所。现有在职职工22人，其中工程师6名，助理工程师及技术人员14名，执法人员、专业技术人员均经过国家主管部门的培训考核，持证上岗。</w:t>
      </w:r>
    </w:p>
    <w:p w14:paraId="64992E3D">
      <w:pPr>
        <w:pStyle w:val="4"/>
      </w:pPr>
      <w:r>
        <w:rPr>
          <w:rFonts w:hint="eastAsia"/>
        </w:rPr>
        <w:t>【法制工作】</w:t>
      </w:r>
    </w:p>
    <w:p w14:paraId="4EA98C33">
      <w:pPr>
        <w:ind w:firstLine="420"/>
      </w:pPr>
      <w:r>
        <w:rPr>
          <w:rFonts w:hint="eastAsia"/>
        </w:rPr>
        <w:t>开展案件初审与案件审理工作，严格按照案件审理要求，组织案件审理50宗，及时指正案件办理过程中存在的问题，全年未发生行政诉讼和复议。严格按照行政许可法实施行政许可工作。行政许可工作人员符合规定，做到实施主体合法，许可程序合法，行政许可决定合法。开展普法宣教工作：成立“六五”普法领导小组，开展“六五”普法工作；组织参加3.15、质量月等宣传活动；组织干部职工参加全国食品安全法律知识竞赛、“六五”普法考试，学习《食品安全法》、《刑法修正案八》等法律法规；坚持领导干部学法用法制度，开展领导讲法授课活动。市政府制定出台《南雄市地理标志产品保护管理办法》，成立地理标志产品保护办。《南雄板鸭地方标准》已获省质监局批准颁布，现着手牵头有关部门积极推动该地理标志产品的标准化示范区建设。</w:t>
      </w:r>
    </w:p>
    <w:p w14:paraId="063EA895">
      <w:pPr>
        <w:pStyle w:val="4"/>
      </w:pPr>
      <w:r>
        <w:rPr>
          <w:rFonts w:hint="eastAsia"/>
        </w:rPr>
        <w:t>【工作机制建设】</w:t>
      </w:r>
    </w:p>
    <w:p w14:paraId="51C3BD93">
      <w:pPr>
        <w:ind w:firstLine="420"/>
      </w:pPr>
      <w:r>
        <w:rPr>
          <w:rFonts w:hint="eastAsia"/>
        </w:rPr>
        <w:t>切实履行质监工作职责，全力推进重大质量工作机制建设，提高全市质量工作总体水平。依靠地方政府，加强对质量工作的领导。按照地方政府对质量安全负总责的要求，依靠地方政府深入开展质量强市活动。建立部门协作机制和联席会议制度，加强质量信息交流，研究应对重大质量安全问题和突发事件的措施，大力开展联合整治和执法检查，形成部门各负其职、配合协作的工作机制。</w:t>
      </w:r>
    </w:p>
    <w:p w14:paraId="42215F8C">
      <w:pPr>
        <w:pStyle w:val="4"/>
      </w:pPr>
      <w:r>
        <w:rPr>
          <w:rFonts w:hint="eastAsia"/>
        </w:rPr>
        <w:t>【技术机构建设】</w:t>
      </w:r>
    </w:p>
    <w:p w14:paraId="5FE0977C">
      <w:pPr>
        <w:ind w:firstLine="420"/>
      </w:pPr>
      <w:r>
        <w:rPr>
          <w:rFonts w:hint="eastAsia"/>
        </w:rPr>
        <w:t>广东省质量监督精细化工产品检验站总投资1000万元以上，已完成综合检测大楼土建工程部分建设，下一步将开展实验室内部装修、设备购置工作、投入运营。</w:t>
      </w:r>
    </w:p>
    <w:p w14:paraId="05F7CDD3">
      <w:pPr>
        <w:pStyle w:val="4"/>
      </w:pPr>
      <w:r>
        <w:rPr>
          <w:rFonts w:hint="eastAsia"/>
        </w:rPr>
        <w:t>【执法监督】</w:t>
      </w:r>
    </w:p>
    <w:p w14:paraId="67E435FC">
      <w:pPr>
        <w:numPr>
          <w:ilvl w:val="0"/>
          <w:numId w:val="16"/>
        </w:numPr>
        <w:ind w:firstLine="420"/>
      </w:pPr>
      <w:r>
        <w:rPr>
          <w:rFonts w:hint="eastAsia"/>
        </w:rPr>
        <w:t>食品生产监管。开展打击食品添加剂和滥用食品添加剂行为专项整治工作。对12家食品生产企业和小作坊使用食品添加剂的情况进行普查登记，对所有生产加工企业所使用的添加剂按照《食品生产加工企业食品添加物质使用备案管理办法》严格审查备案材料，目前全部食品企业均已建立添加剂备案表。组织全市62家食品加工企业举办1期食品安全法宣贯会。结合“3.15”活动、质量月活动分别在三影塔广场、乡镇墟镇设立咨询点进行宣传和咨询。利用每月15日食品接待日活动，分别在三影塔广场和局办公大厅设立接待点，全年共接待来访群众和企业人员520人次，为来访人员解决咨询问题120宗。加强食品生产加工企业、小作坊监管。加大监督抽查力度，全年共巡查企业345家，抽查食品产品339批次，对供大运会食品企业进行监测和产品检验。帮助获证企业落实年审制度，全年共帮助1家食品加工企业取得食品生产许可证，帮助8家食品企业换取食品生产许可证。2、特种设备安全监管。召开落实特种设备安全主体责任工作会议，有43家特种设备使用单位签订《特种设备使用单位安全责任承诺书》。组织辖区内的五家液化石油气充装站在在市液化石油气供应公司气站举行联合救援演练，有力提高各气站在突发相关事故时的应变、处置能力，在本辖区内特种设备未发生重大安全事故。开展气瓶、锅炉、电梯专项整治。在大运会期间对公共场所使用的电梯进行隐患排查，杜绝在用电梯带病运作，并督促电梯使用单位认真落实岗位责任。加强现场监察和日常巡查，全年计出动检查人员167人次，检查特种设备使用单位46家次，检查施工现场5起次，检查特种设备121台次，填写《特种设备现场安全监督检查记录》60份，发出《特种设备安全监察指令书》1份。检查表明，全市各特种设备使用单位安全管理情况良好，未发现无证生产、无证使用、无证操作等违法违规行为和严重事故隐患。3、打假工作。组织打假成员单位开展元旦、春节、五一、十一应节食品和春季农资、夏季农资打假联合行动，营造打击制售假冒伪劣违法行为的声势。加大执法打假力度，重点打击生产有毒有害物质（如甲醛）超标、掺杂掺假、以次充好、假冒产地、假冒厂名厂址等违法行为。一年来，南雄质监局打击生产销售假冒伪劣商品违法行为出动执法人员598多人次，办案50宗，查处假冒伪劣货值7.1万元，实施行政处罚13.4万元。一年来没有发生被新闻媒体曝光事件。继续推动将打假工作列入南雄市政府工作计划和政府工作考评标准，逐级签订《打假责任书》。卷烟打假工作取得新成绩。打假办与南雄烟草专卖局召开年度专项整治总结与表彰大会，表彰一批先进单位与先进个人。4、质量监督。按照省、市质监局定期监督抽检要求完成工业产品抽检28批次，27批次合格，合格率为96.4%；专项监督抽查11批次，合格率为100%。全年共抽查食品产品339批次，其中省、市、县级定期食品产品抽检196批次，合格率为95.6%；县食品卫生抽检143批次，合格率为98%。完成计划抽检的98%。监检后处理到位率100%。全市产品质量稳定，重点产品抽检合格率达到100%，没有发生质量安全事故。为保证旅游节的食品安全，对全市的大米、罐头、板鸭、米花糕、花生饼等食品生产企业专项抽查行动，合格率为100%。建立健全全市规模生产加工企业质量档案，实施动态管理，全市企业建档率95%。</w:t>
      </w:r>
    </w:p>
    <w:p w14:paraId="3994CE38">
      <w:pPr>
        <w:pStyle w:val="4"/>
      </w:pPr>
      <w:r>
        <w:rPr>
          <w:rFonts w:hint="eastAsia"/>
        </w:rPr>
        <w:t>【质量管理】</w:t>
      </w:r>
    </w:p>
    <w:p w14:paraId="50E0BE20">
      <w:pPr>
        <w:numPr>
          <w:ilvl w:val="0"/>
          <w:numId w:val="17"/>
        </w:numPr>
        <w:ind w:firstLine="420"/>
      </w:pPr>
      <w:r>
        <w:rPr>
          <w:rFonts w:hint="eastAsia"/>
        </w:rPr>
        <w:t>促进企业素质。对市纳入生产许可证管理的生产企业4家建立健全企业质量档案。建立质量状况分析制度。每月对监督抽查进行总结并及时对本市产品质量状况进行分析形成报告，将有关情况及时上报韶关市局和市政府。严格市场准入标准，帮助欠规范食品企业改善生产条件，提供技术服务，支持企业发展，充分发挥部门优势，现场指导企业做好内部管理，帮助完善厂区布局，使企业具备保证产品质量安全的生产设施和场所。全年帮助1家食品加工企业取得食品生产许可证，帮助8家食品企业换取食品生产许可证。2、提高产品质量。加大实施以质取胜战略，开展“质量强市”活动，成立“质量强市”活动领导小组及其办公室，制定并落实“质量强市”专项整治实施方案。同时按照实施方案要求，召开形式多样的座谈会和宣传咨询活动，以质量强市办公室的名义下发通知到各有关单位、乡镇（街道）执行落实。全市产品质量稳定，重点产品抽检合格率达到100%，没有发生质量安全事故。</w:t>
      </w:r>
    </w:p>
    <w:p w14:paraId="369D5C31">
      <w:pPr>
        <w:pStyle w:val="4"/>
      </w:pPr>
      <w:r>
        <w:rPr>
          <w:rFonts w:hint="eastAsia"/>
        </w:rPr>
        <w:t>【标准化与计量管理】</w:t>
      </w:r>
    </w:p>
    <w:p w14:paraId="1413570A">
      <w:pPr>
        <w:numPr>
          <w:ilvl w:val="0"/>
          <w:numId w:val="18"/>
        </w:numPr>
        <w:ind w:firstLine="420"/>
      </w:pPr>
      <w:r>
        <w:rPr>
          <w:rFonts w:hint="eastAsia"/>
        </w:rPr>
        <w:t>标准化战略。深入推进采标工作，申报3家企业3个产品采标材料。十二五”期间组织3-5家企业参与创建活动，2011年组织动员1家企业参与创建活动。组织协调南雄市烟草公司开展烟叶种植标准化示范区申报，2011年7月已通过国家级验收。积极推广完成“两码”应用工作，一年来办理商品条码注册16家；办理代码年检1332个，变更234个，换证417个，数字证书正处于推广使用过程中，并取得突出的成绩，已办理383份。对南雄烟草公司等重点企业进行宣传，积极支持有条件的企业参与行业标准的制修订工作。对精细化工园已投产的10多家化工企业生产产品采用标准和检测项目进行登记，为南雄质监局已规划在化工园区内建设质监服务站、推进专业集群、联盟标准制定作好前期摸底调查。组织制定的《南雄板鸭地方标准》已获省质监局批准发布，已组织、指导有关企业规范使用。2、计量管理。开展对企业申办三级计量保证体系确认，为3家企业、1家加油站办理三级计量体系确认评审；引导4家用能企业申办三级计量体系确认。对全市3家年耗能5000吨标准煤的重点用能单位进行监督检查，检查能源计量器具70台件，受检率和合格率均达到100%。结合“世界计量日”、“质量月”等活动深入企业开展形式多样的节能降耗服务活动。自筹经费对市区3家集贸市场在用衡器和医疗卫生单位常用强检计量器具进行免费检定，完善检定档案。组织3家加油站和2家集贸市场签订诚信计量公开承诺书。引导企业开展诚信计量并做出自我承诺，推行集贸市场计价秤统配统管制度。开展计量专项整治和商品过度包装、在用加油机的监督检查。对市区4家液化石油气充装站、3家集贸市场和2家超市进行2次突击检查，检查充装秤等在用计量器具12台，在用电子计价秤30台，未发现加装作弊装置和破坏电子计价秤准确度的违法行为，均检定合格并在检定周期有效范围内；定量包装抽查11批次，重点抽查食品、水泥，出动检查人员72人次，合格率为100%。加强对辖区内安检机构的监督检查，建立执行不定期巡查、不定期监督抽查、重大节假日监督检查、执法检查、年度报告、会议制度等6项基本监管制度。对本市1家机动车安检机构进行计量巡查和2次专项检查。                                                                                   （彭慧）</w:t>
      </w:r>
    </w:p>
    <w:p w14:paraId="26520E7E">
      <w:pPr>
        <w:ind w:firstLine="0" w:firstLineChars="0"/>
        <w:rPr>
          <w:b/>
          <w:bCs/>
        </w:rPr>
      </w:pPr>
      <w:r>
        <w:rPr>
          <w:rFonts w:hint="eastAsia"/>
          <w:b/>
          <w:bCs/>
        </w:rPr>
        <w:t>附：2011年市质监局领导班子成员名单</w:t>
      </w:r>
    </w:p>
    <w:p w14:paraId="59C3710D">
      <w:pPr>
        <w:ind w:firstLine="0" w:firstLineChars="0"/>
      </w:pPr>
      <w:r>
        <w:rPr>
          <w:rFonts w:hint="eastAsia"/>
        </w:rPr>
        <w:t>局  长：张海南</w:t>
      </w:r>
    </w:p>
    <w:p w14:paraId="181B4272">
      <w:pPr>
        <w:ind w:firstLine="0" w:firstLineChars="0"/>
      </w:pPr>
      <w:r>
        <w:rPr>
          <w:rFonts w:hint="eastAsia"/>
        </w:rPr>
        <w:t>副局长：黄哲勇 廖发文</w:t>
      </w:r>
    </w:p>
    <w:p w14:paraId="476AFEF5">
      <w:pPr>
        <w:pStyle w:val="3"/>
      </w:pPr>
      <w:r>
        <w:rPr>
          <w:rFonts w:hint="eastAsia"/>
        </w:rPr>
        <w:t>工商行政管理</w:t>
      </w:r>
    </w:p>
    <w:p w14:paraId="58F1E312">
      <w:pPr>
        <w:pStyle w:val="4"/>
      </w:pPr>
      <w:r>
        <w:rPr>
          <w:rFonts w:hint="eastAsia"/>
        </w:rPr>
        <w:t>【概况】</w:t>
      </w:r>
    </w:p>
    <w:p w14:paraId="1CE64CFF">
      <w:pPr>
        <w:ind w:firstLine="420"/>
      </w:pPr>
      <w:r>
        <w:rPr>
          <w:rFonts w:hint="eastAsia"/>
        </w:rPr>
        <w:t>南雄市工商行政管理局（简称南雄工商局）是政府主管市场监管和行政执法的职能机构。2011年局机关内设办公室（含信息中心、机关服务中心）、人事监察股、法规股、登记注册股、企业监督管理股、经济检查股（含12315举报中心，并加挂打击传销办公室牌子）、商标广告管理股、市场合同管理股8个股（室），经济检查大队1个直属单位；下辖有雄州、乌迳、黄坑、湖口、珠玑、水口、澜河7个工商所，并设个体劳动者协会和私营企业协会（两块牌子一套人马）2个社会团体；系统在职人员125人，其中公务员121人，后勤人员2人，机关服务中心2人。</w:t>
      </w:r>
    </w:p>
    <w:p w14:paraId="6DC5BA35">
      <w:pPr>
        <w:pStyle w:val="4"/>
      </w:pPr>
      <w:r>
        <w:rPr>
          <w:rFonts w:hint="eastAsia"/>
        </w:rPr>
        <w:t>【市场监管与整治】</w:t>
      </w:r>
    </w:p>
    <w:p w14:paraId="23F40B1B">
      <w:pPr>
        <w:ind w:firstLine="420"/>
      </w:pPr>
      <w:r>
        <w:rPr>
          <w:rFonts w:hint="eastAsia"/>
        </w:rPr>
        <w:t>从构建市场监管长效机制入手，以人民群众关心的热点、难点问题为突破口，以流通环节食品安全监管为重点，全面推进网格化监管，加大专项整治工作力度，进一步整顿和规范市场经济秩序。全年查处各类违法违章行为382起，查办案件134宗。1、全面推进网格化监管。通过建立由综合监管室牵头抓、其他业务股室协作抓、股所联动共同抓的工作机制，层层落实网格化监管责任；按照“网定格、格定人、人定责、责定标”的工作要求，依据工商所管辖区域、经济户口分布和监管力量情况，分层分级、科学合理划分网格，监管责任细化到岗、到人、到点。2、完善行政执法工作机制。建立以经济大队为“龙头”，工商所网格化管理为依托，实行“监管办案联动机制”，提高监管办案工作效率。在食品安全和二虚一逃监督检查中取得突破，成功办理2宗销售无中文标签、无中文说明书的进口的预包装食品案件，3宗销售假冒伪劣酒案，1宗抽逃出资案。3、深入组织开展各类专项整治。组织开展打击侵犯知识产权和制售假冒伪劣商品的专项行动、校园周边经营秩序专项整治、清理无照经营专项行动、商业贿赂案，查办产品质量及商标侵权案20宗、无照经营案37宗，取缔黑网吧2户；配合政府相关职能部门开展市场中介组织防治腐败、净化社会文化环境、硫黄重制辣椒等专项整治工作，深入打击传销、扫黄打非、禁毒工作、打击走私等扰乱市场秩序行动。4、加大流通领域商品质量监管力度。全年组织开展猪肉市场、酒类市场、食盐市场、地沟油及节日食品市场及打击流通环节食品非法添加和滥用食品添加剂、红盾护农等专项整治行动15次，发放食品流通许可证451份，开展流通环节食品（乳制品）抽检32个批次，与乳品经营者签订承诺书279份，签订订肉品安全管理承诺书600份，肉品安全管理责任书600份，查办食品案件8宗，查办农资案件40宗，其中2宗是不按规定建立农资进货台账违法行为案。5、加强高危行业监管工作力度。结合“安全生产年”、“安全生产月”等活动，强化高危行业监管工作力度，增加日常巡查监管频率，同时配合相关职能部门开展各项安全生产专项行动。全年组织开展烟花爆竹、消防安全检查、安全生产检查行动7次，检查各类主体1467户次，发现安全隐患23户次，现场督促改正23户次。</w:t>
      </w:r>
    </w:p>
    <w:p w14:paraId="1C5ED74A">
      <w:pPr>
        <w:pStyle w:val="4"/>
      </w:pPr>
      <w:r>
        <w:rPr>
          <w:rFonts w:hint="eastAsia"/>
        </w:rPr>
        <w:t>【工商登记与服务】</w:t>
      </w:r>
    </w:p>
    <w:p w14:paraId="44AE126B">
      <w:pPr>
        <w:ind w:firstLine="420"/>
      </w:pPr>
      <w:r>
        <w:rPr>
          <w:rFonts w:hint="eastAsia"/>
        </w:rPr>
        <w:t>紧扣当地政府中心工作，做好“服务”文章，促进地方经济平稳发展。2011年全市新发展各类市场经营主体1157户，个体工商户升级为企业12户，13户精细化工生产企业顺利落户珠玑工业园。至2011年底，全市有内资企业488户，私营企业670户，农民专业合作社169户，个体工商户7843户，107户登记注册的精细化工生产企业顺利落户珠玑工业园。1、服务市场主体健康发展。落实首问（办）责任制、服务承诺制、一次性告知制、限时办结制、过错追究问责制等多项服务制度，为各类市场主体提供优质高效服务。2011年服务中心窗口办理各类登记注册业务4303宗，各类咨询600多人（次）；通过网上、现场、上门、预约等多种方式相结合，推进企业年检、个体验照工作，年检验照率达90%以上；年检中加强对经营主体的资格再审查，向相关企业发出《预警通知书》或口头预警41份（次），规范和纠正涉及各类前置许可或其他登记事项29户，变更登记900户，注销登记382户，公告吊销名存实亡企业437户。2、服务新农村经济加快发展。贯彻落实各项优惠政策，鼓励、支持、引导发展多种形式的农民专业合作经济组织；大力推进行政指导工作，积极开展动产抵押、股权质押登记，支持小额贷款公司、担保公司规范发展，切实帮助企业特别是中小企业解决融资难问题；积极引导、帮助企业充分利用地理标志、土特产等优势，申请注册商标，争创品牌。2011年发展农民专业合作社48户，登记“零收费”19户（次），免收工商登记费4.881万元，为15家企业办理动产抵押物登记，帮助企业融资1500万多元。3、服务产业政策平稳转移。把支持市场主体发展与重大项目建设、承接产业转移、产业集群发展、重点工业园区建设等结合起来，对政府招商引资的重点企业及进驻工业园区企业，主动介入，超前指导，做到畅通急事、疏通难事、融通特事，全程提供优质、快捷、跟踪等服务。2011年有13户精细化工生产企业顺利落户珠玑工业园，为9家园区外招商引资企业落户我市提供优质服务。4、服务政府其他中心工作。投资两万多元，帮扶挂点单位乌迳村委会的基础设施建设及帮扶挂点贫困户，进一步推进扶贫开发“双到”工作；抽调干部参加当地政府“黄烟缉私”百人工作队，协助开展卷烟打假工作；抽调一位业务骨干常驻市招商引资办公室，支持、协助、配合南雄市加快地方招商引资工作等。</w:t>
      </w:r>
    </w:p>
    <w:p w14:paraId="10608EEE">
      <w:pPr>
        <w:pStyle w:val="4"/>
      </w:pPr>
      <w:r>
        <w:rPr>
          <w:rFonts w:hint="eastAsia"/>
        </w:rPr>
        <w:t>【消保维权与服务】</w:t>
      </w:r>
    </w:p>
    <w:p w14:paraId="0298E895">
      <w:pPr>
        <w:ind w:firstLine="420"/>
      </w:pPr>
      <w:r>
        <w:rPr>
          <w:rFonts w:hint="eastAsia"/>
        </w:rPr>
        <w:t>以促进社会和谐稳定为目标，实施消费环境优化行动，全面推进消费维权工作。1、推进12315维权网络建设。围绕“提升社会维权网络工作效能，多渠道提供市场经营信息，快速解决消费纠纷，营造良好的市场环境和消费环境”目标，积极推进12315“五进”规范化建设。2011年建立消费维权服务站4个，五进工作建站数量在韶关排名第一。同时发挥基层“一会两站”的职能作用，形成日常监管、受理投诉、跟踪督办和案件查处相结合的行政执法网络。全年受理申诉举报18宗，其中，举报8宗，消费申诉10宗。2、推进消费宣传与维权工作。以3·15消费者权益保护日为契机，加大消费宣传力度，做好调解工作，妥善解决纠纷，切实保护消费者的合法权益。全年开展红盾维权宣传活动4次，发放宣传资料5000多份，编印并发放《诚信南雄消费维权指南》2000多册，接受群众来人来电咨询投诉110多件，解决消费纠纷48宗，为消费者挽回经济损失13多万元。</w:t>
      </w:r>
    </w:p>
    <w:p w14:paraId="3A0FE662">
      <w:pPr>
        <w:pStyle w:val="4"/>
      </w:pPr>
      <w:r>
        <w:rPr>
          <w:rFonts w:hint="eastAsia"/>
        </w:rPr>
        <w:t>【工商规范化建设】</w:t>
      </w:r>
    </w:p>
    <w:p w14:paraId="01EEFCAE">
      <w:pPr>
        <w:ind w:firstLine="420"/>
      </w:pPr>
      <w:r>
        <w:rPr>
          <w:rFonts w:hint="eastAsia"/>
        </w:rPr>
        <w:t>从开展岗位资格认证工作入手，推进基层和机关规范化建设，强化队伍建设和管理，进一步提高干部履职能力。1、以履行职责活动为契机，推进队伍建设。一是扎实开展履职活动。创新形式，注重实效，在全系统内积极动员并扎实推进履职活动。活动中组织开展学习讨论3次，收到心得体会119篇，签订履行职责承诺书119份，参加演讲比赛获优胜奖。二是加强党团建设。以开展创先争优活动为契机，开展</w:t>
      </w:r>
      <w:r>
        <w:rPr>
          <w:rFonts w:hint="eastAsia"/>
          <w:lang w:val="en-US" w:eastAsia="zh-CN"/>
        </w:rPr>
        <w:t>庆祝</w:t>
      </w:r>
      <w:r>
        <w:rPr>
          <w:rFonts w:hint="eastAsia"/>
        </w:rPr>
        <w:t>建党90周年活动为载体，推进基层党团组织建设。通过看党史、听党课、写心得等加强党员干部的革命传统教育；坚持党组中心组学习制度，已组织4次中心理论组学习会；丰富党团组织生活，组织青年团员到井冈山接受革命传统教育；组织党员到南雄瑶坑、始兴红围等革命旧址开展党组织活动。三是加强工商文化建设。与政治思想、个人修养、中</w:t>
      </w:r>
      <w:r>
        <w:rPr>
          <w:rFonts w:hint="eastAsia"/>
          <w:lang w:val="en-US" w:eastAsia="zh-CN"/>
        </w:rPr>
        <w:t>华</w:t>
      </w:r>
      <w:r>
        <w:rPr>
          <w:rFonts w:hint="eastAsia"/>
        </w:rPr>
        <w:t>优秀传统文化教育等结合起来，通过学名言、上廉政文化等形式，加强工商文化建设。2、以民主评议活动为契机，推进作风建设。一是推进民主评议政风行风活动。通过召开行评监督员、阳光工程监督员座谈会，企业大走访，设立意见箱、网络问政等方式，开门广泛征求社会各界的意见；组织7个工商所开展工商所正副所长向监管服务对象代表述职述廉活动，自觉接受社会的监督；开展领导干部大接访活动，开门办工商，广纳贤言，以“三评”“双述”“一访”促民主评议活动开展。二是强化纪律作风建设。通过点名、现场查岗、电子监控等方式，加大对干部工作纪律等情况的督察，强化经常性督查工作；组织观看明查暗访纪律作风建设纪录片、参观预防职务犯罪图片展、韶关市党史图片展等反腐倡廉教育专题，加强警示教育；制定完善有关规定，强化纪律作风建设，提高工作效能。3、以法治工商建设为契机，推进能力建设。一是着力法治制度建设。出台《南雄市工商行政管理局行政处罚案件核审规定》等规定，成立案件核审委员会，坚持重大案件集体讨论制度，严格执行案件核审制度，进一步规范执法行为。一年来退卷补正9宗，举行案件核审会集体讨论相关案件3次，召开相关案件协调（研讨）会议2次。二是强化法制学习培训。积极采取以会代训、以案析法、开展优秀执法案卷评选活动，强化法律法规及法制业务学习，对疑难或带有普遍性的问题给予书面指导意见等直面行政执法中问题与不足的方式，增强培训的实效性。全年组织法律学习6次，案件分析学习会4次。三是强化岗位学习培训。以基层工商所岗位资格认证考试为契机，利用网络平台，集中培训或个人自学相结合，强化岗位资格学习培训。4、以规范化建设为契机，推进工商形象建设。一方面，完善标识、标挂、制度制作上墙等，统一工商所办公楼外观形象标识、机关窗口形象标识等。同时加强办公、执法设备装备配置。另一方面从规范制度入手，从概况、工作职责、内部管理制度等方面制定一系列制度，并装订成册。               （陈连连）</w:t>
      </w:r>
    </w:p>
    <w:p w14:paraId="30FD737D">
      <w:pPr>
        <w:ind w:firstLine="0" w:firstLineChars="0"/>
      </w:pPr>
      <w:r>
        <w:rPr>
          <w:rFonts w:hint="eastAsia"/>
          <w:b/>
          <w:bCs/>
        </w:rPr>
        <w:t>附：2011年市工商局领导班子成员名单</w:t>
      </w:r>
      <w:r>
        <w:rPr>
          <w:rFonts w:hint="eastAsia"/>
        </w:rPr>
        <w:t>：</w:t>
      </w:r>
    </w:p>
    <w:p w14:paraId="0FAE0341">
      <w:pPr>
        <w:ind w:firstLine="0" w:firstLineChars="0"/>
      </w:pPr>
      <w:r>
        <w:rPr>
          <w:rFonts w:hint="eastAsia"/>
        </w:rPr>
        <w:t>局  长：李伟锋</w:t>
      </w:r>
    </w:p>
    <w:p w14:paraId="0D647230">
      <w:pPr>
        <w:ind w:firstLine="0" w:firstLineChars="0"/>
      </w:pPr>
      <w:r>
        <w:rPr>
          <w:rFonts w:hint="eastAsia"/>
        </w:rPr>
        <w:t>副局长：谭耀贵 谭志良 熊文荣</w:t>
      </w:r>
    </w:p>
    <w:p w14:paraId="441DC8C7">
      <w:pPr>
        <w:pStyle w:val="3"/>
      </w:pPr>
      <w:r>
        <w:rPr>
          <w:rFonts w:hint="eastAsia"/>
        </w:rPr>
        <w:t>国土资源管理</w:t>
      </w:r>
    </w:p>
    <w:p w14:paraId="3E670F0C">
      <w:pPr>
        <w:pStyle w:val="4"/>
      </w:pPr>
      <w:r>
        <w:rPr>
          <w:rFonts w:hint="eastAsia"/>
        </w:rPr>
        <w:t>【概况】</w:t>
      </w:r>
    </w:p>
    <w:p w14:paraId="0FD5F78F">
      <w:pPr>
        <w:ind w:firstLine="420"/>
      </w:pPr>
      <w:r>
        <w:rPr>
          <w:rFonts w:hint="eastAsia"/>
        </w:rPr>
        <w:t>南雄市国土局1986年成立，2001年国土局与地矿局合并组建国土资源局。全系统现有干部职工88人，内设办公室、规划股、建设用地股、地籍股、地矿股、执法监察股（队）、测绘股，下辖土地交易所、土地整理中心、土地储备中心、信息中心、测绘队和18个镇（街道）国土资源所。</w:t>
      </w:r>
    </w:p>
    <w:p w14:paraId="30989DF5">
      <w:pPr>
        <w:pStyle w:val="4"/>
      </w:pPr>
      <w:r>
        <w:rPr>
          <w:rFonts w:hint="eastAsia"/>
        </w:rPr>
        <w:t>【耕地保护】</w:t>
      </w:r>
    </w:p>
    <w:p w14:paraId="053B24FC">
      <w:pPr>
        <w:ind w:firstLine="420"/>
      </w:pPr>
      <w:r>
        <w:rPr>
          <w:rFonts w:hint="eastAsia"/>
        </w:rPr>
        <w:t>坚持严格保护耕地和耕地占补平衡的原则，大力开展土地开发整理和耕地补充。2010年第一批次土地开发整理补充耕地项目。2011年9月通过上级部门的检查验收，开发整理面积8960.87亩，新增耕地4506.12亩。2011年第一批补充耕地项目，规划开发整理面积260多亩。</w:t>
      </w:r>
    </w:p>
    <w:p w14:paraId="58924EF4">
      <w:pPr>
        <w:pStyle w:val="4"/>
      </w:pPr>
      <w:r>
        <w:rPr>
          <w:rFonts w:hint="eastAsia"/>
        </w:rPr>
        <w:t>【建设用地】</w:t>
      </w:r>
    </w:p>
    <w:p w14:paraId="74F52AB1">
      <w:pPr>
        <w:ind w:firstLine="420"/>
      </w:pPr>
      <w:r>
        <w:rPr>
          <w:rFonts w:hint="eastAsia"/>
        </w:rPr>
        <w:t>坚持保护资源与保障发展的方针，积极履行部门工作职责，主动作为，强化服务，努力保障全市重点项目、社会民生和基础设施等项目的用地需求。一是集中业务骨干，突出工作重点，大力开展二期园区、奥威斯等重点项目征地工作；二是利用指标置换、增减挂钩、只转不征和争取奖励指标等多种方式争取用地指标，拓宽用地渠道，缓解用地压力；三是积极“跑部进厅”，加强与省、市国土资源部门的沟通联系，专人跟踪报批进度。通过集中力量打攻坚战，全年完成产业项目和重点工程项目用地征地面积4637亩，其中二期工业园2900亩，奥威斯度假村800多亩，铁路站场350亩，金刚小区、二期园区路道、奥威斯大道、黑颈龟和电线铁塔等项目近600亩。雄州公园、城市综合体、雄州街道4S店和金泰源商品房等项目的征地工作稳步推进。全年组织用地报批10个批次，面积2449.3亩的，新增建设用地2438.59亩，取回批文249.41亩。有力地保障全市重点经济建设项目和各项社会民生工程的用地需求。</w:t>
      </w:r>
    </w:p>
    <w:p w14:paraId="58F6A541">
      <w:pPr>
        <w:pStyle w:val="4"/>
      </w:pPr>
      <w:r>
        <w:rPr>
          <w:rFonts w:hint="eastAsia"/>
        </w:rPr>
        <w:t>【地籍管理与土地市场】</w:t>
      </w:r>
    </w:p>
    <w:p w14:paraId="76CCEB6A">
      <w:pPr>
        <w:ind w:firstLine="420"/>
      </w:pPr>
      <w:r>
        <w:rPr>
          <w:rFonts w:hint="eastAsia"/>
        </w:rPr>
        <w:t>利用第二次土地调查数据，建立地籍管理数据库，提高地籍管理工作效率。全年颁发国有土地使用权证2000宗、集体土地使用权证70本，办理土地使用权抵押登记126宗，受理地籍档案查询70人次。投资70多万元，建设土地网上交易系统并投入运行。全年公开交易国有建设用地使用权21宗，面积994.95亩，成交金额达4.45亿元；土地网上交易11宗，面积606.5亩，成交额8000多万元。成功挂牌出让珠玑镇金源矿区建筑用花岗岩矿采矿权，成交额32万元。网上交易系统的开通和运行，标志着土地交易市场建设又实现一个新的跨越。严把国有建设用地供应关，做到依法供地、合理供地、跟踪管理。全年签订出让合同65宗，总面积1574.62亩，出让总价款5.1亿元。其中协议出让34宗，面积2271.63平方米，出让价款72.3万元。划拨供应6宗，总面积76089.21平方米。批准农村个人建房用地159户，面积12322平方米。</w:t>
      </w:r>
    </w:p>
    <w:p w14:paraId="2D135427">
      <w:pPr>
        <w:pStyle w:val="4"/>
      </w:pPr>
      <w:r>
        <w:rPr>
          <w:rFonts w:hint="eastAsia"/>
        </w:rPr>
        <w:t>【土地执法监察】</w:t>
      </w:r>
    </w:p>
    <w:p w14:paraId="381E7005">
      <w:pPr>
        <w:ind w:firstLine="420"/>
      </w:pPr>
      <w:r>
        <w:rPr>
          <w:rFonts w:hint="eastAsia"/>
        </w:rPr>
        <w:t>严格执行土地管理共同责任制和国土资源执法监察动态巡查责任制，积极配合有关部门，全力开展“打击非法开采稀土矿、滥伐林木、违法建筑行为”三项整治行动，对全市“小产权房”进行全面调查摸底，重点整治。2011年，联合有关部门，在城市郊区和主要公路沿线开展大规模联合执法30多次，彻底拆除违法建筑26处16684平方米，全市违法开发和违法建筑势头得到有效遏制。同时，扎实做好2010年卫片执法检查、违法违规用地整治工作。全年核查2010年卫片图斑581个、面积6628亩，查处违法用地19宗，面积314.5亩，其中耕地154.1亩，违法用地立案率、查处率、整改率均达到100%，结案率达到95%以上，避免问责。全年立案查处土地违法99宗，申请法院强制执行38宗。</w:t>
      </w:r>
    </w:p>
    <w:p w14:paraId="32A54040">
      <w:pPr>
        <w:pStyle w:val="4"/>
      </w:pPr>
      <w:r>
        <w:rPr>
          <w:rFonts w:hint="eastAsia"/>
        </w:rPr>
        <w:t>【矿产资源管理】</w:t>
      </w:r>
    </w:p>
    <w:p w14:paraId="722F4D30">
      <w:pPr>
        <w:ind w:firstLine="420"/>
      </w:pPr>
      <w:r>
        <w:rPr>
          <w:rFonts w:hint="eastAsia"/>
        </w:rPr>
        <w:t>坚持日常管理和定期检查相结合，大力加强矿山企业的证照管理。全年受理采矿权延续登记3宗，矿产资源压履查询3宗；新设立1宗采矿权；按照“资源有偿”原则，加强矿产资源补偿费征管，全年对14个生产矿山依法收取矿产资源补偿费31万多元，生态治理保证金112万多元，采矿权价款65万多元；对广东省核工业地质局二九一大队等7家探矿单位的探矿项目进行年检；完成《南雄市矿产资源总体规划》的前期编制工作。</w:t>
      </w:r>
    </w:p>
    <w:p w14:paraId="3A8A0766">
      <w:pPr>
        <w:pStyle w:val="4"/>
      </w:pPr>
      <w:r>
        <w:rPr>
          <w:rFonts w:hint="eastAsia"/>
        </w:rPr>
        <w:t>【地灾预防与安全生产】</w:t>
      </w:r>
    </w:p>
    <w:p w14:paraId="701D9DFB">
      <w:pPr>
        <w:ind w:firstLine="420"/>
      </w:pPr>
      <w:r>
        <w:rPr>
          <w:rFonts w:hint="eastAsia"/>
        </w:rPr>
        <w:t>制定2011年度地质灾害防治方案，建立地质灾害“三查”工作制度；加强对地质灾害危险区、隐患点的巡查，在各地质灾害危险区设立警示牌，开展地质灾害防治应急演练，通过发放明白卡、告知书等形式广泛宣传地质灾害防治知识。开展地质灾害群测群防“十有县”建设，南雄市的经验和做法得到上级部门的充分肯定，并在全省地质灾害防治工作会议上作典型发言。同时严格抓好矿山企业安全生产工作，加强日常巡查和重大节日安全生产检查工作，对不符合安全生产要求、四证一照不齐全以及安全生产制度不健全、责任不落实的，一律下发整改通知，责令其停止开采，落实整改措施，全年没有发生一起矿山安全生产事故。</w:t>
      </w:r>
    </w:p>
    <w:p w14:paraId="5606C9AC">
      <w:pPr>
        <w:pStyle w:val="4"/>
      </w:pPr>
      <w:r>
        <w:rPr>
          <w:rFonts w:hint="eastAsia"/>
        </w:rPr>
        <w:t>【党风</w:t>
      </w:r>
      <w:r>
        <w:rPr>
          <w:rFonts w:hint="eastAsia"/>
          <w:lang w:val="en-US" w:eastAsia="zh-CN"/>
        </w:rPr>
        <w:t>廉</w:t>
      </w:r>
      <w:r>
        <w:rPr>
          <w:rFonts w:hint="eastAsia"/>
        </w:rPr>
        <w:t>政建设】</w:t>
      </w:r>
    </w:p>
    <w:p w14:paraId="25B3470F">
      <w:pPr>
        <w:ind w:firstLine="420"/>
      </w:pPr>
      <w:r>
        <w:rPr>
          <w:rFonts w:hint="eastAsia"/>
        </w:rPr>
        <w:t>把党风党纪摆上重要议事日程扎实开展纪律教育学习月活动，特别是利用近几年来发生在本系统的违法违纪案件，开展警示教育活动，全体干部职工进行深刻的对照检查和自查自纠，起到较好警示教育作用。同时认真落实党风廉政建设责任制，层层分解目标责任，在班子成员中重点开展“五个一”活动。积极创建党风廉政建设“亮点”工作，全力推进土地和矿产网上交易，确保土地和矿产公开、透明、廉洁交易。（吴七妹）</w:t>
      </w:r>
    </w:p>
    <w:p w14:paraId="14856F77">
      <w:pPr>
        <w:ind w:firstLine="0" w:firstLineChars="0"/>
        <w:rPr>
          <w:b/>
          <w:bCs/>
        </w:rPr>
      </w:pPr>
      <w:r>
        <w:rPr>
          <w:rFonts w:hint="eastAsia"/>
          <w:b/>
          <w:bCs/>
        </w:rPr>
        <w:t>附：2011年市国土资源局领导班子成员名单</w:t>
      </w:r>
    </w:p>
    <w:p w14:paraId="0BE94EC6">
      <w:pPr>
        <w:ind w:firstLine="0" w:firstLineChars="0"/>
      </w:pPr>
      <w:r>
        <w:rPr>
          <w:rFonts w:hint="eastAsia"/>
        </w:rPr>
        <w:t>局长：张政平</w:t>
      </w:r>
    </w:p>
    <w:p w14:paraId="3719A93F">
      <w:pPr>
        <w:ind w:firstLine="0" w:firstLineChars="0"/>
      </w:pPr>
      <w:r>
        <w:rPr>
          <w:rFonts w:hint="eastAsia"/>
        </w:rPr>
        <w:t>副局长：林有利 叶地状 邓文兴</w:t>
      </w:r>
    </w:p>
    <w:p w14:paraId="66437A1A">
      <w:pPr>
        <w:ind w:firstLine="0" w:firstLineChars="0"/>
      </w:pPr>
      <w:r>
        <w:rPr>
          <w:rFonts w:hint="eastAsia"/>
        </w:rPr>
        <w:t>纪检组长：吴启超</w:t>
      </w:r>
    </w:p>
    <w:p w14:paraId="4B509D38">
      <w:pPr>
        <w:pStyle w:val="3"/>
      </w:pPr>
      <w:r>
        <w:rPr>
          <w:rFonts w:hint="eastAsia"/>
        </w:rPr>
        <w:t>国有资产管理</w:t>
      </w:r>
    </w:p>
    <w:p w14:paraId="16F26ACA">
      <w:pPr>
        <w:pStyle w:val="4"/>
      </w:pPr>
      <w:r>
        <w:rPr>
          <w:rFonts w:hint="eastAsia"/>
        </w:rPr>
        <w:t>【概况】</w:t>
      </w:r>
    </w:p>
    <w:p w14:paraId="10BEA11B">
      <w:pPr>
        <w:ind w:firstLine="420"/>
      </w:pPr>
      <w:r>
        <w:rPr>
          <w:rFonts w:hint="eastAsia"/>
        </w:rPr>
        <w:t>2011年1月，南雄市国有资产监督管理委员会办公室（简称国资办）挂牌成立，内设产权综合股和考核统评股两个机构，核定事业编制6名，其中主任1名，副主任1名。列入国资办监管的企业和有关单位19家，其中市国有企业15家，其他经营性国有资产有关单位3家，市持股企业1家。</w:t>
      </w:r>
    </w:p>
    <w:p w14:paraId="00646FAF">
      <w:pPr>
        <w:pStyle w:val="4"/>
      </w:pPr>
      <w:r>
        <w:rPr>
          <w:rFonts w:hint="eastAsia"/>
        </w:rPr>
        <w:t>【南雄市国资办挂牌成立】</w:t>
      </w:r>
    </w:p>
    <w:p w14:paraId="6AA5294D">
      <w:pPr>
        <w:ind w:firstLine="420"/>
      </w:pPr>
      <w:r>
        <w:rPr>
          <w:rFonts w:hint="eastAsia"/>
        </w:rPr>
        <w:t>2011年1月19日，南雄市国有资产监督管理委员会办公室挂牌大会在南雄市财政大楼前举行，为把监管职权从公共资产管理中心剥离出来，加强国有资产监督管理，南雄市政府决定成立南雄市国有资产监督管理委员会（简称国资委）。国资委成员由市监察局、市财政局、市审计局、市住建局、市国土资源局、市公共资产管理中心、市浈江电业公司的负责人组成。市国资委下设办公室，作为市国资委的办事机构。国资办为正科级单位，内设产权综合股和考核统评股。</w:t>
      </w:r>
    </w:p>
    <w:p w14:paraId="5FB15C08">
      <w:pPr>
        <w:pStyle w:val="4"/>
      </w:pPr>
      <w:r>
        <w:rPr>
          <w:rFonts w:hint="eastAsia"/>
        </w:rPr>
        <w:t>【国有资产监督管理】</w:t>
      </w:r>
    </w:p>
    <w:p w14:paraId="331A5D4E">
      <w:pPr>
        <w:ind w:firstLine="420"/>
      </w:pPr>
      <w:r>
        <w:rPr>
          <w:rFonts w:hint="eastAsia"/>
        </w:rPr>
        <w:t>开展资产清查工作。2011年4月22日召开市国有资产监督管理委员会会议，部署国有资产清查工作，印发《南雄市国有资产清查工作方案》，按照“统一政策、统一方法、统一步骤、统一要求”的国有资产清查工作原则，对全市各镇（街道），市直单位，各企业基本情况、资产情况等进行全面清理和清查，以2011年4月20日为资产清查基准日，加强国有资产监督管理制度建设。制定《南雄市国有资产处置程序》，规定所有重大资产的处置必须提交国资委讨论决定，严格履行评估、审批、交易等各项程序，做到依法依规运作，实现资产处置的“阳光操作”，对经营性资产的租赁进行规范处理，包括土地、山林、门店、空置房等经营性国有资产，实行公开招租，确保收益达到最大化。制定监管单位月报快报制度。要求各监管单位定期报送财务报表和经营报表，对重大事项要及时报告。规范国有资产的处置，依据《南雄市国有资产处置程序》，国资办通过公开拍卖、招租处置国有资产，确保国有资产保值增值。通过公开招租，总工会门店租金有原来的700元／月提高到6800元／月，每个月净增加6100元的租金收入；新华书店门店由闲置变为租金18000元／月。2011年处置车辆26台，其中调拨车辆4台，报废车辆17台，拍卖车辆5台。公开拍卖一批设备，拍卖价格达30.20万元；拍卖闲置柴房45间，金额达83多万元；公开拍卖门店3间，价格达67.6万元。另外还核销10个单位的资产，金额达413.10万元。产权登记年检工作，对38家企业进行产权登记，加强国有资产的监管力度，进一步掌控国有资产的动态，提高强企业国有资产经营管理效率，规范产权交易行为。提升市政公司资质，对市政公司原有资产及其注册资本进行重新验资认定，出资3000万注入市政工程建设公司，把原投资人变更为“南雄市国有资产监督管理委员会办公室”，帮助市政工程建设公司提升人员队伍素质和改进设备设施，使其原来的三级公司提升为二级公司。</w:t>
      </w:r>
    </w:p>
    <w:p w14:paraId="6220C8F1">
      <w:pPr>
        <w:pStyle w:val="4"/>
      </w:pPr>
      <w:r>
        <w:rPr>
          <w:rFonts w:hint="eastAsia"/>
        </w:rPr>
        <w:t>【开展“小金库”专项治理工作】</w:t>
      </w:r>
    </w:p>
    <w:p w14:paraId="6603DE13">
      <w:pPr>
        <w:ind w:firstLine="420"/>
      </w:pPr>
      <w:r>
        <w:rPr>
          <w:rFonts w:hint="eastAsia"/>
        </w:rPr>
        <w:t>国资办成立“小金库”专项治理工作小组，从5月底在监管企业开展“小金库”专项治理工作，专项治理工作按动员部署阶段，自查自纠阶段，重点检查阶段，整改阶段四个阶段开展。监管企业按照要求成立领导小组，进行广泛宣传，认真开展自查自纠。所监管的19家企业单位均未发现“小金库”。</w:t>
      </w:r>
    </w:p>
    <w:p w14:paraId="0D2862AD">
      <w:pPr>
        <w:pStyle w:val="4"/>
      </w:pPr>
      <w:r>
        <w:rPr>
          <w:rFonts w:hint="eastAsia"/>
        </w:rPr>
        <w:t>【做好转制企业各项后续工作】</w:t>
      </w:r>
    </w:p>
    <w:p w14:paraId="67618DD5">
      <w:pPr>
        <w:ind w:firstLine="420"/>
      </w:pPr>
      <w:r>
        <w:rPr>
          <w:rFonts w:hint="eastAsia"/>
        </w:rPr>
        <w:t>与经贸部门以及破产清算组一同对预制构件厂、二轻总公司等企业进行资产清算，筹措改制资金，妥善安置职工，缴纳医保、社保费用等问题，顺利推动企业的转制工作。</w:t>
      </w:r>
    </w:p>
    <w:p w14:paraId="622199BB">
      <w:pPr>
        <w:pStyle w:val="4"/>
      </w:pPr>
      <w:r>
        <w:rPr>
          <w:rFonts w:hint="eastAsia"/>
        </w:rPr>
        <w:t>【收购东方债务包】</w:t>
      </w:r>
    </w:p>
    <w:p w14:paraId="70F98451">
      <w:pPr>
        <w:ind w:firstLine="420"/>
      </w:pPr>
      <w:r>
        <w:rPr>
          <w:rFonts w:hint="eastAsia"/>
        </w:rPr>
        <w:t>东方债务包是南雄市原雄得利花岗厂等十多家企业用土地等资产作抵押向银行贷款所遗留的债务资产包，其中本金2500多万元，利息4300多万元。国资办与东方资产管理公司经过数十次的谈判后，于2011年11月成功签订收购核销债务资产的协议，国资办出资450万元对以上资产包进行一次性收购核销。</w:t>
      </w:r>
    </w:p>
    <w:p w14:paraId="629F6530">
      <w:pPr>
        <w:pStyle w:val="4"/>
      </w:pPr>
      <w:r>
        <w:rPr>
          <w:rFonts w:hint="eastAsia"/>
        </w:rPr>
        <w:t>【处置建安公司剩余柴房】</w:t>
      </w:r>
    </w:p>
    <w:p w14:paraId="07B0E891">
      <w:pPr>
        <w:ind w:firstLine="420"/>
      </w:pPr>
      <w:r>
        <w:rPr>
          <w:rFonts w:hint="eastAsia"/>
        </w:rPr>
        <w:t>建安公司在八一街、繁荣市场等小区有剩余柴房约200间，这些柴房分布凌乱，且有少部分被人占用，在管理上非常不便。国资办按照优先满足小区住户（小区住户凭房产证只能一证一间，如果同一柴房有竞争的，采取暗标形式购买）和剩余的柴房向社会进行公开竞标的方式对200间柴房进行处置。公开拍卖45间柴房，解决建安公司的债务问题。</w:t>
      </w:r>
    </w:p>
    <w:p w14:paraId="0DE94910">
      <w:pPr>
        <w:pStyle w:val="4"/>
      </w:pPr>
      <w:r>
        <w:rPr>
          <w:rFonts w:hint="eastAsia"/>
        </w:rPr>
        <w:t>【发挥国资监管的社会职能】</w:t>
      </w:r>
    </w:p>
    <w:p w14:paraId="344679BE">
      <w:pPr>
        <w:ind w:firstLine="420"/>
      </w:pPr>
      <w:r>
        <w:rPr>
          <w:rFonts w:hint="eastAsia"/>
        </w:rPr>
        <w:t>以225万元的价格收购南雄市农村信用合作联社17间闲置门店，对17间门店进行重新评估，评估总价为397万元，对比增值172万元，面向社会公开拍卖。2011年11月进行拍卖，拍卖成交门店3间，总面积98.1平方米，成交金额67.6万元。购买农信联社法人股。为进一步提升市农信社综合竞争力和增强持续发展能力，经南雄市政府同意，国资办组织购买南雄市农信社股份2100万股（其中金叶公司900万股，浈江电力1200万股）共3570万元，改善市农信社自身经营状况，确保农信社改革顺利进行。（王勇）</w:t>
      </w:r>
    </w:p>
    <w:p w14:paraId="79271AC8">
      <w:pPr>
        <w:ind w:firstLine="0" w:firstLineChars="0"/>
        <w:rPr>
          <w:b/>
          <w:bCs/>
        </w:rPr>
      </w:pPr>
      <w:r>
        <w:rPr>
          <w:rFonts w:hint="eastAsia"/>
          <w:b/>
          <w:bCs/>
        </w:rPr>
        <w:t>附：2011年市国资办领导班子成员名单</w:t>
      </w:r>
    </w:p>
    <w:p w14:paraId="2DC541E5">
      <w:pPr>
        <w:ind w:firstLine="0" w:firstLineChars="0"/>
      </w:pPr>
      <w:r>
        <w:rPr>
          <w:rFonts w:hint="eastAsia"/>
        </w:rPr>
        <w:t>主 任：陈健生</w:t>
      </w:r>
    </w:p>
    <w:p w14:paraId="03439BD6">
      <w:pPr>
        <w:ind w:firstLine="0" w:firstLineChars="0"/>
      </w:pPr>
      <w:r>
        <w:rPr>
          <w:rFonts w:hint="eastAsia"/>
        </w:rPr>
        <w:t>副主任：沈 迪</w:t>
      </w:r>
    </w:p>
    <w:p w14:paraId="76703440">
      <w:pPr>
        <w:pStyle w:val="3"/>
      </w:pPr>
      <w:r>
        <w:rPr>
          <w:rFonts w:hint="eastAsia"/>
        </w:rPr>
        <w:t>食品药品监督管理</w:t>
      </w:r>
    </w:p>
    <w:p w14:paraId="4B6E597D">
      <w:pPr>
        <w:pStyle w:val="4"/>
      </w:pPr>
      <w:r>
        <w:rPr>
          <w:rFonts w:hint="eastAsia"/>
        </w:rPr>
        <w:t>【概况】</w:t>
      </w:r>
    </w:p>
    <w:p w14:paraId="05039494">
      <w:pPr>
        <w:ind w:firstLine="420"/>
      </w:pPr>
      <w:r>
        <w:rPr>
          <w:rFonts w:hint="eastAsia"/>
        </w:rPr>
        <w:t>2011年南雄市食品药品监督管理局，为市人民政府工作部门，负责全市药品、保健食品化妆品、医疗器械生产、经营、使用的全程监督和餐饮服务环节食品安全监管工作。内设办公室、食品安全监管股、保健食品化妆品监管股、药品医疗器械监管股、食品药品质量快筛快检室、稽查股加挂稽查分局牌子）、南雄市食品药品监督管理局乌迳工作站。行政编制23名。2011年4月，按照省、市机构改革精神，我局正式接手对餐饮服务环节食品安全监管工作。</w:t>
      </w:r>
    </w:p>
    <w:p w14:paraId="6FEA574D">
      <w:pPr>
        <w:pStyle w:val="4"/>
      </w:pPr>
      <w:r>
        <w:rPr>
          <w:rFonts w:hint="eastAsia"/>
        </w:rPr>
        <w:t>【食品药品安全监管基本情况】</w:t>
      </w:r>
    </w:p>
    <w:p w14:paraId="0E9E37CE">
      <w:pPr>
        <w:ind w:firstLine="420"/>
      </w:pPr>
      <w:r>
        <w:rPr>
          <w:rFonts w:hint="eastAsia"/>
        </w:rPr>
        <w:t>2011年，着力开展食品药品安全日常监管和专项整治，先后组织开展无证经营、非法添加非食用物质和滥用食品添加剂、“地沟油”、“瘦肉精”和打击侵犯知识产权和制售假冒伪劣商品、非药品冒充药品、非法渠道药品等专项整治行动，出动执法人员1770人次，监督检查相关单位1461家次，发出监督意见书258份，完成三品一械抽验155批次（其中药品140批次，医疗器械4批次，保健食品3批次，化妆品8批次），查处各类案件30宗，结案23宗，罚没收入5.8万元。受理申请保健食品经营卫生许可35家，已办理发证35家。受理申请药品经营许可10家，已办理发证10家。受理餐饮服务许可申请219家，经现场检查合格发放餐饮服务许可证143家。确保辖区人民群众的饮食用药安全。</w:t>
      </w:r>
    </w:p>
    <w:p w14:paraId="4120056A">
      <w:pPr>
        <w:pStyle w:val="4"/>
      </w:pPr>
      <w:r>
        <w:rPr>
          <w:rFonts w:hint="eastAsia"/>
        </w:rPr>
        <w:t>【清理无证经营和餐饮服务许可工作】</w:t>
      </w:r>
    </w:p>
    <w:p w14:paraId="23CA88D5">
      <w:pPr>
        <w:ind w:firstLine="420"/>
      </w:pPr>
      <w:r>
        <w:rPr>
          <w:rFonts w:hint="eastAsia"/>
        </w:rPr>
        <w:t>成立执法小组，于2011年6月1日至8月31日，在市区和旅游景区及其周边地区对餐饮服务单位开展清理无证经营专项整治行动，检查120多家餐饮服务单位，发放监督意见书，限期整改。同时，认真做好餐饮服务食品安全许可工作，根据国家、省制定的餐饮服务许可标准，积极做好《餐饮服务许可证》申办、变更、延续、注销、补办等事项的审批工作，及时对要求申请办证的单位进行现场核查，经核查不符合许可标准的单位责令限期整改，对不整改的单位作出不予受理许可决定书，并对无证经营的12家幼儿园进行行政处罚。</w:t>
      </w:r>
    </w:p>
    <w:p w14:paraId="578315B2">
      <w:pPr>
        <w:pStyle w:val="4"/>
      </w:pPr>
      <w:r>
        <w:rPr>
          <w:rFonts w:hint="eastAsia"/>
        </w:rPr>
        <w:t>【重大活动和节日期间的餐饮服务食品安全监管】</w:t>
      </w:r>
    </w:p>
    <w:p w14:paraId="6AD32A75">
      <w:pPr>
        <w:ind w:firstLine="420"/>
      </w:pPr>
      <w:r>
        <w:rPr>
          <w:rFonts w:hint="eastAsia"/>
        </w:rPr>
        <w:t>组织开展重大节日、“爱卫月”、高考期间、“第26届世界大学生夏季运动会”、“2011广东国际旅游文化节”食品安全整治。坚持以三个重点（重点区域、重点环节、重点品种）为主线，在元旦、春节、清明、五一等重大节日和“爱卫月”、高考等重大活动期间，加大监督检查力度，确保全市无重大食品安全事故的发生。</w:t>
      </w:r>
    </w:p>
    <w:p w14:paraId="0B75F0E9">
      <w:pPr>
        <w:pStyle w:val="4"/>
      </w:pPr>
      <w:r>
        <w:rPr>
          <w:rFonts w:hint="eastAsia"/>
        </w:rPr>
        <w:t>【食品非法添加专项整治】</w:t>
      </w:r>
    </w:p>
    <w:p w14:paraId="353B6C5A">
      <w:pPr>
        <w:ind w:firstLine="420"/>
      </w:pPr>
      <w:r>
        <w:rPr>
          <w:rFonts w:hint="eastAsia"/>
        </w:rPr>
        <w:t>2011年，开展严厉打击非法添加非食用物质和滥用食品添加剂专项整治行动，严格餐饮单位食品添加剂备案制度，向餐饮服务单位从业人员宣传添加非食用物质和滥用食品添加剂对人体产生的健康危害状况，公布举报电话，开展自查自纠，将自制和加工的食品品种上报备案，规范食品添加剂的采购、保管、使用制度。要求落实食品添加剂“五专”（专人采购、专人保管、专人领用、专人登记、专柜保存）等管理制度。同时，以餐饮业中糕点、米面制品、熟肉制品、冷饮制售为重点，针对非法添加吊白块、硼砂、滥用着色剂等品种开展专项监督检查，督促餐饮单位认真落实食品原料索票索证制度，完善各项管理制度和签定《餐饮服务食品安全承诺书》，签定“承诺书”150多份。</w:t>
      </w:r>
    </w:p>
    <w:p w14:paraId="0434779F">
      <w:pPr>
        <w:pStyle w:val="4"/>
      </w:pPr>
      <w:r>
        <w:rPr>
          <w:rFonts w:hint="eastAsia"/>
        </w:rPr>
        <w:t>【“地沟油”、“瘦肉精”和酒类质量安全专项整治】</w:t>
      </w:r>
    </w:p>
    <w:p w14:paraId="6FED4FE1">
      <w:pPr>
        <w:ind w:firstLine="420"/>
      </w:pPr>
      <w:r>
        <w:rPr>
          <w:rFonts w:hint="eastAsia"/>
        </w:rPr>
        <w:t>2011年3月，正式接管餐饮服务监管职能。自接管新的职能以来，贯彻落实《食品安全法》和国家、省、韶关市等上级主管部门有关食品安全整治的文件精神，严厉查处餐饮服务环节的违法行为，切实保障广大群众饮食安全。3月9日至11日和4月13日至15日及9月13日至16日，分别开展对全市的中小学校、幼儿园食堂检查行动。要求各食堂严格食品采购索证索票管理规定，专人负责验收食用油，对来路不明的食用油坚决不采购，对肉类的采购要索取检疫合格证明。同时，对餐厨废弃物严格管理，对餐厨废弃物的去向进行登记。与此同时，加强对宾馆酒家、饭店的监管。4月18日开始，对市区各街道的餐饮服务单位进行整治，重点加强对大中型宾馆、酒家、餐馆及小型餐饮服务单位检查。要求各餐饮服务单位必须建立健全食品采购索证索票制度，不采购无检验合格证明、无标识的油，食用油的采购、验收有专人负责，对所有采购的肉类须有检疫合格证明，自制浸泡酒及配制酒须有产品检验合格证明，对餐厨废弃物要有专人负责登记去向。</w:t>
      </w:r>
    </w:p>
    <w:p w14:paraId="21226A16">
      <w:pPr>
        <w:pStyle w:val="4"/>
      </w:pPr>
      <w:r>
        <w:rPr>
          <w:rFonts w:hint="eastAsia"/>
        </w:rPr>
        <w:t>【药械安全监管】</w:t>
      </w:r>
    </w:p>
    <w:p w14:paraId="5C23C9FA">
      <w:pPr>
        <w:ind w:firstLine="420"/>
      </w:pPr>
      <w:r>
        <w:rPr>
          <w:rFonts w:hint="eastAsia"/>
        </w:rPr>
        <w:t>进一步规范药品、医疗器械市场秩序，着力保障人民群众用药安全。对全市189个涉药单位进行日常监管检查，先后开展打击侵犯知识产权和制售假冒伪劣商品、非药品冒充药品、非法渠道药品等8个专项整治，对全市二类精神药品零售企业27家，麻醉药品、二类精神药品使用单位21家进行全面检查，特殊药品经营和使用单位中无丢失、滥用、流弊现象发生。抽验医疗器械4批次，到年底完成上报医疗器械不良事件29例，确保辖区医疗器械质量安全，并完成上报药品不良反应报告196例，全面完成韶关市局下达的指标任务，确保全市人民群众用药安全。</w:t>
      </w:r>
    </w:p>
    <w:p w14:paraId="0F3A4732">
      <w:pPr>
        <w:pStyle w:val="4"/>
      </w:pPr>
      <w:r>
        <w:rPr>
          <w:rFonts w:hint="eastAsia"/>
        </w:rPr>
        <w:t>【“全国安全用药月”活动】</w:t>
      </w:r>
    </w:p>
    <w:p w14:paraId="3E232C83">
      <w:pPr>
        <w:ind w:firstLine="420"/>
      </w:pPr>
      <w:r>
        <w:rPr>
          <w:rFonts w:hint="eastAsia"/>
        </w:rPr>
        <w:t>开展以“安全用药、合理用药——谨防网络欺诈销售假药”的首个全国“全国安全用药月”活动。联合南雄团市委、青年志愿者联合会等部门在南雄市体育馆开展“全国安全用药月”南雄市启动仪式暨“幸福广东·健康同行”义诊活动用药筹募活动。此次捐赠活动收到南雄市开心大药房、南雄市爱心大药房、南雄市乡亲大药房、南雄市大参林大药房这四家大型药品零售企业捐赠的价值6000元的各类药品，在各中小学开展以“安全用药、关注青少年”为主题的宣传活动。安全用药月活动期间悬挂宣传横幅和张贴安全标语20多条，发放宣传资料2000多份，在全市营造良好的用药安全氛围。</w:t>
      </w:r>
    </w:p>
    <w:p w14:paraId="160932F7">
      <w:pPr>
        <w:pStyle w:val="4"/>
        <w:bidi w:val="0"/>
      </w:pPr>
      <w:r>
        <w:rPr>
          <w:rFonts w:hint="eastAsia"/>
        </w:rPr>
        <w:t>【培训教育】</w:t>
      </w:r>
    </w:p>
    <w:p w14:paraId="0569B7DF">
      <w:pPr>
        <w:ind w:firstLine="420"/>
      </w:pPr>
      <w:r>
        <w:rPr>
          <w:rFonts w:hint="eastAsia"/>
        </w:rPr>
        <w:t>6月，联合卫生局举办安全合理用药培训班，全市各镇乡村医生290余人参加培训，培训内容包括抗生素临床合理使用原则、儿童常用药临床合理使用方法等，进一步规范乡村医生用药行为，全面提升全市乡村医生安全、合理用药的能力，更好的保证医疗质量和医疗安全。并同时举办药学技术人员继续教育培训班，有160余人参加，全面提高药学技术人员的执业能力和业务水平。为增强餐饮服务从业人员的</w:t>
      </w:r>
      <w:r>
        <w:rPr>
          <w:rFonts w:hint="eastAsia"/>
          <w:lang w:eastAsia="zh-CN"/>
        </w:rPr>
        <w:t>法治意识</w:t>
      </w:r>
      <w:r>
        <w:rPr>
          <w:rFonts w:hint="eastAsia"/>
        </w:rPr>
        <w:t>和食品安全责任意识，11月举办二期餐饮服务从业人员岗前培训班，计150余人，学习《中华人民共和国食品安全法》、《餐饮服务食品安全操作规范》等法律法规，并对所有学员进行考核，提高餐饮服务水平，促进社会和谐与稳定。</w:t>
      </w:r>
    </w:p>
    <w:p w14:paraId="39AAD013">
      <w:pPr>
        <w:pStyle w:val="4"/>
        <w:bidi w:val="0"/>
      </w:pPr>
      <w:r>
        <w:rPr>
          <w:rFonts w:hint="eastAsia"/>
        </w:rPr>
        <w:t>【创建食品药品安全示范县】</w:t>
      </w:r>
    </w:p>
    <w:p w14:paraId="316E205F">
      <w:pPr>
        <w:ind w:firstLine="420"/>
      </w:pPr>
      <w:r>
        <w:rPr>
          <w:rFonts w:hint="eastAsia"/>
        </w:rPr>
        <w:t>11月16日，召开南雄市创建食品药品安全示范县动员大会，标志着全市食品药品安全示范县创建工作的全面启动，同时，完善市、镇（街道）、村三级食品药品监管工作机制，全面推进药品经营企业电子信息化监管，实施药品监管数据库管理，实现药品经营企业信息化监管全覆盖。将药品生产企业、乡镇（街道）以上医疗机构纳入信息化监管范围。举行“南雄市创建食品药品安全示范县”大型宣传咨询活动和通过电视媒体滚动播放食品药品安全公益广告，为下一步省级药品安全示范县和餐饮服务食品安全示范单位示范街创建工作打下良好的基础。</w:t>
      </w:r>
    </w:p>
    <w:p w14:paraId="342F67BB">
      <w:pPr>
        <w:pStyle w:val="4"/>
        <w:bidi w:val="0"/>
      </w:pPr>
      <w:r>
        <w:rPr>
          <w:rFonts w:hint="eastAsia"/>
        </w:rPr>
        <w:t>【建成南雄市食品药品安全三级监管网】</w:t>
      </w:r>
    </w:p>
    <w:p w14:paraId="5940BB26">
      <w:pPr>
        <w:ind w:firstLine="420"/>
      </w:pPr>
      <w:r>
        <w:rPr>
          <w:rFonts w:hint="eastAsia"/>
        </w:rPr>
        <w:t>12月19日，南雄市坪田镇食品药品安全监督管理站正式挂牌成立，全市18个镇（街道）相继挂牌成立食品药品安全监管站，形成以市食品药品监督管理队伍为主，乡镇监管员、村级信息员为辅的监管责任网，这标志着南雄市食品药品安全市、镇、村三级监管网的建成。镇级设立食品药品安全监管站，卫生院设有药品质量协管员，做到有机构、有牌子、有场所、有人员、有制度，真正落实“地方政府负总则、监管部门各负其责、企业是第一责任人”的食品药品安全责任体系。                           （邓芳）</w:t>
      </w:r>
    </w:p>
    <w:p w14:paraId="77166E7E">
      <w:pPr>
        <w:ind w:firstLine="0" w:firstLineChars="0"/>
        <w:rPr>
          <w:b/>
          <w:bCs/>
        </w:rPr>
      </w:pPr>
      <w:r>
        <w:rPr>
          <w:rFonts w:hint="eastAsia"/>
          <w:b/>
          <w:bCs/>
        </w:rPr>
        <w:t>附：2011年市</w:t>
      </w:r>
      <w:r>
        <w:rPr>
          <w:rFonts w:hint="eastAsia"/>
          <w:b/>
          <w:bCs/>
          <w:lang w:eastAsia="zh-CN"/>
        </w:rPr>
        <w:t>食品药品监督管理局</w:t>
      </w:r>
      <w:r>
        <w:rPr>
          <w:rFonts w:hint="eastAsia"/>
          <w:b/>
          <w:bCs/>
        </w:rPr>
        <w:t>领导班子成员名单</w:t>
      </w:r>
    </w:p>
    <w:p w14:paraId="6D309C11">
      <w:pPr>
        <w:ind w:firstLine="0" w:firstLineChars="0"/>
        <w:rPr>
          <w:b w:val="0"/>
          <w:bCs w:val="0"/>
        </w:rPr>
      </w:pPr>
      <w:r>
        <w:rPr>
          <w:rFonts w:hint="eastAsia"/>
          <w:b w:val="0"/>
          <w:bCs w:val="0"/>
        </w:rPr>
        <w:t>局  长：吴敦林</w:t>
      </w:r>
    </w:p>
    <w:p w14:paraId="1A88499C">
      <w:pPr>
        <w:ind w:firstLine="0" w:firstLineChars="0"/>
        <w:rPr>
          <w:b w:val="0"/>
          <w:bCs w:val="0"/>
        </w:rPr>
      </w:pPr>
      <w:r>
        <w:rPr>
          <w:rFonts w:hint="eastAsia"/>
          <w:b w:val="0"/>
          <w:bCs w:val="0"/>
        </w:rPr>
        <w:t>党组书记：邓汝华</w:t>
      </w:r>
    </w:p>
    <w:p w14:paraId="1289DB88">
      <w:pPr>
        <w:ind w:firstLine="0" w:firstLineChars="0"/>
        <w:rPr>
          <w:b w:val="0"/>
          <w:bCs w:val="0"/>
        </w:rPr>
      </w:pPr>
      <w:r>
        <w:rPr>
          <w:rFonts w:hint="eastAsia"/>
          <w:b w:val="0"/>
          <w:bCs w:val="0"/>
        </w:rPr>
        <w:t>副局长：刘继雄 陈瑶璇 赵永红</w:t>
      </w:r>
    </w:p>
    <w:p w14:paraId="3F33C60F">
      <w:pPr>
        <w:pStyle w:val="3"/>
      </w:pPr>
      <w:r>
        <w:rPr>
          <w:rFonts w:hint="eastAsia"/>
        </w:rPr>
        <w:t>安全生产监督</w:t>
      </w:r>
    </w:p>
    <w:p w14:paraId="78E18CE8">
      <w:pPr>
        <w:pStyle w:val="4"/>
      </w:pPr>
      <w:r>
        <w:rPr>
          <w:rFonts w:hint="eastAsia"/>
        </w:rPr>
        <w:t>【概况】</w:t>
      </w:r>
    </w:p>
    <w:p w14:paraId="2A543E46">
      <w:pPr>
        <w:ind w:firstLine="420"/>
      </w:pPr>
      <w:r>
        <w:rPr>
          <w:rFonts w:hint="eastAsia"/>
        </w:rPr>
        <w:t>南雄市安全生产监督管理局组建于2005年5月，单独设置为正科级行政单位，作为南雄市人民政府主管安全生产综合监管的行政机构。内设综合股、监督管理股、执法监察股（挂南雄市安全生产监督管理局执法监察大队牌子）、市安全生产应急救援指挥中心办公室，行政编制5名，行政执法专项编制5名，工勤编制1名，编制11名。</w:t>
      </w:r>
    </w:p>
    <w:p w14:paraId="1FC43D13">
      <w:pPr>
        <w:pStyle w:val="4"/>
      </w:pPr>
      <w:r>
        <w:rPr>
          <w:rFonts w:hint="eastAsia"/>
        </w:rPr>
        <w:t>【安全生产基本情况】</w:t>
      </w:r>
    </w:p>
    <w:p w14:paraId="3538A88B">
      <w:pPr>
        <w:ind w:firstLine="420"/>
      </w:pPr>
      <w:r>
        <w:rPr>
          <w:rFonts w:hint="eastAsia"/>
        </w:rPr>
        <w:t>2011年，全市安全生产形势继续保持总体稳定的态势，发生各类生产安全事故26起，死亡15人，受伤19人，直接经济损失21.55万元（其中：道路交通事故24起，死亡15人，受伤19人），与上年同比，事故起数、死亡人数、受伤人数和直接经济损失分别下降29.73%6.25%、17.4%和12.86%，没有发生较大以上安全生产事故，各项指数均未超过韶关市下达我市的控制指标。</w:t>
      </w:r>
    </w:p>
    <w:p w14:paraId="445F72D5">
      <w:pPr>
        <w:pStyle w:val="4"/>
      </w:pPr>
      <w:r>
        <w:rPr>
          <w:rFonts w:hint="eastAsia"/>
        </w:rPr>
        <w:t>【推进“打非治违”行动】</w:t>
      </w:r>
    </w:p>
    <w:p w14:paraId="47A9DA40">
      <w:pPr>
        <w:ind w:firstLine="420"/>
      </w:pPr>
      <w:r>
        <w:rPr>
          <w:rFonts w:hint="eastAsia"/>
        </w:rPr>
        <w:t>2011年，根据《南雄市安委会关于开展严厉打击违反安全生产法律法规生产经营建设行为专项行动实施方案》要求，加大对非煤矿山、危险化学品、烟花爆竹、职业危害等重点行业（领域）非法违法生产经营建设行为，以及生产经营单位拒不落实企业安全生产主体责任行为的打击力度。督促其他负有安全监管职能部门开展安全生产领域“打非治违”工作。全市监督检查生产经营单位218个，422次，使用各类执法文书89份。</w:t>
      </w:r>
    </w:p>
    <w:p w14:paraId="0AAF7A50">
      <w:pPr>
        <w:pStyle w:val="4"/>
      </w:pPr>
      <w:r>
        <w:rPr>
          <w:rFonts w:hint="eastAsia"/>
        </w:rPr>
        <w:t>【职业卫生安全健康监管】</w:t>
      </w:r>
    </w:p>
    <w:p w14:paraId="430487C7">
      <w:pPr>
        <w:ind w:firstLine="420"/>
      </w:pPr>
      <w:r>
        <w:rPr>
          <w:rFonts w:hint="eastAsia"/>
        </w:rPr>
        <w:t>为切实保障从业人员职业健康安全权益，2011年将职业安全健康监管工作摆上重要工作日程抓紧抓好，全面落实职业安全健康监管工作责任。一是联合市卫生局、人社局、总工会等部门开展木质家具制造企业职业危害专项治理工作，切实保护劳动者生命健康权益。二是全面部署开展职业病危害申报工作。至2011年底，已有16家规模以上企业完成网上申报，为全面掌握全市职业危害项目的种类、数量、分布、防护和管理状况提供基本资料，同时也有利于预防工作的开展。</w:t>
      </w:r>
    </w:p>
    <w:p w14:paraId="4C776099">
      <w:pPr>
        <w:pStyle w:val="4"/>
      </w:pPr>
      <w:r>
        <w:rPr>
          <w:rFonts w:hint="eastAsia"/>
        </w:rPr>
        <w:t>【园区安全监管】</w:t>
      </w:r>
    </w:p>
    <w:p w14:paraId="2B8DB4A6">
      <w:pPr>
        <w:ind w:firstLine="420"/>
      </w:pPr>
      <w:r>
        <w:rPr>
          <w:rFonts w:hint="eastAsia"/>
        </w:rPr>
        <w:t>市产业转移工业园自2011年4月份被省安监局定为代表全省化工园区开展安全生产管理示范点建设试点工作以来，市安监局按照省、韶关市安监局关于试点工作的要求，紧紧围绕“管理机构、制度规范、严格准入、隐患治理、提升应急、创建文化、落实企业主体责任”等方面的试点工作内容，安装门禁系统、建设视频监控中心和信息平台、成立安全生产培训中心，组建的精细化工基地应急救援中心被定为省级骨干危险化学品应急救援队伍，探索出一些适合我市园区安全生产管理的经验和做法。</w:t>
      </w:r>
    </w:p>
    <w:p w14:paraId="07C10BB0">
      <w:pPr>
        <w:pStyle w:val="4"/>
      </w:pPr>
      <w:r>
        <w:rPr>
          <w:rFonts w:hint="eastAsia"/>
        </w:rPr>
        <w:t>【行政许可】</w:t>
      </w:r>
    </w:p>
    <w:p w14:paraId="4843FD91">
      <w:pPr>
        <w:ind w:firstLine="420"/>
      </w:pPr>
      <w:r>
        <w:rPr>
          <w:rFonts w:hint="eastAsia"/>
        </w:rPr>
        <w:t>2011年，全市完成烟花爆竹经营（零售）许可证换证216家，加油站《危险化学品经营许可证》换证12家。同时加强企业“三同时”安全监管工作，园区危化品生产企业领取《安全生产许可证》7家，取得试生产批复5家，完成专篇评审7家，进入专编编制阶段11家，其余企业在申报项目设立阶段，行政许可工作取得一定成效。</w:t>
      </w:r>
    </w:p>
    <w:p w14:paraId="1F8A43F8">
      <w:pPr>
        <w:pStyle w:val="4"/>
      </w:pPr>
      <w:r>
        <w:rPr>
          <w:rFonts w:hint="eastAsia"/>
        </w:rPr>
        <w:t>【“安全生产月”活动】</w:t>
      </w:r>
    </w:p>
    <w:p w14:paraId="7123C347">
      <w:pPr>
        <w:ind w:firstLine="420"/>
      </w:pPr>
      <w:r>
        <w:rPr>
          <w:rFonts w:hint="eastAsia"/>
        </w:rPr>
        <w:t>组织开展“安全责任、重在落实”的第十个全国“安全生产月”活动。印发《南雄市2011年“安全生产月”活动方案》，动员全市各单位、各企业充分利用各种载体，采取各种形式开展安全生产宣传教育和警示教育活动。安全生产月期间全市悬挂宣传横幅和张贴安全标语528条，发放宣传资料17800多份，在全市营造良好的安全生产氛围。</w:t>
      </w:r>
    </w:p>
    <w:p w14:paraId="0FCFC152">
      <w:pPr>
        <w:pStyle w:val="4"/>
      </w:pPr>
      <w:r>
        <w:rPr>
          <w:rFonts w:hint="eastAsia"/>
        </w:rPr>
        <w:t>【安全培训教育】</w:t>
      </w:r>
    </w:p>
    <w:p w14:paraId="424A3DEF">
      <w:pPr>
        <w:ind w:firstLine="420"/>
      </w:pPr>
      <w:r>
        <w:rPr>
          <w:rFonts w:hint="eastAsia"/>
        </w:rPr>
        <w:t>12月8日至9日，市安监局与园区管理处联合举办全市危化品生产企业全员培训班，318名来自园区24家企业的从业人员参加培训，为全市危化品企业生产安全奠定坚实基础。全年累计培训生产经营单位主要负责人12名，安全生产管理人员84名，开展特种作业培训3期，培训特种作业人员278人，对落实企业主体责任，提升企业安全管理水平起到积极作用。                                       （何国华）</w:t>
      </w:r>
    </w:p>
    <w:p w14:paraId="5E23C3DD">
      <w:pPr>
        <w:ind w:firstLine="0" w:firstLineChars="0"/>
        <w:rPr>
          <w:b/>
          <w:bCs/>
        </w:rPr>
      </w:pPr>
      <w:r>
        <w:rPr>
          <w:rFonts w:hint="eastAsia"/>
          <w:b/>
          <w:bCs/>
        </w:rPr>
        <w:t>附：2011年市安监局领导班子成员名单</w:t>
      </w:r>
    </w:p>
    <w:p w14:paraId="4D483D1F">
      <w:pPr>
        <w:ind w:firstLine="0" w:firstLineChars="0"/>
      </w:pPr>
      <w:r>
        <w:rPr>
          <w:rFonts w:hint="eastAsia"/>
        </w:rPr>
        <w:t>局  长：吴少华</w:t>
      </w:r>
    </w:p>
    <w:p w14:paraId="585BAF73">
      <w:pPr>
        <w:ind w:firstLine="0" w:firstLineChars="0"/>
      </w:pPr>
      <w:r>
        <w:rPr>
          <w:rFonts w:hint="eastAsia"/>
        </w:rPr>
        <w:t>副局长：李贤卫张东红</w:t>
      </w:r>
    </w:p>
    <w:p w14:paraId="2F3A913B">
      <w:pPr>
        <w:ind w:firstLine="0" w:firstLineChars="0"/>
      </w:pPr>
      <w:r>
        <w:rPr>
          <w:rFonts w:hint="eastAsia"/>
        </w:rPr>
        <w:t>纪检组长：沈学军</w:t>
      </w:r>
    </w:p>
    <w:tbl>
      <w:tblPr>
        <w:tblStyle w:val="15"/>
        <w:tblpPr w:leftFromText="180" w:rightFromText="180" w:vertAnchor="text" w:horzAnchor="page" w:tblpX="1075" w:tblpY="451"/>
        <w:tblOverlap w:val="never"/>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431DFF2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64DAF333">
            <w:pPr>
              <w:ind w:firstLine="0" w:firstLineChars="0"/>
            </w:pPr>
            <w:r>
              <w:rPr>
                <w:rFonts w:hint="eastAsia"/>
              </w:rPr>
              <w:drawing>
                <wp:inline distT="0" distB="0" distL="114300" distR="114300">
                  <wp:extent cx="6182995" cy="3211830"/>
                  <wp:effectExtent l="0" t="0" r="8255" b="7620"/>
                  <wp:docPr id="11" name="图片 11" descr="南雄年鉴201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南雄年鉴2012-41"/>
                          <pic:cNvPicPr>
                            <a:picLocks noChangeAspect="1"/>
                          </pic:cNvPicPr>
                        </pic:nvPicPr>
                        <pic:blipFill>
                          <a:blip r:embed="rId94" cstate="print"/>
                          <a:stretch>
                            <a:fillRect/>
                          </a:stretch>
                        </pic:blipFill>
                        <pic:spPr>
                          <a:xfrm>
                            <a:off x="0" y="0"/>
                            <a:ext cx="6182995" cy="3211830"/>
                          </a:xfrm>
                          <a:prstGeom prst="rect">
                            <a:avLst/>
                          </a:prstGeom>
                        </pic:spPr>
                      </pic:pic>
                    </a:graphicData>
                  </a:graphic>
                </wp:inline>
              </w:drawing>
            </w:r>
          </w:p>
        </w:tc>
      </w:tr>
    </w:tbl>
    <w:p w14:paraId="330B797A">
      <w:pPr>
        <w:ind w:firstLine="0" w:firstLineChars="0"/>
      </w:pPr>
    </w:p>
    <w:p w14:paraId="5218A1F9">
      <w:pPr>
        <w:ind w:firstLine="0" w:firstLineChars="0"/>
      </w:pPr>
    </w:p>
    <w:p w14:paraId="4274E960">
      <w:pPr>
        <w:pStyle w:val="2"/>
        <w:ind w:firstLine="883"/>
      </w:pPr>
      <w:r>
        <w:rPr>
          <w:rFonts w:hint="eastAsia"/>
        </w:rPr>
        <w:t>工业</w:t>
      </w:r>
    </w:p>
    <w:p w14:paraId="74049471">
      <w:pPr>
        <w:pStyle w:val="3"/>
      </w:pPr>
      <w:r>
        <w:rPr>
          <w:rFonts w:hint="eastAsia"/>
        </w:rPr>
        <w:t>经信</w:t>
      </w:r>
    </w:p>
    <w:p w14:paraId="52E4B739">
      <w:pPr>
        <w:pStyle w:val="4"/>
      </w:pPr>
      <w:r>
        <w:rPr>
          <w:rFonts w:hint="eastAsia"/>
        </w:rPr>
        <w:t>【概况】</w:t>
      </w:r>
    </w:p>
    <w:p w14:paraId="5783BE62">
      <w:pPr>
        <w:ind w:firstLine="420"/>
      </w:pPr>
      <w:r>
        <w:rPr>
          <w:rFonts w:hint="eastAsia"/>
        </w:rPr>
        <w:t>南雄市经济和信息化局是南雄市工业、商贸和信息化的业务主管部门，前身是南雄市经济贸易局。内设机构有7个，分别为办公室、人事信访股、经济运行股、科技能源股、贸易市场股、民营股（兼挂中小企业局）、信息管理股，编制20名。2011年完成工业总产值59.58亿元，同比增长37.5%；实现工业增加值16.89亿元，同比增长38.2%。其中规模以上工业企业完成工业总产值47.72亿元，同比增长55.3%；实现工业增加值13.52亿元，同比增长52%。规模以下工业总产值11.86亿元，实现工业增加值3.37亿元，同比均增长7.6%。规模以上企业户数达到57户。产值超亿元的企业21家。社会消费品零售总额28.41亿元，同比增长15.7%。</w:t>
      </w:r>
    </w:p>
    <w:p w14:paraId="4B2ECBA7">
      <w:pPr>
        <w:pStyle w:val="4"/>
      </w:pPr>
      <w:r>
        <w:rPr>
          <w:rFonts w:hint="eastAsia"/>
        </w:rPr>
        <w:t>【产业转移】</w:t>
      </w:r>
    </w:p>
    <w:p w14:paraId="1D2E0B15">
      <w:pPr>
        <w:ind w:firstLine="420"/>
      </w:pPr>
      <w:r>
        <w:rPr>
          <w:rFonts w:hint="eastAsia"/>
        </w:rPr>
        <w:t>一是牵头做好省对产业转移工业园2010年产业转移目标责任考核工作，由于工作做得细，受到省考评组的一致好评，考核为优秀等次，并获省1000万资金和600亩用地指标的奖励。二是制定《南雄市产业转型升级突破点工作方案》和《南雄市推进优势传统产业转型升级工作方案》，全力推动产业转型升级。三是牵头做好园区扩园申报前期准备工作。</w:t>
      </w:r>
    </w:p>
    <w:p w14:paraId="27A16E36">
      <w:pPr>
        <w:pStyle w:val="4"/>
      </w:pPr>
      <w:r>
        <w:rPr>
          <w:rFonts w:hint="eastAsia"/>
        </w:rPr>
        <w:t>【资金政策扶持】</w:t>
      </w:r>
    </w:p>
    <w:p w14:paraId="5BA8CF8E">
      <w:pPr>
        <w:ind w:firstLine="420"/>
      </w:pPr>
      <w:r>
        <w:rPr>
          <w:rFonts w:hint="eastAsia"/>
        </w:rPr>
        <w:t>加大“跑部进厅”力度，积极争取上级资金扶持，申报各类项目16个。其中申报技术改造项目1个，自主创新和转型升级项目3个，服务体系建设项目1个，省农村信息化发展专项资金项目4个，国家级万村千乡市场工程项目2个，省节能资金项目5个。获批资金达300多万元。韶关南雄珠玑纸业有限公司和广东金友集团有限公司被省经信委认定为“广东省优势传统产业转型升级示范企业”，中小企业创业基地被省中小企业局认定为“广东省中小企业创业基地”。</w:t>
      </w:r>
    </w:p>
    <w:p w14:paraId="51C8DDF0">
      <w:pPr>
        <w:pStyle w:val="4"/>
      </w:pPr>
      <w:r>
        <w:rPr>
          <w:rFonts w:hint="eastAsia"/>
        </w:rPr>
        <w:t>【民营经济发展】</w:t>
      </w:r>
    </w:p>
    <w:p w14:paraId="21F84C60">
      <w:pPr>
        <w:ind w:firstLine="420"/>
      </w:pPr>
      <w:r>
        <w:rPr>
          <w:rFonts w:hint="eastAsia"/>
        </w:rPr>
        <w:t>一是夯基础。加强民营企业分类信息汇总工作。按时做好定期报告全市工业投资重点项目工作和乡镇企业统计工作，对工业企业投资项目和乡镇企业的经济运行实施动态跟踪，为我市的经济发展提供决策依据。二是强服务。主动协助企业申请办理投资备案等工作。对重点技改项目安排专人跟踪落实，督促企业完成当年的建设投资。认真协调企业技改建设中遇到的困难和问题，积极帮助企业解决技改项目融资。积极组织企业参加第八届中博会、泛珠洽谈会，帮助中小企业拓展市场。三是抓技改，促产业升级。2011年，积极引导有关企业进行技术改造、技术创新，有5个企业投资1.3亿元进行技改创新。有力推动我市产业转型升级，促进民营经济快速发展。2011年全市有个体工商户10098户，注册资金2.54亿元，分别比上年同期增长7.4%，8.5%；私营企业677户，注册资金9.57亿元，分别比上年同期增长4.2%，15.3%；全市民营经济缴纳税金10944万元，比上年同期增长37.4%。</w:t>
      </w:r>
    </w:p>
    <w:p w14:paraId="66619236">
      <w:pPr>
        <w:pStyle w:val="4"/>
      </w:pPr>
      <w:r>
        <w:rPr>
          <w:rFonts w:hint="eastAsia"/>
        </w:rPr>
        <w:t>【节能工作成效明显】</w:t>
      </w:r>
    </w:p>
    <w:p w14:paraId="4D0DB39A">
      <w:pPr>
        <w:ind w:firstLine="420"/>
      </w:pPr>
      <w:r>
        <w:rPr>
          <w:rFonts w:hint="eastAsia"/>
        </w:rPr>
        <w:t>加强对重点耗能企业的监控，并积极帮助企业通过技改推进节能工作、开展清洁生产，由于工作扎实，节能工作取得较好的成绩。4月25日韶关市专家组对被列入省千家、韶关市37家重点耗能企业之一的韶能珠玑纸业进行节能目标完成情况和落实节能措施情况进行现场考核，经专家组评定为“完成”等级。5月18日，组织省市有关专家对绿洲公司、金马公司、楚雄水泥厂等3家重点耗能企业进行评价考核，经专家组评定均为“完成”等级。8月25日，韶关市政府组织有关专家对我市“十一五”节能目标完成情况进行考核，我市“十一五”期间万元GDP能耗累计下降32.36%，超额完成韶关市政府下达我市“十一五”期间万元GDP能耗下降16%的目标任务。</w:t>
      </w:r>
    </w:p>
    <w:p w14:paraId="61910BA9">
      <w:pPr>
        <w:pStyle w:val="4"/>
      </w:pPr>
      <w:r>
        <w:rPr>
          <w:rFonts w:hint="eastAsia"/>
        </w:rPr>
        <w:t>【家电下乡、以旧换新】</w:t>
      </w:r>
    </w:p>
    <w:p w14:paraId="6FD0986E">
      <w:pPr>
        <w:ind w:firstLine="420"/>
      </w:pPr>
      <w:r>
        <w:rPr>
          <w:rFonts w:hint="eastAsia"/>
        </w:rPr>
        <w:t>2011年是“家电下乡”工作加强监管年，4月18日召开全市家电下乡工作会议，进一步规范家电下乡销售行为。严格按照有关要求，每月对销售网点进行现场抽查，抽查率达20%以上；同时，会同财政部门深入到农户家进行现场检查，通过检查，取消19家违规或不符合要求的网点，维护我市家电下乡网点经营秩序。2011年，家电下乡销售25196台，补贴资金786.93万，以旧换新家电6818台，补贴资金193.12万元。</w:t>
      </w:r>
    </w:p>
    <w:p w14:paraId="47EDEC90">
      <w:pPr>
        <w:pStyle w:val="4"/>
      </w:pPr>
      <w:r>
        <w:rPr>
          <w:rFonts w:hint="eastAsia"/>
        </w:rPr>
        <w:t>【酒类工作】</w:t>
      </w:r>
    </w:p>
    <w:p w14:paraId="572E78F8">
      <w:pPr>
        <w:ind w:firstLine="420"/>
      </w:pPr>
      <w:r>
        <w:rPr>
          <w:rFonts w:hint="eastAsia"/>
        </w:rPr>
        <w:t>进一步加大酒类零售许可证制度的宣传和酒类零售许可证的查证力度，商户办理酒类零售许可证的自觉性不断提高，2011年办理酒类零售许可证50多份，年审150多户。                       （邓国林）</w:t>
      </w:r>
    </w:p>
    <w:p w14:paraId="778275B7">
      <w:pPr>
        <w:ind w:firstLine="0" w:firstLineChars="0"/>
        <w:rPr>
          <w:b/>
          <w:bCs/>
        </w:rPr>
      </w:pPr>
      <w:r>
        <w:rPr>
          <w:rFonts w:hint="eastAsia"/>
          <w:b/>
          <w:bCs/>
        </w:rPr>
        <w:t>附：2011年市经贸局领导班子成员名单</w:t>
      </w:r>
    </w:p>
    <w:p w14:paraId="1585E0D6">
      <w:pPr>
        <w:ind w:firstLine="0" w:firstLineChars="0"/>
      </w:pPr>
      <w:r>
        <w:rPr>
          <w:rFonts w:hint="eastAsia"/>
        </w:rPr>
        <w:t>局长：廖声华</w:t>
      </w:r>
    </w:p>
    <w:p w14:paraId="0C3527CA">
      <w:pPr>
        <w:ind w:firstLine="0" w:firstLineChars="0"/>
      </w:pPr>
      <w:r>
        <w:rPr>
          <w:rFonts w:hint="eastAsia"/>
        </w:rPr>
        <w:t>副局长：陈军曾开寿周华</w:t>
      </w:r>
    </w:p>
    <w:p w14:paraId="2AA7BC11">
      <w:pPr>
        <w:ind w:firstLine="0" w:firstLineChars="0"/>
      </w:pPr>
      <w:r>
        <w:rPr>
          <w:rFonts w:hint="eastAsia"/>
        </w:rPr>
        <w:t>纪检组长：张邦民</w:t>
      </w:r>
    </w:p>
    <w:p w14:paraId="39B15CD3">
      <w:pPr>
        <w:ind w:firstLine="0" w:firstLineChars="0"/>
      </w:pPr>
      <w:r>
        <w:rPr>
          <w:rFonts w:hint="eastAsia"/>
        </w:rPr>
        <w:t>工会主席：王福连</w:t>
      </w:r>
    </w:p>
    <w:p w14:paraId="454869E3">
      <w:pPr>
        <w:pStyle w:val="3"/>
      </w:pPr>
      <w:r>
        <w:rPr>
          <w:rFonts w:hint="eastAsia"/>
        </w:rPr>
        <w:t>电力工业</w:t>
      </w:r>
    </w:p>
    <w:p w14:paraId="380EE4AA">
      <w:pPr>
        <w:pStyle w:val="4"/>
      </w:pPr>
      <w:r>
        <w:rPr>
          <w:rFonts w:hint="eastAsia"/>
        </w:rPr>
        <w:t>【概况】</w:t>
      </w:r>
    </w:p>
    <w:p w14:paraId="23DEFB72">
      <w:pPr>
        <w:ind w:firstLine="420"/>
      </w:pPr>
      <w:r>
        <w:rPr>
          <w:rFonts w:hint="eastAsia"/>
        </w:rPr>
        <w:t>2011年，南雄供电局（以下简称供电局）完成电网建设与改造投资3100万元；完成售电量3.03亿千瓦时，同比增长11.4%；供电可靠率99.801%，同比提高0.18个百分点，用户平均停电时间17.47小时，同比减少15.811小时；用户平均停电次数4.45次，同比减少4.11次。线损率3.01%，同比下降1.34个百分点。辖变电站共10座，其中220千伏站1座，110千伏站5座，35千伏站4座，主变容量503.75兆伏安。35千伏及以上输电线路总长404.802千米。2011年供电局共有在册员工428人，有12个部门，其中有行政职能部门7个、党群部门2个、二级执行部门3个。</w:t>
      </w:r>
    </w:p>
    <w:p w14:paraId="3D69AE3D">
      <w:pPr>
        <w:pStyle w:val="4"/>
      </w:pPr>
      <w:r>
        <w:rPr>
          <w:rFonts w:hint="eastAsia"/>
        </w:rPr>
        <w:t>【安全管理】</w:t>
      </w:r>
    </w:p>
    <w:p w14:paraId="50184C29">
      <w:pPr>
        <w:ind w:firstLine="420"/>
      </w:pPr>
      <w:r>
        <w:rPr>
          <w:rFonts w:hint="eastAsia"/>
        </w:rPr>
        <w:t>供电局坚持“安全第一、预防为主”的工作方针贯穿于全局工作，把安全工作放在一切工作的首位。围绕年度安全工作目标，从资源到位、管理到位、行动到位等入手，了解和检查各生产部门、基层供电所在风险管控工作中存在的缺失，为制定科学的风险管控措施做好基础；提出“抓思想教育、抓纪律整顿、抓作风建设、抓技能培训、强化执行与问责，坚决杜绝人身死亡事故！”的口号，每位员工自觉地兑现自己的承诺，做到自觉遵章，履行职责，扎实工作，形成人人要安全、人人关注安全的生产局面，形成工作现场人人都是安全第一责任人的工作氛围。生产部门坚持每星期一召开安全生产例会。2011年实现跨年度连续安全运行3269天，安全记录再创历史新高。在广东电网公司（以下简称省公司）组织的人身安全整顿工作检查中，供电局获得85.2分，排在韶关8个县级供电子公司第一位；此外，供电局也顺利通过省公司组织的安全风险管理体系外审，达到两钻两星水平。</w:t>
      </w:r>
    </w:p>
    <w:p w14:paraId="39C4367D">
      <w:pPr>
        <w:pStyle w:val="4"/>
      </w:pPr>
      <w:r>
        <w:rPr>
          <w:rFonts w:hint="eastAsia"/>
        </w:rPr>
        <w:t>【电网建设】</w:t>
      </w:r>
    </w:p>
    <w:p w14:paraId="3DC2E7B1">
      <w:pPr>
        <w:ind w:firstLine="420"/>
      </w:pPr>
      <w:r>
        <w:rPr>
          <w:rFonts w:hint="eastAsia"/>
        </w:rPr>
        <w:t>完成“十二五”中低压配电网规划修编定稿，结合当地市政规划的修编，从提高供电可靠性的高度，规划10千伏线路联络的方式和需要建设改造的线路，以提高10千伏可转供率、可联络率为规划的切入点布局10千伏网络，以安全运行为基础，保证电能质量规划改造或升级配电台区；此外供电局电网规划已纳入城市整体规划之中并取得重大突破，实现电力廊道与城市地上地下空间的协调，为后续中心城区电网建设创造有利条件；加快推进创建“安全、优质、文明”样板工程的步伐，明确项目责任人跟踪落实工程的质量、进度，增加优良工程的比例。全年完成3100万元的电网建设与改造投资，新架设10千伏线路27.8千米，低压线路227千米，新安装89台变压器。</w:t>
      </w:r>
    </w:p>
    <w:p w14:paraId="4126DE24">
      <w:pPr>
        <w:pStyle w:val="4"/>
      </w:pPr>
      <w:r>
        <w:rPr>
          <w:rFonts w:hint="eastAsia"/>
        </w:rPr>
        <w:t>【供用电管理】</w:t>
      </w:r>
    </w:p>
    <w:p w14:paraId="22B05B49">
      <w:pPr>
        <w:ind w:firstLine="420"/>
      </w:pPr>
      <w:r>
        <w:rPr>
          <w:rFonts w:hint="eastAsia"/>
        </w:rPr>
        <w:t>在雄州街道、古市镇、全安镇、主田镇四个供电所中抽调骨干人员成立雄州配电运维班，负责维护28条10千伏线路、变压器，配电运维班人员按照周期计划对配电线路、配电设备进行周期巡视、维护、消缺工作。通过整合、优化人员配置，大大提高工作效率，缩短到达现场和故障查找时间，以最快的速度修复设施，恢复供电。制定《南雄供电局供电可靠性领域2011年创先重点工作计划》；坚持每月由分管生产领导主持召开停电平衡分析会议，严格审核停电计划，重点狠抓重复停电、临时停电和延时停、送电管理，根据年度可靠性指标合理安排停电计划，切实做到“先算后用，边用边算，用后复算”；突出加强可靠性指标管理，将可靠率指标分解下达，运用指标对停电计划进行预控；针对南雄市重要用户，编制《南雄市重要用户供电事故预案》，梳理出重要用户及停电后影响，评估停电的风险，有针对性地制定保证重要用户供电的措施和停电后快速恢复的措施；通过一系列措施，全局供电可靠率指标大幅提升，全年用户平均停电时间降至17.47小时／户，同比减少48.01%。</w:t>
      </w:r>
    </w:p>
    <w:p w14:paraId="555E25B4">
      <w:pPr>
        <w:pStyle w:val="4"/>
      </w:pPr>
      <w:r>
        <w:rPr>
          <w:rFonts w:hint="eastAsia"/>
        </w:rPr>
        <w:t>【客户服务】</w:t>
      </w:r>
    </w:p>
    <w:p w14:paraId="78534A1E">
      <w:pPr>
        <w:ind w:firstLine="420"/>
      </w:pPr>
      <w:r>
        <w:rPr>
          <w:rFonts w:hint="eastAsia"/>
        </w:rPr>
        <w:t>供电局积极参与市委市政府“履行职责、加快发展”的活动。开展“为民服务、创先争优”活动，坚持走进农村服务“三农”、走进社区心系居民、走进学校关爱校园、走进医院真诚服务、走进企业惠及客户、走进困难家庭帮扶群众等“六走进”活动。2011年走访3658个客户，电话回访8632户／次，发放相关用电宣传资料5000份，收集客户意见9类，解决客户提出问题250项。提出从“我要为客户提供哪些服务”转变到“客户需要我提供哪些服务”；通过走访客户，开展征求意见活动以及进行电话访谈两种方式征求各类客户的意见和建议，用客户的眼光来审视自己所做的工作是否到位，是否符合客户的需求，是否让客户满意，以此提出改进措施，制定出符合客户需求的服务措施。真正做到党工团责任到位、窗口服务优质到位、业务流程高效到位、故障抢修快捷到位、缴费方式方便到位的“五到位”。活动突出保障民生供电、高度重视城网、农网改造升级、积极制定惠民措施、集中力量解决群众用电的实际问题。让客户真真切切的感受到供电局的精诚服务，从而做到让客户满意、社会满意、政府满意。从而构建起以客户需求为驱动的客户服务集中化管理体系，不断拓展和创新服务内涵，以优质服务提升客户体验，赢得优质服务的良好口碑。认真分析2010年第三方客户满意度与2009年相差较大的原因，积极制定改进措施，并通过以上一系列的客户服务工作，2011年，供电局在省公司组织的盖洛普公司第三方客户满意度调查中，获得84分，在全省50个县级供电子公司排名第二，在韶关8个县级供电子公司排名第一。</w:t>
      </w:r>
    </w:p>
    <w:p w14:paraId="2D171558">
      <w:pPr>
        <w:pStyle w:val="4"/>
      </w:pPr>
      <w:r>
        <w:rPr>
          <w:rFonts w:hint="eastAsia"/>
        </w:rPr>
        <w:t>【党建工作】</w:t>
      </w:r>
    </w:p>
    <w:p w14:paraId="72B6BE2E">
      <w:pPr>
        <w:ind w:firstLine="420"/>
      </w:pPr>
      <w:r>
        <w:rPr>
          <w:rFonts w:hint="eastAsia"/>
        </w:rPr>
        <w:t>供电局党委按照年度中心组学习计划，每月不定期组织学习，做到学习有计划、有安排、重质量；开展新一轮党员承诺和点评，点评完成率100%；精心开展</w:t>
      </w:r>
      <w:r>
        <w:rPr>
          <w:rFonts w:hint="eastAsia"/>
          <w:lang w:eastAsia="zh-CN"/>
        </w:rPr>
        <w:t>庆祝建党</w:t>
      </w:r>
      <w:r>
        <w:rPr>
          <w:rFonts w:hint="eastAsia"/>
        </w:rPr>
        <w:t>90周年系列活动，组织党员赴革命圣地开展革命传统教育；切实做好员工辅导计划工作；组织全体在岗员工开展“广东省扶贫济困日”捐款活动，捐款5.46万元；严格落实党风廉政建设责任制，党风廉政建设责任考核达标率为100%，举报投诉及时办结率100%；廉洁从业教育常态化，开展参观预防职务犯罪教育基地接受教育等活动；2011年，供电局党委被评为“韶关供电局先进基层党组织”，16人分别评为韶关供电局优秀共产党员和优秀党务工作者；在韶关供电局举办的党建知识竞赛中，供电局派出的参赛选手分别取得第一名和第三名的好成绩。开展创建广东省文明单位活动，以“树文明新风，建和谐供电”为主题，把文明创建与促进企业科学发展、塑造良好社会形象和“为民服务、创先争优”、“履行职责，加快发展年”活动等紧密结合起来，实现文明创建与企业科学发展同步，有力地推动各项工作的开展。通过三年来的不懈努力，供电局荣获“广东省文明单位”荣誉称号。                                                                           （刘志明）</w:t>
      </w:r>
    </w:p>
    <w:p w14:paraId="708251A1">
      <w:pPr>
        <w:ind w:firstLine="0" w:firstLineChars="0"/>
        <w:rPr>
          <w:b/>
          <w:bCs/>
        </w:rPr>
      </w:pPr>
      <w:r>
        <w:rPr>
          <w:rFonts w:hint="eastAsia"/>
          <w:b/>
          <w:bCs/>
        </w:rPr>
        <w:t>附：2011年市供电局领导班子成员名单</w:t>
      </w:r>
    </w:p>
    <w:p w14:paraId="34C2F8F6">
      <w:pPr>
        <w:ind w:firstLine="0" w:firstLineChars="0"/>
      </w:pPr>
      <w:r>
        <w:rPr>
          <w:rFonts w:hint="eastAsia"/>
        </w:rPr>
        <w:t>局长、党委书记：曾子南</w:t>
      </w:r>
    </w:p>
    <w:p w14:paraId="1585A45E">
      <w:pPr>
        <w:ind w:firstLine="0" w:firstLineChars="0"/>
      </w:pPr>
      <w:r>
        <w:rPr>
          <w:rFonts w:hint="eastAsia"/>
        </w:rPr>
        <w:t>工会主席、纪委书记：黄立华</w:t>
      </w:r>
    </w:p>
    <w:p w14:paraId="5C577647">
      <w:pPr>
        <w:ind w:firstLine="0" w:firstLineChars="0"/>
      </w:pPr>
      <w:r>
        <w:rPr>
          <w:rFonts w:hint="eastAsia"/>
        </w:rPr>
        <w:t>副局长：杨中柱 叶向红</w:t>
      </w:r>
    </w:p>
    <w:p w14:paraId="32EA3B06">
      <w:pPr>
        <w:pStyle w:val="3"/>
      </w:pPr>
      <w:r>
        <w:rPr>
          <w:rFonts w:hint="eastAsia"/>
        </w:rPr>
        <w:t>二轻工业</w:t>
      </w:r>
    </w:p>
    <w:p w14:paraId="04D80DA3">
      <w:pPr>
        <w:pStyle w:val="4"/>
      </w:pPr>
      <w:r>
        <w:rPr>
          <w:rFonts w:hint="eastAsia"/>
        </w:rPr>
        <w:t>【概况】</w:t>
      </w:r>
    </w:p>
    <w:p w14:paraId="1CF1F9FE">
      <w:pPr>
        <w:ind w:firstLine="420"/>
      </w:pPr>
      <w:r>
        <w:rPr>
          <w:rFonts w:hint="eastAsia"/>
        </w:rPr>
        <w:t>南雄市二轻工业总公司（城镇集体企业联社）是政府授权管理二轻系统行政和集体资产的市直机关单位，实行“一套人员，两块牌子”办公共管体制，现有在职干部职工9人。南雄市二轻工业总公司为市政府直辖正科级行政管理机关，南雄市城镇集体企业联社为“广东省城镇集体企业联社章程”规范的集体资产管理法人单位，本部设：党政办公室、政保股、企管股、社保办公室、工会工作委员会和二轻系统转制办公室。</w:t>
      </w:r>
    </w:p>
    <w:p w14:paraId="772FBD61">
      <w:pPr>
        <w:pStyle w:val="4"/>
      </w:pPr>
      <w:r>
        <w:rPr>
          <w:rFonts w:hint="eastAsia"/>
        </w:rPr>
        <w:t>【体制改革】</w:t>
      </w:r>
    </w:p>
    <w:p w14:paraId="7BDE1D25">
      <w:pPr>
        <w:ind w:firstLine="420"/>
      </w:pPr>
      <w:r>
        <w:rPr>
          <w:rFonts w:hint="eastAsia"/>
        </w:rPr>
        <w:t>2011年5月，总公司（联社）改革工作按照南雄市政府批复南雄市二轻工业总公司（联社）“人员、资产全部移交南雄市公共资产管理中心管理”，该项改革工作正在实施中                 。（廖宣玲）</w:t>
      </w:r>
    </w:p>
    <w:p w14:paraId="1B6147A6">
      <w:pPr>
        <w:ind w:firstLine="0" w:firstLineChars="0"/>
        <w:rPr>
          <w:b/>
          <w:bCs/>
        </w:rPr>
      </w:pPr>
      <w:r>
        <w:rPr>
          <w:rFonts w:hint="eastAsia"/>
          <w:b/>
          <w:bCs/>
        </w:rPr>
        <w:t>附：2011年市二轻工业总公司领导班子成员名单</w:t>
      </w:r>
    </w:p>
    <w:p w14:paraId="09ABE39B">
      <w:pPr>
        <w:ind w:firstLine="0" w:firstLineChars="0"/>
      </w:pPr>
      <w:r>
        <w:rPr>
          <w:rFonts w:hint="eastAsia"/>
        </w:rPr>
        <w:t>总经理（主任）：刘传金</w:t>
      </w:r>
    </w:p>
    <w:p w14:paraId="7F6D0105">
      <w:pPr>
        <w:ind w:firstLine="0" w:firstLineChars="0"/>
      </w:pPr>
      <w:r>
        <w:rPr>
          <w:rFonts w:hint="eastAsia"/>
        </w:rPr>
        <w:t>工会主席：董世雄</w:t>
      </w:r>
    </w:p>
    <w:p w14:paraId="13DB911F">
      <w:pPr>
        <w:pStyle w:val="3"/>
      </w:pPr>
      <w:r>
        <w:rPr>
          <w:rFonts w:hint="eastAsia"/>
        </w:rPr>
        <w:t>东莞大岭山（南雄）产业转移工业园</w:t>
      </w:r>
    </w:p>
    <w:p w14:paraId="1D8EA07C">
      <w:pPr>
        <w:ind w:firstLine="420"/>
      </w:pPr>
      <w:r>
        <w:rPr>
          <w:rFonts w:hint="eastAsia"/>
        </w:rPr>
        <w:t>地处南雄市西南郊，总体规划面积约11000多亩，以精细化工为主导产业，园区于2008年11月取得广东省环境保护厅审批通过，成为粤北首个精细化工基地。园区的发展壮大自始至终得到省、市各级领导及相关部门的大力支持和关心，先后被认定为广东省产业转移工业园、广东省模范劳动关系和谐园区、广东省第一批省市共建循环经济产业基地、广东省中小企业创业基地。园区与韶赣高速公路出入口、韶赣铁路规划南雄火车站相邻，50分钟车程可抵达赣州机场。地理位置优越，有对接“长三角”、承接“珠三角”、的良好区位优势。2011年底，园区入驻企业99家，试投产企业45家。2011年实现产值30.8亿元，同比增长164.1%；工业增加值9.2亿元，同比增长165.1%；其中工业产值占全市的51.7%，是南雄工业名副其实的半壁江山。随着“双转移”工作在南雄的不断推进，园区配套建设和投资环境日益完善，承接产业转移的吸引力逐渐增强，并储备一大批大企业、大项目。基于当前招商引资的良好态势，南雄启动扩园工作，突出集聚发展特色，计划在未来3年至5年时间内实现入园企业300家，产值250亿元，创税9亿元，打造华南地区最专业的精细化工园区。2011年12月14日园区成立党总支。园区管理处召开党总支成立大会，大会选举产生第一届中共东莞大岭山（南雄）产业转移管理处总支委员会，委员共7名，何天山当选为园区管理处党总支书记，李阶贵、何静敏当选为园区管理处党总支副书记。市委常委、组织部长丘德周对园区党总支的成立表示祝贺，希望该党总支在今后的工作中，按照上级党委的要求，开展组织建设，成为推动企业发展、促进企业与职工和谐共处的战斗堡垒，使党员成为企业生产、经营、技术创新的好手，成为企业发展壮大的核心推手，让党员队伍中形成的开拓进取、团结奋斗的精神转化为企业文化建设的内涵。（叶红太）</w:t>
      </w:r>
    </w:p>
    <w:p w14:paraId="374B807E">
      <w:pPr>
        <w:ind w:firstLine="0" w:firstLineChars="0"/>
        <w:rPr>
          <w:b/>
          <w:bCs/>
        </w:rPr>
      </w:pPr>
      <w:r>
        <w:rPr>
          <w:rFonts w:hint="eastAsia"/>
          <w:b/>
          <w:bCs/>
        </w:rPr>
        <w:t>附：2011年市工业园管理处领导班子成员名单</w:t>
      </w:r>
    </w:p>
    <w:p w14:paraId="6AAA3669">
      <w:pPr>
        <w:ind w:firstLine="0" w:firstLineChars="0"/>
      </w:pPr>
      <w:r>
        <w:rPr>
          <w:rFonts w:hint="eastAsia"/>
        </w:rPr>
        <w:t>主  任：何天山</w:t>
      </w:r>
    </w:p>
    <w:p w14:paraId="74037C5A">
      <w:pPr>
        <w:ind w:firstLine="0" w:firstLineChars="0"/>
      </w:pPr>
      <w:r>
        <w:rPr>
          <w:rFonts w:hint="eastAsia"/>
        </w:rPr>
        <w:t>副主任：李阶贵 何静敏 叶秀兰</w:t>
      </w:r>
    </w:p>
    <w:p w14:paraId="5BC5E8E7">
      <w:pPr>
        <w:pStyle w:val="3"/>
      </w:pPr>
      <w:r>
        <w:rPr>
          <w:rFonts w:hint="eastAsia"/>
        </w:rPr>
        <w:t>企业选介</w:t>
      </w:r>
    </w:p>
    <w:p w14:paraId="138F2551">
      <w:pPr>
        <w:pStyle w:val="4"/>
      </w:pPr>
      <w:r>
        <w:rPr>
          <w:rFonts w:hint="eastAsia"/>
        </w:rPr>
        <w:t>【韶关棉土窝矿业有限公司】</w:t>
      </w:r>
    </w:p>
    <w:p w14:paraId="65444707">
      <w:pPr>
        <w:ind w:firstLine="420"/>
      </w:pPr>
      <w:r>
        <w:rPr>
          <w:rFonts w:hint="eastAsia"/>
        </w:rPr>
        <w:t>2011年是棉土窝矿业有限公司重组运行的第四年，也是认真落实“效益内控年”和全面提高经济效益之年。矿业公司坚持以科学发展观统领全局，以年度生产经营计划、财务预算为指导，科学谋划，务实操作，真抓实干，取得经济平稳发展的可喜成绩，经济实力始终居广晟有色金属股份有限公司同行业之首位。2011年矿业公司被广晟有色金属股份有限公司授予四好领导班子、生产经营、安全生产、党风廉政建设工作先进单位。2011年完成工业总产值（当年价）4122万元，为年计划的124.9%；完成工业销售产值（当年价）4256.79万元，为年计划的129%；完成工业增加值（当年价）2815万元，为年计划的125.7%。全年实现利税总额2050.8万元，与上年比增长116.8%；实现利润总额1357.1万元，与上年比增长145.6%。全年资产总额6931.5万元，与上年比增长19.2%；固定资产净值平均余额618.6万元，与上年比增长97.6%；流动资产平均余额4193.6万元，与上年比增长9.2%；负债总额653.3万元，与上年比增长14.6%。2011年未，公司从业人员为210人，其中固定合同制员工为103人，农民工和家属工为107人；全年完成钨精矿（65%）250.62吨，与上年比增长14.8%；完成铋精矿（100%）28.45吨，与上年比增长125.1%；完成钼精矿（45%）115.42吨，与上年比增长12.5%；全员劳动生产率（按工业增加值计）130930元／人年，与上年比增长58.5%。</w:t>
      </w:r>
    </w:p>
    <w:p w14:paraId="45FF08A2">
      <w:pPr>
        <w:ind w:firstLine="422"/>
      </w:pPr>
      <w:r>
        <w:rPr>
          <w:rFonts w:hint="eastAsia"/>
          <w:b/>
          <w:bCs/>
        </w:rPr>
        <w:t xml:space="preserve">生产经营 </w:t>
      </w:r>
      <w:r>
        <w:rPr>
          <w:rFonts w:hint="eastAsia"/>
        </w:rPr>
        <w:t>集中精力，狼抓生产经营工作落实。要实现生产经营工作任务完成往前赶，加大组织落实力度，切实抓好每一个环节工作是关健。为此，公司董事会结合矿山生产规律，在具体实施中，坚持以采掘生产为先行，以加大出矿处理量完成为手段，下大力气，扣紧生产经营工作环节，确保全年生产经营工作处于正常运行状态。其主要抓五件事：一是针对上半年出矿品位较好的有利条件，组织抓了V5两个采场出矿量的加大完成，为确保全年钨、钼产量分别完成年计划的109%和115.4%起到重要作用；二是抓好生产基础设施完善，公司根据275中段卷扬设备使用期已长达30多年的状况，于3月24日至4月1日为期9天安排停产更换卷扬设备，为今后采矿持续生产打下坚实的基础；三是牢固树立珍惜矿产资源意识，在实际生产过程中，通过加强采矿技术指导和现场监管，杜绝浪费矿产资源的行为发生。2011年公司对回采的140中段452采场，在根据地质资料可靠和安全条件允许的情况下，采用局部超中段回采方式，实现多回采上千吨的矿量；四是加快140中段开拓工程施工，重点抓好安全通风和工程质量，全年完成掘进量2127.1米，掘采比达到317.2米／万吨。使公司三级矿量保持最佳状态；五是把握市场机遇，精心运营，促进经营效果的提高。2011年公司的经济效益之所以能取得显著的成绩，关健在于公司董事会时刻保持对市场产品价格进行认真分析和预测，在各种产品销售中，充分利用股份公司信息资源广，大批量出售的优势。按全年三种产品销售情况反映：钨精矿（65%）销售256.85吨，销售额为3028.28万元；铋精矿（100%）销售31.8吨，销售额为326.61万元；钼精矿（45%）销售119.11吨，销售额为902.02万元；全年完成产品销售收入4256.91万元，实现净利润1011.97万元。</w:t>
      </w:r>
    </w:p>
    <w:p w14:paraId="3B21F09B">
      <w:pPr>
        <w:ind w:firstLine="422"/>
      </w:pPr>
      <w:r>
        <w:rPr>
          <w:rFonts w:hint="eastAsia"/>
          <w:b/>
          <w:bCs/>
        </w:rPr>
        <w:t xml:space="preserve">改革发展 </w:t>
      </w:r>
      <w:r>
        <w:rPr>
          <w:rFonts w:hint="eastAsia"/>
        </w:rPr>
        <w:t>夯实基础，提升企业管理水平。管理是推动企业健康发展的基础，是提高经济效益的重要法宝。公司突出年度目标管理工作，坚持市场经济理念，创新经营管理思路，通过进一步充实完善各项规章制度，切实抓好人、财、物的基础管理，促进企业管理水平的提高。在健全财务审计监管制度方面，公司严格执行上级公司财务管理和资金统管规定，认真执行重要事项董事会研究决定；重大资金董事会联签，日常预付款项总经理签发的制度，提高生产经营活动的可控、在控能力，实现成本费用的全面预算管理和适时监控。</w:t>
      </w:r>
    </w:p>
    <w:p w14:paraId="0CE00C77">
      <w:pPr>
        <w:ind w:firstLine="422"/>
      </w:pPr>
      <w:r>
        <w:rPr>
          <w:rFonts w:hint="eastAsia"/>
          <w:b/>
          <w:bCs/>
        </w:rPr>
        <w:t xml:space="preserve">安全生产 </w:t>
      </w:r>
      <w:r>
        <w:rPr>
          <w:rFonts w:hint="eastAsia"/>
        </w:rPr>
        <w:t>安全是企业最大的效益，搞好安全环保工作是企业赖以生存和发展的根本。在生产中认真落实“安全第一，预防为主，综合治理”的安全生产方针。坚持以建设矿山安全生产标准化为契机，按标准化的要求，对生产设备、生产场所进行全面整治。此外，公司还结合自身实际，对三个基层单位推行创建学习型安全生产班组活动。使企业安全生产步入一个更高的水平，安全生产取得可喜的成绩。其主要突出：一是根据矿山生产特点，公司对采、选等安全隐患较大的生产岗位在加强班组建设的同时，规范和完善各项规章制度，使安全生产责任落实到班组，深入到个人；二是根据生产管理需要，加强安全管理人员培训。全年派出公司领导和管理人员参加安全知识培训班学习。对特殊工种操作人员，实行全面继续教育制度和持证上岗制度。2011年公司用于安全培训资金5.74万元，用于安全生产、安全隐患治理的资金65.34万元；三是认真抓好尾矿库扩容和隐患治理工程。尾矿库扩容和隐患治理是公司2011年的重点工程。工程于2010年8月动工以来，公司对该工程施工高度重视，指定专人负责抓工程施工质量管理，并于2011年6月28日完工。工程总投资为313万元。根据省安监局的指示，7月21日公司组织南雄安监局、有色股份公司、化工部长沙设计院（设计单位）、十六冶建设公司（施工单位）、华迪监理公司（监理单位）及公司有关人员对工程进行初步评估验收，并一致通过初步的评估验收。目前工程正进行试运行阶段。</w:t>
      </w:r>
    </w:p>
    <w:p w14:paraId="7331E42D">
      <w:pPr>
        <w:ind w:firstLine="422"/>
      </w:pPr>
      <w:r>
        <w:rPr>
          <w:rFonts w:hint="eastAsia"/>
          <w:b/>
          <w:bCs/>
        </w:rPr>
        <w:t xml:space="preserve">加强企业党组织建设和企业文化建设 </w:t>
      </w:r>
      <w:r>
        <w:rPr>
          <w:rFonts w:hint="eastAsia"/>
        </w:rPr>
        <w:t>在加强企业党组织建设和党员队伍建设中，公司坚持用党的理论培养提高党员思想政治素质。深入开展好纪律教育和“创先争优”活动。通过组织公司领导班子成员自读“对我们生活的误测”和“幸福的方法”两本书等活动。强化班子领导团结协作、牢记宗旨，真心实意为员工办实事、解难题，整体效能作用得到有效发挥。在庆祝中国共产党成立90周年活动中，公司组织发动在职党员自觉撰写庆祝党成立90周年的征文稿件达20多篇。进一步加强企业文化建设，公司大力倡导用心做事、会做事的工作理念，积极培养一批志同道合，真抓实干、懂业务、会管理的管理人员和一批爱岗敬业、任劳任怨、积极向上的员工队伍。在丰富企业形象文化建设方面，公司成立企业文化建设办公室，制定企业文化实施方案，并注重做好关心员工衣食住行，逐步改善员工生活待遇。2011年公司通过对全体员工实行上浮增加13%的工资收入，有效地激发员工的工作热情，有力地促进企业和谐稳定的发展。</w:t>
      </w:r>
    </w:p>
    <w:p w14:paraId="4EC16BB9">
      <w:pPr>
        <w:ind w:firstLine="420"/>
        <w:jc w:val="right"/>
      </w:pPr>
      <w:r>
        <w:rPr>
          <w:rFonts w:hint="eastAsia"/>
        </w:rPr>
        <w:t>（邓炳坤）</w:t>
      </w:r>
    </w:p>
    <w:p w14:paraId="70F8F0E4">
      <w:pPr>
        <w:ind w:firstLine="0" w:firstLineChars="0"/>
        <w:rPr>
          <w:b/>
          <w:bCs/>
        </w:rPr>
      </w:pPr>
      <w:r>
        <w:rPr>
          <w:rFonts w:hint="eastAsia"/>
          <w:b/>
          <w:bCs/>
        </w:rPr>
        <w:t>附：2011年韶关棉土窝矿业公司领导班子成员名单</w:t>
      </w:r>
    </w:p>
    <w:p w14:paraId="0B6A18D9">
      <w:pPr>
        <w:ind w:firstLine="0" w:firstLineChars="0"/>
      </w:pPr>
      <w:r>
        <w:rPr>
          <w:rFonts w:hint="eastAsia"/>
        </w:rPr>
        <w:t>董事长、总经理：黄履华</w:t>
      </w:r>
    </w:p>
    <w:p w14:paraId="07DA55DA">
      <w:pPr>
        <w:ind w:firstLine="0" w:firstLineChars="0"/>
      </w:pPr>
      <w:r>
        <w:rPr>
          <w:rFonts w:hint="eastAsia"/>
        </w:rPr>
        <w:t>副总经理：彭桂华 赖双和 谭章文</w:t>
      </w:r>
    </w:p>
    <w:p w14:paraId="2FDC5432">
      <w:pPr>
        <w:pStyle w:val="4"/>
      </w:pPr>
      <w:r>
        <w:rPr>
          <w:rFonts w:hint="eastAsia"/>
        </w:rPr>
        <w:t>【韶能集团广东绿洲纸模包装制品有限公司】</w:t>
      </w:r>
    </w:p>
    <w:p w14:paraId="614397EB">
      <w:pPr>
        <w:ind w:firstLine="420"/>
      </w:pPr>
      <w:r>
        <w:rPr>
          <w:rFonts w:hint="eastAsia"/>
        </w:rPr>
        <w:t>广东绿洲纸模包装制品有限公司于2001年4月由丿东韶能集团殷股份有限公司和佛山绿洲纸模包装制品有限公司、南雄市第二造纸厂共同出资组建成立。其后因股权变更，原三家股东变更为二家，现股东为广东韶能集团股份有限公司和南雄市国有资投资有限公司，公司注册资本（股本）4605万元（其中韶能集团占总股本的87.90%，南雄市国有资产投资公司占总股本的12.10%），占地面积146亩。2011年10月，在公司名称前加冠“韶能集团”，更名为“韶能集团广东绿洲纸模包装制品有限公司”。公司主要产品是以天然植物纸浆纤维（丛生竹、苇草、秸秆、甘蔗渣等可再生、速生植物纤维）及无污染山泉水为原材料通过纸浆模塑制成的一次性无毒可降解环保餐具以及高档电子产品（手机、笔记本电脑、平板电脑等）精品工包。产品具有造型美观、强度足够、防水、防油、无毒、无味、安全、环保（可自然降解）等优点。公司取得“ISO22000食品安全”等质量体系认证、国际权威认证机构“SGS”的“FDA标准认证”、“德国绿色实验室堆肥全降解认证”，是“广东环保科技会员单位”。产品生产过程循环用水，无“三废”排放。经过几年的发展，公司现有员工800多人，拥有12条环保纸餐具产品生产线和1条环保工业包装产品生产线，年产环保纸餐具产品7600吨和环保工业包装产品2000吨，目前产品全部出口销售，主要销往欧洲、美国、</w:t>
      </w:r>
      <w:r>
        <w:rPr>
          <w:rFonts w:hint="eastAsia"/>
          <w:lang w:eastAsia="zh-CN"/>
        </w:rPr>
        <w:t>中国台湾</w:t>
      </w:r>
      <w:r>
        <w:rPr>
          <w:rFonts w:hint="eastAsia"/>
        </w:rPr>
        <w:t>等世界10多个发达国家和地区。2011年销售产值已达1.1亿元，生产规模及技术力量在国内同行企业中名列前茅，连续多年居全国第一。集团公司经多次慎重、全面的规划论证，拟在2011年－2015年内，分步实施新建7个面积11236平方米（二层）的标准车间，扩产上42条全自动纸餐具生产线，总投资约8.3亿元。项目全部完成后，将形成年产5万吨植物纤维系列制品，年销售收入达10亿元人民币，年实现利润6000万元，届时将是亚洲最大的环保纸餐具产品生产、经营企业。公司已在2011年9月启动实施该发展规划的第一期工程，具体为：投资1.17亿元，新建一个车间（二层11236平方米）、一个模具制造及产品研发中心车间（四层1408平方米）、配套锅炉房以及开关站、水处理和循环水池等其他配套工程一批，上6条全自动生产线（其中台湾兴中生产线2条，杭州欧亚生产线4条），新增产能6000吨／年。新建车间按行业和产品生产的特点，6条生产线紧凑摆布，按原材料（浆板等）→制浆→→机台生产→冲切包装→产品入仓流程，集原材料仓库、生产车间、成品仓库一体化封闭式流程设计，减少原材料领用、产品入库等的往复运输的人力和时间以及达到餐具产品生产的GMP管理要求。6条全自动生产生线具有自动化程度高、用工少（6条生产线产能是现有12条生产线产能的80%，但用工人数只需180人，为原半自动生产线用工人数的25%）、节能环保等特点。第一期工程将进于2012年7月1日试投产，当月达到设计产能。2012年的餐具及精品工包产品产销量预计达1万吨，实现销售收入1.8亿元。             （陈雪梅）</w:t>
      </w:r>
    </w:p>
    <w:p w14:paraId="3E516AE4">
      <w:pPr>
        <w:pStyle w:val="4"/>
      </w:pPr>
      <w:r>
        <w:rPr>
          <w:rFonts w:hint="eastAsia"/>
        </w:rPr>
        <w:t>【韶能集团韶关南雄珠玑纸业有限公司】</w:t>
      </w:r>
    </w:p>
    <w:p w14:paraId="3FF58154">
      <w:pPr>
        <w:ind w:firstLine="420"/>
      </w:pPr>
      <w:r>
        <w:rPr>
          <w:rFonts w:hint="eastAsia"/>
        </w:rPr>
        <w:t>韶能集团韶关南雄珠玑纸业有限公司由原南雄造纸总厂组建（筹建于1988年），2005年7月，由广东韶能集团股份有限公司收购重组。2010年3月韶能集团注资1亿元，成立韶能集团韶关南雄珠玑纸业有限公司，是国有控股法人单位，现有员工550人。公司利用粤北山区丰富的竹类资源为纤维原料进行制浆造纸，2010年完成制浆漂白系统节能减排技改升级，产能规模由小型制浆造纸企业转型为中型企业，拥有年生产漂白硫酸盐竹浆6.5万吨、印刷书写纸3.5万吨、漂白硫酸盐竹浆板5万吨的生产能力。主要产品为“珠玑牌”优质胶版纸、牛皮纸、漂白硫酸盐竹浆板，产品销往广东各地及江西、福建、广西、浙江等地区，产销稳定，年销售收入超亿元，税收超千万元，是南雄市工业经济的骨干企业和纳税大户之一，韶关市农业龙头企业、广东省农业龙头企业和广东省林业龙头企业，广东省清洁生产企业。废水、废气排放均达到国家规定的标准。</w:t>
      </w:r>
    </w:p>
    <w:p w14:paraId="1F7EE56C">
      <w:pPr>
        <w:ind w:firstLine="422"/>
      </w:pPr>
      <w:r>
        <w:rPr>
          <w:rFonts w:hint="eastAsia"/>
          <w:b/>
          <w:bCs/>
        </w:rPr>
        <w:t xml:space="preserve">主要产品 </w:t>
      </w:r>
      <w:r>
        <w:rPr>
          <w:rFonts w:hint="eastAsia"/>
        </w:rPr>
        <w:t>利用自制漂白硫酸盐竹浆生产双面胶版纸、道林纸、牛皮纸、卷筒纸、漂白硫酸盐竹浆板、未漂硫酸盐竹浆板等产品。产品规格：双面胶版纸、道林纸、牛皮纸规格有正度、大度平板纸；卷筒纸（限100g／m2以上），可根据客户的尺寸要求进行加工；漂白硫酸盐竹浆板、未漂硫酸盐竹浆板（规格96×76cm，250kg风干量／件）。用途：纸产品主要应用于书刊印刷、静电复印、笔记本书写、电子说明书、文件袋、包装袋及包装系列等方面；浆板则用于生产普通印刷纸张与生活用纸方面。</w:t>
      </w:r>
    </w:p>
    <w:p w14:paraId="143B817F">
      <w:pPr>
        <w:ind w:firstLine="422"/>
      </w:pPr>
      <w:r>
        <w:rPr>
          <w:rFonts w:hint="eastAsia"/>
          <w:b/>
          <w:bCs/>
        </w:rPr>
        <w:t xml:space="preserve">企业效益 </w:t>
      </w:r>
      <w:r>
        <w:rPr>
          <w:rFonts w:hint="eastAsia"/>
        </w:rPr>
        <w:t>2011年生产印刷书写纸14713.52吨，漂白硫酸盐竹浆板29551.84吨。销售胶版纸14316.26吨，浆板29180.66吨，实现销售收入18894.10万元，工业总产值19287.10万元，工业增加值4309.10万元。2011年度节能完成1669.2吨标准煤，超额完成政府设定节能目标，企业节能降耗成效明显。</w:t>
      </w:r>
    </w:p>
    <w:p w14:paraId="64C27FDD">
      <w:pPr>
        <w:ind w:firstLine="422"/>
      </w:pPr>
      <w:r>
        <w:rPr>
          <w:rFonts w:hint="eastAsia"/>
          <w:b/>
          <w:bCs/>
        </w:rPr>
        <w:t xml:space="preserve">企业管理 </w:t>
      </w:r>
      <w:r>
        <w:rPr>
          <w:rFonts w:hint="eastAsia"/>
        </w:rPr>
        <w:t>公司不断完善劳动规章制度、安全生产管理制度、环保管理制度、物资采购制度、财务开支审批制度、质量管理制度、薪酬等制度，优化生产布局，规范经营管理，逐步形成制度化的有效经营。同时高度重视安全环保管理，落实安全环保责任，及时预防和排查安全环保隐患，杜绝重大事故，减少一般事故发生；不惜加大投入加强环保治理，环保达到常态达标排放，各项指标符合国家和省环保标准， CODer排放总量控制在政府下达的控制指标以内。</w:t>
      </w:r>
    </w:p>
    <w:p w14:paraId="443A28AA">
      <w:pPr>
        <w:ind w:firstLine="422"/>
      </w:pPr>
      <w:r>
        <w:rPr>
          <w:rFonts w:hint="eastAsia"/>
          <w:b/>
          <w:bCs/>
        </w:rPr>
        <w:t xml:space="preserve">技术创新 </w:t>
      </w:r>
      <w:r>
        <w:rPr>
          <w:rFonts w:hint="eastAsia"/>
        </w:rPr>
        <w:t>企业有专业技术人员63人，11项科技成果和论文专著获得国家专利及市、县科技进步奖，其中一项获得国家专利证书，企业综合实力不断增强。依靠科技进步，促进企业转型发展，2010年制浆漂白系统技改升级项目的投入使用，完全淘汰原制浆系统落后的耗能工艺与设备，制浆漂白的新技术、新设备、新工艺均达到国内同行业中产品质量、科技含量的先进水平。调整优化产品结构，拓宽产品空间，以生产文化用纸为主，适时调整开发工业用纸、生活用纸、特种纸等多种市场适销对路的产品，构筑多元化产品结构，提升市场竞争能力和企业抗风险能力。</w:t>
      </w:r>
    </w:p>
    <w:p w14:paraId="54D8A254">
      <w:pPr>
        <w:ind w:firstLine="422"/>
      </w:pPr>
      <w:r>
        <w:rPr>
          <w:rFonts w:hint="eastAsia"/>
          <w:b/>
          <w:bCs/>
        </w:rPr>
        <w:t xml:space="preserve">企业文化 </w:t>
      </w:r>
      <w:r>
        <w:rPr>
          <w:rFonts w:hint="eastAsia"/>
        </w:rPr>
        <w:t>公司始终坚持“诚信经营，质量第一，客户至上”的经营宗旨，倡导“有困难，想办法，有希望”、“办法总比困难多”、“一切以企业利益为核心”的精神，践行“以人为本，与人为善”的管理理念，激励先进，鼓励后进，深化责任，增强员工凝聚力，充分发挥员工的积极性和创造性，群智群力，学习提高，开拓创新。“十一五”以来，公司领导班子从科学发展观出发，把节能减排、建设资源节约型、环境友好型企业作为生产经营的主要任务来抓，坚持科技创新，大力推动节能减排工作，努力构建和谐、环保、平安企业的良好社会形象。            （敖英兰）</w:t>
      </w:r>
    </w:p>
    <w:p w14:paraId="0C19B988">
      <w:pPr>
        <w:ind w:firstLine="0" w:firstLineChars="0"/>
        <w:rPr>
          <w:b/>
          <w:bCs/>
        </w:rPr>
      </w:pPr>
      <w:r>
        <w:rPr>
          <w:rFonts w:hint="eastAsia"/>
          <w:b/>
          <w:bCs/>
        </w:rPr>
        <w:t>附：2011年市珠玑纸业有限公司领导班子成员名</w:t>
      </w:r>
    </w:p>
    <w:p w14:paraId="3F731307">
      <w:pPr>
        <w:ind w:firstLine="0" w:firstLineChars="0"/>
      </w:pPr>
      <w:r>
        <w:rPr>
          <w:rFonts w:hint="eastAsia"/>
        </w:rPr>
        <w:t>单董事长：胡启金</w:t>
      </w:r>
    </w:p>
    <w:p w14:paraId="1A51440C">
      <w:pPr>
        <w:ind w:firstLine="0" w:firstLineChars="0"/>
      </w:pPr>
      <w:r>
        <w:rPr>
          <w:rFonts w:hint="eastAsia"/>
        </w:rPr>
        <w:t>总经理：陈盛全</w:t>
      </w:r>
    </w:p>
    <w:p w14:paraId="51629638">
      <w:pPr>
        <w:ind w:firstLine="0" w:firstLineChars="0"/>
      </w:pPr>
      <w:r>
        <w:rPr>
          <w:rFonts w:hint="eastAsia"/>
        </w:rPr>
        <w:t>副总经理：谢军生</w:t>
      </w:r>
    </w:p>
    <w:p w14:paraId="430AF15B">
      <w:pPr>
        <w:ind w:firstLine="0" w:firstLineChars="0"/>
      </w:pPr>
      <w:r>
        <w:rPr>
          <w:rFonts w:hint="eastAsia"/>
        </w:rPr>
        <w:t>总经理助理：何水泉 舒后先</w:t>
      </w:r>
    </w:p>
    <w:p w14:paraId="59765A18">
      <w:pPr>
        <w:pStyle w:val="4"/>
      </w:pPr>
      <w:r>
        <w:rPr>
          <w:rFonts w:hint="eastAsia"/>
        </w:rPr>
        <w:t>【广东衡光化工有限公司】</w:t>
      </w:r>
    </w:p>
    <w:p w14:paraId="0F672E89">
      <w:pPr>
        <w:ind w:firstLine="420"/>
      </w:pPr>
      <w:r>
        <w:rPr>
          <w:rFonts w:hint="eastAsia"/>
        </w:rPr>
        <w:t>广东衡光化工有限公司专属水性树脂技术研究，生产和销售的高科技化工公司，系河北衡水新光化工集团公司控股的子公司。公司占地100亩，拥有数十条自动化控制的反应系统，年生产能力为20万吨，总投资1.2个亿，预计年产值可达5亿元以上。公司吸纳大量的国际化技术人才和管理人才，拥有独特丙烯酸酯乳液、醋酸乙烯酯乳液、硅丙乳液、聚氨酯改型丙烯酸酯乳液、水性环氧分散体、水性聚氨酯分散体的聚合技术。产品广泛应用于建筑涂料（内外墙乳胶漆用乳液），建筑材料（水泥砂浆等），水基工业胶粘剂（D3／D4木工胶水，啤酒标胶，烟胶，纸类胶等），纺织印染（涂层，无纺布，喷胶棉，植绒等），玻璃纤维制品（浸润剂，定型剂及其制品等），水性工业涂料用树脂（木器漆，塑胶漆，玻璃漆，金属漆等各种底材），钢材行业用轧钢水，汽车行业（玻璃胶，密封胶等）。公司奉行“以人为本，创新为源；服务于客户，责任于社会”的企业宗旨，致力于产品技术创新，崇尚客户为中心，珍视企业的责任，员工成长和幸福，推崇现代企业管理体系，秉承服务于客户，责任于社会宗旨，衡光化工宛如一颗新星将冉冉升起在南粤大地上。</w:t>
      </w:r>
    </w:p>
    <w:p w14:paraId="281BA0EE">
      <w:pPr>
        <w:pStyle w:val="4"/>
      </w:pPr>
      <w:r>
        <w:rPr>
          <w:rFonts w:hint="eastAsia"/>
        </w:rPr>
        <w:t>【南雄阳普医疗科技有限公司】</w:t>
      </w:r>
    </w:p>
    <w:p w14:paraId="10EB9DFB">
      <w:pPr>
        <w:ind w:firstLine="420"/>
      </w:pPr>
      <w:r>
        <w:rPr>
          <w:rFonts w:hint="eastAsia"/>
        </w:rPr>
        <w:t>南雄阳普医疗科技有限公司是创业板上市公司—阳普医疗根据集团公司总体战略部署，于2011年7月在南雄市投资设立的全资子公司。公司占地50亩，一期投资人民币2500万元，并于2011年12月建成投产。公司以生产医用化学品为主，横跨医学与化学两个领域，不断开发创新的化学产品解决医学的问题。产品方向为临床诊断试剂所需的核心中间化学品以及高端药物中间体。公司将秉承阳普医疗“安全、诚信、卓越、愉悦”的核心价值观，以科技创新为企业发展的核心动力，以科学的质量管理为产品品质的可靠保证，以“关爱人类健康”为己任，努力实现“顾客、股东、员工与社会的共赢”。</w:t>
      </w:r>
    </w:p>
    <w:p w14:paraId="7AD99D41">
      <w:pPr>
        <w:pStyle w:val="4"/>
      </w:pPr>
      <w:r>
        <w:rPr>
          <w:rFonts w:hint="eastAsia"/>
        </w:rPr>
        <w:t>【广东康绿宝科技实业有限公司】</w:t>
      </w:r>
    </w:p>
    <w:p w14:paraId="17166886">
      <w:pPr>
        <w:ind w:firstLine="420"/>
      </w:pPr>
      <w:r>
        <w:rPr>
          <w:rFonts w:hint="eastAsia"/>
        </w:rPr>
        <w:t>广东康绿宝科技实业有限公司是一家大型日化产品的综合性生产企业。主要生产“康绿宝”环保杀虫系列产品和家居用品、“浪霸”环保洗涤系列产品和“洁灵”个人护理系列产品。公司占地面积408亩，第一期已建成厂房面积约3万平方米，仓库面积5万平方米，现有职工300多人，高、中级技术人员32人。公司提倡“绿色、健康、环保”的消费理念，与广州帝盟精细化工实业有限公司、佛山市南海区浪霸日用品有限公司、南方医科大学（原第一军医大学）广东南方洁灵科技实业有限公司，强强联手、合作共赢、共同发展。并以诚信经营，立足华南，面向全国，利用已有的销售网络资源，将健康、绿色、环保的“康绿宝”、“浪霸”、“洁灵”的产品带给千家万户。                                       （叶红太）</w:t>
      </w:r>
    </w:p>
    <w:p w14:paraId="75E6624B">
      <w:pPr>
        <w:ind w:firstLine="420"/>
      </w:pPr>
    </w:p>
    <w:tbl>
      <w:tblPr>
        <w:tblStyle w:val="15"/>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28267B9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2EB4B2F4">
            <w:pPr>
              <w:ind w:firstLine="0" w:firstLineChars="0"/>
            </w:pPr>
            <w:r>
              <w:rPr>
                <w:rFonts w:hint="eastAsia"/>
              </w:rPr>
              <w:drawing>
                <wp:inline distT="0" distB="0" distL="114300" distR="114300">
                  <wp:extent cx="6182360" cy="2680335"/>
                  <wp:effectExtent l="0" t="0" r="8890" b="5715"/>
                  <wp:docPr id="12" name="图片 12" descr="南雄年鉴201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南雄年鉴2012-42"/>
                          <pic:cNvPicPr>
                            <a:picLocks noChangeAspect="1"/>
                          </pic:cNvPicPr>
                        </pic:nvPicPr>
                        <pic:blipFill>
                          <a:blip r:embed="rId95" cstate="print"/>
                          <a:stretch>
                            <a:fillRect/>
                          </a:stretch>
                        </pic:blipFill>
                        <pic:spPr>
                          <a:xfrm>
                            <a:off x="0" y="0"/>
                            <a:ext cx="6182360" cy="2680335"/>
                          </a:xfrm>
                          <a:prstGeom prst="rect">
                            <a:avLst/>
                          </a:prstGeom>
                        </pic:spPr>
                      </pic:pic>
                    </a:graphicData>
                  </a:graphic>
                </wp:inline>
              </w:drawing>
            </w:r>
          </w:p>
        </w:tc>
      </w:tr>
    </w:tbl>
    <w:p w14:paraId="20E4BDB6">
      <w:pPr>
        <w:ind w:firstLine="420"/>
      </w:pPr>
    </w:p>
    <w:p w14:paraId="3B2C663F">
      <w:pPr>
        <w:pStyle w:val="2"/>
        <w:ind w:firstLine="883"/>
      </w:pPr>
      <w:r>
        <w:rPr>
          <w:rFonts w:hint="eastAsia"/>
        </w:rPr>
        <w:t>农林水·气象·黄烟</w:t>
      </w:r>
    </w:p>
    <w:p w14:paraId="098A061B">
      <w:pPr>
        <w:pStyle w:val="3"/>
      </w:pPr>
      <w:r>
        <w:rPr>
          <w:rFonts w:hint="eastAsia"/>
        </w:rPr>
        <w:t>农业</w:t>
      </w:r>
    </w:p>
    <w:p w14:paraId="17C56ACA">
      <w:pPr>
        <w:pStyle w:val="4"/>
      </w:pPr>
      <w:r>
        <w:rPr>
          <w:rFonts w:hint="eastAsia"/>
        </w:rPr>
        <w:t>【概况】</w:t>
      </w:r>
    </w:p>
    <w:p w14:paraId="0A594B1D">
      <w:pPr>
        <w:ind w:firstLine="420"/>
      </w:pPr>
      <w:r>
        <w:rPr>
          <w:rFonts w:hint="eastAsia"/>
        </w:rPr>
        <w:t>2011年，农业部门贯彻中央1号文件和中央、省、市农业农村工作会议以及市“履行职责、加快发展年”活动动员大会精神，围绕市委、市政府提出的农业农村工作任务目标，解放思想，转变作风，精心组织，真抓实干，开拓创新，确保农业农村各项工作的顺利推进。2011全市完成农业总产值33.49亿元，同比增长5.9%；粮食总产量22.24万吨，同比增长3.3%，国家和省级“产粮大县”地位进一步巩固；农村居民人均收入7012元，同比增长17.7%。</w:t>
      </w:r>
    </w:p>
    <w:p w14:paraId="43F70DBE">
      <w:pPr>
        <w:pStyle w:val="4"/>
      </w:pPr>
      <w:r>
        <w:rPr>
          <w:rFonts w:hint="eastAsia"/>
        </w:rPr>
        <w:t>【农业增效农民增收亮点】</w:t>
      </w:r>
    </w:p>
    <w:p w14:paraId="10DE1F84">
      <w:pPr>
        <w:ind w:firstLine="420"/>
      </w:pPr>
      <w:r>
        <w:rPr>
          <w:rFonts w:hint="eastAsia"/>
        </w:rPr>
        <w:t>农业部门围绕区域优势产业和特色农产品，按照“巩固、扩大、延伸、提高”的思路，抓好五大基地的建设，促进农业增效，农民增收。一是优质稻生产基地。以金友公司和优质稻专业合作社为抓手，采取“公司＋专业合作社＋基地＋农户”的模式，结合开展粮食高产创建活动，大力推广优质稻生产。全市种植优质稻25万亩，其中早造种植5万亩，晚造20万亩。全年优质稻亩产值可达1700元，总产值4.25亿元，同比去年增收1亿元以上。同时，切实抓好有机稻生产基地建设，全年种植有机稻5000亩，平均亩产值可达300元，总产值在1500万元以上。二是三元杂交猪生产基地。以温氏集团南雄分公司为龙头，走“公司＋基地＋农户”的发展路子，着重抓好养殖大户的发展工作，全年生猪饲养76.9万头，存栏17.4万头，出栏60.5万头，按照每头猪平均产值1800元计，今年生猪产值可达13.84亿元。三是五黑鸡养殖基地。一方面结合扶贫“双到”工作，大力扶持贫困户发展五黑鸡，全市有2000多户贫困户养殖近20万羽五黑鸡；另一方面，发展象·黄烟规模养鸡大户近30多户，形成以规模户带动散养户的养殖模式及外有市场、内有基地的发展格局。全市养殖五黑鸡102万羽，存栏17万只，出栏85万只，按照市场价格50元／只计算，产值可达5100万元。四是现代烟草产业基地。全市种植烟叶11.64万亩，收购烟叶31.98万担；平均收购价9.04元／斤，同比增加1.39元／斤；收购资金2.89亿元，同比增加0.55亿元。五是中药材产业基地。在非烟区重点发展中药材，做到“三个”结合：注重与扶贫“双到”工作相结合，结合农业产业结构调整，在贫困村大力发展种植金银花等中药材，如东莞市南城区帮扶界址镇的四个贫困村，现已发展种植金银花3000亩，土茯苓1000亩，半夏300亩；注重与龙头企业推动作用相结合，引进广州投资商投资1000万元成立江头镇金银花种植实业公司，拟在江头镇发展种植金银花5000亩，现已种植1000亩；注重与农民专业合作社带动作用相结合，通过罗汉果、田七等农民专业合作社，带动农民新种植罗汉果1000亩、田七100亩。2011年全市发展以金银花为主的中药材基地达7000多亩。</w:t>
      </w:r>
    </w:p>
    <w:p w14:paraId="7A84B037">
      <w:pPr>
        <w:pStyle w:val="4"/>
      </w:pPr>
      <w:r>
        <w:rPr>
          <w:rFonts w:hint="eastAsia"/>
        </w:rPr>
        <w:t>【特色农业】</w:t>
      </w:r>
    </w:p>
    <w:p w14:paraId="5B29AD0E">
      <w:pPr>
        <w:ind w:firstLine="420"/>
      </w:pPr>
      <w:r>
        <w:rPr>
          <w:rFonts w:hint="eastAsia"/>
        </w:rPr>
        <w:t>发展特色农业、推进农业产业化进程是发展现代农业的有效手段，是提高农业生产效益、促进农业发展、农民增收的重要举措。根据我市气候、土壤、水质等自然环境特点以及种植养殖技术情况，2011年切实抓好四大特色农业产业发展：一是朝天椒。全市种植朝天椒3万亩，鲜椒总产2.25万吨，按鲜椒收购价5元／公斤计算，朝天椒亩产值达3750元以上，总产值达11250万元。二是白果。由于挂果面积增加，加上开花结果时天气睛暖，利于白果授粉，全市白果产量达到500多吨，产值1000多万元。三是甜玉米。全市种植玉米近2万亩，其中甜玉米面积达到90%以上，亩产量达750公斤，亩产值1500元以上。四是罗汉果。在百顺镇的大沙洲、百顺、邓洞等地发展罗汉果1000多亩，亩产值可达7000</w:t>
      </w:r>
      <w:r>
        <w:t xml:space="preserve"> -</w:t>
      </w:r>
      <w:r>
        <w:rPr>
          <w:rFonts w:hint="eastAsia"/>
        </w:rPr>
        <w:t>8000元，促进山区农民增产增收。</w:t>
      </w:r>
    </w:p>
    <w:p w14:paraId="34B7E8F0">
      <w:pPr>
        <w:pStyle w:val="4"/>
      </w:pPr>
      <w:r>
        <w:rPr>
          <w:rFonts w:hint="eastAsia"/>
        </w:rPr>
        <w:t>【农业基础设施建设】</w:t>
      </w:r>
    </w:p>
    <w:p w14:paraId="1B81C831">
      <w:pPr>
        <w:ind w:firstLine="420"/>
      </w:pPr>
      <w:r>
        <w:rPr>
          <w:rFonts w:hint="eastAsia"/>
        </w:rPr>
        <w:t>农业部门坚持高起点规划、高效率实施、高标准建设，着力打造农业基础设施建设项目精品。一是完成总投资1150万元，治理土地面积0.97万亩的水口镇国家农业综合开发土地治理项目；二是完成投资60万元，整治农田面积600亩的乌迳镇庙前村基本农田整治项目；三是完成投资30万元，整治农田面积300亩的界址镇大坊村改造中低产田工程；四是完成主田镇主田村的农田水利建设人大议案项目，共投资95万元，整治农田800亩；五是完成投资357.28万元，整治农田1630亩的湖口镇承平基本农田保护示范区项目；六是完成投资160万元，农田整治面积1390亩的黄坑镇园岭村和界址镇大坑村粮食基础能力建设项目。</w:t>
      </w:r>
    </w:p>
    <w:p w14:paraId="398D9025">
      <w:pPr>
        <w:pStyle w:val="4"/>
      </w:pPr>
      <w:r>
        <w:rPr>
          <w:rFonts w:hint="eastAsia"/>
        </w:rPr>
        <w:t>【扶贫开发】</w:t>
      </w:r>
    </w:p>
    <w:p w14:paraId="53103129">
      <w:pPr>
        <w:ind w:firstLine="420"/>
      </w:pPr>
      <w:r>
        <w:rPr>
          <w:rFonts w:hint="eastAsia"/>
        </w:rPr>
        <w:t>紧紧围绕“贫困户增收、贫困村面貌得到根本改变”的目标，突出抓好扶贫开发与培育壮大农业产业相结合、与发展农民专业合作组织相结合、与培训新型农民相结合、与新农村建设相结合、与农村基层组织建设相结合等“五个结合”，采取切实有效措施，全力推进扶贫开发“双到”工作。2011年，共投入资金13514万元，其中到户资金3379万元，到村资金10135万元；贫困户人均纯收入7422元，比2010年增加4950元，增长200%，45个贫困村被帮扶的贫困户可全面实现脱贫。</w:t>
      </w:r>
    </w:p>
    <w:p w14:paraId="6A6E3A40">
      <w:pPr>
        <w:pStyle w:val="4"/>
      </w:pPr>
      <w:r>
        <w:rPr>
          <w:rFonts w:hint="eastAsia"/>
        </w:rPr>
        <w:t>【科教兴农】</w:t>
      </w:r>
    </w:p>
    <w:p w14:paraId="3E84FDF4">
      <w:pPr>
        <w:ind w:firstLine="420"/>
      </w:pPr>
      <w:r>
        <w:rPr>
          <w:rFonts w:hint="eastAsia"/>
        </w:rPr>
        <w:t>积极开展送科技下乡活动，组织技术人员前往各地进行技术咨询活动，咨询人数达6800多人次，发放技术资料33000多份；举办10期优质稻、特种蔬菜等种养技术培训班，培训农民1000多人次。同时，在农科所引进试种太空茄、秋葵、西葫芦等66个特种蔬菜品种。</w:t>
      </w:r>
    </w:p>
    <w:p w14:paraId="0AF53879">
      <w:pPr>
        <w:pStyle w:val="4"/>
      </w:pPr>
      <w:r>
        <w:rPr>
          <w:rFonts w:hint="eastAsia"/>
        </w:rPr>
        <w:t>【农业综合执法】</w:t>
      </w:r>
    </w:p>
    <w:p w14:paraId="1167B635">
      <w:pPr>
        <w:ind w:firstLine="420"/>
      </w:pPr>
      <w:r>
        <w:rPr>
          <w:rFonts w:hint="eastAsia"/>
        </w:rPr>
        <w:t>强化农业行政执法工作，进一步净化农资市场。一是举办一期全市农资经营人员培训班，参训人员180多人，加强农资合法经营知识的学习，规范经营行为；二是加大农资执法力度，坚持集中整治和平时巡查相结合的方式，结合农资生产、经营和使用的特点，以市农资综合执法大队为骨干，加大农资执法巡查力度，坚持每个月对全市310家农资经营门店平均巡查2次以上；坚持每个季度会同质监、工商、公安等部门，集中开展一次大规模的农资打假统一行动，对社会反应强烈的重点产品、重点企业、重点区域、重点市场进行重点整治。通过强化农资执法工作，推进农资打假与质量监管工作的日常化、规范化和制度化，净化农资市场，成效显著。全年查处伪劣农资案件63宗，罚没金额19.5万元。</w:t>
      </w:r>
    </w:p>
    <w:p w14:paraId="4791CC5A">
      <w:pPr>
        <w:pStyle w:val="4"/>
      </w:pPr>
      <w:r>
        <w:rPr>
          <w:rFonts w:hint="eastAsia"/>
        </w:rPr>
        <w:t>【村庄整治】</w:t>
      </w:r>
    </w:p>
    <w:p w14:paraId="560FBD7E">
      <w:pPr>
        <w:ind w:firstLine="420"/>
      </w:pPr>
      <w:r>
        <w:rPr>
          <w:rFonts w:hint="eastAsia"/>
        </w:rPr>
        <w:t>以村庄整治工作为依托，按照社会主义新农村建设的要求和指导原则，办好示范，抓点促面，点面结合，全面发展，继续抓好村庄整治工作。2011年市财政拿出100万元，加大投入力度，全力以赴开展村庄整治建设行动高潮。按照“三清”（清路障、清污泥、清垃圾）、“四化”（硬化、绿化、净化、亮化）、“五改”（改路、改水、改房、改厕、改灶）的要求，高标准、高质量完成31个村的村庄整治工作，其中创建韶关市级示范村3个，本级示范村10个，镇级示范村18个。同时，完成2个省级名村和5个省级示范村的建设工作，2个省级名村分别是珠玑镇珠玑村，雄州街道荆岗村；5个省级示范村分别是水口镇下楼村委清水塘村，水口镇水口村委长圳新村，全安镇大坪村委大坪墟，澜河镇白云村委李树坵村，澜河镇白云村委鲜地村。</w:t>
      </w:r>
    </w:p>
    <w:p w14:paraId="1391719A">
      <w:pPr>
        <w:pStyle w:val="4"/>
      </w:pPr>
      <w:r>
        <w:rPr>
          <w:rFonts w:hint="eastAsia"/>
        </w:rPr>
        <w:t>【农业示范园区】</w:t>
      </w:r>
    </w:p>
    <w:p w14:paraId="167BD979">
      <w:pPr>
        <w:ind w:firstLine="420"/>
      </w:pPr>
      <w:r>
        <w:rPr>
          <w:rFonts w:hint="eastAsia"/>
        </w:rPr>
        <w:t>围绕发展特色农业，努力打造7个现代农业精品园区：即江头镇武岭金银花及花卉园区、湖口镇承平、太和及黄坑镇许村现代烟草农业示范园区、农科所现代农业科技示范园区、界址镇千亩金银花扶贫产业示范园区、南亩镇登诗林场油茶生产示范园区、金友集团水口有机农产品生产示范园区、华农温氏集团南雄三元杂交猪养殖示范园区。通过农业示范园区这些窗口，做给农民看，带着农民干，用活生生的事实教育农民，用实实在在的利益来引导农民，进一步促进基地形成，推进规模效益，增加农民收入。</w:t>
      </w:r>
    </w:p>
    <w:p w14:paraId="5FD9FB12">
      <w:pPr>
        <w:pStyle w:val="4"/>
      </w:pPr>
      <w:r>
        <w:rPr>
          <w:rFonts w:hint="eastAsia"/>
        </w:rPr>
        <w:t>【农业龙头企业】</w:t>
      </w:r>
    </w:p>
    <w:p w14:paraId="435D7D24">
      <w:pPr>
        <w:ind w:firstLine="420"/>
      </w:pPr>
      <w:r>
        <w:rPr>
          <w:rFonts w:hint="eastAsia"/>
        </w:rPr>
        <w:t>创新思路，多措并举，全力抓好农业龙头企业的扶持发展工作。目前全市有韶关市级以上农业龙头企业6家，其中广东金友集团有限公司、广东翠屏实业股份有限公司、韶能集团韶关南雄珠玑纸业有限公司等3家为省级；广东烟草南雄市有限公司、南雄市利民肉联厂、广东华农温氏畜牧股份有限公司南雄分公司等3家为市级。同时，发展农产品加工企业36家，其中2000万元以上规模的有3家，包括广东金友集团有限公司、南雄市利民肉联厂、南雄市永骏食品厂。</w:t>
      </w:r>
    </w:p>
    <w:p w14:paraId="51E6F836">
      <w:pPr>
        <w:pStyle w:val="4"/>
      </w:pPr>
      <w:r>
        <w:rPr>
          <w:rFonts w:hint="eastAsia"/>
        </w:rPr>
        <w:t>【农民专业合作社】</w:t>
      </w:r>
    </w:p>
    <w:p w14:paraId="6AA01E72">
      <w:pPr>
        <w:ind w:firstLine="420"/>
      </w:pPr>
      <w:r>
        <w:rPr>
          <w:rFonts w:hint="eastAsia"/>
        </w:rPr>
        <w:t>围绕特色产业，在大力发展农民专业合作社工作中，突出抓好三项工作：一抓宣传。采取多种形式，开展声势浩大的宣传活动，提高广大农村干部和群众对农民专业合作社重要性的认识。二抓培训。一手抓农民专业合作社负责人的培训，进一步加强和规范农民专业合作社的管理；一手抓农民专业合作社成员的种养技术培训，切实提高农民专业合作社的种养水平。三抓示范。选择产业特色突出、带动作用较好的专业合作社开展试点示范工作，推动合作社健康快速发展。2011年全市成立农民专业合作社168家。</w:t>
      </w:r>
    </w:p>
    <w:p w14:paraId="5DB62FE9">
      <w:pPr>
        <w:pStyle w:val="4"/>
      </w:pPr>
      <w:r>
        <w:rPr>
          <w:rFonts w:hint="eastAsia"/>
        </w:rPr>
        <w:t>【粮食生产】</w:t>
      </w:r>
    </w:p>
    <w:p w14:paraId="06D0B90B">
      <w:pPr>
        <w:ind w:firstLine="420"/>
      </w:pPr>
      <w:r>
        <w:rPr>
          <w:rFonts w:hint="eastAsia"/>
        </w:rPr>
        <w:t>一是粮食高产创建活动。整合各方资源，结合实施产粮大县、整镇整建制推进粮食高产创建项目、测土配方施肥项目，切实开展粮食创高产活动，早造在全安镇古塘村至雄州街道铺背村，创建一个万亩水稻高产示范片，晚造在珠玑镇创建三个晚稻万亩高产示范片，每个示范片1万多亩，早、晚稻4万多亩，示范品种主要是超级稻品种天优122、五优308等主导品种，经省、市专家组田间测产统计，早稻万亩高产示范片平均亩产达613.04公斤，晚稻三个万亩高产示范片平均亩产达576.4公斤。二是水稻生产。全市水稻播种面积达46.36万亩，比去年增加0.88万亩，尽管遭遇1-4月历史罕见的持续高温干旱天气，导致季节推迟，以及晚稻稻飞虱大发生不利因素影响，水稻平均亩产仍达450公斤，总产量20.86万吨，比2010年分别增加25公斤、1.53万吨。三是花生生产。全市种植花生10.35万亩，由于推广仲恺花1号、粤油7号等花生优良品种，以及大面积推广地膜覆盖技术，平均亩产达到213公斤，总产量2.21万吨。</w:t>
      </w:r>
    </w:p>
    <w:p w14:paraId="459C5E65">
      <w:pPr>
        <w:pStyle w:val="4"/>
      </w:pPr>
      <w:r>
        <w:rPr>
          <w:rFonts w:hint="eastAsia"/>
        </w:rPr>
        <w:t>【种粮补贴】</w:t>
      </w:r>
    </w:p>
    <w:p w14:paraId="26D3E875">
      <w:pPr>
        <w:ind w:firstLine="420"/>
      </w:pPr>
      <w:r>
        <w:rPr>
          <w:rFonts w:hint="eastAsia"/>
        </w:rPr>
        <w:t>确保种粮补贴做到公开、公平、公正，农业部门高度重视，指定专人负责，认真抓好种粮补贴业务培训、种粮面积公示检查、种粮补贴“阳光使者”评议、种粮面积汇总上报工作。2011年全市种粮补贴的面积为401751.85亩，其中早稻82163.09亩，中晚稻318810.26亩，补贴资金为3174.52万元，由财政部门通过农村信用社直接划拨到农户存折中。</w:t>
      </w:r>
    </w:p>
    <w:p w14:paraId="35BACB90">
      <w:pPr>
        <w:pStyle w:val="4"/>
      </w:pPr>
      <w:r>
        <w:rPr>
          <w:rFonts w:hint="eastAsia"/>
        </w:rPr>
        <w:t>【良种推广试验】</w:t>
      </w:r>
    </w:p>
    <w:p w14:paraId="45DF2ADD">
      <w:pPr>
        <w:ind w:firstLine="420"/>
      </w:pPr>
      <w:r>
        <w:rPr>
          <w:rFonts w:hint="eastAsia"/>
        </w:rPr>
        <w:t>今年早、晚造完成国家和省、市试验新品种267个，其中：①国家大豆新品种区试25个（春豆11个、夏豆14个），表现较好的品种有：春豆一华春6号、泉豆7号、桂605，夏豆一华夏3号、桂114、南豆12号；②省、市试验水稻新品种229个，其中省水稻新品种区试182个（早造66个、中造26个、晚造90个）；韶关市水稻新品种区试25个（早造12个、晚造13个）；华南农业大学农学院的优质稻对比试验22个（早造11个、晚造11个）。表现较好的品种主要有：早造一宏优665、五优376、粤两优109、建优673、天优9802、五丰优9802、盛优199、国油占、黄超占等；晚造一荣优613、晶两优1号、泰丰优208、丰优9802、五丰优2168、深优973、丰优9802等；③引进花生（5个）、玉米（6个）、紫色薯（2个）等农作物新品种进行试验示范，推进农作物品种更新换代工作进程。</w:t>
      </w:r>
    </w:p>
    <w:p w14:paraId="0CDE7FE7">
      <w:pPr>
        <w:pStyle w:val="4"/>
      </w:pPr>
      <w:r>
        <w:rPr>
          <w:rFonts w:hint="eastAsia"/>
        </w:rPr>
        <w:t>【农作物病虫害防治】</w:t>
      </w:r>
    </w:p>
    <w:p w14:paraId="60902586">
      <w:pPr>
        <w:ind w:firstLine="420"/>
      </w:pPr>
      <w:r>
        <w:rPr>
          <w:rFonts w:hint="eastAsia"/>
        </w:rPr>
        <w:t>2011年全市农作物病虫草鼠螺发生面积429.42万亩次，防治面积557.44万亩次；造成作物实际损失1192.11吨，挽回作物损失13654.8吨，挽回损失折合人民币1365万元。一是完善监测点。全市设置病虫鼠情监测点4个，其中，鼠情监测点1个，在珠玑二塘；迁飞性监测点3个分别设在全安、雄州、古市。同时在全安设立测灯，能定期进行重大病虫定点观测，及时准确地汇报，取得较好的监测效果。二是加强病虫监测，及时掌握病虫发生动态是确保病虫测报准确和及时的基础工作。今年共向省、市汇报水稻病虫监测次数共88期；其中：螟虫20期，稻飞虱43期，稻瘟病监测6期，周报19期；鼠情监测14期；蔬菜病虫监测次数共28期；印发病虫情报11期，播出电视预报28期，印发《除虫警报》19.3万份，使预报准确率达到98%以上，及时有效地指导全市粮食的病虫害防治工作，为夺取粮食丰收发挥重要的作用。三是继续推广综合防治技术和适用技术，提高技术入户率和转化率。全年推广水稻病虫综合防治74万亩次，农田鼠害综合防治近12万亩次，化学除草77万亩次。加强对南方黑条矮缩病基本知识的培训工作。四是加强对防治南方黑条矮缩病的技术培训，全年共举办7个培训班，培训农民323人次，印发防治资料19.3万份。</w:t>
      </w:r>
    </w:p>
    <w:p w14:paraId="460EAE50">
      <w:pPr>
        <w:pStyle w:val="4"/>
      </w:pPr>
      <w:r>
        <w:rPr>
          <w:rFonts w:hint="eastAsia"/>
        </w:rPr>
        <w:t>【扶贫办】</w:t>
      </w:r>
    </w:p>
    <w:p w14:paraId="62F80D2C">
      <w:pPr>
        <w:ind w:firstLine="420"/>
      </w:pPr>
      <w:r>
        <w:rPr>
          <w:rFonts w:hint="eastAsia"/>
        </w:rPr>
        <w:t>南雄市扶贫办是市农业局管理的公益一类事业单位，副科级。主要任务：贯彻执行国家扶贫开发的方针、政策；拟订本地扶贫开发规划，组织指导山区、贫困地区、少数民族地区的扶贫开发和革命老区建设；负责扶贫资金的管理、监督工作；承办市扶贫开发领导小组和省市扶贫开发领导小组办公室交办的其他事项。</w:t>
      </w:r>
    </w:p>
    <w:p w14:paraId="5F330935">
      <w:pPr>
        <w:pStyle w:val="4"/>
      </w:pPr>
      <w:r>
        <w:rPr>
          <w:rFonts w:hint="eastAsia"/>
        </w:rPr>
        <w:t>【种子站】</w:t>
      </w:r>
    </w:p>
    <w:p w14:paraId="65F86BE3">
      <w:pPr>
        <w:ind w:firstLine="420"/>
      </w:pPr>
      <w:r>
        <w:rPr>
          <w:rFonts w:hint="eastAsia"/>
        </w:rPr>
        <w:t>南雄市种子站是市农业局管理的公益一类事业单位，副科级。主要任务：依法承担种子管理、执法、市场监督等工作；负责制订种业发展规划并组织实施，负责农作物新品种试验、示范、表证等工作；负责转基因种子安全、标识的监督工作；负责农作物种子质量的检测、鉴定，负责农药市场监管，负责肥料登记监管工作。</w:t>
      </w:r>
    </w:p>
    <w:p w14:paraId="3575C05A">
      <w:pPr>
        <w:pStyle w:val="4"/>
      </w:pPr>
      <w:r>
        <w:rPr>
          <w:rFonts w:hint="eastAsia"/>
        </w:rPr>
        <w:t>【植保植检管理站】</w:t>
      </w:r>
    </w:p>
    <w:p w14:paraId="78454A84">
      <w:pPr>
        <w:ind w:firstLine="420"/>
      </w:pPr>
      <w:r>
        <w:rPr>
          <w:rFonts w:hint="eastAsia"/>
        </w:rPr>
        <w:t>南雄市植保植检管理站，加挂南雄市农业局病虫测报站、南雄市植物检疫站牌子，公益一类，正股级。主要任务：制定全市植保工作的发展规划及植保重大技术措施并组织实施；指导全市植保系统开展植物保护工作；负责全市农作物病虫害的监测预报工作；负责全市植物检疫工作；组织引进开发植保技术新成果的试验、示范和推广及重大植保技术项目的攻关和推广；指导全市植保系统开展农作物病虫防治和组织市内重大突发性农作物生物灾害的扑灭工作；接受本市农业主管部门委托或授权承担农药管理行政执法；指导全市植保社会化服务体系建设。</w:t>
      </w:r>
    </w:p>
    <w:p w14:paraId="474E8D1A">
      <w:pPr>
        <w:pStyle w:val="4"/>
      </w:pPr>
      <w:r>
        <w:rPr>
          <w:rFonts w:hint="eastAsia"/>
        </w:rPr>
        <w:t>【农业科学研究所】</w:t>
      </w:r>
    </w:p>
    <w:p w14:paraId="1AF9ECC7">
      <w:pPr>
        <w:ind w:firstLine="420"/>
      </w:pPr>
      <w:r>
        <w:rPr>
          <w:rFonts w:hint="eastAsia"/>
        </w:rPr>
        <w:t>南雄市农业科学研究所，公益一类，正股级。主要任务：负责农业新品种、新技术的研究与引进、试验、示范、推广科研任务；承担农作物新品种选育、新品种和新技术引进、试验、示范、推广等工作。</w:t>
      </w:r>
    </w:p>
    <w:p w14:paraId="4BE25785">
      <w:pPr>
        <w:pStyle w:val="4"/>
      </w:pPr>
      <w:r>
        <w:rPr>
          <w:rFonts w:hint="eastAsia"/>
        </w:rPr>
        <w:t>【农产品质量安全监督检测站】</w:t>
      </w:r>
    </w:p>
    <w:p w14:paraId="00E50E9C">
      <w:pPr>
        <w:ind w:firstLine="420"/>
      </w:pPr>
      <w:r>
        <w:rPr>
          <w:rFonts w:hint="eastAsia"/>
        </w:rPr>
        <w:t>南雄市农产品质量安全监督检测站，公益一类，正股级。主要任务：负责拟订辖区内农产品质量安全监测计划，并组织实施；负责对生产中或者市场上销售的农产品进行监督抽查。              （林小燕）</w:t>
      </w:r>
    </w:p>
    <w:p w14:paraId="53998E8C">
      <w:pPr>
        <w:ind w:firstLine="0" w:firstLineChars="0"/>
        <w:rPr>
          <w:b/>
          <w:bCs/>
        </w:rPr>
      </w:pPr>
      <w:r>
        <w:rPr>
          <w:rFonts w:hint="eastAsia"/>
          <w:b/>
          <w:bCs/>
        </w:rPr>
        <w:t>附：2011年市农业局领导班子成员名单</w:t>
      </w:r>
    </w:p>
    <w:p w14:paraId="24ACE5EE">
      <w:pPr>
        <w:ind w:firstLine="0" w:firstLineChars="0"/>
      </w:pPr>
      <w:r>
        <w:rPr>
          <w:rFonts w:hint="eastAsia"/>
        </w:rPr>
        <w:t>局  长：陈仁麟</w:t>
      </w:r>
    </w:p>
    <w:p w14:paraId="64480036">
      <w:pPr>
        <w:ind w:firstLine="0" w:firstLineChars="0"/>
      </w:pPr>
      <w:r>
        <w:rPr>
          <w:rFonts w:hint="eastAsia"/>
        </w:rPr>
        <w:t>党组书记：赖正雄</w:t>
      </w:r>
    </w:p>
    <w:p w14:paraId="4596F88A">
      <w:pPr>
        <w:ind w:firstLine="0" w:firstLineChars="0"/>
      </w:pPr>
      <w:r>
        <w:rPr>
          <w:rFonts w:hint="eastAsia"/>
        </w:rPr>
        <w:t>纪检组长：林泉</w:t>
      </w:r>
    </w:p>
    <w:p w14:paraId="6AC0C7B6">
      <w:pPr>
        <w:ind w:firstLine="0" w:firstLineChars="0"/>
      </w:pPr>
      <w:r>
        <w:rPr>
          <w:rFonts w:hint="eastAsia"/>
        </w:rPr>
        <w:t>副局长：徐学腾 曾启斌 吴英徳 谢斌锋</w:t>
      </w:r>
    </w:p>
    <w:p w14:paraId="379A2B88">
      <w:pPr>
        <w:ind w:left="840" w:leftChars="400" w:firstLine="0" w:firstLineChars="0"/>
      </w:pPr>
      <w:r>
        <w:rPr>
          <w:rFonts w:hint="eastAsia"/>
        </w:rPr>
        <w:t>曾宪忠</w:t>
      </w:r>
    </w:p>
    <w:p w14:paraId="70C8C6D2">
      <w:pPr>
        <w:ind w:firstLine="0" w:firstLineChars="0"/>
      </w:pPr>
      <w:r>
        <w:rPr>
          <w:rFonts w:hint="eastAsia"/>
        </w:rPr>
        <w:t>工会主席：朱天骥</w:t>
      </w:r>
    </w:p>
    <w:p w14:paraId="7E6AB04A">
      <w:pPr>
        <w:ind w:firstLine="0" w:firstLineChars="0"/>
      </w:pPr>
      <w:r>
        <w:rPr>
          <w:rFonts w:hint="eastAsia"/>
        </w:rPr>
        <w:t>扶贫办主任：刘运仁</w:t>
      </w:r>
    </w:p>
    <w:p w14:paraId="4FB57484">
      <w:pPr>
        <w:pStyle w:val="3"/>
      </w:pPr>
      <w:r>
        <w:rPr>
          <w:rFonts w:hint="eastAsia"/>
        </w:rPr>
        <w:t>农业机械</w:t>
      </w:r>
    </w:p>
    <w:p w14:paraId="09D8EA1A">
      <w:pPr>
        <w:pStyle w:val="4"/>
      </w:pPr>
      <w:r>
        <w:rPr>
          <w:rFonts w:hint="eastAsia"/>
        </w:rPr>
        <w:t>【概况】</w:t>
      </w:r>
    </w:p>
    <w:p w14:paraId="10A471AB">
      <w:pPr>
        <w:ind w:firstLine="420"/>
      </w:pPr>
      <w:r>
        <w:rPr>
          <w:rFonts w:hint="eastAsia"/>
        </w:rPr>
        <w:t>2011年，市农机管理总站经省人力资源社会保障厅（粤人社函［2011]4189号）批复，定为参公单位，编制仍为5人。</w:t>
      </w:r>
    </w:p>
    <w:p w14:paraId="587E3BAE">
      <w:pPr>
        <w:ind w:firstLine="420"/>
      </w:pPr>
      <w:r>
        <w:rPr>
          <w:rFonts w:hint="eastAsia"/>
        </w:rPr>
        <w:t>农业机械拥有量不断增加，作业水平不断提高，农业生产中耕整、排灌、植保、收获、农副产品初加工和农村运输基本实现机械化，水稻机械化育插秧、烟草起垄上行、黄烟采摘、畜牧、水产养殖机械化等新技术、新机械正在逐步推广、应用与普及。2011年，拥有各类农业机械60200台（套），农机总动力28.38万千瓦，完成机耕面积84.84万亩，机收面积19.77万亩，机械脱粒面积42.50万亩，机插秧面积0.79万亩，机械植保面积20.08万亩，机电灌溉面积6.8万亩，全市耕、种、收综合机械化水平43.94%，与2010年同期40.29%对比，增加3.65个百分点。</w:t>
      </w:r>
    </w:p>
    <w:p w14:paraId="0FB22BF9">
      <w:pPr>
        <w:pStyle w:val="4"/>
      </w:pPr>
      <w:r>
        <w:rPr>
          <w:rFonts w:hint="eastAsia"/>
        </w:rPr>
        <w:t>【农机补贴政策】</w:t>
      </w:r>
    </w:p>
    <w:p w14:paraId="0BD2FDAE">
      <w:pPr>
        <w:ind w:firstLine="420"/>
      </w:pPr>
      <w:r>
        <w:rPr>
          <w:rFonts w:hint="eastAsia"/>
        </w:rPr>
        <w:t>2011年争取中央财政农机购置补贴资金380万元，省财政购置补贴累加资金25万元，由于宣传工作及时跟进，实施方案落实到位，广大农民踊跃购买补贴机具，补贴资金投放一个半月即使用完毕，今年补贴各类型农机具2193台（套），其中中小型拖拉机1067台，收割机43台，烟草起垄机168台，插秧机22台，微耕机332台，其他农机具561台，全市共有2083户农民享受到农机购置补贴政策。</w:t>
      </w:r>
    </w:p>
    <w:p w14:paraId="5F3583CF">
      <w:pPr>
        <w:pStyle w:val="4"/>
      </w:pPr>
      <w:r>
        <w:rPr>
          <w:rFonts w:hint="eastAsia"/>
        </w:rPr>
        <w:t>【农机推广工作】</w:t>
      </w:r>
    </w:p>
    <w:p w14:paraId="40BCDAA7">
      <w:pPr>
        <w:ind w:firstLine="420"/>
      </w:pPr>
      <w:r>
        <w:rPr>
          <w:rFonts w:hint="eastAsia"/>
        </w:rPr>
        <w:t>2011年，总站根据南雄农业生产情况及农机发展趋势，积极引进新式农机具开展农机推广工作。春耕、夏耕以及黄烟种植期间联合广州汇奥机电公司、重庆威马农机有限公司、广西开元有限责任公司等厂家在珠玑、湖口、全安、黄坑、油山、乌迳、雄州街道等地举办插秧机、烟草起垄机、联合收割机现场示范推广演示会8次，每次参会人数均达到200人以上，取得良好效果。2011年推广新型农业机械544台（套），其中插秧机22台，半喂入联合收割机32台，烟草起垄机168台，微耕机332台。配合市发改局、农业局、水务局开展全国新增千亿斤粮食田间工程及农技服务体系建设南雄项目工作，2011年南雄项目农机服务体系第一批建设资金66万元顺利到位，总站利用该项目资金购进金凤12K手拖一台，农夫4LBZ</w:t>
      </w:r>
      <w:r>
        <w:t>-</w:t>
      </w:r>
      <w:r>
        <w:rPr>
          <w:rFonts w:hint="eastAsia"/>
        </w:rPr>
        <w:t>120Y半喂入自走式联合收割机7台，与珠玑镇政府共建珠玑镇农机管理服务站办公大楼一座，购置京瓷复印机、扫描仪、针孔打印机、电子计算机等办公设备一批，有效解决推广机械及办公场所缺乏之虞，保证农机推广持续、健康发展。</w:t>
      </w:r>
    </w:p>
    <w:p w14:paraId="0FAF8064">
      <w:pPr>
        <w:pStyle w:val="4"/>
      </w:pPr>
      <w:r>
        <w:rPr>
          <w:rFonts w:hint="eastAsia"/>
        </w:rPr>
        <w:t>【农机培训】</w:t>
      </w:r>
    </w:p>
    <w:p w14:paraId="065A36A3">
      <w:pPr>
        <w:ind w:firstLine="420"/>
      </w:pPr>
      <w:r>
        <w:rPr>
          <w:rFonts w:hint="eastAsia"/>
        </w:rPr>
        <w:t>开展农业机械化教育培训工作，全面提高农机管理人员和农机操作人员的业务素质和技术水平。2011年以市农机学校为依托，按照复训与新训、理论与实践、集中与分散相结合的方式进行农机培训，截止12月底，全市培训农机管理人员32人，培训农机维修、插秧机操作人员185人，培训拖拉机驾驶员174人，培训收割机驾驶员43人；下乡宣教5次，散发农机科技宣传图册、新型机具资料3000多份。</w:t>
      </w:r>
    </w:p>
    <w:p w14:paraId="50900DCC">
      <w:pPr>
        <w:pStyle w:val="4"/>
      </w:pPr>
      <w:r>
        <w:rPr>
          <w:rFonts w:hint="eastAsia"/>
        </w:rPr>
        <w:t>【农机监理工作】</w:t>
      </w:r>
    </w:p>
    <w:p w14:paraId="1498D34B">
      <w:pPr>
        <w:ind w:firstLine="420"/>
      </w:pPr>
      <w:r>
        <w:rPr>
          <w:rFonts w:hint="eastAsia"/>
        </w:rPr>
        <w:t>农机总站以年检、年审及夏收农机安全大检查为契机，以清理无牌无证、违章驾驶和违章载客为突破口，认真组织农机监理人员深入到乡村道路、田间地头进行安全检查，努力从源头上抓农机安全生产，并在办证程序上严格把关，杜绝不合格农机入户。2011年新入户各类拖拉机168台，新办各类拖拉机驾驶证237个，新入户联合收割机46台，新办收割机驾驶证43个，拖拉机年审325台，收割机年审55台，同时，还配合公安、工商等部门开展农机市场的整顿工作，确保农机安全生产。                   （梁健灵）</w:t>
      </w:r>
    </w:p>
    <w:p w14:paraId="6DE5A1B8">
      <w:pPr>
        <w:ind w:firstLine="0" w:firstLineChars="0"/>
        <w:rPr>
          <w:b/>
          <w:bCs/>
        </w:rPr>
      </w:pPr>
      <w:r>
        <w:rPr>
          <w:rFonts w:hint="eastAsia"/>
          <w:b/>
          <w:bCs/>
        </w:rPr>
        <w:t>附：2011年市农机总站领导班子成员名单</w:t>
      </w:r>
    </w:p>
    <w:p w14:paraId="3FA47882">
      <w:pPr>
        <w:ind w:firstLine="0" w:firstLineChars="0"/>
      </w:pPr>
      <w:r>
        <w:rPr>
          <w:rFonts w:hint="eastAsia"/>
        </w:rPr>
        <w:t>站长：叶东霞</w:t>
      </w:r>
    </w:p>
    <w:p w14:paraId="4C3774AA">
      <w:pPr>
        <w:pStyle w:val="3"/>
      </w:pPr>
      <w:r>
        <w:rPr>
          <w:rFonts w:hint="eastAsia"/>
        </w:rPr>
        <w:t>畜牧水产</w:t>
      </w:r>
    </w:p>
    <w:p w14:paraId="2FB89B2D">
      <w:pPr>
        <w:pStyle w:val="4"/>
      </w:pPr>
      <w:r>
        <w:rPr>
          <w:rFonts w:hint="eastAsia"/>
        </w:rPr>
        <w:t>【概况】</w:t>
      </w:r>
    </w:p>
    <w:p w14:paraId="24B465B7">
      <w:pPr>
        <w:ind w:firstLine="420"/>
      </w:pPr>
      <w:r>
        <w:rPr>
          <w:rFonts w:hint="eastAsia"/>
        </w:rPr>
        <w:t>南雄市畜牧兽医水产工作坚持以市场为向导，以科技为动力，以环保为依托，以效益为中心，大力发展畜牧水产养殖，畜牧兽医水产工作有较大的发展。2011年全市生猪饲养89.8万头，存栏29.45万头，出栏60.35万头，对比2010年生猪出栏54.07万头，增加6.28万头，增长11.62%耕牛饲养2.9万头，存栏2.55万头，出栏0.35万头；羊饲养0.80万头，出栏0.39万头；家禽饲养641.6万羽，出栏479.8万羽，对比2010年家禽饲养631.83万羽，出栏471.31万羽，增加8.49万羽，增长1.8%；畜禽总产值96090.6万元；鱼放养5.019万亩，鱼产量1.43万吨，2010年鱼产量1.3783万吨，对比2010年增加517吨，增长3.75%；产值11456万元。</w:t>
      </w:r>
    </w:p>
    <w:p w14:paraId="06E7B151">
      <w:pPr>
        <w:pStyle w:val="4"/>
      </w:pPr>
      <w:r>
        <w:rPr>
          <w:rFonts w:hint="eastAsia"/>
        </w:rPr>
        <w:t>【动物防疫工作】</w:t>
      </w:r>
    </w:p>
    <w:p w14:paraId="6EBC4649">
      <w:pPr>
        <w:ind w:firstLine="420"/>
      </w:pPr>
      <w:r>
        <w:rPr>
          <w:rFonts w:hint="eastAsia"/>
        </w:rPr>
        <w:t>把动物防疫工作当作重中之重的工作来抓，在搞好调查摸底的基础上，结合我市实际，采取规模场以督导为主进行畜禽的免疫，散养户采取集中免疫，全面完成猪、牛、羊口蹄疫和禽流感的免疫，通过对畜禽血清的抽检，家禽禽流感血清抗体平均合格率为97.7%，牲畜口蹄疫血清抗体平均合格率为猪94.78%，牛、羊100%。2011年全市没有发现任何重大动物疫病疫情，确保畜牧业健康可持续发展。</w:t>
      </w:r>
    </w:p>
    <w:p w14:paraId="73D7251C">
      <w:pPr>
        <w:pStyle w:val="4"/>
      </w:pPr>
      <w:r>
        <w:rPr>
          <w:rFonts w:hint="eastAsia"/>
        </w:rPr>
        <w:t>【重点项目建设】</w:t>
      </w:r>
    </w:p>
    <w:p w14:paraId="74942DA7">
      <w:pPr>
        <w:ind w:firstLine="420"/>
      </w:pPr>
      <w:r>
        <w:rPr>
          <w:rFonts w:hint="eastAsia"/>
        </w:rPr>
        <w:t>做好广东华农温氏集团南亩樟屋和鱼鲜三期种猪场建设，总投资1500万元，已全面完工；饲料厂总投资8000万元，12月底完工试产，厂房、仓库、分公司办公大楼、宿舍楼已全面完工。</w:t>
      </w:r>
    </w:p>
    <w:p w14:paraId="69AFA5C9">
      <w:pPr>
        <w:pStyle w:val="4"/>
      </w:pPr>
      <w:r>
        <w:rPr>
          <w:rFonts w:hint="eastAsia"/>
        </w:rPr>
        <w:t>【畜牧业“两大基地”建设】</w:t>
      </w:r>
    </w:p>
    <w:p w14:paraId="0DCC71A4">
      <w:pPr>
        <w:ind w:firstLine="420"/>
      </w:pPr>
      <w:r>
        <w:rPr>
          <w:rFonts w:hint="eastAsia"/>
        </w:rPr>
        <w:t>做好市政府“十二五”规划完成出栏80万头三元杂交猪和100万羽五黑鸡。2011年生猪出栏60.5万头，存栏约19.5万头；五黑鸡饲养量约102万羽，年出栏85万羽，存栏17万羽。</w:t>
      </w:r>
    </w:p>
    <w:p w14:paraId="5D1D485E">
      <w:pPr>
        <w:pStyle w:val="4"/>
      </w:pPr>
      <w:r>
        <w:rPr>
          <w:rFonts w:hint="eastAsia"/>
        </w:rPr>
        <w:t>【依靠科技，加强培训】</w:t>
      </w:r>
    </w:p>
    <w:p w14:paraId="27D7EA6B">
      <w:pPr>
        <w:ind w:firstLine="420"/>
      </w:pPr>
      <w:r>
        <w:rPr>
          <w:rFonts w:hint="eastAsia"/>
        </w:rPr>
        <w:t>为提高畲牧水产养殖效益，以科技兴牧（渔）为目标，举办畜禽科学养殖，鱼防病治病培训班，邀请广州、江西的饲料兽医厂家的技术人员到南雄为广大的养殖户举办三期培训班。局干部周五学习培训共46次，组织开展3期送科技下乡活动，积极推广品种改良和乌迳猪的保种保育工作，培育养殖科技示范户300多户，推动科技入户工程。</w:t>
      </w:r>
    </w:p>
    <w:p w14:paraId="7F0AE54C">
      <w:pPr>
        <w:pStyle w:val="4"/>
      </w:pPr>
      <w:r>
        <w:rPr>
          <w:rFonts w:hint="eastAsia"/>
        </w:rPr>
        <w:t>【执法检查】</w:t>
      </w:r>
    </w:p>
    <w:p w14:paraId="411D466A">
      <w:pPr>
        <w:ind w:firstLine="420"/>
      </w:pPr>
      <w:r>
        <w:rPr>
          <w:rFonts w:hint="eastAsia"/>
        </w:rPr>
        <w:t>重点开展兽药、渔药、兽用渔用生物制品、饲料及饲料添加剂专项整治行动。一是做好换发证工作；二是加强执法检查，加大执法力度，协助各站搞好动物及其肉品检疫。据统计全市活家禽检疫160万羽，禽肉品检疫12万羽，活牲畜检疫3.2万头，牲畜肉品检疫5.6万头。全市上市肉品达到100%的检疫，确保畜禽水产品质量安全。加大查处违法销售假冒伪劣兽药饲料、兽用生物制品的力度，做好兽药经营GSP认证前期工作，即国家兽药经营管理标准，现有4家通过验收。出动检查人员110人次，发放宣传资料400多份，检查兽药饲料店120多间，没收、处理过期兽药一批、发霉饲料200多公斤；三是加强“瘦肉精”等违禁药物的销售和使用的打击力度，重点检查饲料经营店、饲料加工厂100多间，养猪场420多个，检查生猪6100多头，到目前止我市没有出现销售和使用“瘦肉精”等违禁药物的违法行为。收到较好的效果。</w:t>
      </w:r>
    </w:p>
    <w:p w14:paraId="3423B2E3">
      <w:pPr>
        <w:pStyle w:val="4"/>
      </w:pPr>
      <w:r>
        <w:rPr>
          <w:rFonts w:hint="eastAsia"/>
        </w:rPr>
        <w:t>【扶贫“双到”工作】</w:t>
      </w:r>
    </w:p>
    <w:p w14:paraId="17FCFDBD">
      <w:pPr>
        <w:ind w:firstLine="420"/>
      </w:pPr>
      <w:r>
        <w:rPr>
          <w:rFonts w:hint="eastAsia"/>
        </w:rPr>
        <w:t>根据实际情况对他们进行逐户分类帮扶，指导好农户搞好生产结构调整及生产管理工作。对其中的12户生产型贫困户，根据他们家庭实际状况与意愿，重点指导加强在黄烟、水稻种植，帮助调整农作物生产布局。对5户就业转移型贫困户，积极帮助其落实培训计划和联系就业门路。据统计，15户贫困户今年种植早稻22.2亩、晚稻32亩、花生7.5亩、黄烟23亩、养五黑鸡800多羽，有5户实现劳力转移5人。一年来，为贫困户帮扶资金23000多元，其中：局帮扶18000多元，全局干部30人为贫困户捐款6000多元。由于措施到位、资金到位、指导到位，15户贫困户中2011年有9户人均收入可达到3960元，6户已办理低保，人均收入达到3100多元，15户贫困户已达到脱贫要求，两年实现100%的脱贫目标。</w:t>
      </w:r>
    </w:p>
    <w:p w14:paraId="79D412CB">
      <w:pPr>
        <w:pStyle w:val="4"/>
      </w:pPr>
      <w:r>
        <w:rPr>
          <w:rFonts w:hint="eastAsia"/>
        </w:rPr>
        <w:t>【畜牧水产养殖】</w:t>
      </w:r>
    </w:p>
    <w:p w14:paraId="45C174E7">
      <w:pPr>
        <w:numPr>
          <w:ilvl w:val="0"/>
          <w:numId w:val="19"/>
        </w:numPr>
        <w:ind w:firstLine="420"/>
      </w:pPr>
      <w:r>
        <w:rPr>
          <w:rFonts w:hint="eastAsia"/>
        </w:rPr>
        <w:t>广东华农温氏畜牧股份有限公司南雄分公司生猪养殖。广东温氏集团有限公司是南雄分公司是广东华农温氏股份有限公司的第十七个分公司，分公司总部及饲料厂用地位于南雄市珠矶工业园，占地55亩。公司在发展过程中始终坚持“精城合作，共创美满生活”企业理念，通过“公司＋农户”的模式发展生猪生产，树立良好的企业形象，得到社会各界的认同与支持。目前在南雄已发展2个猪苗生产基地及2个服务部，具体情况如下：樟屋猪场位于南雄市南亩镇樟屋村委会，占地面积1698.2亩，规模为年上市肉猪13.5万头，内有8条生产线，配备员工190人左右。鱼鲜猪场位于南雄市南亩镇鱼鲜村委会，占地面积1681.75亩，规模为年上市肉猪16.5万头，内有10条生产线，配备员工230人左右。2011年温氏集团南雄分公司2个猪苗生产基地已投产11条生产线，每条生产线760头母猪，共有母猪8736头，其中樟屋猪场7条生产线，鱼鲜猪场4条生产线，年产猪苗16万头，商品猪出栏10万多头。2012年鱼鲜猪场计划再建6条生产线，届时温氏南雄分公司有17条生产线，能繁母猪1.2万头，产仔猪20多万头，出栏商品猪16万头。2011年已发展合作养猪户168户。猪场肉猪存栏3万多头，已销售结算160户（次）共10多万头，带动养殖户年创利1600余万元。根据公司的远景发展规划，将以南亩、雄州、鸟迳等乡镇为中心，向周边各镇辐射，稳步发展壮大养殖队伍，加快推进标准化规模养殖，推动当地畜牧业健康可持续发展。2、特种水产养殖黑颈乌龟。黑颈乌龟是我市近年发展养殖的新兴产业，2011年全市黑颈乌龟养殖户近100户，全国现存可繁殖的种龟200-300只，其中南雄市占有近200只，是黑颈乌龟最大的野生种质资源地，也是最大黑颈乌龟种苗繁殖地和交易地。每年可生产种苗4000多只，占全省的60-70%。2011年种苗价格已达6000元／只以上（出苗7天），价格直逼金钱龟，种苗产值超过2400万元。种龟一组（一公、两母）价格为20万元以上。而且市场供不应求，市目前的种苗供应只能满足客户10%的要求。现成立“大粤北黑颈乌龟养殖专业合作社”和养龟专业协会，是目前国内唯一的黑颈乌龟专业组织，并办理黑颈乌龟养殖许可证。（李芳红）</w:t>
      </w:r>
    </w:p>
    <w:p w14:paraId="4B9BA706">
      <w:pPr>
        <w:ind w:firstLine="0" w:firstLineChars="0"/>
        <w:rPr>
          <w:b/>
          <w:bCs/>
        </w:rPr>
      </w:pPr>
      <w:r>
        <w:rPr>
          <w:rFonts w:hint="eastAsia"/>
          <w:b/>
          <w:bCs/>
        </w:rPr>
        <w:t>附：2011年市畜牧水产局班子成员名单</w:t>
      </w:r>
    </w:p>
    <w:p w14:paraId="2752BEAA">
      <w:pPr>
        <w:ind w:firstLine="0" w:firstLineChars="0"/>
      </w:pPr>
      <w:r>
        <w:rPr>
          <w:rFonts w:hint="eastAsia"/>
        </w:rPr>
        <w:t>局  长：曾宪忠（兼）</w:t>
      </w:r>
    </w:p>
    <w:p w14:paraId="02620917">
      <w:pPr>
        <w:ind w:firstLine="0" w:firstLineChars="0"/>
      </w:pPr>
      <w:r>
        <w:rPr>
          <w:rFonts w:hint="eastAsia"/>
        </w:rPr>
        <w:t>副局长：张帮生 张燕宏</w:t>
      </w:r>
    </w:p>
    <w:p w14:paraId="3AEE3FFA">
      <w:pPr>
        <w:ind w:firstLine="0" w:firstLineChars="0"/>
      </w:pPr>
      <w:r>
        <w:rPr>
          <w:rFonts w:hint="eastAsia"/>
        </w:rPr>
        <w:t>工会主席：龚金凤</w:t>
      </w:r>
    </w:p>
    <w:p w14:paraId="10D0359B">
      <w:pPr>
        <w:ind w:firstLine="0" w:firstLineChars="0"/>
      </w:pPr>
      <w:r>
        <w:rPr>
          <w:rFonts w:hint="eastAsia"/>
        </w:rPr>
        <w:t>总畜牧兽医师：谢俊兰</w:t>
      </w:r>
    </w:p>
    <w:p w14:paraId="3A3F6A0E">
      <w:pPr>
        <w:pStyle w:val="3"/>
      </w:pPr>
      <w:r>
        <w:rPr>
          <w:rFonts w:hint="eastAsia"/>
        </w:rPr>
        <w:t>林业</w:t>
      </w:r>
    </w:p>
    <w:p w14:paraId="6AE3ECB7">
      <w:pPr>
        <w:pStyle w:val="4"/>
      </w:pPr>
      <w:r>
        <w:rPr>
          <w:rFonts w:hint="eastAsia"/>
        </w:rPr>
        <w:t>【概况】</w:t>
      </w:r>
    </w:p>
    <w:p w14:paraId="3E81F5C4">
      <w:pPr>
        <w:ind w:firstLine="420"/>
      </w:pPr>
      <w:r>
        <w:rPr>
          <w:rFonts w:hint="eastAsia"/>
        </w:rPr>
        <w:t>南雄市林业局现有事业编制116名，行政编制22名，有7个内设机构，13个局属部门。全市现有林业用地面积239万亩，占总面积66%。现有有林地面积216万亩，森林覆盖率63.5%，活立木蓄积量608.9万立方米，林木年生长量在28～30万立方米之间，森林资源年消耗量在20～23万立方米之间。现已划定省级生态公益林54.3万亩，区划界定国家级公益林区21万亩，建立商品林基地163.6万亩。全市共有各类林场33个，其中包括帽子峰、山门、泷头3个国营林场，南亩、横江等30个联办和镇村办集体林场。全市除竹林和经济林以外的176万亩森林的年龄结构是：幼龄林面积为26.7万亩，占15%，中龄林面积为81.3万亩，占46%，近成熟林、成熟林和过熟林面积为68万亩，占39%。</w:t>
      </w:r>
    </w:p>
    <w:p w14:paraId="257651CF">
      <w:pPr>
        <w:pStyle w:val="4"/>
      </w:pPr>
      <w:r>
        <w:rPr>
          <w:rFonts w:hint="eastAsia"/>
        </w:rPr>
        <w:t>【集体林权制度改革】</w:t>
      </w:r>
    </w:p>
    <w:p w14:paraId="6293696B">
      <w:pPr>
        <w:ind w:firstLine="420"/>
      </w:pPr>
      <w:r>
        <w:rPr>
          <w:rFonts w:hint="eastAsia"/>
        </w:rPr>
        <w:t>集体林权制度改革工作在全市18个镇（街道）208个村委会中，有林改工作任务的有18个镇（街道）207个村2534个村小组，涉及88708户农户373812人，全市林改工作覆盖林业用地面积2393571亩。到2011年止，全市18个镇（街道）全面完成山林权属与人口情况摸底和第一榜公示，完成林改方案的拟定、确定和票决；全面完善合同及补充协议的签订工作；完成林权申请登记、外业勘界、电脑录入工作，发放林权证2.6万本，发证率97%，发放股权证8.9万本；在整个集体制度林权制度改革工作中，全市发生山林纠纷发生1074宗，调处1051宗，面积48300亩。11月，市林改工作顺利通过省检查验收组的检查验收，并被评为“优秀”等级。</w:t>
      </w:r>
    </w:p>
    <w:p w14:paraId="27DD1A55">
      <w:pPr>
        <w:pStyle w:val="4"/>
      </w:pPr>
      <w:r>
        <w:rPr>
          <w:rFonts w:hint="eastAsia"/>
        </w:rPr>
        <w:t>【生态林业建设】</w:t>
      </w:r>
    </w:p>
    <w:p w14:paraId="58708EFD">
      <w:pPr>
        <w:ind w:firstLine="420"/>
      </w:pPr>
      <w:r>
        <w:rPr>
          <w:rFonts w:hint="eastAsia"/>
        </w:rPr>
        <w:t>2011年，林业局抓好以自然保护、森林公园、湿地公园为核心的林业生态建设工作，抓好生态公益林管护、补植套种、珠江防护林、北江水源涵养林、碳汇林等工程造林工作和绿色通道建设，生态林业建设取得显著成就。2011年2月，南雄市被省人民政府授予“广东省林业生态县（市）”的称号，4月，市孔江湿地公园被国家林业局批准为国家湿地公园。</w:t>
      </w:r>
    </w:p>
    <w:p w14:paraId="77E9B00A">
      <w:pPr>
        <w:pStyle w:val="4"/>
      </w:pPr>
      <w:r>
        <w:rPr>
          <w:rFonts w:hint="eastAsia"/>
        </w:rPr>
        <w:t>【春季造林】</w:t>
      </w:r>
    </w:p>
    <w:p w14:paraId="07C4033A">
      <w:pPr>
        <w:ind w:firstLine="420"/>
      </w:pPr>
      <w:r>
        <w:rPr>
          <w:rFonts w:hint="eastAsia"/>
        </w:rPr>
        <w:t>2011年，市规划的造林面积为21000亩，其中，更新造林18000亩，生态公益林林分改造3000亩。在市委、市政府和上级主管部门的正确领导下，通过积极争取上级项目和资金，超额完成今年的造林任务，完成春季造林作业面积45172亩，其中迹地更新造林18695亩，荒山造林16477亩，林分改造10000亩；争取国家和省投资的工程造林15900亩，包括绿色通道主干道造林1000亩，营造生物防火工程林1900亩，珠江防护林4000亩，林分改造6000亩，水源涵养林3000亩。</w:t>
      </w:r>
    </w:p>
    <w:p w14:paraId="6CCA45FB">
      <w:pPr>
        <w:pStyle w:val="4"/>
      </w:pPr>
      <w:r>
        <w:rPr>
          <w:rFonts w:hint="eastAsia"/>
        </w:rPr>
        <w:t>【林业秩序整治】</w:t>
      </w:r>
    </w:p>
    <w:p w14:paraId="4032E896">
      <w:pPr>
        <w:ind w:firstLine="420"/>
      </w:pPr>
      <w:r>
        <w:rPr>
          <w:rFonts w:hint="eastAsia"/>
        </w:rPr>
        <w:t>2011年，市委、市政府在全市组织开展以打击违章建筑、非法占用林地开采稀土矿、盗伐滥伐林木为重点的“三项打击”行动，把打击非法占用林地开采稀土矿、盗伐滥伐林木作为当前和今后森林资源保护的一项重点工作，出动执法人员3200多人次，侦破破坏森林资源的林业刑事案件11宗，抓获犯罪嫌疑人12人，查处破坏森林资源的林业行政案件532宗，依法处理林业行政违法人员682人次，缴获木材490立方米。</w:t>
      </w:r>
    </w:p>
    <w:p w14:paraId="3C4ECAED">
      <w:pPr>
        <w:pStyle w:val="4"/>
      </w:pPr>
      <w:r>
        <w:rPr>
          <w:rFonts w:hint="eastAsia"/>
        </w:rPr>
        <w:t>【木材检查站】</w:t>
      </w:r>
    </w:p>
    <w:p w14:paraId="1D0F01DE">
      <w:pPr>
        <w:ind w:firstLine="420"/>
      </w:pPr>
      <w:r>
        <w:rPr>
          <w:rFonts w:hint="eastAsia"/>
        </w:rPr>
        <w:t>南雄市木材检查站成立于80年代初期，隶属南雄市林业综合执法局管理。现在5个乡镇设立木材检查站，分别是全安、珠玑、南亩、大兰、塘面，有执法人员30名。木材检查站职责是负责宣传、执行《中华人民共和国森林法》和国家、省、市有关木材运输检查监督的法规、政策；依法检查运输木材、林产品和野生动、植物及其产品的车辆，制止违法运输木材和野生动物行为；在授权、委托范围内查处违法木材市场，对上市交易的木材、林产品和野生动、植物及产品进行检査查验证，对违法上市交易的木材、林产品和野生动、植物及产品进行查处；根据县级以上林业行政林业行政主管部门依法授权或委托，履行相应的职责。</w:t>
      </w:r>
    </w:p>
    <w:p w14:paraId="62949F62">
      <w:pPr>
        <w:pStyle w:val="4"/>
      </w:pPr>
      <w:r>
        <w:rPr>
          <w:rFonts w:hint="eastAsia"/>
        </w:rPr>
        <w:t>【木材生产】</w:t>
      </w:r>
    </w:p>
    <w:p w14:paraId="0FBA441D">
      <w:pPr>
        <w:ind w:firstLine="420"/>
      </w:pPr>
      <w:r>
        <w:rPr>
          <w:rFonts w:hint="eastAsia"/>
        </w:rPr>
        <w:t>2011年，林业局坚持限额采伐原则，严格控制木材生产量，将全市木材加工企业总数严格控制在50家的基础上，建立木材加工企业原材料进厂和产品出厂两本台帐，年内木材加工企业总数为34家。全市生产毛竹141万条，生产木材31200立方米。</w:t>
      </w:r>
    </w:p>
    <w:p w14:paraId="1A9029A7">
      <w:pPr>
        <w:pStyle w:val="4"/>
      </w:pPr>
      <w:r>
        <w:rPr>
          <w:rFonts w:hint="eastAsia"/>
        </w:rPr>
        <w:t>【森林防火】</w:t>
      </w:r>
    </w:p>
    <w:p w14:paraId="0F02A04A">
      <w:pPr>
        <w:ind w:firstLine="420"/>
      </w:pPr>
      <w:r>
        <w:rPr>
          <w:rFonts w:hint="eastAsia"/>
        </w:rPr>
        <w:t>南雄市森林消防大队组建于1999年9月，是一支实行半军事化管理的专业森林消防队伍，现有队员40人，归属于南雄市森林防火指挥部直接管理。2011年，林业局采取有力措施，进一步抓好森林防火责任制的落实，加强森林防火宣传，落实护林员责任，加大巡山护林力度，严格野外用火管理，同时加强扑火队伍和防火基础设施建设，按照“打早、打小、打了”的原则，强化森林火灾的扑救，森林消防大队坚持24小时值班，接到火警，立即出击，在今年春节期间，我市个别镇发生了山火，由于扑救及时、措施得力，未酿成大的森林火灾，未造成大的损失。</w:t>
      </w:r>
    </w:p>
    <w:p w14:paraId="0DD27F78">
      <w:pPr>
        <w:pStyle w:val="4"/>
      </w:pPr>
      <w:r>
        <w:rPr>
          <w:rFonts w:hint="eastAsia"/>
        </w:rPr>
        <w:t>【公安森林分局】</w:t>
      </w:r>
    </w:p>
    <w:p w14:paraId="1EAB62BF">
      <w:pPr>
        <w:ind w:firstLine="420"/>
      </w:pPr>
      <w:r>
        <w:rPr>
          <w:rFonts w:hint="eastAsia"/>
        </w:rPr>
        <w:t>南雄市公安局林业分局经批准成立于1982年10月，1999年1月更名为南雄市公安局森林分局，内设机构：政秘、法制、治安股，公安专项编制17名。直属单位：乌迳、水口、澜河派出所，公安专项编制各5名。职责是依法保护全市18个镇（街道）的森林资源安全，维护林区治安秩序；依照法律法规查处破坏森林资源的各类案件等工作。</w:t>
      </w:r>
    </w:p>
    <w:p w14:paraId="3B4C9438">
      <w:pPr>
        <w:pStyle w:val="4"/>
      </w:pPr>
      <w:r>
        <w:rPr>
          <w:rFonts w:hint="eastAsia"/>
        </w:rPr>
        <w:t>【广东孔江国家湿地公园】</w:t>
      </w:r>
    </w:p>
    <w:p w14:paraId="52EB3770">
      <w:pPr>
        <w:ind w:firstLine="420"/>
      </w:pPr>
      <w:r>
        <w:rPr>
          <w:rFonts w:hint="eastAsia"/>
        </w:rPr>
        <w:t>广东孔江国家湿地公园地处我国具有国际意义的陆地生物多样性关键地区的南岭南麓（南雄市东北部），为北江源头，号称“广东第一库”。2011年3月25日，国家林业局批准孔江湿地为国家级湿地公园试点（林湿发</w:t>
      </w:r>
      <w:r>
        <w:t>[</w:t>
      </w:r>
      <w:r>
        <w:rPr>
          <w:rFonts w:hint="eastAsia"/>
        </w:rPr>
        <w:t xml:space="preserve"> 2011]61号文），2011年11月25日南雄市机构编制委员会下发了雄编［2011]75号《关于同意设立广东孔江国家湿地公园管理处的批复》，“广东孔江国家湿地公园管理处”隶属南雄市林业局管理，为正科级事业单位，核定人员编制12人。总面积1667.9公顷，其中湿地面积639.2公顷。公园内生物资源丰富，内有野生维管植物171科571属1029种，野生、陆生、水生、两栖动物48目166科357属574种，其中有国家重点保护动物34种，中国红皮书确定濒危动物22种，国家保护植物13科12属14种。公园生物多样性丰富，生态环境良好，景色迷人，具有重要的保护价值、科研价值和旅游价值。</w:t>
      </w:r>
    </w:p>
    <w:p w14:paraId="7652F897">
      <w:pPr>
        <w:pStyle w:val="4"/>
      </w:pPr>
      <w:r>
        <w:rPr>
          <w:rFonts w:hint="eastAsia"/>
        </w:rPr>
        <w:t>【林科所】</w:t>
      </w:r>
    </w:p>
    <w:p w14:paraId="680784BC">
      <w:pPr>
        <w:ind w:firstLine="420"/>
      </w:pPr>
      <w:r>
        <w:rPr>
          <w:rFonts w:hint="eastAsia"/>
        </w:rPr>
        <w:t>南雄市林科所成立于1965年，位于雄州镇铺背苗圃内，有5名编内人员，1名专业技术人员。2011年完成苗木培育43亩，提供工程造林绿化苗木近150万株，其中杉苗50万株，枫香、木荷、香樟等优良阔叶树约100万株；全所园林绿化苗木保有量近10万株，全年实现经济总收入80多万元，为林科所今后的可持续发展奠定良好的基础。</w:t>
      </w:r>
    </w:p>
    <w:p w14:paraId="26729DF8">
      <w:pPr>
        <w:pStyle w:val="4"/>
      </w:pPr>
      <w:r>
        <w:rPr>
          <w:rFonts w:hint="eastAsia"/>
        </w:rPr>
        <w:t>【泷头林场】</w:t>
      </w:r>
    </w:p>
    <w:p w14:paraId="5F9C26DE">
      <w:pPr>
        <w:ind w:firstLine="420"/>
      </w:pPr>
      <w:r>
        <w:rPr>
          <w:rFonts w:hint="eastAsia"/>
        </w:rPr>
        <w:t>南雄市泷头林场成立于1974年，下设一个场部四个工区和一个哨所，地处水口镇行政区域，林场经营总面积955.56公顷，其中有林地面积955.56公顷，生态公益林面积295公顷，森林蓄积4.5万立方米，毛竹立竹量9万株，每年完成中幼龄抚育面积约245公顷／亩次。2011年高标准完成了480亩的造林备耕任务。保质保量完成3600亩／次的中幼林抚育工作。全年共生产适销木材2800立方米。全年销售木材2800立方米。</w:t>
      </w:r>
    </w:p>
    <w:p w14:paraId="2AF786EB">
      <w:pPr>
        <w:pStyle w:val="4"/>
      </w:pPr>
      <w:r>
        <w:rPr>
          <w:rFonts w:hint="eastAsia"/>
        </w:rPr>
        <w:t>【山门林场】</w:t>
      </w:r>
    </w:p>
    <w:p w14:paraId="3DD7AC2C">
      <w:pPr>
        <w:ind w:firstLine="420"/>
      </w:pPr>
      <w:r>
        <w:rPr>
          <w:rFonts w:hint="eastAsia"/>
        </w:rPr>
        <w:t>南雄市山门林场成立于1972年，是南雄市林业局下属国营企业，林场林地面积26300亩，其中幼龄林5250亩，中龄林14600亩，近、成熟林6450亩。2011年共生产松、杉、杂等木材3738立方米，销售木材4001立方米，坚持以营林为基础，采伐一片，造林一片，成林一片，全年高质量完成了857.5亩造林备耕工作，今春造林507.7亩，同时完成了31.6公里生物防火林带的清理维修工作。</w:t>
      </w:r>
    </w:p>
    <w:p w14:paraId="497C4306">
      <w:pPr>
        <w:pStyle w:val="4"/>
      </w:pPr>
      <w:r>
        <w:rPr>
          <w:rFonts w:hint="eastAsia"/>
        </w:rPr>
        <w:t>【角湾林场】</w:t>
      </w:r>
    </w:p>
    <w:p w14:paraId="4AB38C7D">
      <w:pPr>
        <w:ind w:firstLine="420"/>
      </w:pPr>
      <w:r>
        <w:rPr>
          <w:rFonts w:hint="eastAsia"/>
        </w:rPr>
        <w:t>南雄市角湾林场位于梅岭镇角湾村，成立1992年。2011年生产木材2570立方米，销售2570立方米，经营皆伐面积751亩、间伐面积266亩。全年更新造林1037亩、抚育林木2187亩。</w:t>
      </w:r>
    </w:p>
    <w:p w14:paraId="56F389C0">
      <w:pPr>
        <w:ind w:firstLine="420"/>
        <w:jc w:val="right"/>
      </w:pPr>
      <w:r>
        <w:rPr>
          <w:rFonts w:hint="eastAsia"/>
        </w:rPr>
        <w:t>（陈帆）</w:t>
      </w:r>
    </w:p>
    <w:p w14:paraId="1DD66370">
      <w:pPr>
        <w:ind w:firstLine="0" w:firstLineChars="0"/>
        <w:rPr>
          <w:b/>
          <w:bCs/>
        </w:rPr>
      </w:pPr>
      <w:r>
        <w:rPr>
          <w:rFonts w:hint="eastAsia"/>
          <w:b/>
          <w:bCs/>
        </w:rPr>
        <w:t>附：2011年市林业局领导班子成员名单</w:t>
      </w:r>
    </w:p>
    <w:p w14:paraId="18D26C4C">
      <w:pPr>
        <w:ind w:firstLine="0" w:firstLineChars="0"/>
      </w:pPr>
      <w:r>
        <w:rPr>
          <w:rFonts w:hint="eastAsia"/>
        </w:rPr>
        <w:t>局  长：张英宏</w:t>
      </w:r>
    </w:p>
    <w:p w14:paraId="092A132D">
      <w:pPr>
        <w:ind w:firstLine="0" w:firstLineChars="0"/>
      </w:pPr>
      <w:r>
        <w:rPr>
          <w:rFonts w:hint="eastAsia"/>
        </w:rPr>
        <w:t>副局长：李天勤 王绪育 郭忠</w:t>
      </w:r>
    </w:p>
    <w:p w14:paraId="2F2E34EA">
      <w:pPr>
        <w:ind w:firstLine="0" w:firstLineChars="0"/>
      </w:pPr>
      <w:r>
        <w:rPr>
          <w:rFonts w:hint="eastAsia"/>
        </w:rPr>
        <w:t>纪检组长：高韶金</w:t>
      </w:r>
    </w:p>
    <w:p w14:paraId="1EBFAB90">
      <w:pPr>
        <w:ind w:firstLine="0" w:firstLineChars="0"/>
      </w:pPr>
      <w:r>
        <w:rPr>
          <w:rFonts w:hint="eastAsia"/>
        </w:rPr>
        <w:t>工会主席：李雨英</w:t>
      </w:r>
    </w:p>
    <w:p w14:paraId="5841C1F8">
      <w:pPr>
        <w:ind w:firstLine="0" w:firstLineChars="0"/>
      </w:pPr>
      <w:r>
        <w:rPr>
          <w:rFonts w:hint="eastAsia"/>
        </w:rPr>
        <w:t>森林公安分局局长：王全生</w:t>
      </w:r>
    </w:p>
    <w:p w14:paraId="493A2544">
      <w:pPr>
        <w:pStyle w:val="3"/>
      </w:pPr>
      <w:r>
        <w:rPr>
          <w:rFonts w:hint="eastAsia"/>
        </w:rPr>
        <w:t>帽子峰林场（翠屏公司）</w:t>
      </w:r>
    </w:p>
    <w:p w14:paraId="47EE1FD4">
      <w:pPr>
        <w:pStyle w:val="4"/>
      </w:pPr>
      <w:r>
        <w:rPr>
          <w:rFonts w:hint="eastAsia"/>
        </w:rPr>
        <w:t>【概况】</w:t>
      </w:r>
    </w:p>
    <w:p w14:paraId="15F3D233">
      <w:pPr>
        <w:ind w:firstLine="420"/>
      </w:pPr>
      <w:r>
        <w:rPr>
          <w:rFonts w:hint="eastAsia"/>
        </w:rPr>
        <w:t>广东翠屏实业股份有限公司（以下简称翠屏公司）2011年主伐山场1220亩，造林1096亩，幼林抚育3150亩，中林抚育570多亩，毛竹及银杏360多亩。2011年翠屏公司的招投标地点设在南雄市迎宾馆二号会议室举行，邀请南雄市农口线中心纪检组的领导和南雄市国资局领导全程监督、南雄市公安局的经警协助维持秩序。此次木材销售招投标共标出山场4个，活立木5418.8立方米，竞标金额共计597万元，每立方米木材销售单价1050元，达历史最高水平。2011年上半年，南雄干旱少雨，水力发电受到一定程度的影响，全年实现销售收入368万元，比上年度减少18万元。2011年1月广东省林业局批准设立“广东帽子峰森林公园”。为积极推动旅游的发展，翠屏公司正式开始旅游开发工作。</w:t>
      </w:r>
    </w:p>
    <w:p w14:paraId="62E7C9B2">
      <w:pPr>
        <w:ind w:firstLine="0" w:firstLineChars="0"/>
        <w:rPr>
          <w:b/>
          <w:bCs/>
        </w:rPr>
      </w:pPr>
      <w:r>
        <w:rPr>
          <w:rFonts w:hint="eastAsia"/>
          <w:b/>
          <w:bCs/>
        </w:rPr>
        <w:t>附：2011年帽子峰林场（翠屏公司）领导班子成员名单</w:t>
      </w:r>
    </w:p>
    <w:p w14:paraId="53750B41">
      <w:pPr>
        <w:ind w:firstLine="0" w:firstLineChars="0"/>
      </w:pPr>
      <w:r>
        <w:rPr>
          <w:rFonts w:hint="eastAsia"/>
        </w:rPr>
        <w:t>董事长：王弟勤</w:t>
      </w:r>
    </w:p>
    <w:p w14:paraId="169E0697">
      <w:pPr>
        <w:ind w:firstLine="0" w:firstLineChars="0"/>
      </w:pPr>
      <w:r>
        <w:rPr>
          <w:rFonts w:hint="eastAsia"/>
        </w:rPr>
        <w:t>总经理：张春辉</w:t>
      </w:r>
    </w:p>
    <w:p w14:paraId="5F8ACA9E">
      <w:pPr>
        <w:ind w:firstLine="0" w:firstLineChars="0"/>
      </w:pPr>
      <w:r>
        <w:rPr>
          <w:rFonts w:hint="eastAsia"/>
        </w:rPr>
        <w:t>监事会主席：李时有</w:t>
      </w:r>
    </w:p>
    <w:p w14:paraId="74CB3A86">
      <w:pPr>
        <w:ind w:firstLine="0" w:firstLineChars="0"/>
      </w:pPr>
      <w:r>
        <w:rPr>
          <w:rFonts w:hint="eastAsia"/>
        </w:rPr>
        <w:t>副总经理：钟达辉 黄志荣</w:t>
      </w:r>
    </w:p>
    <w:p w14:paraId="3AAE2539">
      <w:pPr>
        <w:pStyle w:val="3"/>
      </w:pPr>
      <w:r>
        <w:rPr>
          <w:rFonts w:hint="eastAsia"/>
        </w:rPr>
        <w:t>小流坑—青嶂山自然保护区</w:t>
      </w:r>
    </w:p>
    <w:p w14:paraId="4C20CE64">
      <w:pPr>
        <w:pStyle w:val="4"/>
      </w:pPr>
      <w:r>
        <w:rPr>
          <w:rFonts w:hint="eastAsia"/>
        </w:rPr>
        <w:t>【森林资源执法】</w:t>
      </w:r>
    </w:p>
    <w:p w14:paraId="4A60D768">
      <w:pPr>
        <w:ind w:firstLine="420"/>
      </w:pPr>
      <w:r>
        <w:rPr>
          <w:rFonts w:hint="eastAsia"/>
        </w:rPr>
        <w:t>2011年6月20日，南雄市森林分局在保护区管理处设立警务区，派驻警员加强保护区林业执法。8、9月，在省厅布署下，管护科带领护林员，联合警备区警员开展“亮剑”行动，严厉打击破坏保护区林木、林地、野生动物等森林资源违法犯罪活动，切实稳定保护区林业秩序。</w:t>
      </w:r>
    </w:p>
    <w:p w14:paraId="617DEB74">
      <w:pPr>
        <w:pStyle w:val="4"/>
      </w:pPr>
      <w:r>
        <w:rPr>
          <w:rFonts w:hint="eastAsia"/>
        </w:rPr>
        <w:t>【森林防灾】</w:t>
      </w:r>
    </w:p>
    <w:p w14:paraId="4F12104B">
      <w:pPr>
        <w:ind w:firstLine="420"/>
      </w:pPr>
      <w:r>
        <w:rPr>
          <w:rFonts w:hint="eastAsia"/>
        </w:rPr>
        <w:t>管理处高度重视森林火灾预防工作，落实森林防火责任制，森林防火戒严期严格执行森林防火制度，举办三次培训班提高全处人员防火意识和技能。2011年没有发生森林火灾和人员伤亡事故。加强监测植物病虫害，2011年投入5000元，及时治理主田镇高峰村青峰山、学前和江头镇小竹村乌高塘大水迳小面积竹蝗灾害。</w:t>
      </w:r>
    </w:p>
    <w:p w14:paraId="2F2884BF">
      <w:pPr>
        <w:pStyle w:val="4"/>
      </w:pPr>
      <w:r>
        <w:rPr>
          <w:rFonts w:hint="eastAsia"/>
        </w:rPr>
        <w:t>【野生动植物监测】</w:t>
      </w:r>
    </w:p>
    <w:p w14:paraId="28B53EA5">
      <w:pPr>
        <w:ind w:firstLine="420"/>
      </w:pPr>
      <w:r>
        <w:rPr>
          <w:rFonts w:hint="eastAsia"/>
        </w:rPr>
        <w:t>2011年野生动植物日常巡护和专项监测有新收获：在江头镇小竹村乌高塘海拔500多米处发现珍稀兰科植物无叶美冠兰，观测拍摄到了斑林狸、绿翅金鸠、虎斑地鸫、斑文鸟、夜鹰、小云雀、夜鹭、红肋蓝尾鸲等十几种建区时本底调查科学考察报告没有记录的物种。                               （陈志红）</w:t>
      </w:r>
    </w:p>
    <w:p w14:paraId="4FDF2627">
      <w:pPr>
        <w:ind w:firstLine="0" w:firstLineChars="0"/>
        <w:rPr>
          <w:b/>
          <w:bCs/>
        </w:rPr>
      </w:pPr>
      <w:r>
        <w:rPr>
          <w:rFonts w:hint="eastAsia"/>
          <w:b/>
          <w:bCs/>
        </w:rPr>
        <w:t>附：2011年广东南雄小流坑-青嶂山自然保护区管理处领导班子成员名单</w:t>
      </w:r>
    </w:p>
    <w:p w14:paraId="4F62AC88">
      <w:pPr>
        <w:ind w:firstLine="0" w:firstLineChars="0"/>
      </w:pPr>
      <w:r>
        <w:rPr>
          <w:rFonts w:hint="eastAsia"/>
        </w:rPr>
        <w:t>主  任：董绳跃</w:t>
      </w:r>
    </w:p>
    <w:p w14:paraId="42EB7DC2">
      <w:pPr>
        <w:ind w:firstLine="0" w:firstLineChars="0"/>
      </w:pPr>
      <w:r>
        <w:rPr>
          <w:rFonts w:hint="eastAsia"/>
        </w:rPr>
        <w:t>副主任：胡  辉</w:t>
      </w:r>
    </w:p>
    <w:p w14:paraId="5CFCE486">
      <w:pPr>
        <w:pStyle w:val="3"/>
      </w:pPr>
      <w:r>
        <w:rPr>
          <w:rFonts w:hint="eastAsia"/>
        </w:rPr>
        <w:t>恐龙化石群保护区</w:t>
      </w:r>
    </w:p>
    <w:p w14:paraId="5E9798E9">
      <w:pPr>
        <w:pStyle w:val="4"/>
      </w:pPr>
      <w:r>
        <w:rPr>
          <w:rFonts w:hint="eastAsia"/>
        </w:rPr>
        <w:t>【基本情况】</w:t>
      </w:r>
    </w:p>
    <w:p w14:paraId="0EE106BA">
      <w:pPr>
        <w:ind w:firstLine="420"/>
      </w:pPr>
      <w:r>
        <w:rPr>
          <w:rFonts w:hint="eastAsia"/>
        </w:rPr>
        <w:t>广东南雄恐龙化石群省级自然保护区于2005年5月26日经广东</w:t>
      </w:r>
      <w:r>
        <w:rPr>
          <w:rFonts w:hint="eastAsia"/>
          <w:lang w:val="en-US" w:eastAsia="zh-CN"/>
        </w:rPr>
        <w:t>省</w:t>
      </w:r>
      <w:r>
        <w:rPr>
          <w:rFonts w:hint="eastAsia"/>
        </w:rPr>
        <w:t>人民政府批复升格为省级自然保护区，2007年12月28日经编委批准同意成立广东南雄恐龙化石群省级自然保护区管理处，副处级事业单位，核定事业编7名，人员经费由省财政核拨。其主要工作任务是：负责南雄恐龙化石群省级自然保护区的具体管护工作。</w:t>
      </w:r>
    </w:p>
    <w:p w14:paraId="6E12B772">
      <w:pPr>
        <w:pStyle w:val="4"/>
        <w:bidi w:val="0"/>
      </w:pPr>
      <w:r>
        <w:rPr>
          <w:rFonts w:hint="eastAsia"/>
        </w:rPr>
        <w:t>【地理位置与面积】</w:t>
      </w:r>
    </w:p>
    <w:p w14:paraId="75F6D8EF">
      <w:pPr>
        <w:ind w:firstLine="420"/>
      </w:pPr>
      <w:r>
        <w:rPr>
          <w:rFonts w:hint="eastAsia"/>
        </w:rPr>
        <w:t>保护区位于广东省南雄市，主要分为三个区。保护一区位于南雄城南—主田镇一带，实验区位于主田——南雄公路东侧及东1～5公里范围左右的谭塘坪、石子桥、杨梅山、白石坑、石陂水，面积约9.41平方公里，缓冲区则在主田—南雄公路线东侧0.41～1.5公里范围左右，面积为2.27平方公里，核心区为缓冲区及实验区包围的山墚上，面积约为0.84平方公里，保护一区总面积为12.52平方公里。保护二区位于湖口镇——水口镇公路西南一带的龙凤塘一上湖洞一罗佛寨等地，实验区位于湖口上湖洞、武台岗、矮岭、莲竹塘、中坪、园圃等地，面积为14.2平方公里，缓冲区位于长坑、下湖、张河坝等地，面积为2.46平方公里，核心区为缓冲区及实验区包围的山墚上，面积为1.25平方公里，保护二区总面积为17.91平方公里。保护三区位于黄坑镇东北一带的杨梅坑——坪岭等地，实验区位于灯笼排、腊树园、新田圩、浆田等地，面积为9.26平方公里，缓冲区位于坪塘、逆龙坑等地，面积为1.58平方公里，核心区为缓冲区及实验区包围的山墚上，面积为0.94平方公里，保护三区总面积为11.78平方公里。整个自然保护区共涉及8个镇，总面积为42.21平方公里。</w:t>
      </w:r>
    </w:p>
    <w:p w14:paraId="626C9DA5">
      <w:pPr>
        <w:pStyle w:val="4"/>
        <w:bidi w:val="0"/>
      </w:pPr>
      <w:r>
        <w:rPr>
          <w:rFonts w:hint="eastAsia"/>
        </w:rPr>
        <w:t>【资源状况】</w:t>
      </w:r>
    </w:p>
    <w:p w14:paraId="382101D6">
      <w:pPr>
        <w:ind w:firstLine="420"/>
      </w:pPr>
      <w:r>
        <w:rPr>
          <w:rFonts w:hint="eastAsia"/>
        </w:rPr>
        <w:t>保护区属地质遗迹类型自然保护区重点保护南雄区域内的古生物化石及典型地层剖面等地质遗迹。1、古生物遗迹类：（1）恐龙蛋化石，</w:t>
      </w:r>
      <w:r>
        <w:rPr>
          <w:rFonts w:hint="eastAsia"/>
          <w:lang w:eastAsia="zh-CN"/>
        </w:rPr>
        <w:t>截至目前</w:t>
      </w:r>
      <w:r>
        <w:rPr>
          <w:rFonts w:hint="eastAsia"/>
        </w:rPr>
        <w:t>南雄所发现的恐龙蛋化石共计6蛋科、9蛋属16蛋种，还有一些恐龙蛋化石未研究。晚白垩世恐龙动物群发现并记述的恐龙类包括兽脚类、蜥脚类、鸟脚类类等共计4属4种，龟鳖类1属1种，此外还有一些属于肉食龙类、虚骨龙类、结节龙类以及蜥蜴类的骨骼化石。南雄不仅是迄今世界上恐龙蛋化石最丰富的地区之一，而且在保存质量上是世界上首屈一指。在南雄盆地中已采集有14个类群的恐龙蛋化石，约占世界已知类群的三分之一．（2）恐龙骨骼化石。（3）龟化石。（4）哺乳类化石。2、地质遗迹类：（1）地层剖面，其中包括典型的E／K界线地层剖面。（2）沉积相特征标志、古气候特征标志。</w:t>
      </w:r>
    </w:p>
    <w:p w14:paraId="01B6A180">
      <w:pPr>
        <w:pStyle w:val="4"/>
        <w:bidi w:val="0"/>
      </w:pPr>
      <w:r>
        <w:rPr>
          <w:rFonts w:hint="eastAsia"/>
        </w:rPr>
        <w:t>【管理处工作情况】</w:t>
      </w:r>
    </w:p>
    <w:p w14:paraId="1E450788">
      <w:pPr>
        <w:ind w:firstLine="420"/>
      </w:pPr>
      <w:r>
        <w:rPr>
          <w:rFonts w:hint="eastAsia"/>
        </w:rPr>
        <w:t>2011年6月20日，中国古生物化石保护基金会、中国地质调查局地层与古生物中心正式授予南雄市“中国恐龙之乡”称号。为申报国家级地质类自然保护区准备资料。南雄恐龙化石群遗迹是地质历史时期的宝贵自然遗产，保护区内的恐龙化石群集稀有性、典型性、自然性和系统完整性于一身，属于一种特殊环境条件下保存规模较大的古生物化石遗迹，在国内是少见的，在国际上有重大的影响和特殊的科学研究价值；能为国内外地质学家和古生物学家研究全球晚白垩世末生物绝灭事件、地质灾变事件、全球性的地层划分和对比、生物进化、生态环境的演替、气候变化、恐龙家族的兴衰及绝灭等科学问题，提供多方面的证据；我保护区正为申报省级地质公园和申报国家级自然保护区积极准备材料。             （黄庆军）</w:t>
      </w:r>
    </w:p>
    <w:p w14:paraId="503C8EA4">
      <w:pPr>
        <w:ind w:firstLine="0" w:firstLineChars="0"/>
        <w:rPr>
          <w:b/>
          <w:bCs/>
        </w:rPr>
      </w:pPr>
      <w:r>
        <w:rPr>
          <w:rFonts w:hint="eastAsia"/>
          <w:b/>
          <w:bCs/>
        </w:rPr>
        <w:t>附：2011年广东南雄恐龙化石群自然保护区管理处领导班子成员名单</w:t>
      </w:r>
    </w:p>
    <w:p w14:paraId="7A19D81E">
      <w:pPr>
        <w:ind w:firstLine="0" w:firstLineChars="0"/>
      </w:pPr>
      <w:r>
        <w:rPr>
          <w:rFonts w:hint="eastAsia"/>
        </w:rPr>
        <w:t>副主任：林斌</w:t>
      </w:r>
    </w:p>
    <w:p w14:paraId="38CE94A1">
      <w:pPr>
        <w:pStyle w:val="3"/>
      </w:pPr>
      <w:r>
        <w:rPr>
          <w:rFonts w:hint="eastAsia"/>
        </w:rPr>
        <w:t>水利</w:t>
      </w:r>
    </w:p>
    <w:p w14:paraId="28DA5A72">
      <w:pPr>
        <w:pStyle w:val="4"/>
      </w:pPr>
      <w:r>
        <w:rPr>
          <w:rFonts w:hint="eastAsia"/>
        </w:rPr>
        <w:t>【概况】</w:t>
      </w:r>
    </w:p>
    <w:p w14:paraId="44208454">
      <w:pPr>
        <w:ind w:firstLine="420"/>
      </w:pPr>
      <w:r>
        <w:rPr>
          <w:rFonts w:hint="eastAsia"/>
        </w:rPr>
        <w:t>2011年，南雄市水务局设立10个股（室）。即：办公室、人事监察股、水政股、规划计划股、建设与管理股、农水和水资源管理股、财务审计股、农电管理股、防汛防旱防风指挥部办公室、水库移民办公室。行政编制24名，后勤编制2名。2011年全市完成水利建设总投资1.344亿元，其中中央到位资金3273万元，省级到位资金7197万元，地方自筹2970万元（包括群众投工投劳）。完成土方17.67万方；石方1.31万方；混凝土1.41万方；浆砌石0.29万方。改善灌溉面积7.3万亩，建设稳产高产农田1.2万亩，维护保障灌溉面积5.6万亩，年增节水能力450万立方米，解决45个行政村283个自然村11826户55557人不安全农村饮水人口。</w:t>
      </w:r>
    </w:p>
    <w:p w14:paraId="75235185">
      <w:pPr>
        <w:pStyle w:val="4"/>
      </w:pPr>
      <w:r>
        <w:rPr>
          <w:rFonts w:hint="eastAsia"/>
        </w:rPr>
        <w:t>【水利工程】</w:t>
      </w:r>
    </w:p>
    <w:p w14:paraId="301D5303">
      <w:pPr>
        <w:ind w:firstLine="420"/>
      </w:pPr>
      <w:r>
        <w:rPr>
          <w:rFonts w:hint="eastAsia"/>
        </w:rPr>
        <w:t>2011年，农村饮水安全工程完成投资3364万元，孔江灌区节水配套改造工程（第一期）完成投资1250万元，江头镇田间工程完成投资1048万元，小型农田水利重点县项目完成投资1600万元，山洪灾害防治非工程措施建设项目完成投资572万元，界址镇水源工程完成投资480万元，小型病险水库除险加固工程两宗（佛勤、大门口水库）投资223万元，2011年度移民项目工程完成投资300万元。</w:t>
      </w:r>
    </w:p>
    <w:p w14:paraId="4231D76F">
      <w:pPr>
        <w:pStyle w:val="4"/>
      </w:pPr>
      <w:r>
        <w:rPr>
          <w:rFonts w:hint="eastAsia"/>
        </w:rPr>
        <w:t>【小水电】</w:t>
      </w:r>
    </w:p>
    <w:p w14:paraId="086E5337">
      <w:pPr>
        <w:ind w:firstLine="420"/>
      </w:pPr>
      <w:r>
        <w:rPr>
          <w:rFonts w:hint="eastAsia"/>
        </w:rPr>
        <w:t>2011年底，全市有小水电站187宗，总机组台数328台，总装机容量87650KW，2008年后未建新电站。已经完成32宗小水电站核查验收工作。</w:t>
      </w:r>
    </w:p>
    <w:p w14:paraId="51AC410B">
      <w:pPr>
        <w:pStyle w:val="4"/>
      </w:pPr>
      <w:r>
        <w:rPr>
          <w:rFonts w:hint="eastAsia"/>
        </w:rPr>
        <w:t>【防洪抗旱】</w:t>
      </w:r>
    </w:p>
    <w:p w14:paraId="167F1A05">
      <w:pPr>
        <w:ind w:firstLine="420"/>
      </w:pPr>
      <w:r>
        <w:rPr>
          <w:rFonts w:hint="eastAsia"/>
        </w:rPr>
        <w:t>2011年1-8月全市平均降雨量1040毫米，同比2010年（1442毫米）减少28%，同比多年平均（1395毫米）减少25%。前后分别与4月、8月出现轻微旱情。三防办根据农业用水情况，加强农业用水管理，通过科学调度，确保全市生活用水和农业灌溉用水。同时，全市现有电排表4南雄市大中型灌286宗，大部分超限服役，设备老旧。2011年三防办争取上级三防抗旱资金25万元，我市烟草公司35万元，用于38宗损坏严重的电排维修、更换和部分镇农田水利设施建设，在很大程度上确保农田灌溉用水。</w:t>
      </w:r>
    </w:p>
    <w:p w14:paraId="015E03DF">
      <w:pPr>
        <w:pStyle w:val="4"/>
      </w:pPr>
      <w:r>
        <w:rPr>
          <w:rFonts w:hint="eastAsia"/>
        </w:rPr>
        <w:t>【水政执法】</w:t>
      </w:r>
    </w:p>
    <w:p w14:paraId="00151046">
      <w:pPr>
        <w:ind w:firstLine="420"/>
      </w:pPr>
      <w:r>
        <w:rPr>
          <w:rFonts w:hint="eastAsia"/>
        </w:rPr>
        <w:t>2011年，一是抓好社会治安综合治理。在对破坏水利设施违法犯罪行为予以严厉打击的同时，加强城市河道卫生检查和管理，使城市河道卫生管理走上正常化的轨道。加强河道采砂管理工作，严格执行河道采砂管理规定，规范河道采砂秩序。二是我市境内主要有浈江、凌江两条河流，河道长约135公里，堤防较长，工程管理相对较难，违章取土、破坏沟渠、违法采砂的现象时有发生，针对上述现象加大执法力度。今年以来，我局接群众举报4起，日常巡查发现并及时制止违法行为38起，立案查处10起，结案5起，另四起案件正在执行中，处理违法水事案件人员5人，罚款14万元，同时暂扣违法采砂作业工具8台。</w:t>
      </w:r>
    </w:p>
    <w:p w14:paraId="3A345EFB">
      <w:pPr>
        <w:pStyle w:val="4"/>
      </w:pPr>
      <w:r>
        <w:rPr>
          <w:rFonts w:hint="eastAsia"/>
        </w:rPr>
        <w:t>【水库移民】</w:t>
      </w:r>
    </w:p>
    <w:p w14:paraId="2D9D0809">
      <w:pPr>
        <w:ind w:firstLine="420"/>
      </w:pPr>
      <w:r>
        <w:rPr>
          <w:rFonts w:hint="eastAsia"/>
        </w:rPr>
        <w:t>2011年，一是重点解决移民安居、交通道路、水利设施、培训与就业、文化与信息、幸福和谐等六大工程建设，移民“十二五”规划已编制完成；二是已上报9名移民参加移民职业技能培训；三是已开始对我市的125户459人小型水库移民进行危房改造；四是解决18个村1752人移民基础设施建设，修建移民村道3公里、库区堤防0.6公里、水渠“三面光”5公里，修建铁索桥和人行桥3座，水利移民建设项目总投资300多万元。</w:t>
      </w:r>
    </w:p>
    <w:p w14:paraId="3FD121D8">
      <w:pPr>
        <w:ind w:firstLine="422"/>
        <w:jc w:val="center"/>
        <w:rPr>
          <w:b/>
          <w:bCs/>
        </w:rPr>
      </w:pPr>
      <w:r>
        <w:rPr>
          <w:rFonts w:hint="eastAsia"/>
          <w:b/>
          <w:bCs/>
        </w:rPr>
        <w:t>表4 南雄市大中型灌区特性表（2011年）</w:t>
      </w:r>
    </w:p>
    <w:tbl>
      <w:tblPr>
        <w:tblStyle w:val="14"/>
        <w:tblW w:w="0" w:type="auto"/>
        <w:tblInd w:w="0" w:type="dxa"/>
        <w:tblBorders>
          <w:top w:val="single" w:color="auto" w:sz="4" w:space="0"/>
          <w:left w:val="none" w:color="auto" w:sz="4" w:space="0"/>
          <w:bottom w:val="single" w:color="auto" w:sz="4" w:space="0"/>
          <w:right w:val="none" w:color="auto" w:sz="4" w:space="0"/>
          <w:insideH w:val="single" w:color="auto" w:sz="4" w:space="0"/>
          <w:insideV w:val="single" w:color="auto" w:sz="4" w:space="0"/>
        </w:tblBorders>
        <w:tblLayout w:type="autofit"/>
        <w:tblCellMar>
          <w:top w:w="0" w:type="dxa"/>
          <w:left w:w="0" w:type="dxa"/>
          <w:bottom w:w="0" w:type="dxa"/>
          <w:right w:w="0" w:type="dxa"/>
        </w:tblCellMar>
      </w:tblPr>
      <w:tblGrid>
        <w:gridCol w:w="708"/>
        <w:gridCol w:w="818"/>
        <w:gridCol w:w="1055"/>
        <w:gridCol w:w="1248"/>
        <w:gridCol w:w="399"/>
        <w:gridCol w:w="399"/>
        <w:gridCol w:w="305"/>
        <w:gridCol w:w="305"/>
        <w:gridCol w:w="936"/>
        <w:gridCol w:w="257"/>
        <w:gridCol w:w="257"/>
        <w:gridCol w:w="370"/>
        <w:gridCol w:w="426"/>
        <w:gridCol w:w="257"/>
        <w:gridCol w:w="257"/>
        <w:gridCol w:w="370"/>
        <w:gridCol w:w="257"/>
        <w:gridCol w:w="357"/>
        <w:gridCol w:w="357"/>
        <w:gridCol w:w="438"/>
      </w:tblGrid>
      <w:tr w14:paraId="6C1B571D">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0" w:type="auto"/>
            <w:vMerge w:val="restart"/>
            <w:tcBorders>
              <w:left w:val="nil"/>
            </w:tcBorders>
            <w:shd w:val="clear" w:color="auto" w:fill="auto"/>
            <w:noWrap/>
            <w:tcMar>
              <w:top w:w="15" w:type="dxa"/>
              <w:left w:w="15" w:type="dxa"/>
              <w:right w:w="15" w:type="dxa"/>
            </w:tcMar>
            <w:vAlign w:val="bottom"/>
          </w:tcPr>
          <w:p w14:paraId="4C0FDFBF">
            <w:pPr>
              <w:pStyle w:val="34"/>
              <w:jc w:val="center"/>
              <w:rPr>
                <w:b/>
                <w:bCs/>
              </w:rPr>
            </w:pPr>
            <w:r>
              <w:rPr>
                <w:b/>
                <w:bCs/>
              </w:rPr>
              <w:t>灌区工程名称</w:t>
            </w:r>
          </w:p>
        </w:tc>
        <w:tc>
          <w:tcPr>
            <w:tcW w:w="0" w:type="auto"/>
            <w:vMerge w:val="restart"/>
            <w:shd w:val="clear" w:color="auto" w:fill="auto"/>
            <w:noWrap/>
            <w:tcMar>
              <w:top w:w="15" w:type="dxa"/>
              <w:left w:w="15" w:type="dxa"/>
              <w:right w:w="15" w:type="dxa"/>
            </w:tcMar>
            <w:vAlign w:val="bottom"/>
          </w:tcPr>
          <w:p w14:paraId="693B6FEF">
            <w:pPr>
              <w:pStyle w:val="34"/>
              <w:jc w:val="center"/>
              <w:rPr>
                <w:b/>
                <w:bCs/>
              </w:rPr>
            </w:pPr>
            <w:r>
              <w:rPr>
                <w:b/>
                <w:bCs/>
              </w:rPr>
              <w:t>所在县、镇</w:t>
            </w:r>
          </w:p>
        </w:tc>
        <w:tc>
          <w:tcPr>
            <w:tcW w:w="0" w:type="auto"/>
            <w:vMerge w:val="restart"/>
            <w:shd w:val="clear" w:color="auto" w:fill="auto"/>
            <w:noWrap/>
            <w:tcMar>
              <w:top w:w="15" w:type="dxa"/>
              <w:left w:w="15" w:type="dxa"/>
              <w:right w:w="15" w:type="dxa"/>
            </w:tcMar>
            <w:vAlign w:val="bottom"/>
          </w:tcPr>
          <w:p w14:paraId="4EF34E03">
            <w:pPr>
              <w:pStyle w:val="34"/>
              <w:jc w:val="center"/>
              <w:rPr>
                <w:b/>
                <w:bCs/>
              </w:rPr>
            </w:pPr>
            <w:r>
              <w:rPr>
                <w:b/>
                <w:bCs/>
              </w:rPr>
              <w:t>设计引水流量(m3/S)</w:t>
            </w:r>
          </w:p>
        </w:tc>
        <w:tc>
          <w:tcPr>
            <w:tcW w:w="0" w:type="auto"/>
            <w:vMerge w:val="restart"/>
            <w:shd w:val="clear" w:color="auto" w:fill="auto"/>
            <w:noWrap/>
            <w:tcMar>
              <w:top w:w="15" w:type="dxa"/>
              <w:left w:w="15" w:type="dxa"/>
              <w:right w:w="15" w:type="dxa"/>
            </w:tcMar>
            <w:vAlign w:val="bottom"/>
          </w:tcPr>
          <w:p w14:paraId="258D4B56">
            <w:pPr>
              <w:pStyle w:val="34"/>
              <w:jc w:val="center"/>
              <w:rPr>
                <w:b/>
                <w:bCs/>
              </w:rPr>
            </w:pPr>
            <w:r>
              <w:rPr>
                <w:b/>
                <w:bCs/>
              </w:rPr>
              <w:t>工业生活供水(万m3/年)</w:t>
            </w:r>
          </w:p>
        </w:tc>
        <w:tc>
          <w:tcPr>
            <w:tcW w:w="0" w:type="auto"/>
            <w:gridSpan w:val="2"/>
            <w:shd w:val="clear" w:color="auto" w:fill="auto"/>
            <w:noWrap/>
            <w:tcMar>
              <w:top w:w="15" w:type="dxa"/>
              <w:left w:w="15" w:type="dxa"/>
              <w:right w:w="15" w:type="dxa"/>
            </w:tcMar>
            <w:vAlign w:val="bottom"/>
          </w:tcPr>
          <w:p w14:paraId="6416ADEC">
            <w:pPr>
              <w:pStyle w:val="34"/>
              <w:jc w:val="center"/>
              <w:rPr>
                <w:b/>
                <w:bCs/>
              </w:rPr>
            </w:pPr>
            <w:r>
              <w:rPr>
                <w:b/>
                <w:bCs/>
              </w:rPr>
              <w:t>灌溉面积(万亩)</w:t>
            </w:r>
          </w:p>
        </w:tc>
        <w:tc>
          <w:tcPr>
            <w:tcW w:w="0" w:type="auto"/>
            <w:gridSpan w:val="2"/>
            <w:shd w:val="clear" w:color="auto" w:fill="auto"/>
            <w:noWrap/>
            <w:tcMar>
              <w:top w:w="15" w:type="dxa"/>
              <w:left w:w="15" w:type="dxa"/>
              <w:right w:w="15" w:type="dxa"/>
            </w:tcMar>
            <w:vAlign w:val="bottom"/>
          </w:tcPr>
          <w:p w14:paraId="65C259E1">
            <w:pPr>
              <w:pStyle w:val="34"/>
              <w:jc w:val="center"/>
              <w:rPr>
                <w:b/>
                <w:bCs/>
              </w:rPr>
            </w:pPr>
            <w:r>
              <w:rPr>
                <w:b/>
                <w:bCs/>
              </w:rPr>
              <w:t>灌溉保证率</w:t>
            </w:r>
          </w:p>
        </w:tc>
        <w:tc>
          <w:tcPr>
            <w:tcW w:w="0" w:type="auto"/>
            <w:vMerge w:val="restart"/>
            <w:shd w:val="clear" w:color="auto" w:fill="auto"/>
            <w:noWrap/>
            <w:tcMar>
              <w:top w:w="15" w:type="dxa"/>
              <w:left w:w="15" w:type="dxa"/>
              <w:right w:w="15" w:type="dxa"/>
            </w:tcMar>
            <w:vAlign w:val="bottom"/>
          </w:tcPr>
          <w:p w14:paraId="43E7DA19">
            <w:pPr>
              <w:pStyle w:val="34"/>
              <w:jc w:val="center"/>
              <w:rPr>
                <w:b/>
                <w:bCs/>
              </w:rPr>
            </w:pPr>
            <w:r>
              <w:rPr>
                <w:b/>
                <w:bCs/>
              </w:rPr>
              <w:t>现状渠系水利用率</w:t>
            </w:r>
          </w:p>
        </w:tc>
        <w:tc>
          <w:tcPr>
            <w:tcW w:w="0" w:type="auto"/>
            <w:gridSpan w:val="4"/>
            <w:shd w:val="clear" w:color="auto" w:fill="auto"/>
            <w:noWrap/>
            <w:tcMar>
              <w:top w:w="15" w:type="dxa"/>
              <w:left w:w="15" w:type="dxa"/>
              <w:right w:w="15" w:type="dxa"/>
            </w:tcMar>
            <w:vAlign w:val="bottom"/>
          </w:tcPr>
          <w:p w14:paraId="64C457E3">
            <w:pPr>
              <w:pStyle w:val="34"/>
              <w:jc w:val="center"/>
              <w:rPr>
                <w:b/>
                <w:bCs/>
              </w:rPr>
            </w:pPr>
            <w:r>
              <w:rPr>
                <w:b/>
                <w:bCs/>
              </w:rPr>
              <w:t>干渠长度(km)</w:t>
            </w:r>
          </w:p>
        </w:tc>
        <w:tc>
          <w:tcPr>
            <w:tcW w:w="0" w:type="auto"/>
            <w:gridSpan w:val="4"/>
            <w:shd w:val="clear" w:color="auto" w:fill="auto"/>
            <w:noWrap/>
            <w:tcMar>
              <w:top w:w="15" w:type="dxa"/>
              <w:left w:w="15" w:type="dxa"/>
              <w:right w:w="15" w:type="dxa"/>
            </w:tcMar>
            <w:vAlign w:val="bottom"/>
          </w:tcPr>
          <w:p w14:paraId="63C0D2C4">
            <w:pPr>
              <w:pStyle w:val="34"/>
              <w:jc w:val="center"/>
              <w:rPr>
                <w:b/>
                <w:bCs/>
              </w:rPr>
            </w:pPr>
            <w:r>
              <w:rPr>
                <w:b/>
                <w:bCs/>
              </w:rPr>
              <w:t>支渠长度(km)</w:t>
            </w:r>
          </w:p>
        </w:tc>
        <w:tc>
          <w:tcPr>
            <w:tcW w:w="0" w:type="auto"/>
            <w:gridSpan w:val="3"/>
            <w:tcBorders>
              <w:right w:val="nil"/>
            </w:tcBorders>
            <w:shd w:val="clear" w:color="auto" w:fill="auto"/>
            <w:noWrap/>
            <w:tcMar>
              <w:top w:w="15" w:type="dxa"/>
              <w:left w:w="15" w:type="dxa"/>
              <w:right w:w="15" w:type="dxa"/>
            </w:tcMar>
            <w:vAlign w:val="bottom"/>
          </w:tcPr>
          <w:p w14:paraId="24CBD946">
            <w:pPr>
              <w:pStyle w:val="34"/>
              <w:jc w:val="center"/>
              <w:rPr>
                <w:b/>
                <w:bCs/>
              </w:rPr>
            </w:pPr>
            <w:r>
              <w:rPr>
                <w:b/>
                <w:bCs/>
              </w:rPr>
              <w:t>干、支渠系建筑物(座)</w:t>
            </w:r>
          </w:p>
        </w:tc>
      </w:tr>
      <w:tr w14:paraId="39AA9846">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0" w:type="auto"/>
            <w:vMerge w:val="continue"/>
            <w:tcBorders>
              <w:left w:val="nil"/>
            </w:tcBorders>
            <w:shd w:val="clear" w:color="auto" w:fill="auto"/>
            <w:noWrap/>
            <w:tcMar>
              <w:top w:w="15" w:type="dxa"/>
              <w:left w:w="15" w:type="dxa"/>
              <w:right w:w="15" w:type="dxa"/>
            </w:tcMar>
            <w:vAlign w:val="bottom"/>
          </w:tcPr>
          <w:p w14:paraId="32BCE12C">
            <w:pPr>
              <w:pStyle w:val="34"/>
              <w:jc w:val="center"/>
              <w:rPr>
                <w:b/>
                <w:bCs/>
              </w:rPr>
            </w:pPr>
          </w:p>
        </w:tc>
        <w:tc>
          <w:tcPr>
            <w:tcW w:w="0" w:type="auto"/>
            <w:vMerge w:val="continue"/>
            <w:shd w:val="clear" w:color="auto" w:fill="auto"/>
            <w:noWrap/>
            <w:tcMar>
              <w:top w:w="15" w:type="dxa"/>
              <w:left w:w="15" w:type="dxa"/>
              <w:right w:w="15" w:type="dxa"/>
            </w:tcMar>
            <w:vAlign w:val="bottom"/>
          </w:tcPr>
          <w:p w14:paraId="03854A74">
            <w:pPr>
              <w:pStyle w:val="34"/>
              <w:jc w:val="center"/>
              <w:rPr>
                <w:b/>
                <w:bCs/>
              </w:rPr>
            </w:pPr>
          </w:p>
        </w:tc>
        <w:tc>
          <w:tcPr>
            <w:tcW w:w="0" w:type="auto"/>
            <w:vMerge w:val="continue"/>
            <w:shd w:val="clear" w:color="auto" w:fill="auto"/>
            <w:noWrap/>
            <w:tcMar>
              <w:top w:w="15" w:type="dxa"/>
              <w:left w:w="15" w:type="dxa"/>
              <w:right w:w="15" w:type="dxa"/>
            </w:tcMar>
            <w:vAlign w:val="bottom"/>
          </w:tcPr>
          <w:p w14:paraId="3CCC6AA2">
            <w:pPr>
              <w:pStyle w:val="34"/>
              <w:jc w:val="center"/>
              <w:rPr>
                <w:b/>
                <w:bCs/>
              </w:rPr>
            </w:pPr>
          </w:p>
        </w:tc>
        <w:tc>
          <w:tcPr>
            <w:tcW w:w="0" w:type="auto"/>
            <w:vMerge w:val="continue"/>
            <w:shd w:val="clear" w:color="auto" w:fill="auto"/>
            <w:noWrap/>
            <w:tcMar>
              <w:top w:w="15" w:type="dxa"/>
              <w:left w:w="15" w:type="dxa"/>
              <w:right w:w="15" w:type="dxa"/>
            </w:tcMar>
            <w:vAlign w:val="bottom"/>
          </w:tcPr>
          <w:p w14:paraId="7780FCEF">
            <w:pPr>
              <w:pStyle w:val="34"/>
              <w:jc w:val="center"/>
              <w:rPr>
                <w:b/>
                <w:bCs/>
              </w:rPr>
            </w:pPr>
          </w:p>
        </w:tc>
        <w:tc>
          <w:tcPr>
            <w:tcW w:w="0" w:type="auto"/>
            <w:shd w:val="clear" w:color="auto" w:fill="auto"/>
            <w:noWrap/>
            <w:tcMar>
              <w:top w:w="15" w:type="dxa"/>
              <w:left w:w="15" w:type="dxa"/>
              <w:right w:w="15" w:type="dxa"/>
            </w:tcMar>
            <w:vAlign w:val="bottom"/>
          </w:tcPr>
          <w:p w14:paraId="5A0E4AFA">
            <w:pPr>
              <w:pStyle w:val="34"/>
              <w:jc w:val="center"/>
              <w:rPr>
                <w:b/>
                <w:bCs/>
              </w:rPr>
            </w:pPr>
            <w:r>
              <w:rPr>
                <w:b/>
                <w:bCs/>
              </w:rPr>
              <w:t>设计</w:t>
            </w:r>
          </w:p>
        </w:tc>
        <w:tc>
          <w:tcPr>
            <w:tcW w:w="0" w:type="auto"/>
            <w:shd w:val="clear" w:color="auto" w:fill="auto"/>
            <w:noWrap/>
            <w:tcMar>
              <w:top w:w="15" w:type="dxa"/>
              <w:left w:w="15" w:type="dxa"/>
              <w:right w:w="15" w:type="dxa"/>
            </w:tcMar>
            <w:vAlign w:val="bottom"/>
          </w:tcPr>
          <w:p w14:paraId="360955B1">
            <w:pPr>
              <w:pStyle w:val="34"/>
              <w:jc w:val="center"/>
              <w:rPr>
                <w:b/>
                <w:bCs/>
              </w:rPr>
            </w:pPr>
            <w:r>
              <w:rPr>
                <w:b/>
                <w:bCs/>
              </w:rPr>
              <w:t>实际</w:t>
            </w:r>
          </w:p>
        </w:tc>
        <w:tc>
          <w:tcPr>
            <w:tcW w:w="0" w:type="auto"/>
            <w:shd w:val="clear" w:color="auto" w:fill="auto"/>
            <w:noWrap/>
            <w:tcMar>
              <w:top w:w="15" w:type="dxa"/>
              <w:left w:w="15" w:type="dxa"/>
              <w:right w:w="15" w:type="dxa"/>
            </w:tcMar>
            <w:vAlign w:val="bottom"/>
          </w:tcPr>
          <w:p w14:paraId="3AF071D7">
            <w:pPr>
              <w:pStyle w:val="34"/>
              <w:jc w:val="center"/>
              <w:rPr>
                <w:b/>
                <w:bCs/>
              </w:rPr>
            </w:pPr>
            <w:r>
              <w:rPr>
                <w:b/>
                <w:bCs/>
              </w:rPr>
              <w:t>设计</w:t>
            </w:r>
          </w:p>
        </w:tc>
        <w:tc>
          <w:tcPr>
            <w:tcW w:w="0" w:type="auto"/>
            <w:shd w:val="clear" w:color="auto" w:fill="auto"/>
            <w:noWrap/>
            <w:tcMar>
              <w:top w:w="15" w:type="dxa"/>
              <w:left w:w="15" w:type="dxa"/>
              <w:right w:w="15" w:type="dxa"/>
            </w:tcMar>
            <w:vAlign w:val="bottom"/>
          </w:tcPr>
          <w:p w14:paraId="1CAA6A32">
            <w:pPr>
              <w:pStyle w:val="34"/>
              <w:jc w:val="center"/>
              <w:rPr>
                <w:b/>
                <w:bCs/>
              </w:rPr>
            </w:pPr>
            <w:r>
              <w:rPr>
                <w:b/>
                <w:bCs/>
              </w:rPr>
              <w:t>实际</w:t>
            </w:r>
          </w:p>
        </w:tc>
        <w:tc>
          <w:tcPr>
            <w:tcW w:w="0" w:type="auto"/>
            <w:vMerge w:val="continue"/>
            <w:shd w:val="clear" w:color="auto" w:fill="auto"/>
            <w:noWrap/>
            <w:tcMar>
              <w:top w:w="15" w:type="dxa"/>
              <w:left w:w="15" w:type="dxa"/>
              <w:right w:w="15" w:type="dxa"/>
            </w:tcMar>
            <w:vAlign w:val="bottom"/>
          </w:tcPr>
          <w:p w14:paraId="7D646533">
            <w:pPr>
              <w:pStyle w:val="34"/>
              <w:jc w:val="center"/>
              <w:rPr>
                <w:b/>
                <w:bCs/>
              </w:rPr>
            </w:pPr>
          </w:p>
        </w:tc>
        <w:tc>
          <w:tcPr>
            <w:tcW w:w="0" w:type="auto"/>
            <w:shd w:val="clear" w:color="auto" w:fill="auto"/>
            <w:noWrap/>
            <w:tcMar>
              <w:top w:w="15" w:type="dxa"/>
              <w:left w:w="15" w:type="dxa"/>
              <w:right w:w="15" w:type="dxa"/>
            </w:tcMar>
            <w:vAlign w:val="bottom"/>
          </w:tcPr>
          <w:p w14:paraId="01653DC7">
            <w:pPr>
              <w:pStyle w:val="34"/>
              <w:jc w:val="center"/>
              <w:rPr>
                <w:b/>
                <w:bCs/>
              </w:rPr>
            </w:pPr>
            <w:r>
              <w:rPr>
                <w:b/>
                <w:bCs/>
              </w:rPr>
              <w:t>设计</w:t>
            </w:r>
          </w:p>
        </w:tc>
        <w:tc>
          <w:tcPr>
            <w:tcW w:w="0" w:type="auto"/>
            <w:shd w:val="clear" w:color="auto" w:fill="auto"/>
            <w:noWrap/>
            <w:tcMar>
              <w:top w:w="15" w:type="dxa"/>
              <w:left w:w="15" w:type="dxa"/>
              <w:right w:w="15" w:type="dxa"/>
            </w:tcMar>
            <w:vAlign w:val="bottom"/>
          </w:tcPr>
          <w:p w14:paraId="6B464AB1">
            <w:pPr>
              <w:pStyle w:val="34"/>
              <w:jc w:val="center"/>
              <w:rPr>
                <w:b/>
                <w:bCs/>
              </w:rPr>
            </w:pPr>
            <w:r>
              <w:rPr>
                <w:b/>
                <w:bCs/>
              </w:rPr>
              <w:t>现有</w:t>
            </w:r>
          </w:p>
        </w:tc>
        <w:tc>
          <w:tcPr>
            <w:tcW w:w="0" w:type="auto"/>
            <w:shd w:val="clear" w:color="auto" w:fill="auto"/>
            <w:noWrap/>
            <w:tcMar>
              <w:top w:w="15" w:type="dxa"/>
              <w:left w:w="15" w:type="dxa"/>
              <w:right w:w="15" w:type="dxa"/>
            </w:tcMar>
            <w:vAlign w:val="bottom"/>
          </w:tcPr>
          <w:p w14:paraId="0E88C65E">
            <w:pPr>
              <w:pStyle w:val="34"/>
              <w:jc w:val="center"/>
              <w:rPr>
                <w:b/>
                <w:bCs/>
              </w:rPr>
            </w:pPr>
            <w:r>
              <w:rPr>
                <w:b/>
                <w:bCs/>
              </w:rPr>
              <w:t>已衬砌</w:t>
            </w:r>
          </w:p>
        </w:tc>
        <w:tc>
          <w:tcPr>
            <w:tcW w:w="0" w:type="auto"/>
            <w:shd w:val="clear" w:color="auto" w:fill="auto"/>
            <w:noWrap/>
            <w:tcMar>
              <w:top w:w="15" w:type="dxa"/>
              <w:left w:w="15" w:type="dxa"/>
              <w:right w:w="15" w:type="dxa"/>
            </w:tcMar>
            <w:vAlign w:val="bottom"/>
          </w:tcPr>
          <w:p w14:paraId="6221C487">
            <w:pPr>
              <w:pStyle w:val="34"/>
              <w:jc w:val="center"/>
              <w:rPr>
                <w:b/>
                <w:bCs/>
              </w:rPr>
            </w:pPr>
            <w:r>
              <w:rPr>
                <w:b/>
                <w:bCs/>
              </w:rPr>
              <w:t>完好率%</w:t>
            </w:r>
          </w:p>
        </w:tc>
        <w:tc>
          <w:tcPr>
            <w:tcW w:w="0" w:type="auto"/>
            <w:shd w:val="clear" w:color="auto" w:fill="auto"/>
            <w:noWrap/>
            <w:tcMar>
              <w:top w:w="15" w:type="dxa"/>
              <w:left w:w="15" w:type="dxa"/>
              <w:right w:w="15" w:type="dxa"/>
            </w:tcMar>
            <w:vAlign w:val="bottom"/>
          </w:tcPr>
          <w:p w14:paraId="4F88479C">
            <w:pPr>
              <w:pStyle w:val="34"/>
              <w:jc w:val="center"/>
              <w:rPr>
                <w:b/>
                <w:bCs/>
              </w:rPr>
            </w:pPr>
            <w:r>
              <w:rPr>
                <w:b/>
                <w:bCs/>
              </w:rPr>
              <w:t>设计</w:t>
            </w:r>
          </w:p>
        </w:tc>
        <w:tc>
          <w:tcPr>
            <w:tcW w:w="0" w:type="auto"/>
            <w:shd w:val="clear" w:color="auto" w:fill="auto"/>
            <w:noWrap/>
            <w:tcMar>
              <w:top w:w="15" w:type="dxa"/>
              <w:left w:w="15" w:type="dxa"/>
              <w:right w:w="15" w:type="dxa"/>
            </w:tcMar>
            <w:vAlign w:val="bottom"/>
          </w:tcPr>
          <w:p w14:paraId="518DBCF7">
            <w:pPr>
              <w:pStyle w:val="34"/>
              <w:jc w:val="center"/>
              <w:rPr>
                <w:b/>
                <w:bCs/>
              </w:rPr>
            </w:pPr>
            <w:r>
              <w:rPr>
                <w:b/>
                <w:bCs/>
              </w:rPr>
              <w:t>现有</w:t>
            </w:r>
          </w:p>
        </w:tc>
        <w:tc>
          <w:tcPr>
            <w:tcW w:w="0" w:type="auto"/>
            <w:shd w:val="clear" w:color="auto" w:fill="auto"/>
            <w:noWrap/>
            <w:tcMar>
              <w:top w:w="15" w:type="dxa"/>
              <w:left w:w="15" w:type="dxa"/>
              <w:right w:w="15" w:type="dxa"/>
            </w:tcMar>
            <w:vAlign w:val="bottom"/>
          </w:tcPr>
          <w:p w14:paraId="7D64B62B">
            <w:pPr>
              <w:pStyle w:val="34"/>
              <w:jc w:val="center"/>
              <w:rPr>
                <w:b/>
                <w:bCs/>
              </w:rPr>
            </w:pPr>
            <w:r>
              <w:rPr>
                <w:b/>
                <w:bCs/>
              </w:rPr>
              <w:t>砌已衬</w:t>
            </w:r>
          </w:p>
        </w:tc>
        <w:tc>
          <w:tcPr>
            <w:tcW w:w="0" w:type="auto"/>
            <w:shd w:val="clear" w:color="auto" w:fill="auto"/>
            <w:noWrap/>
            <w:tcMar>
              <w:top w:w="15" w:type="dxa"/>
              <w:left w:w="15" w:type="dxa"/>
              <w:right w:w="15" w:type="dxa"/>
            </w:tcMar>
            <w:vAlign w:val="bottom"/>
          </w:tcPr>
          <w:p w14:paraId="3FB60703">
            <w:pPr>
              <w:pStyle w:val="34"/>
              <w:jc w:val="center"/>
              <w:rPr>
                <w:b/>
                <w:bCs/>
              </w:rPr>
            </w:pPr>
            <w:r>
              <w:rPr>
                <w:b/>
                <w:bCs/>
              </w:rPr>
              <w:t>完好</w:t>
            </w:r>
          </w:p>
        </w:tc>
        <w:tc>
          <w:tcPr>
            <w:tcW w:w="0" w:type="auto"/>
            <w:shd w:val="clear" w:color="auto" w:fill="auto"/>
            <w:noWrap/>
            <w:tcMar>
              <w:top w:w="15" w:type="dxa"/>
              <w:left w:w="15" w:type="dxa"/>
              <w:right w:w="15" w:type="dxa"/>
            </w:tcMar>
            <w:vAlign w:val="bottom"/>
          </w:tcPr>
          <w:p w14:paraId="54E9035B">
            <w:pPr>
              <w:pStyle w:val="34"/>
              <w:jc w:val="center"/>
              <w:rPr>
                <w:b/>
                <w:bCs/>
              </w:rPr>
            </w:pPr>
            <w:r>
              <w:rPr>
                <w:b/>
                <w:bCs/>
              </w:rPr>
              <w:t>设计</w:t>
            </w:r>
          </w:p>
        </w:tc>
        <w:tc>
          <w:tcPr>
            <w:tcW w:w="0" w:type="auto"/>
            <w:shd w:val="clear" w:color="auto" w:fill="auto"/>
            <w:noWrap/>
            <w:tcMar>
              <w:top w:w="15" w:type="dxa"/>
              <w:left w:w="15" w:type="dxa"/>
              <w:right w:w="15" w:type="dxa"/>
            </w:tcMar>
            <w:vAlign w:val="bottom"/>
          </w:tcPr>
          <w:p w14:paraId="1916AF66">
            <w:pPr>
              <w:pStyle w:val="34"/>
              <w:jc w:val="center"/>
              <w:rPr>
                <w:b/>
                <w:bCs/>
              </w:rPr>
            </w:pPr>
            <w:r>
              <w:rPr>
                <w:b/>
                <w:bCs/>
              </w:rPr>
              <w:t>现有</w:t>
            </w:r>
          </w:p>
        </w:tc>
        <w:tc>
          <w:tcPr>
            <w:tcW w:w="0" w:type="auto"/>
            <w:tcBorders>
              <w:right w:val="nil"/>
            </w:tcBorders>
            <w:shd w:val="clear" w:color="auto" w:fill="auto"/>
            <w:noWrap/>
            <w:tcMar>
              <w:top w:w="15" w:type="dxa"/>
              <w:left w:w="15" w:type="dxa"/>
              <w:right w:w="15" w:type="dxa"/>
            </w:tcMar>
            <w:vAlign w:val="bottom"/>
          </w:tcPr>
          <w:p w14:paraId="18CCCEF4">
            <w:pPr>
              <w:pStyle w:val="34"/>
              <w:jc w:val="center"/>
              <w:rPr>
                <w:b/>
                <w:bCs/>
              </w:rPr>
            </w:pPr>
            <w:r>
              <w:rPr>
                <w:b/>
                <w:bCs/>
              </w:rPr>
              <w:t>好率%</w:t>
            </w:r>
          </w:p>
        </w:tc>
      </w:tr>
      <w:tr w14:paraId="3A855DCF">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652" w:hRule="atLeast"/>
        </w:trPr>
        <w:tc>
          <w:tcPr>
            <w:tcW w:w="0" w:type="auto"/>
            <w:tcBorders>
              <w:left w:val="nil"/>
            </w:tcBorders>
            <w:shd w:val="clear" w:color="auto" w:fill="auto"/>
            <w:noWrap/>
            <w:tcMar>
              <w:top w:w="15" w:type="dxa"/>
              <w:left w:w="15" w:type="dxa"/>
              <w:right w:w="15" w:type="dxa"/>
            </w:tcMar>
            <w:vAlign w:val="bottom"/>
          </w:tcPr>
          <w:p w14:paraId="17EA334C">
            <w:pPr>
              <w:pStyle w:val="34"/>
              <w:jc w:val="center"/>
            </w:pPr>
            <w:r>
              <w:t>合计</w:t>
            </w:r>
          </w:p>
        </w:tc>
        <w:tc>
          <w:tcPr>
            <w:tcW w:w="0" w:type="auto"/>
            <w:shd w:val="clear" w:color="auto" w:fill="auto"/>
            <w:noWrap/>
            <w:tcMar>
              <w:top w:w="15" w:type="dxa"/>
              <w:left w:w="15" w:type="dxa"/>
              <w:right w:w="15" w:type="dxa"/>
            </w:tcMar>
            <w:vAlign w:val="bottom"/>
          </w:tcPr>
          <w:p w14:paraId="4B738355">
            <w:pPr>
              <w:pStyle w:val="34"/>
              <w:jc w:val="center"/>
            </w:pPr>
          </w:p>
        </w:tc>
        <w:tc>
          <w:tcPr>
            <w:tcW w:w="0" w:type="auto"/>
            <w:shd w:val="clear" w:color="auto" w:fill="auto"/>
            <w:noWrap/>
            <w:tcMar>
              <w:top w:w="15" w:type="dxa"/>
              <w:left w:w="15" w:type="dxa"/>
              <w:right w:w="15" w:type="dxa"/>
            </w:tcMar>
            <w:vAlign w:val="bottom"/>
          </w:tcPr>
          <w:p w14:paraId="4C178E27">
            <w:pPr>
              <w:pStyle w:val="34"/>
              <w:jc w:val="center"/>
            </w:pPr>
          </w:p>
        </w:tc>
        <w:tc>
          <w:tcPr>
            <w:tcW w:w="0" w:type="auto"/>
            <w:shd w:val="clear" w:color="auto" w:fill="auto"/>
            <w:noWrap/>
            <w:tcMar>
              <w:top w:w="15" w:type="dxa"/>
              <w:left w:w="15" w:type="dxa"/>
              <w:right w:w="15" w:type="dxa"/>
            </w:tcMar>
            <w:vAlign w:val="bottom"/>
          </w:tcPr>
          <w:p w14:paraId="4922C83D">
            <w:pPr>
              <w:pStyle w:val="34"/>
              <w:jc w:val="center"/>
            </w:pPr>
          </w:p>
        </w:tc>
        <w:tc>
          <w:tcPr>
            <w:tcW w:w="0" w:type="auto"/>
            <w:shd w:val="clear" w:color="auto" w:fill="auto"/>
            <w:noWrap/>
            <w:tcMar>
              <w:top w:w="15" w:type="dxa"/>
              <w:left w:w="15" w:type="dxa"/>
              <w:right w:w="15" w:type="dxa"/>
            </w:tcMar>
            <w:vAlign w:val="bottom"/>
          </w:tcPr>
          <w:p w14:paraId="631640D4">
            <w:pPr>
              <w:pStyle w:val="34"/>
              <w:jc w:val="center"/>
            </w:pPr>
            <w:r>
              <w:t>24.9</w:t>
            </w:r>
          </w:p>
        </w:tc>
        <w:tc>
          <w:tcPr>
            <w:tcW w:w="0" w:type="auto"/>
            <w:shd w:val="clear" w:color="auto" w:fill="auto"/>
            <w:noWrap/>
            <w:tcMar>
              <w:top w:w="15" w:type="dxa"/>
              <w:left w:w="15" w:type="dxa"/>
              <w:right w:w="15" w:type="dxa"/>
            </w:tcMar>
            <w:vAlign w:val="bottom"/>
          </w:tcPr>
          <w:p w14:paraId="2B137570">
            <w:pPr>
              <w:pStyle w:val="34"/>
              <w:jc w:val="center"/>
            </w:pPr>
            <w:r>
              <w:t>16.4</w:t>
            </w:r>
          </w:p>
        </w:tc>
        <w:tc>
          <w:tcPr>
            <w:tcW w:w="0" w:type="auto"/>
            <w:shd w:val="clear" w:color="auto" w:fill="auto"/>
            <w:noWrap/>
            <w:tcMar>
              <w:top w:w="15" w:type="dxa"/>
              <w:left w:w="15" w:type="dxa"/>
              <w:right w:w="15" w:type="dxa"/>
            </w:tcMar>
            <w:vAlign w:val="bottom"/>
          </w:tcPr>
          <w:p w14:paraId="6800ED2B">
            <w:pPr>
              <w:pStyle w:val="34"/>
              <w:jc w:val="center"/>
            </w:pPr>
            <w:r>
              <w:t>540</w:t>
            </w:r>
          </w:p>
        </w:tc>
        <w:tc>
          <w:tcPr>
            <w:tcW w:w="0" w:type="auto"/>
            <w:shd w:val="clear" w:color="auto" w:fill="auto"/>
            <w:noWrap/>
            <w:tcMar>
              <w:top w:w="15" w:type="dxa"/>
              <w:left w:w="15" w:type="dxa"/>
              <w:right w:w="15" w:type="dxa"/>
            </w:tcMar>
            <w:vAlign w:val="bottom"/>
          </w:tcPr>
          <w:p w14:paraId="4D631E15">
            <w:pPr>
              <w:pStyle w:val="34"/>
              <w:jc w:val="center"/>
            </w:pPr>
            <w:r>
              <w:t>465</w:t>
            </w:r>
          </w:p>
        </w:tc>
        <w:tc>
          <w:tcPr>
            <w:tcW w:w="0" w:type="auto"/>
            <w:shd w:val="clear" w:color="auto" w:fill="auto"/>
            <w:noWrap/>
            <w:tcMar>
              <w:top w:w="15" w:type="dxa"/>
              <w:left w:w="15" w:type="dxa"/>
              <w:right w:w="15" w:type="dxa"/>
            </w:tcMar>
            <w:vAlign w:val="bottom"/>
          </w:tcPr>
          <w:p w14:paraId="5B4EA89B">
            <w:pPr>
              <w:pStyle w:val="34"/>
              <w:jc w:val="center"/>
            </w:pPr>
          </w:p>
        </w:tc>
        <w:tc>
          <w:tcPr>
            <w:tcW w:w="0" w:type="auto"/>
            <w:shd w:val="clear" w:color="auto" w:fill="auto"/>
            <w:noWrap/>
            <w:tcMar>
              <w:top w:w="15" w:type="dxa"/>
              <w:left w:w="15" w:type="dxa"/>
              <w:right w:w="15" w:type="dxa"/>
            </w:tcMar>
            <w:vAlign w:val="bottom"/>
          </w:tcPr>
          <w:p w14:paraId="492C772D">
            <w:pPr>
              <w:pStyle w:val="34"/>
              <w:jc w:val="center"/>
            </w:pPr>
            <w:r>
              <w:t>365</w:t>
            </w:r>
          </w:p>
        </w:tc>
        <w:tc>
          <w:tcPr>
            <w:tcW w:w="0" w:type="auto"/>
            <w:shd w:val="clear" w:color="auto" w:fill="auto"/>
            <w:noWrap/>
            <w:tcMar>
              <w:top w:w="15" w:type="dxa"/>
              <w:left w:w="15" w:type="dxa"/>
              <w:right w:w="15" w:type="dxa"/>
            </w:tcMar>
            <w:vAlign w:val="bottom"/>
          </w:tcPr>
          <w:p w14:paraId="4E25B301">
            <w:pPr>
              <w:pStyle w:val="34"/>
              <w:jc w:val="center"/>
            </w:pPr>
            <w:r>
              <w:t>293</w:t>
            </w:r>
          </w:p>
        </w:tc>
        <w:tc>
          <w:tcPr>
            <w:tcW w:w="0" w:type="auto"/>
            <w:shd w:val="clear" w:color="auto" w:fill="auto"/>
            <w:noWrap/>
            <w:tcMar>
              <w:top w:w="15" w:type="dxa"/>
              <w:left w:w="15" w:type="dxa"/>
              <w:right w:w="15" w:type="dxa"/>
            </w:tcMar>
            <w:vAlign w:val="bottom"/>
          </w:tcPr>
          <w:p w14:paraId="284E6C87">
            <w:pPr>
              <w:pStyle w:val="34"/>
              <w:jc w:val="center"/>
            </w:pPr>
            <w:r>
              <w:t>64.3</w:t>
            </w:r>
          </w:p>
        </w:tc>
        <w:tc>
          <w:tcPr>
            <w:tcW w:w="0" w:type="auto"/>
            <w:shd w:val="clear" w:color="auto" w:fill="auto"/>
            <w:noWrap/>
            <w:tcMar>
              <w:top w:w="15" w:type="dxa"/>
              <w:left w:w="15" w:type="dxa"/>
              <w:right w:w="15" w:type="dxa"/>
            </w:tcMar>
            <w:vAlign w:val="bottom"/>
          </w:tcPr>
          <w:p w14:paraId="1739C9D1">
            <w:pPr>
              <w:pStyle w:val="34"/>
              <w:jc w:val="center"/>
            </w:pPr>
          </w:p>
        </w:tc>
        <w:tc>
          <w:tcPr>
            <w:tcW w:w="0" w:type="auto"/>
            <w:shd w:val="clear" w:color="auto" w:fill="auto"/>
            <w:noWrap/>
            <w:tcMar>
              <w:top w:w="15" w:type="dxa"/>
              <w:left w:w="15" w:type="dxa"/>
              <w:right w:w="15" w:type="dxa"/>
            </w:tcMar>
            <w:vAlign w:val="bottom"/>
          </w:tcPr>
          <w:p w14:paraId="1A7002B6">
            <w:pPr>
              <w:pStyle w:val="34"/>
              <w:jc w:val="center"/>
            </w:pPr>
            <w:r>
              <w:t>249</w:t>
            </w:r>
          </w:p>
        </w:tc>
        <w:tc>
          <w:tcPr>
            <w:tcW w:w="0" w:type="auto"/>
            <w:shd w:val="clear" w:color="auto" w:fill="auto"/>
            <w:noWrap/>
            <w:tcMar>
              <w:top w:w="15" w:type="dxa"/>
              <w:left w:w="15" w:type="dxa"/>
              <w:right w:w="15" w:type="dxa"/>
            </w:tcMar>
            <w:vAlign w:val="bottom"/>
          </w:tcPr>
          <w:p w14:paraId="24655A85">
            <w:pPr>
              <w:pStyle w:val="34"/>
              <w:jc w:val="center"/>
            </w:pPr>
            <w:r>
              <w:t>244</w:t>
            </w:r>
          </w:p>
        </w:tc>
        <w:tc>
          <w:tcPr>
            <w:tcW w:w="0" w:type="auto"/>
            <w:shd w:val="clear" w:color="auto" w:fill="auto"/>
            <w:noWrap/>
            <w:tcMar>
              <w:top w:w="15" w:type="dxa"/>
              <w:left w:w="15" w:type="dxa"/>
              <w:right w:w="15" w:type="dxa"/>
            </w:tcMar>
            <w:vAlign w:val="bottom"/>
          </w:tcPr>
          <w:p w14:paraId="70298B7F">
            <w:pPr>
              <w:pStyle w:val="34"/>
              <w:jc w:val="center"/>
            </w:pPr>
            <w:r>
              <w:t>27</w:t>
            </w:r>
          </w:p>
        </w:tc>
        <w:tc>
          <w:tcPr>
            <w:tcW w:w="0" w:type="auto"/>
            <w:shd w:val="clear" w:color="auto" w:fill="auto"/>
            <w:noWrap/>
            <w:tcMar>
              <w:top w:w="15" w:type="dxa"/>
              <w:left w:w="15" w:type="dxa"/>
              <w:right w:w="15" w:type="dxa"/>
            </w:tcMar>
            <w:vAlign w:val="bottom"/>
          </w:tcPr>
          <w:p w14:paraId="7200E1F3">
            <w:pPr>
              <w:pStyle w:val="34"/>
              <w:jc w:val="center"/>
            </w:pPr>
          </w:p>
        </w:tc>
        <w:tc>
          <w:tcPr>
            <w:tcW w:w="0" w:type="auto"/>
            <w:shd w:val="clear" w:color="auto" w:fill="auto"/>
            <w:noWrap/>
            <w:tcMar>
              <w:top w:w="15" w:type="dxa"/>
              <w:left w:w="15" w:type="dxa"/>
              <w:right w:w="15" w:type="dxa"/>
            </w:tcMar>
            <w:vAlign w:val="bottom"/>
          </w:tcPr>
          <w:p w14:paraId="1442B406">
            <w:pPr>
              <w:pStyle w:val="34"/>
              <w:jc w:val="center"/>
            </w:pPr>
            <w:r>
              <w:t>487</w:t>
            </w:r>
          </w:p>
        </w:tc>
        <w:tc>
          <w:tcPr>
            <w:tcW w:w="0" w:type="auto"/>
            <w:shd w:val="clear" w:color="auto" w:fill="auto"/>
            <w:noWrap/>
            <w:tcMar>
              <w:top w:w="15" w:type="dxa"/>
              <w:left w:w="15" w:type="dxa"/>
              <w:right w:w="15" w:type="dxa"/>
            </w:tcMar>
            <w:vAlign w:val="bottom"/>
          </w:tcPr>
          <w:p w14:paraId="3BE79E6F">
            <w:pPr>
              <w:pStyle w:val="34"/>
              <w:jc w:val="center"/>
            </w:pPr>
            <w:r>
              <w:t>419</w:t>
            </w:r>
          </w:p>
        </w:tc>
        <w:tc>
          <w:tcPr>
            <w:tcW w:w="0" w:type="auto"/>
            <w:tcBorders>
              <w:right w:val="nil"/>
            </w:tcBorders>
            <w:shd w:val="clear" w:color="auto" w:fill="auto"/>
            <w:noWrap/>
            <w:tcMar>
              <w:top w:w="15" w:type="dxa"/>
              <w:left w:w="15" w:type="dxa"/>
              <w:right w:w="15" w:type="dxa"/>
            </w:tcMar>
            <w:vAlign w:val="bottom"/>
          </w:tcPr>
          <w:p w14:paraId="1AFA999D">
            <w:pPr>
              <w:pStyle w:val="34"/>
            </w:pPr>
            <w:r>
              <w:rPr>
                <w:rFonts w:hint="eastAsia"/>
              </w:rPr>
              <w:t>36</w:t>
            </w:r>
          </w:p>
        </w:tc>
      </w:tr>
      <w:tr w14:paraId="023B8A85">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0" w:type="auto"/>
            <w:tcBorders>
              <w:left w:val="nil"/>
            </w:tcBorders>
            <w:shd w:val="clear" w:color="auto" w:fill="auto"/>
            <w:noWrap/>
            <w:tcMar>
              <w:top w:w="15" w:type="dxa"/>
              <w:left w:w="15" w:type="dxa"/>
              <w:right w:w="15" w:type="dxa"/>
            </w:tcMar>
            <w:vAlign w:val="bottom"/>
          </w:tcPr>
          <w:p w14:paraId="02877241">
            <w:pPr>
              <w:pStyle w:val="34"/>
              <w:jc w:val="center"/>
            </w:pPr>
            <w:r>
              <w:rPr>
                <w:rFonts w:hint="eastAsia"/>
              </w:rPr>
              <w:t>孔江水库灌区</w:t>
            </w:r>
          </w:p>
        </w:tc>
        <w:tc>
          <w:tcPr>
            <w:tcW w:w="0" w:type="auto"/>
            <w:shd w:val="clear" w:color="auto" w:fill="auto"/>
            <w:noWrap/>
            <w:tcMar>
              <w:top w:w="15" w:type="dxa"/>
              <w:left w:w="15" w:type="dxa"/>
              <w:right w:w="15" w:type="dxa"/>
            </w:tcMar>
            <w:vAlign w:val="bottom"/>
          </w:tcPr>
          <w:p w14:paraId="25E1AF1F">
            <w:pPr>
              <w:pStyle w:val="34"/>
              <w:jc w:val="center"/>
            </w:pPr>
            <w:r>
              <w:t>南雄市乌迳镇</w:t>
            </w:r>
          </w:p>
        </w:tc>
        <w:tc>
          <w:tcPr>
            <w:tcW w:w="0" w:type="auto"/>
            <w:shd w:val="clear" w:color="auto" w:fill="auto"/>
            <w:noWrap/>
            <w:tcMar>
              <w:top w:w="15" w:type="dxa"/>
              <w:left w:w="15" w:type="dxa"/>
              <w:right w:w="15" w:type="dxa"/>
            </w:tcMar>
            <w:vAlign w:val="bottom"/>
          </w:tcPr>
          <w:p w14:paraId="05F3C3E4">
            <w:pPr>
              <w:pStyle w:val="34"/>
              <w:jc w:val="center"/>
            </w:pPr>
            <w:r>
              <w:t>6</w:t>
            </w:r>
          </w:p>
        </w:tc>
        <w:tc>
          <w:tcPr>
            <w:tcW w:w="0" w:type="auto"/>
            <w:shd w:val="clear" w:color="auto" w:fill="auto"/>
            <w:noWrap/>
            <w:tcMar>
              <w:top w:w="15" w:type="dxa"/>
              <w:left w:w="15" w:type="dxa"/>
              <w:right w:w="15" w:type="dxa"/>
            </w:tcMar>
            <w:vAlign w:val="bottom"/>
          </w:tcPr>
          <w:p w14:paraId="3417F5F6">
            <w:pPr>
              <w:pStyle w:val="34"/>
              <w:jc w:val="center"/>
            </w:pPr>
          </w:p>
        </w:tc>
        <w:tc>
          <w:tcPr>
            <w:tcW w:w="0" w:type="auto"/>
            <w:shd w:val="clear" w:color="auto" w:fill="auto"/>
            <w:noWrap/>
            <w:tcMar>
              <w:top w:w="15" w:type="dxa"/>
              <w:left w:w="15" w:type="dxa"/>
              <w:right w:w="15" w:type="dxa"/>
            </w:tcMar>
            <w:vAlign w:val="bottom"/>
          </w:tcPr>
          <w:p w14:paraId="2E69822E">
            <w:pPr>
              <w:pStyle w:val="34"/>
              <w:jc w:val="center"/>
            </w:pPr>
            <w:r>
              <w:t>17.3</w:t>
            </w:r>
          </w:p>
        </w:tc>
        <w:tc>
          <w:tcPr>
            <w:tcW w:w="0" w:type="auto"/>
            <w:shd w:val="clear" w:color="auto" w:fill="auto"/>
            <w:noWrap/>
            <w:tcMar>
              <w:top w:w="15" w:type="dxa"/>
              <w:left w:w="15" w:type="dxa"/>
              <w:right w:w="15" w:type="dxa"/>
            </w:tcMar>
            <w:vAlign w:val="bottom"/>
          </w:tcPr>
          <w:p w14:paraId="659CEA7B">
            <w:pPr>
              <w:pStyle w:val="34"/>
              <w:jc w:val="center"/>
            </w:pPr>
            <w:r>
              <w:t>11</w:t>
            </w:r>
          </w:p>
        </w:tc>
        <w:tc>
          <w:tcPr>
            <w:tcW w:w="0" w:type="auto"/>
            <w:shd w:val="clear" w:color="auto" w:fill="auto"/>
            <w:noWrap/>
            <w:tcMar>
              <w:top w:w="15" w:type="dxa"/>
              <w:left w:w="15" w:type="dxa"/>
              <w:right w:w="15" w:type="dxa"/>
            </w:tcMar>
            <w:vAlign w:val="bottom"/>
          </w:tcPr>
          <w:p w14:paraId="0BD0379B">
            <w:pPr>
              <w:pStyle w:val="34"/>
              <w:jc w:val="center"/>
            </w:pPr>
            <w:r>
              <w:t>90</w:t>
            </w:r>
          </w:p>
        </w:tc>
        <w:tc>
          <w:tcPr>
            <w:tcW w:w="0" w:type="auto"/>
            <w:shd w:val="clear" w:color="auto" w:fill="auto"/>
            <w:noWrap/>
            <w:tcMar>
              <w:top w:w="15" w:type="dxa"/>
              <w:left w:w="15" w:type="dxa"/>
              <w:right w:w="15" w:type="dxa"/>
            </w:tcMar>
            <w:vAlign w:val="bottom"/>
          </w:tcPr>
          <w:p w14:paraId="1CF50027">
            <w:pPr>
              <w:pStyle w:val="34"/>
              <w:jc w:val="center"/>
            </w:pPr>
            <w:r>
              <w:t>75</w:t>
            </w:r>
          </w:p>
        </w:tc>
        <w:tc>
          <w:tcPr>
            <w:tcW w:w="0" w:type="auto"/>
            <w:shd w:val="clear" w:color="auto" w:fill="auto"/>
            <w:noWrap/>
            <w:tcMar>
              <w:top w:w="15" w:type="dxa"/>
              <w:left w:w="15" w:type="dxa"/>
              <w:right w:w="15" w:type="dxa"/>
            </w:tcMar>
            <w:vAlign w:val="bottom"/>
          </w:tcPr>
          <w:p w14:paraId="4F8F0D49">
            <w:pPr>
              <w:pStyle w:val="34"/>
              <w:jc w:val="center"/>
            </w:pPr>
            <w:r>
              <w:t>0.65</w:t>
            </w:r>
          </w:p>
        </w:tc>
        <w:tc>
          <w:tcPr>
            <w:tcW w:w="0" w:type="auto"/>
            <w:shd w:val="clear" w:color="auto" w:fill="auto"/>
            <w:noWrap/>
            <w:tcMar>
              <w:top w:w="15" w:type="dxa"/>
              <w:left w:w="15" w:type="dxa"/>
              <w:right w:w="15" w:type="dxa"/>
            </w:tcMar>
            <w:vAlign w:val="bottom"/>
          </w:tcPr>
          <w:p w14:paraId="77F0EC2B">
            <w:pPr>
              <w:pStyle w:val="34"/>
              <w:jc w:val="center"/>
            </w:pPr>
            <w:r>
              <w:t>53.6</w:t>
            </w:r>
          </w:p>
        </w:tc>
        <w:tc>
          <w:tcPr>
            <w:tcW w:w="0" w:type="auto"/>
            <w:shd w:val="clear" w:color="auto" w:fill="auto"/>
            <w:noWrap/>
            <w:tcMar>
              <w:top w:w="15" w:type="dxa"/>
              <w:left w:w="15" w:type="dxa"/>
              <w:right w:w="15" w:type="dxa"/>
            </w:tcMar>
            <w:vAlign w:val="bottom"/>
          </w:tcPr>
          <w:p w14:paraId="25EEE567">
            <w:pPr>
              <w:pStyle w:val="34"/>
              <w:jc w:val="center"/>
            </w:pPr>
            <w:r>
              <w:t>53.6</w:t>
            </w:r>
          </w:p>
        </w:tc>
        <w:tc>
          <w:tcPr>
            <w:tcW w:w="0" w:type="auto"/>
            <w:shd w:val="clear" w:color="auto" w:fill="auto"/>
            <w:noWrap/>
            <w:tcMar>
              <w:top w:w="15" w:type="dxa"/>
              <w:left w:w="15" w:type="dxa"/>
              <w:right w:w="15" w:type="dxa"/>
            </w:tcMar>
            <w:vAlign w:val="bottom"/>
          </w:tcPr>
          <w:p w14:paraId="3C0791B6">
            <w:pPr>
              <w:pStyle w:val="34"/>
              <w:jc w:val="center"/>
            </w:pPr>
            <w:r>
              <w:t>38</w:t>
            </w:r>
          </w:p>
        </w:tc>
        <w:tc>
          <w:tcPr>
            <w:tcW w:w="0" w:type="auto"/>
            <w:shd w:val="clear" w:color="auto" w:fill="auto"/>
            <w:noWrap/>
            <w:tcMar>
              <w:top w:w="15" w:type="dxa"/>
              <w:left w:w="15" w:type="dxa"/>
              <w:right w:w="15" w:type="dxa"/>
            </w:tcMar>
            <w:vAlign w:val="bottom"/>
          </w:tcPr>
          <w:p w14:paraId="438943CD">
            <w:pPr>
              <w:pStyle w:val="34"/>
              <w:jc w:val="center"/>
            </w:pPr>
            <w:r>
              <w:t>7</w:t>
            </w:r>
          </w:p>
        </w:tc>
        <w:tc>
          <w:tcPr>
            <w:tcW w:w="0" w:type="auto"/>
            <w:shd w:val="clear" w:color="auto" w:fill="auto"/>
            <w:noWrap/>
            <w:tcMar>
              <w:top w:w="15" w:type="dxa"/>
              <w:left w:w="15" w:type="dxa"/>
              <w:right w:w="15" w:type="dxa"/>
            </w:tcMar>
            <w:vAlign w:val="bottom"/>
          </w:tcPr>
          <w:p w14:paraId="16BC1F7E">
            <w:pPr>
              <w:pStyle w:val="34"/>
              <w:jc w:val="center"/>
            </w:pPr>
            <w:r>
              <w:t>137</w:t>
            </w:r>
          </w:p>
        </w:tc>
        <w:tc>
          <w:tcPr>
            <w:tcW w:w="0" w:type="auto"/>
            <w:shd w:val="clear" w:color="auto" w:fill="auto"/>
            <w:noWrap/>
            <w:tcMar>
              <w:top w:w="15" w:type="dxa"/>
              <w:left w:w="15" w:type="dxa"/>
              <w:right w:w="15" w:type="dxa"/>
            </w:tcMar>
            <w:vAlign w:val="bottom"/>
          </w:tcPr>
          <w:p w14:paraId="14F13559">
            <w:pPr>
              <w:pStyle w:val="34"/>
              <w:jc w:val="center"/>
            </w:pPr>
            <w:r>
              <w:t>137</w:t>
            </w:r>
          </w:p>
        </w:tc>
        <w:tc>
          <w:tcPr>
            <w:tcW w:w="0" w:type="auto"/>
            <w:shd w:val="clear" w:color="auto" w:fill="auto"/>
            <w:noWrap/>
            <w:tcMar>
              <w:top w:w="15" w:type="dxa"/>
              <w:left w:w="15" w:type="dxa"/>
              <w:right w:w="15" w:type="dxa"/>
            </w:tcMar>
            <w:vAlign w:val="bottom"/>
          </w:tcPr>
          <w:p w14:paraId="000C1631">
            <w:pPr>
              <w:pStyle w:val="34"/>
              <w:jc w:val="center"/>
            </w:pPr>
            <w:r>
              <w:t>15</w:t>
            </w:r>
          </w:p>
        </w:tc>
        <w:tc>
          <w:tcPr>
            <w:tcW w:w="0" w:type="auto"/>
            <w:shd w:val="clear" w:color="auto" w:fill="auto"/>
            <w:noWrap/>
            <w:tcMar>
              <w:top w:w="15" w:type="dxa"/>
              <w:left w:w="15" w:type="dxa"/>
              <w:right w:w="15" w:type="dxa"/>
            </w:tcMar>
            <w:vAlign w:val="bottom"/>
          </w:tcPr>
          <w:p w14:paraId="1073940C">
            <w:pPr>
              <w:pStyle w:val="34"/>
              <w:jc w:val="center"/>
            </w:pPr>
            <w:r>
              <w:t>35</w:t>
            </w:r>
          </w:p>
        </w:tc>
        <w:tc>
          <w:tcPr>
            <w:tcW w:w="0" w:type="auto"/>
            <w:shd w:val="clear" w:color="auto" w:fill="auto"/>
            <w:noWrap/>
            <w:tcMar>
              <w:top w:w="15" w:type="dxa"/>
              <w:left w:w="15" w:type="dxa"/>
              <w:right w:w="15" w:type="dxa"/>
            </w:tcMar>
            <w:vAlign w:val="bottom"/>
          </w:tcPr>
          <w:p w14:paraId="1DE00629">
            <w:pPr>
              <w:pStyle w:val="34"/>
              <w:jc w:val="center"/>
            </w:pPr>
            <w:r>
              <w:t>167</w:t>
            </w:r>
          </w:p>
        </w:tc>
        <w:tc>
          <w:tcPr>
            <w:tcW w:w="0" w:type="auto"/>
            <w:shd w:val="clear" w:color="auto" w:fill="auto"/>
            <w:noWrap/>
            <w:tcMar>
              <w:top w:w="15" w:type="dxa"/>
              <w:left w:w="15" w:type="dxa"/>
              <w:right w:w="15" w:type="dxa"/>
            </w:tcMar>
            <w:vAlign w:val="bottom"/>
          </w:tcPr>
          <w:p w14:paraId="67F8BA0B">
            <w:pPr>
              <w:pStyle w:val="34"/>
              <w:jc w:val="center"/>
            </w:pPr>
            <w:r>
              <w:t>152</w:t>
            </w:r>
          </w:p>
        </w:tc>
        <w:tc>
          <w:tcPr>
            <w:tcW w:w="0" w:type="auto"/>
            <w:tcBorders>
              <w:right w:val="nil"/>
            </w:tcBorders>
            <w:shd w:val="clear" w:color="auto" w:fill="auto"/>
            <w:noWrap/>
            <w:tcMar>
              <w:top w:w="15" w:type="dxa"/>
              <w:left w:w="15" w:type="dxa"/>
              <w:right w:w="15" w:type="dxa"/>
            </w:tcMar>
            <w:vAlign w:val="bottom"/>
          </w:tcPr>
          <w:p w14:paraId="0897BC87">
            <w:pPr>
              <w:pStyle w:val="34"/>
              <w:jc w:val="center"/>
            </w:pPr>
            <w:r>
              <w:rPr>
                <w:rFonts w:hint="eastAsia"/>
              </w:rPr>
              <w:t>52</w:t>
            </w:r>
          </w:p>
        </w:tc>
      </w:tr>
      <w:tr w14:paraId="1DE79975">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0" w:type="auto"/>
            <w:tcBorders>
              <w:left w:val="nil"/>
            </w:tcBorders>
            <w:shd w:val="clear" w:color="auto" w:fill="auto"/>
            <w:noWrap/>
            <w:tcMar>
              <w:top w:w="15" w:type="dxa"/>
              <w:left w:w="15" w:type="dxa"/>
              <w:right w:w="15" w:type="dxa"/>
            </w:tcMar>
            <w:vAlign w:val="bottom"/>
          </w:tcPr>
          <w:p w14:paraId="54E19F8D">
            <w:pPr>
              <w:pStyle w:val="34"/>
              <w:jc w:val="center"/>
            </w:pPr>
            <w:r>
              <w:rPr>
                <w:rFonts w:hint="eastAsia"/>
              </w:rPr>
              <w:t>横江水库灌区</w:t>
            </w:r>
          </w:p>
        </w:tc>
        <w:tc>
          <w:tcPr>
            <w:tcW w:w="0" w:type="auto"/>
            <w:shd w:val="clear" w:color="auto" w:fill="auto"/>
            <w:noWrap/>
            <w:tcMar>
              <w:top w:w="15" w:type="dxa"/>
              <w:left w:w="15" w:type="dxa"/>
              <w:right w:w="15" w:type="dxa"/>
            </w:tcMar>
            <w:vAlign w:val="bottom"/>
          </w:tcPr>
          <w:p w14:paraId="485FB61E">
            <w:pPr>
              <w:pStyle w:val="34"/>
              <w:jc w:val="center"/>
            </w:pPr>
            <w:r>
              <w:t>南雄市珠玑镇</w:t>
            </w:r>
          </w:p>
        </w:tc>
        <w:tc>
          <w:tcPr>
            <w:tcW w:w="0" w:type="auto"/>
            <w:shd w:val="clear" w:color="auto" w:fill="auto"/>
            <w:noWrap/>
            <w:tcMar>
              <w:top w:w="15" w:type="dxa"/>
              <w:left w:w="15" w:type="dxa"/>
              <w:right w:w="15" w:type="dxa"/>
            </w:tcMar>
            <w:vAlign w:val="bottom"/>
          </w:tcPr>
          <w:p w14:paraId="486BA6D1">
            <w:pPr>
              <w:pStyle w:val="34"/>
              <w:jc w:val="center"/>
            </w:pPr>
            <w:r>
              <w:t>3</w:t>
            </w:r>
          </w:p>
        </w:tc>
        <w:tc>
          <w:tcPr>
            <w:tcW w:w="0" w:type="auto"/>
            <w:shd w:val="clear" w:color="auto" w:fill="auto"/>
            <w:noWrap/>
            <w:tcMar>
              <w:top w:w="15" w:type="dxa"/>
              <w:left w:w="15" w:type="dxa"/>
              <w:right w:w="15" w:type="dxa"/>
            </w:tcMar>
            <w:vAlign w:val="bottom"/>
          </w:tcPr>
          <w:p w14:paraId="39EBE652">
            <w:pPr>
              <w:pStyle w:val="34"/>
              <w:jc w:val="center"/>
            </w:pPr>
          </w:p>
        </w:tc>
        <w:tc>
          <w:tcPr>
            <w:tcW w:w="0" w:type="auto"/>
            <w:shd w:val="clear" w:color="auto" w:fill="auto"/>
            <w:noWrap/>
            <w:tcMar>
              <w:top w:w="15" w:type="dxa"/>
              <w:left w:w="15" w:type="dxa"/>
              <w:right w:w="15" w:type="dxa"/>
            </w:tcMar>
            <w:vAlign w:val="bottom"/>
          </w:tcPr>
          <w:p w14:paraId="792F9365">
            <w:pPr>
              <w:pStyle w:val="34"/>
              <w:jc w:val="center"/>
            </w:pPr>
            <w:r>
              <w:t>2.5</w:t>
            </w:r>
          </w:p>
        </w:tc>
        <w:tc>
          <w:tcPr>
            <w:tcW w:w="0" w:type="auto"/>
            <w:shd w:val="clear" w:color="auto" w:fill="auto"/>
            <w:noWrap/>
            <w:tcMar>
              <w:top w:w="15" w:type="dxa"/>
              <w:left w:w="15" w:type="dxa"/>
              <w:right w:w="15" w:type="dxa"/>
            </w:tcMar>
            <w:vAlign w:val="bottom"/>
          </w:tcPr>
          <w:p w14:paraId="4861171C">
            <w:pPr>
              <w:pStyle w:val="34"/>
              <w:jc w:val="center"/>
            </w:pPr>
            <w:r>
              <w:t>2.34</w:t>
            </w:r>
          </w:p>
        </w:tc>
        <w:tc>
          <w:tcPr>
            <w:tcW w:w="0" w:type="auto"/>
            <w:shd w:val="clear" w:color="auto" w:fill="auto"/>
            <w:noWrap/>
            <w:tcMar>
              <w:top w:w="15" w:type="dxa"/>
              <w:left w:w="15" w:type="dxa"/>
              <w:right w:w="15" w:type="dxa"/>
            </w:tcMar>
            <w:vAlign w:val="bottom"/>
          </w:tcPr>
          <w:p w14:paraId="67AAF5A2">
            <w:pPr>
              <w:pStyle w:val="34"/>
              <w:jc w:val="center"/>
            </w:pPr>
            <w:r>
              <w:t>90</w:t>
            </w:r>
          </w:p>
        </w:tc>
        <w:tc>
          <w:tcPr>
            <w:tcW w:w="0" w:type="auto"/>
            <w:shd w:val="clear" w:color="auto" w:fill="auto"/>
            <w:noWrap/>
            <w:tcMar>
              <w:top w:w="15" w:type="dxa"/>
              <w:left w:w="15" w:type="dxa"/>
              <w:right w:w="15" w:type="dxa"/>
            </w:tcMar>
            <w:vAlign w:val="bottom"/>
          </w:tcPr>
          <w:p w14:paraId="7E2640F4">
            <w:pPr>
              <w:pStyle w:val="34"/>
              <w:jc w:val="center"/>
            </w:pPr>
            <w:r>
              <w:t>75</w:t>
            </w:r>
          </w:p>
        </w:tc>
        <w:tc>
          <w:tcPr>
            <w:tcW w:w="0" w:type="auto"/>
            <w:shd w:val="clear" w:color="auto" w:fill="auto"/>
            <w:noWrap/>
            <w:tcMar>
              <w:top w:w="15" w:type="dxa"/>
              <w:left w:w="15" w:type="dxa"/>
              <w:right w:w="15" w:type="dxa"/>
            </w:tcMar>
            <w:vAlign w:val="bottom"/>
          </w:tcPr>
          <w:p w14:paraId="6D611766">
            <w:pPr>
              <w:pStyle w:val="34"/>
              <w:jc w:val="center"/>
            </w:pPr>
            <w:r>
              <w:t>0.42</w:t>
            </w:r>
          </w:p>
        </w:tc>
        <w:tc>
          <w:tcPr>
            <w:tcW w:w="0" w:type="auto"/>
            <w:shd w:val="clear" w:color="auto" w:fill="auto"/>
            <w:noWrap/>
            <w:tcMar>
              <w:top w:w="15" w:type="dxa"/>
              <w:left w:w="15" w:type="dxa"/>
              <w:right w:w="15" w:type="dxa"/>
            </w:tcMar>
            <w:vAlign w:val="bottom"/>
          </w:tcPr>
          <w:p w14:paraId="45684E64">
            <w:pPr>
              <w:pStyle w:val="34"/>
              <w:jc w:val="center"/>
            </w:pPr>
            <w:r>
              <w:t>120</w:t>
            </w:r>
          </w:p>
        </w:tc>
        <w:tc>
          <w:tcPr>
            <w:tcW w:w="0" w:type="auto"/>
            <w:shd w:val="clear" w:color="auto" w:fill="auto"/>
            <w:noWrap/>
            <w:tcMar>
              <w:top w:w="15" w:type="dxa"/>
              <w:left w:w="15" w:type="dxa"/>
              <w:right w:w="15" w:type="dxa"/>
            </w:tcMar>
            <w:vAlign w:val="bottom"/>
          </w:tcPr>
          <w:p w14:paraId="37912D13">
            <w:pPr>
              <w:pStyle w:val="34"/>
              <w:jc w:val="center"/>
            </w:pPr>
            <w:r>
              <w:t>87.5</w:t>
            </w:r>
          </w:p>
        </w:tc>
        <w:tc>
          <w:tcPr>
            <w:tcW w:w="0" w:type="auto"/>
            <w:shd w:val="clear" w:color="auto" w:fill="auto"/>
            <w:noWrap/>
            <w:tcMar>
              <w:top w:w="15" w:type="dxa"/>
              <w:left w:w="15" w:type="dxa"/>
              <w:right w:w="15" w:type="dxa"/>
            </w:tcMar>
            <w:vAlign w:val="bottom"/>
          </w:tcPr>
          <w:p w14:paraId="26BB38E5">
            <w:pPr>
              <w:pStyle w:val="34"/>
              <w:jc w:val="center"/>
            </w:pPr>
            <w:r>
              <w:t>9</w:t>
            </w:r>
          </w:p>
        </w:tc>
        <w:tc>
          <w:tcPr>
            <w:tcW w:w="0" w:type="auto"/>
            <w:shd w:val="clear" w:color="auto" w:fill="auto"/>
            <w:noWrap/>
            <w:tcMar>
              <w:top w:w="15" w:type="dxa"/>
              <w:left w:w="15" w:type="dxa"/>
              <w:right w:w="15" w:type="dxa"/>
            </w:tcMar>
            <w:vAlign w:val="bottom"/>
          </w:tcPr>
          <w:p w14:paraId="4387B875">
            <w:pPr>
              <w:pStyle w:val="34"/>
              <w:jc w:val="center"/>
            </w:pPr>
            <w:r>
              <w:t>66</w:t>
            </w:r>
          </w:p>
        </w:tc>
        <w:tc>
          <w:tcPr>
            <w:tcW w:w="0" w:type="auto"/>
            <w:shd w:val="clear" w:color="auto" w:fill="auto"/>
            <w:noWrap/>
            <w:tcMar>
              <w:top w:w="15" w:type="dxa"/>
              <w:left w:w="15" w:type="dxa"/>
              <w:right w:w="15" w:type="dxa"/>
            </w:tcMar>
            <w:vAlign w:val="bottom"/>
          </w:tcPr>
          <w:p w14:paraId="3FB03858">
            <w:pPr>
              <w:pStyle w:val="34"/>
              <w:jc w:val="center"/>
            </w:pPr>
            <w:r>
              <w:t>15</w:t>
            </w:r>
          </w:p>
        </w:tc>
        <w:tc>
          <w:tcPr>
            <w:tcW w:w="0" w:type="auto"/>
            <w:shd w:val="clear" w:color="auto" w:fill="auto"/>
            <w:noWrap/>
            <w:tcMar>
              <w:top w:w="15" w:type="dxa"/>
              <w:left w:w="15" w:type="dxa"/>
              <w:right w:w="15" w:type="dxa"/>
            </w:tcMar>
            <w:vAlign w:val="bottom"/>
          </w:tcPr>
          <w:p w14:paraId="281925E9">
            <w:pPr>
              <w:pStyle w:val="34"/>
              <w:jc w:val="center"/>
            </w:pPr>
            <w:r>
              <w:t>15</w:t>
            </w:r>
          </w:p>
        </w:tc>
        <w:tc>
          <w:tcPr>
            <w:tcW w:w="0" w:type="auto"/>
            <w:shd w:val="clear" w:color="auto" w:fill="auto"/>
            <w:noWrap/>
            <w:tcMar>
              <w:top w:w="15" w:type="dxa"/>
              <w:left w:w="15" w:type="dxa"/>
              <w:right w:w="15" w:type="dxa"/>
            </w:tcMar>
            <w:vAlign w:val="bottom"/>
          </w:tcPr>
          <w:p w14:paraId="1835DC00">
            <w:pPr>
              <w:pStyle w:val="34"/>
              <w:jc w:val="center"/>
            </w:pPr>
            <w:r>
              <w:t>1</w:t>
            </w:r>
          </w:p>
        </w:tc>
        <w:tc>
          <w:tcPr>
            <w:tcW w:w="0" w:type="auto"/>
            <w:shd w:val="clear" w:color="auto" w:fill="auto"/>
            <w:noWrap/>
            <w:tcMar>
              <w:top w:w="15" w:type="dxa"/>
              <w:left w:w="15" w:type="dxa"/>
              <w:right w:w="15" w:type="dxa"/>
            </w:tcMar>
            <w:vAlign w:val="bottom"/>
          </w:tcPr>
          <w:p w14:paraId="7064C05D">
            <w:pPr>
              <w:pStyle w:val="34"/>
              <w:jc w:val="center"/>
            </w:pPr>
            <w:r>
              <w:t>51</w:t>
            </w:r>
          </w:p>
        </w:tc>
        <w:tc>
          <w:tcPr>
            <w:tcW w:w="0" w:type="auto"/>
            <w:shd w:val="clear" w:color="auto" w:fill="auto"/>
            <w:noWrap/>
            <w:tcMar>
              <w:top w:w="15" w:type="dxa"/>
              <w:left w:w="15" w:type="dxa"/>
              <w:right w:w="15" w:type="dxa"/>
            </w:tcMar>
            <w:vAlign w:val="bottom"/>
          </w:tcPr>
          <w:p w14:paraId="2DC56EB0">
            <w:pPr>
              <w:pStyle w:val="34"/>
              <w:jc w:val="center"/>
            </w:pPr>
            <w:r>
              <w:t>75</w:t>
            </w:r>
          </w:p>
        </w:tc>
        <w:tc>
          <w:tcPr>
            <w:tcW w:w="0" w:type="auto"/>
            <w:shd w:val="clear" w:color="auto" w:fill="auto"/>
            <w:noWrap/>
            <w:tcMar>
              <w:top w:w="15" w:type="dxa"/>
              <w:left w:w="15" w:type="dxa"/>
              <w:right w:w="15" w:type="dxa"/>
            </w:tcMar>
            <w:vAlign w:val="bottom"/>
          </w:tcPr>
          <w:p w14:paraId="59D5A84B">
            <w:pPr>
              <w:pStyle w:val="34"/>
              <w:jc w:val="center"/>
            </w:pPr>
            <w:r>
              <w:t>61</w:t>
            </w:r>
          </w:p>
        </w:tc>
        <w:tc>
          <w:tcPr>
            <w:tcW w:w="0" w:type="auto"/>
            <w:tcBorders>
              <w:right w:val="nil"/>
            </w:tcBorders>
            <w:shd w:val="clear" w:color="auto" w:fill="auto"/>
            <w:noWrap/>
            <w:tcMar>
              <w:top w:w="15" w:type="dxa"/>
              <w:left w:w="15" w:type="dxa"/>
              <w:right w:w="15" w:type="dxa"/>
            </w:tcMar>
            <w:vAlign w:val="bottom"/>
          </w:tcPr>
          <w:p w14:paraId="74FF2C40">
            <w:pPr>
              <w:pStyle w:val="34"/>
              <w:jc w:val="center"/>
            </w:pPr>
            <w:r>
              <w:rPr>
                <w:rFonts w:hint="eastAsia"/>
              </w:rPr>
              <w:t>69</w:t>
            </w:r>
          </w:p>
        </w:tc>
      </w:tr>
      <w:tr w14:paraId="5AC494C3">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0" w:type="auto"/>
            <w:tcBorders>
              <w:left w:val="nil"/>
            </w:tcBorders>
            <w:shd w:val="clear" w:color="auto" w:fill="auto"/>
            <w:noWrap/>
            <w:tcMar>
              <w:top w:w="15" w:type="dxa"/>
              <w:left w:w="15" w:type="dxa"/>
              <w:right w:w="15" w:type="dxa"/>
            </w:tcMar>
            <w:vAlign w:val="bottom"/>
          </w:tcPr>
          <w:p w14:paraId="03529BA0">
            <w:pPr>
              <w:pStyle w:val="34"/>
              <w:jc w:val="center"/>
            </w:pPr>
            <w:r>
              <w:rPr>
                <w:rFonts w:hint="eastAsia"/>
              </w:rPr>
              <w:t>宝江水库灌区</w:t>
            </w:r>
          </w:p>
        </w:tc>
        <w:tc>
          <w:tcPr>
            <w:tcW w:w="0" w:type="auto"/>
            <w:shd w:val="clear" w:color="auto" w:fill="auto"/>
            <w:noWrap/>
            <w:tcMar>
              <w:top w:w="15" w:type="dxa"/>
              <w:left w:w="15" w:type="dxa"/>
              <w:right w:w="15" w:type="dxa"/>
            </w:tcMar>
            <w:vAlign w:val="bottom"/>
          </w:tcPr>
          <w:p w14:paraId="3240CE30">
            <w:pPr>
              <w:pStyle w:val="34"/>
              <w:jc w:val="center"/>
            </w:pPr>
            <w:r>
              <w:t>南雄市水口镇</w:t>
            </w:r>
          </w:p>
        </w:tc>
        <w:tc>
          <w:tcPr>
            <w:tcW w:w="0" w:type="auto"/>
            <w:shd w:val="clear" w:color="auto" w:fill="auto"/>
            <w:noWrap/>
            <w:tcMar>
              <w:top w:w="15" w:type="dxa"/>
              <w:left w:w="15" w:type="dxa"/>
              <w:right w:w="15" w:type="dxa"/>
            </w:tcMar>
            <w:vAlign w:val="bottom"/>
          </w:tcPr>
          <w:p w14:paraId="1B351F50">
            <w:pPr>
              <w:pStyle w:val="34"/>
              <w:jc w:val="center"/>
            </w:pPr>
            <w:r>
              <w:t>2</w:t>
            </w:r>
          </w:p>
        </w:tc>
        <w:tc>
          <w:tcPr>
            <w:tcW w:w="0" w:type="auto"/>
            <w:shd w:val="clear" w:color="auto" w:fill="auto"/>
            <w:noWrap/>
            <w:tcMar>
              <w:top w:w="15" w:type="dxa"/>
              <w:left w:w="15" w:type="dxa"/>
              <w:right w:w="15" w:type="dxa"/>
            </w:tcMar>
            <w:vAlign w:val="bottom"/>
          </w:tcPr>
          <w:p w14:paraId="25D0E5E9">
            <w:pPr>
              <w:pStyle w:val="34"/>
              <w:jc w:val="center"/>
            </w:pPr>
            <w:r>
              <w:t>36.5</w:t>
            </w:r>
          </w:p>
        </w:tc>
        <w:tc>
          <w:tcPr>
            <w:tcW w:w="0" w:type="auto"/>
            <w:shd w:val="clear" w:color="auto" w:fill="auto"/>
            <w:noWrap/>
            <w:tcMar>
              <w:top w:w="15" w:type="dxa"/>
              <w:left w:w="15" w:type="dxa"/>
              <w:right w:w="15" w:type="dxa"/>
            </w:tcMar>
            <w:vAlign w:val="bottom"/>
          </w:tcPr>
          <w:p w14:paraId="3969D68E">
            <w:pPr>
              <w:pStyle w:val="34"/>
              <w:jc w:val="center"/>
            </w:pPr>
            <w:r>
              <w:t>1.41</w:t>
            </w:r>
          </w:p>
        </w:tc>
        <w:tc>
          <w:tcPr>
            <w:tcW w:w="0" w:type="auto"/>
            <w:shd w:val="clear" w:color="auto" w:fill="auto"/>
            <w:noWrap/>
            <w:tcMar>
              <w:top w:w="15" w:type="dxa"/>
              <w:left w:w="15" w:type="dxa"/>
              <w:right w:w="15" w:type="dxa"/>
            </w:tcMar>
            <w:vAlign w:val="bottom"/>
          </w:tcPr>
          <w:p w14:paraId="74E24303">
            <w:pPr>
              <w:pStyle w:val="34"/>
              <w:jc w:val="center"/>
            </w:pPr>
            <w:r>
              <w:t>0.83</w:t>
            </w:r>
          </w:p>
        </w:tc>
        <w:tc>
          <w:tcPr>
            <w:tcW w:w="0" w:type="auto"/>
            <w:shd w:val="clear" w:color="auto" w:fill="auto"/>
            <w:noWrap/>
            <w:tcMar>
              <w:top w:w="15" w:type="dxa"/>
              <w:left w:w="15" w:type="dxa"/>
              <w:right w:w="15" w:type="dxa"/>
            </w:tcMar>
            <w:vAlign w:val="bottom"/>
          </w:tcPr>
          <w:p w14:paraId="0F69832F">
            <w:pPr>
              <w:pStyle w:val="34"/>
              <w:jc w:val="center"/>
            </w:pPr>
            <w:r>
              <w:t>90</w:t>
            </w:r>
          </w:p>
        </w:tc>
        <w:tc>
          <w:tcPr>
            <w:tcW w:w="0" w:type="auto"/>
            <w:shd w:val="clear" w:color="auto" w:fill="auto"/>
            <w:noWrap/>
            <w:tcMar>
              <w:top w:w="15" w:type="dxa"/>
              <w:left w:w="15" w:type="dxa"/>
              <w:right w:w="15" w:type="dxa"/>
            </w:tcMar>
            <w:vAlign w:val="bottom"/>
          </w:tcPr>
          <w:p w14:paraId="67ADC57E">
            <w:pPr>
              <w:pStyle w:val="34"/>
              <w:jc w:val="center"/>
            </w:pPr>
            <w:r>
              <w:t>90</w:t>
            </w:r>
          </w:p>
        </w:tc>
        <w:tc>
          <w:tcPr>
            <w:tcW w:w="0" w:type="auto"/>
            <w:shd w:val="clear" w:color="auto" w:fill="auto"/>
            <w:noWrap/>
            <w:tcMar>
              <w:top w:w="15" w:type="dxa"/>
              <w:left w:w="15" w:type="dxa"/>
              <w:right w:w="15" w:type="dxa"/>
            </w:tcMar>
            <w:vAlign w:val="bottom"/>
          </w:tcPr>
          <w:p w14:paraId="6EA5937A">
            <w:pPr>
              <w:pStyle w:val="34"/>
              <w:jc w:val="center"/>
            </w:pPr>
            <w:r>
              <w:t>0.47</w:t>
            </w:r>
          </w:p>
        </w:tc>
        <w:tc>
          <w:tcPr>
            <w:tcW w:w="0" w:type="auto"/>
            <w:shd w:val="clear" w:color="auto" w:fill="auto"/>
            <w:noWrap/>
            <w:tcMar>
              <w:top w:w="15" w:type="dxa"/>
              <w:left w:w="15" w:type="dxa"/>
              <w:right w:w="15" w:type="dxa"/>
            </w:tcMar>
            <w:vAlign w:val="bottom"/>
          </w:tcPr>
          <w:p w14:paraId="6D2932C4">
            <w:pPr>
              <w:pStyle w:val="34"/>
              <w:jc w:val="center"/>
            </w:pPr>
            <w:r>
              <w:t>49</w:t>
            </w:r>
          </w:p>
        </w:tc>
        <w:tc>
          <w:tcPr>
            <w:tcW w:w="0" w:type="auto"/>
            <w:shd w:val="clear" w:color="auto" w:fill="auto"/>
            <w:noWrap/>
            <w:tcMar>
              <w:top w:w="15" w:type="dxa"/>
              <w:left w:w="15" w:type="dxa"/>
              <w:right w:w="15" w:type="dxa"/>
            </w:tcMar>
            <w:vAlign w:val="bottom"/>
          </w:tcPr>
          <w:p w14:paraId="2B01766F">
            <w:pPr>
              <w:pStyle w:val="34"/>
              <w:jc w:val="center"/>
            </w:pPr>
            <w:r>
              <w:t>32</w:t>
            </w:r>
          </w:p>
        </w:tc>
        <w:tc>
          <w:tcPr>
            <w:tcW w:w="0" w:type="auto"/>
            <w:shd w:val="clear" w:color="auto" w:fill="auto"/>
            <w:noWrap/>
            <w:tcMar>
              <w:top w:w="15" w:type="dxa"/>
              <w:left w:w="15" w:type="dxa"/>
              <w:right w:w="15" w:type="dxa"/>
            </w:tcMar>
            <w:vAlign w:val="bottom"/>
          </w:tcPr>
          <w:p w14:paraId="6660267C">
            <w:pPr>
              <w:pStyle w:val="34"/>
              <w:jc w:val="center"/>
            </w:pPr>
            <w:r>
              <w:t>5</w:t>
            </w:r>
          </w:p>
        </w:tc>
        <w:tc>
          <w:tcPr>
            <w:tcW w:w="0" w:type="auto"/>
            <w:shd w:val="clear" w:color="auto" w:fill="auto"/>
            <w:noWrap/>
            <w:tcMar>
              <w:top w:w="15" w:type="dxa"/>
              <w:left w:w="15" w:type="dxa"/>
              <w:right w:w="15" w:type="dxa"/>
            </w:tcMar>
            <w:vAlign w:val="bottom"/>
          </w:tcPr>
          <w:p w14:paraId="11D365D0">
            <w:pPr>
              <w:pStyle w:val="34"/>
              <w:jc w:val="center"/>
            </w:pPr>
            <w:r>
              <w:t>70</w:t>
            </w:r>
          </w:p>
        </w:tc>
        <w:tc>
          <w:tcPr>
            <w:tcW w:w="0" w:type="auto"/>
            <w:shd w:val="clear" w:color="auto" w:fill="auto"/>
            <w:noWrap/>
            <w:tcMar>
              <w:top w:w="15" w:type="dxa"/>
              <w:left w:w="15" w:type="dxa"/>
              <w:right w:w="15" w:type="dxa"/>
            </w:tcMar>
            <w:vAlign w:val="bottom"/>
          </w:tcPr>
          <w:p w14:paraId="6B0F8A93">
            <w:pPr>
              <w:pStyle w:val="34"/>
              <w:jc w:val="center"/>
            </w:pPr>
            <w:r>
              <w:t>25</w:t>
            </w:r>
          </w:p>
        </w:tc>
        <w:tc>
          <w:tcPr>
            <w:tcW w:w="0" w:type="auto"/>
            <w:shd w:val="clear" w:color="auto" w:fill="auto"/>
            <w:noWrap/>
            <w:tcMar>
              <w:top w:w="15" w:type="dxa"/>
              <w:left w:w="15" w:type="dxa"/>
              <w:right w:w="15" w:type="dxa"/>
            </w:tcMar>
            <w:vAlign w:val="bottom"/>
          </w:tcPr>
          <w:p w14:paraId="43385202">
            <w:pPr>
              <w:pStyle w:val="34"/>
              <w:jc w:val="center"/>
            </w:pPr>
            <w:r>
              <w:t>21.3</w:t>
            </w:r>
          </w:p>
        </w:tc>
        <w:tc>
          <w:tcPr>
            <w:tcW w:w="0" w:type="auto"/>
            <w:shd w:val="clear" w:color="auto" w:fill="auto"/>
            <w:noWrap/>
            <w:tcMar>
              <w:top w:w="15" w:type="dxa"/>
              <w:left w:w="15" w:type="dxa"/>
              <w:right w:w="15" w:type="dxa"/>
            </w:tcMar>
            <w:vAlign w:val="bottom"/>
          </w:tcPr>
          <w:p w14:paraId="04A078D1">
            <w:pPr>
              <w:pStyle w:val="34"/>
              <w:jc w:val="center"/>
            </w:pPr>
            <w:r>
              <w:t>2</w:t>
            </w:r>
          </w:p>
        </w:tc>
        <w:tc>
          <w:tcPr>
            <w:tcW w:w="0" w:type="auto"/>
            <w:shd w:val="clear" w:color="auto" w:fill="auto"/>
            <w:noWrap/>
            <w:tcMar>
              <w:top w:w="15" w:type="dxa"/>
              <w:left w:w="15" w:type="dxa"/>
              <w:right w:w="15" w:type="dxa"/>
            </w:tcMar>
            <w:vAlign w:val="bottom"/>
          </w:tcPr>
          <w:p w14:paraId="5DA65EAF">
            <w:pPr>
              <w:pStyle w:val="34"/>
              <w:jc w:val="center"/>
            </w:pPr>
            <w:r>
              <w:t>42</w:t>
            </w:r>
          </w:p>
        </w:tc>
        <w:tc>
          <w:tcPr>
            <w:tcW w:w="0" w:type="auto"/>
            <w:shd w:val="clear" w:color="auto" w:fill="auto"/>
            <w:noWrap/>
            <w:tcMar>
              <w:top w:w="15" w:type="dxa"/>
              <w:left w:w="15" w:type="dxa"/>
              <w:right w:w="15" w:type="dxa"/>
            </w:tcMar>
            <w:vAlign w:val="bottom"/>
          </w:tcPr>
          <w:p w14:paraId="4A60F1C1">
            <w:pPr>
              <w:pStyle w:val="34"/>
              <w:jc w:val="center"/>
            </w:pPr>
            <w:r>
              <w:t>85</w:t>
            </w:r>
          </w:p>
        </w:tc>
        <w:tc>
          <w:tcPr>
            <w:tcW w:w="0" w:type="auto"/>
            <w:shd w:val="clear" w:color="auto" w:fill="auto"/>
            <w:noWrap/>
            <w:tcMar>
              <w:top w:w="15" w:type="dxa"/>
              <w:left w:w="15" w:type="dxa"/>
              <w:right w:w="15" w:type="dxa"/>
            </w:tcMar>
            <w:vAlign w:val="bottom"/>
          </w:tcPr>
          <w:p w14:paraId="68028D27">
            <w:pPr>
              <w:pStyle w:val="34"/>
              <w:jc w:val="center"/>
            </w:pPr>
            <w:r>
              <w:t>80</w:t>
            </w:r>
          </w:p>
        </w:tc>
        <w:tc>
          <w:tcPr>
            <w:tcW w:w="0" w:type="auto"/>
            <w:tcBorders>
              <w:right w:val="nil"/>
            </w:tcBorders>
            <w:shd w:val="clear" w:color="auto" w:fill="auto"/>
            <w:noWrap/>
            <w:tcMar>
              <w:top w:w="15" w:type="dxa"/>
              <w:left w:w="15" w:type="dxa"/>
              <w:right w:w="15" w:type="dxa"/>
            </w:tcMar>
            <w:vAlign w:val="bottom"/>
          </w:tcPr>
          <w:p w14:paraId="69E95147">
            <w:pPr>
              <w:pStyle w:val="34"/>
              <w:jc w:val="center"/>
            </w:pPr>
            <w:r>
              <w:rPr>
                <w:rFonts w:hint="eastAsia"/>
              </w:rPr>
              <w:t>69</w:t>
            </w:r>
          </w:p>
        </w:tc>
      </w:tr>
      <w:tr w14:paraId="1A131D2D">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0" w:type="auto"/>
            <w:tcBorders>
              <w:left w:val="nil"/>
            </w:tcBorders>
            <w:shd w:val="clear" w:color="auto" w:fill="auto"/>
            <w:noWrap/>
            <w:tcMar>
              <w:top w:w="15" w:type="dxa"/>
              <w:left w:w="15" w:type="dxa"/>
              <w:right w:w="15" w:type="dxa"/>
            </w:tcMar>
            <w:vAlign w:val="bottom"/>
          </w:tcPr>
          <w:p w14:paraId="0962B5BE">
            <w:pPr>
              <w:pStyle w:val="34"/>
              <w:jc w:val="center"/>
            </w:pPr>
            <w:r>
              <w:rPr>
                <w:rFonts w:hint="eastAsia"/>
              </w:rPr>
              <w:t>瀑布水库灌区</w:t>
            </w:r>
          </w:p>
        </w:tc>
        <w:tc>
          <w:tcPr>
            <w:tcW w:w="0" w:type="auto"/>
            <w:shd w:val="clear" w:color="auto" w:fill="auto"/>
            <w:noWrap/>
            <w:tcMar>
              <w:top w:w="15" w:type="dxa"/>
              <w:left w:w="15" w:type="dxa"/>
              <w:right w:w="15" w:type="dxa"/>
            </w:tcMar>
            <w:vAlign w:val="bottom"/>
          </w:tcPr>
          <w:p w14:paraId="2CD2244A">
            <w:pPr>
              <w:pStyle w:val="34"/>
              <w:jc w:val="center"/>
            </w:pPr>
            <w:r>
              <w:t>南雄市主田镇</w:t>
            </w:r>
          </w:p>
        </w:tc>
        <w:tc>
          <w:tcPr>
            <w:tcW w:w="0" w:type="auto"/>
            <w:shd w:val="clear" w:color="auto" w:fill="auto"/>
            <w:noWrap/>
            <w:tcMar>
              <w:top w:w="15" w:type="dxa"/>
              <w:left w:w="15" w:type="dxa"/>
              <w:right w:w="15" w:type="dxa"/>
            </w:tcMar>
            <w:vAlign w:val="bottom"/>
          </w:tcPr>
          <w:p w14:paraId="32B953C1">
            <w:pPr>
              <w:pStyle w:val="34"/>
              <w:jc w:val="center"/>
            </w:pPr>
            <w:r>
              <w:t>3</w:t>
            </w:r>
          </w:p>
        </w:tc>
        <w:tc>
          <w:tcPr>
            <w:tcW w:w="0" w:type="auto"/>
            <w:shd w:val="clear" w:color="auto" w:fill="auto"/>
            <w:noWrap/>
            <w:tcMar>
              <w:top w:w="15" w:type="dxa"/>
              <w:left w:w="15" w:type="dxa"/>
              <w:right w:w="15" w:type="dxa"/>
            </w:tcMar>
            <w:vAlign w:val="bottom"/>
          </w:tcPr>
          <w:p w14:paraId="3CC0375E">
            <w:pPr>
              <w:pStyle w:val="34"/>
              <w:jc w:val="center"/>
            </w:pPr>
            <w:r>
              <w:t>1000</w:t>
            </w:r>
          </w:p>
        </w:tc>
        <w:tc>
          <w:tcPr>
            <w:tcW w:w="0" w:type="auto"/>
            <w:shd w:val="clear" w:color="auto" w:fill="auto"/>
            <w:noWrap/>
            <w:tcMar>
              <w:top w:w="15" w:type="dxa"/>
              <w:left w:w="15" w:type="dxa"/>
              <w:right w:w="15" w:type="dxa"/>
            </w:tcMar>
            <w:vAlign w:val="bottom"/>
          </w:tcPr>
          <w:p w14:paraId="163DA7D8">
            <w:pPr>
              <w:pStyle w:val="34"/>
              <w:jc w:val="center"/>
            </w:pPr>
            <w:r>
              <w:t>2.5</w:t>
            </w:r>
          </w:p>
        </w:tc>
        <w:tc>
          <w:tcPr>
            <w:tcW w:w="0" w:type="auto"/>
            <w:shd w:val="clear" w:color="auto" w:fill="auto"/>
            <w:noWrap/>
            <w:tcMar>
              <w:top w:w="15" w:type="dxa"/>
              <w:left w:w="15" w:type="dxa"/>
              <w:right w:w="15" w:type="dxa"/>
            </w:tcMar>
            <w:vAlign w:val="bottom"/>
          </w:tcPr>
          <w:p w14:paraId="2C637732">
            <w:pPr>
              <w:pStyle w:val="34"/>
              <w:jc w:val="center"/>
            </w:pPr>
            <w:r>
              <w:t>1.5</w:t>
            </w:r>
          </w:p>
        </w:tc>
        <w:tc>
          <w:tcPr>
            <w:tcW w:w="0" w:type="auto"/>
            <w:shd w:val="clear" w:color="auto" w:fill="auto"/>
            <w:noWrap/>
            <w:tcMar>
              <w:top w:w="15" w:type="dxa"/>
              <w:left w:w="15" w:type="dxa"/>
              <w:right w:w="15" w:type="dxa"/>
            </w:tcMar>
            <w:vAlign w:val="bottom"/>
          </w:tcPr>
          <w:p w14:paraId="471E2138">
            <w:pPr>
              <w:pStyle w:val="34"/>
              <w:jc w:val="center"/>
            </w:pPr>
            <w:r>
              <w:t>90</w:t>
            </w:r>
          </w:p>
        </w:tc>
        <w:tc>
          <w:tcPr>
            <w:tcW w:w="0" w:type="auto"/>
            <w:shd w:val="clear" w:color="auto" w:fill="auto"/>
            <w:noWrap/>
            <w:tcMar>
              <w:top w:w="15" w:type="dxa"/>
              <w:left w:w="15" w:type="dxa"/>
              <w:right w:w="15" w:type="dxa"/>
            </w:tcMar>
            <w:vAlign w:val="bottom"/>
          </w:tcPr>
          <w:p w14:paraId="1F9191FF">
            <w:pPr>
              <w:pStyle w:val="34"/>
              <w:jc w:val="center"/>
            </w:pPr>
            <w:r>
              <w:t>7</w:t>
            </w:r>
          </w:p>
        </w:tc>
        <w:tc>
          <w:tcPr>
            <w:tcW w:w="0" w:type="auto"/>
            <w:shd w:val="clear" w:color="auto" w:fill="auto"/>
            <w:noWrap/>
            <w:tcMar>
              <w:top w:w="15" w:type="dxa"/>
              <w:left w:w="15" w:type="dxa"/>
              <w:right w:w="15" w:type="dxa"/>
            </w:tcMar>
            <w:vAlign w:val="bottom"/>
          </w:tcPr>
          <w:p w14:paraId="0B2869B2">
            <w:pPr>
              <w:pStyle w:val="34"/>
              <w:jc w:val="center"/>
            </w:pPr>
            <w:r>
              <w:t>45</w:t>
            </w:r>
          </w:p>
        </w:tc>
        <w:tc>
          <w:tcPr>
            <w:tcW w:w="0" w:type="auto"/>
            <w:shd w:val="clear" w:color="auto" w:fill="auto"/>
            <w:noWrap/>
            <w:tcMar>
              <w:top w:w="15" w:type="dxa"/>
              <w:left w:w="15" w:type="dxa"/>
              <w:right w:w="15" w:type="dxa"/>
            </w:tcMar>
            <w:vAlign w:val="bottom"/>
          </w:tcPr>
          <w:p w14:paraId="3B36F2A1">
            <w:pPr>
              <w:pStyle w:val="34"/>
              <w:jc w:val="center"/>
            </w:pPr>
            <w:r>
              <w:t>101</w:t>
            </w:r>
          </w:p>
        </w:tc>
        <w:tc>
          <w:tcPr>
            <w:tcW w:w="0" w:type="auto"/>
            <w:shd w:val="clear" w:color="auto" w:fill="auto"/>
            <w:noWrap/>
            <w:tcMar>
              <w:top w:w="15" w:type="dxa"/>
              <w:left w:w="15" w:type="dxa"/>
              <w:right w:w="15" w:type="dxa"/>
            </w:tcMar>
            <w:vAlign w:val="bottom"/>
          </w:tcPr>
          <w:p w14:paraId="56A95DFB">
            <w:pPr>
              <w:pStyle w:val="34"/>
              <w:jc w:val="center"/>
            </w:pPr>
            <w:r>
              <w:t>77.6</w:t>
            </w:r>
          </w:p>
        </w:tc>
        <w:tc>
          <w:tcPr>
            <w:tcW w:w="0" w:type="auto"/>
            <w:shd w:val="clear" w:color="auto" w:fill="auto"/>
            <w:noWrap/>
            <w:tcMar>
              <w:top w:w="15" w:type="dxa"/>
              <w:left w:w="15" w:type="dxa"/>
              <w:right w:w="15" w:type="dxa"/>
            </w:tcMar>
            <w:vAlign w:val="bottom"/>
          </w:tcPr>
          <w:p w14:paraId="314CFA6A">
            <w:pPr>
              <w:pStyle w:val="34"/>
              <w:jc w:val="center"/>
            </w:pPr>
            <w:r>
              <w:t>9.8</w:t>
            </w:r>
          </w:p>
        </w:tc>
        <w:tc>
          <w:tcPr>
            <w:tcW w:w="0" w:type="auto"/>
            <w:shd w:val="clear" w:color="auto" w:fill="auto"/>
            <w:noWrap/>
            <w:tcMar>
              <w:top w:w="15" w:type="dxa"/>
              <w:left w:w="15" w:type="dxa"/>
              <w:right w:w="15" w:type="dxa"/>
            </w:tcMar>
            <w:vAlign w:val="bottom"/>
          </w:tcPr>
          <w:p w14:paraId="5EB30115">
            <w:pPr>
              <w:pStyle w:val="34"/>
              <w:jc w:val="center"/>
            </w:pPr>
            <w:r>
              <w:t>67</w:t>
            </w:r>
          </w:p>
        </w:tc>
        <w:tc>
          <w:tcPr>
            <w:tcW w:w="0" w:type="auto"/>
            <w:shd w:val="clear" w:color="auto" w:fill="auto"/>
            <w:noWrap/>
            <w:tcMar>
              <w:top w:w="15" w:type="dxa"/>
              <w:left w:w="15" w:type="dxa"/>
              <w:right w:w="15" w:type="dxa"/>
            </w:tcMar>
            <w:vAlign w:val="bottom"/>
          </w:tcPr>
          <w:p w14:paraId="402A8ED3">
            <w:pPr>
              <w:pStyle w:val="34"/>
              <w:jc w:val="center"/>
            </w:pPr>
            <w:r>
              <w:t>47.4</w:t>
            </w:r>
          </w:p>
        </w:tc>
        <w:tc>
          <w:tcPr>
            <w:tcW w:w="0" w:type="auto"/>
            <w:shd w:val="clear" w:color="auto" w:fill="auto"/>
            <w:noWrap/>
            <w:tcMar>
              <w:top w:w="15" w:type="dxa"/>
              <w:left w:w="15" w:type="dxa"/>
              <w:right w:w="15" w:type="dxa"/>
            </w:tcMar>
            <w:vAlign w:val="bottom"/>
          </w:tcPr>
          <w:p w14:paraId="26E3FB3F">
            <w:pPr>
              <w:pStyle w:val="34"/>
              <w:jc w:val="center"/>
            </w:pPr>
            <w:r>
              <w:t>47.4</w:t>
            </w:r>
          </w:p>
        </w:tc>
        <w:tc>
          <w:tcPr>
            <w:tcW w:w="0" w:type="auto"/>
            <w:shd w:val="clear" w:color="auto" w:fill="auto"/>
            <w:noWrap/>
            <w:tcMar>
              <w:top w:w="15" w:type="dxa"/>
              <w:left w:w="15" w:type="dxa"/>
              <w:right w:w="15" w:type="dxa"/>
            </w:tcMar>
            <w:vAlign w:val="bottom"/>
          </w:tcPr>
          <w:p w14:paraId="62048141">
            <w:pPr>
              <w:pStyle w:val="34"/>
              <w:jc w:val="center"/>
            </w:pPr>
            <w:r>
              <w:t>8</w:t>
            </w:r>
          </w:p>
        </w:tc>
        <w:tc>
          <w:tcPr>
            <w:tcW w:w="0" w:type="auto"/>
            <w:shd w:val="clear" w:color="auto" w:fill="auto"/>
            <w:noWrap/>
            <w:tcMar>
              <w:top w:w="15" w:type="dxa"/>
              <w:left w:w="15" w:type="dxa"/>
              <w:right w:w="15" w:type="dxa"/>
            </w:tcMar>
            <w:vAlign w:val="bottom"/>
          </w:tcPr>
          <w:p w14:paraId="74F0AF62">
            <w:pPr>
              <w:pStyle w:val="34"/>
              <w:jc w:val="center"/>
            </w:pPr>
            <w:r>
              <w:t>40</w:t>
            </w:r>
          </w:p>
        </w:tc>
        <w:tc>
          <w:tcPr>
            <w:tcW w:w="0" w:type="auto"/>
            <w:shd w:val="clear" w:color="auto" w:fill="auto"/>
            <w:noWrap/>
            <w:tcMar>
              <w:top w:w="15" w:type="dxa"/>
              <w:left w:w="15" w:type="dxa"/>
              <w:right w:w="15" w:type="dxa"/>
            </w:tcMar>
            <w:vAlign w:val="bottom"/>
          </w:tcPr>
          <w:p w14:paraId="33921142">
            <w:pPr>
              <w:pStyle w:val="34"/>
              <w:jc w:val="center"/>
            </w:pPr>
            <w:r>
              <w:t>90</w:t>
            </w:r>
          </w:p>
        </w:tc>
        <w:tc>
          <w:tcPr>
            <w:tcW w:w="0" w:type="auto"/>
            <w:shd w:val="clear" w:color="auto" w:fill="auto"/>
            <w:noWrap/>
            <w:tcMar>
              <w:top w:w="15" w:type="dxa"/>
              <w:left w:w="15" w:type="dxa"/>
              <w:right w:w="15" w:type="dxa"/>
            </w:tcMar>
            <w:vAlign w:val="bottom"/>
          </w:tcPr>
          <w:p w14:paraId="3BDE6007">
            <w:pPr>
              <w:pStyle w:val="34"/>
              <w:jc w:val="center"/>
            </w:pPr>
            <w:r>
              <w:t>70</w:t>
            </w:r>
          </w:p>
        </w:tc>
        <w:tc>
          <w:tcPr>
            <w:tcW w:w="0" w:type="auto"/>
            <w:tcBorders>
              <w:right w:val="nil"/>
            </w:tcBorders>
            <w:shd w:val="clear" w:color="auto" w:fill="auto"/>
            <w:noWrap/>
            <w:tcMar>
              <w:top w:w="15" w:type="dxa"/>
              <w:left w:w="15" w:type="dxa"/>
              <w:right w:w="15" w:type="dxa"/>
            </w:tcMar>
            <w:vAlign w:val="bottom"/>
          </w:tcPr>
          <w:p w14:paraId="26C0F90E">
            <w:pPr>
              <w:pStyle w:val="34"/>
              <w:jc w:val="center"/>
            </w:pPr>
            <w:r>
              <w:rPr>
                <w:rFonts w:hint="eastAsia"/>
              </w:rPr>
              <w:t>60</w:t>
            </w:r>
          </w:p>
        </w:tc>
      </w:tr>
      <w:tr w14:paraId="3972D8BF">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0" w:type="auto"/>
            <w:tcBorders>
              <w:left w:val="nil"/>
            </w:tcBorders>
            <w:shd w:val="clear" w:color="auto" w:fill="auto"/>
            <w:noWrap/>
            <w:tcMar>
              <w:top w:w="15" w:type="dxa"/>
              <w:left w:w="15" w:type="dxa"/>
              <w:right w:w="15" w:type="dxa"/>
            </w:tcMar>
            <w:vAlign w:val="bottom"/>
          </w:tcPr>
          <w:p w14:paraId="46E3B8A2">
            <w:pPr>
              <w:pStyle w:val="34"/>
              <w:jc w:val="center"/>
            </w:pPr>
            <w:r>
              <w:rPr>
                <w:rFonts w:hint="eastAsia"/>
              </w:rPr>
              <w:t>乌坭水库灌区</w:t>
            </w:r>
          </w:p>
        </w:tc>
        <w:tc>
          <w:tcPr>
            <w:tcW w:w="0" w:type="auto"/>
            <w:shd w:val="clear" w:color="auto" w:fill="auto"/>
            <w:noWrap/>
            <w:tcMar>
              <w:top w:w="15" w:type="dxa"/>
              <w:left w:w="15" w:type="dxa"/>
              <w:right w:w="15" w:type="dxa"/>
            </w:tcMar>
            <w:vAlign w:val="bottom"/>
          </w:tcPr>
          <w:p w14:paraId="1CD2F4BD">
            <w:pPr>
              <w:pStyle w:val="34"/>
              <w:jc w:val="center"/>
            </w:pPr>
            <w:r>
              <w:t>南雄市珠玑镇</w:t>
            </w:r>
          </w:p>
        </w:tc>
        <w:tc>
          <w:tcPr>
            <w:tcW w:w="0" w:type="auto"/>
            <w:shd w:val="clear" w:color="auto" w:fill="auto"/>
            <w:noWrap/>
            <w:tcMar>
              <w:top w:w="15" w:type="dxa"/>
              <w:left w:w="15" w:type="dxa"/>
              <w:right w:w="15" w:type="dxa"/>
            </w:tcMar>
            <w:vAlign w:val="bottom"/>
          </w:tcPr>
          <w:p w14:paraId="40F4E819">
            <w:pPr>
              <w:pStyle w:val="34"/>
              <w:jc w:val="center"/>
            </w:pPr>
            <w:r>
              <w:t>0.5</w:t>
            </w:r>
          </w:p>
        </w:tc>
        <w:tc>
          <w:tcPr>
            <w:tcW w:w="0" w:type="auto"/>
            <w:shd w:val="clear" w:color="auto" w:fill="auto"/>
            <w:noWrap/>
            <w:tcMar>
              <w:top w:w="15" w:type="dxa"/>
              <w:left w:w="15" w:type="dxa"/>
              <w:right w:w="15" w:type="dxa"/>
            </w:tcMar>
            <w:vAlign w:val="bottom"/>
          </w:tcPr>
          <w:p w14:paraId="658295BB">
            <w:pPr>
              <w:pStyle w:val="34"/>
              <w:jc w:val="center"/>
            </w:pPr>
          </w:p>
        </w:tc>
        <w:tc>
          <w:tcPr>
            <w:tcW w:w="0" w:type="auto"/>
            <w:shd w:val="clear" w:color="auto" w:fill="auto"/>
            <w:noWrap/>
            <w:tcMar>
              <w:top w:w="15" w:type="dxa"/>
              <w:left w:w="15" w:type="dxa"/>
              <w:right w:w="15" w:type="dxa"/>
            </w:tcMar>
            <w:vAlign w:val="bottom"/>
          </w:tcPr>
          <w:p w14:paraId="00BE46CE">
            <w:pPr>
              <w:pStyle w:val="34"/>
              <w:jc w:val="center"/>
            </w:pPr>
            <w:r>
              <w:t>0.7</w:t>
            </w:r>
          </w:p>
        </w:tc>
        <w:tc>
          <w:tcPr>
            <w:tcW w:w="0" w:type="auto"/>
            <w:shd w:val="clear" w:color="auto" w:fill="auto"/>
            <w:noWrap/>
            <w:tcMar>
              <w:top w:w="15" w:type="dxa"/>
              <w:left w:w="15" w:type="dxa"/>
              <w:right w:w="15" w:type="dxa"/>
            </w:tcMar>
            <w:vAlign w:val="bottom"/>
          </w:tcPr>
          <w:p w14:paraId="09BBA65F">
            <w:pPr>
              <w:pStyle w:val="34"/>
              <w:jc w:val="center"/>
            </w:pPr>
            <w:r>
              <w:t>0.3</w:t>
            </w:r>
          </w:p>
        </w:tc>
        <w:tc>
          <w:tcPr>
            <w:tcW w:w="0" w:type="auto"/>
            <w:shd w:val="clear" w:color="auto" w:fill="auto"/>
            <w:noWrap/>
            <w:tcMar>
              <w:top w:w="15" w:type="dxa"/>
              <w:left w:w="15" w:type="dxa"/>
              <w:right w:w="15" w:type="dxa"/>
            </w:tcMar>
            <w:vAlign w:val="bottom"/>
          </w:tcPr>
          <w:p w14:paraId="4B5B7125">
            <w:pPr>
              <w:pStyle w:val="34"/>
              <w:jc w:val="center"/>
            </w:pPr>
            <w:r>
              <w:t>90</w:t>
            </w:r>
          </w:p>
        </w:tc>
        <w:tc>
          <w:tcPr>
            <w:tcW w:w="0" w:type="auto"/>
            <w:shd w:val="clear" w:color="auto" w:fill="auto"/>
            <w:noWrap/>
            <w:tcMar>
              <w:top w:w="15" w:type="dxa"/>
              <w:left w:w="15" w:type="dxa"/>
              <w:right w:w="15" w:type="dxa"/>
            </w:tcMar>
            <w:vAlign w:val="bottom"/>
          </w:tcPr>
          <w:p w14:paraId="498430D6">
            <w:pPr>
              <w:pStyle w:val="34"/>
              <w:jc w:val="center"/>
            </w:pPr>
            <w:r>
              <w:t>75</w:t>
            </w:r>
          </w:p>
        </w:tc>
        <w:tc>
          <w:tcPr>
            <w:tcW w:w="0" w:type="auto"/>
            <w:shd w:val="clear" w:color="auto" w:fill="auto"/>
            <w:noWrap/>
            <w:tcMar>
              <w:top w:w="15" w:type="dxa"/>
              <w:left w:w="15" w:type="dxa"/>
              <w:right w:w="15" w:type="dxa"/>
            </w:tcMar>
            <w:vAlign w:val="bottom"/>
          </w:tcPr>
          <w:p w14:paraId="79CAE5EB">
            <w:pPr>
              <w:pStyle w:val="34"/>
              <w:jc w:val="center"/>
            </w:pPr>
            <w:r>
              <w:t>0.5</w:t>
            </w:r>
          </w:p>
        </w:tc>
        <w:tc>
          <w:tcPr>
            <w:tcW w:w="0" w:type="auto"/>
            <w:shd w:val="clear" w:color="auto" w:fill="auto"/>
            <w:noWrap/>
            <w:tcMar>
              <w:top w:w="15" w:type="dxa"/>
              <w:left w:w="15" w:type="dxa"/>
              <w:right w:w="15" w:type="dxa"/>
            </w:tcMar>
            <w:vAlign w:val="bottom"/>
          </w:tcPr>
          <w:p w14:paraId="1CEF49DA">
            <w:pPr>
              <w:pStyle w:val="34"/>
              <w:jc w:val="center"/>
            </w:pPr>
            <w:r>
              <w:t>27.5</w:t>
            </w:r>
          </w:p>
        </w:tc>
        <w:tc>
          <w:tcPr>
            <w:tcW w:w="0" w:type="auto"/>
            <w:shd w:val="clear" w:color="auto" w:fill="auto"/>
            <w:noWrap/>
            <w:tcMar>
              <w:top w:w="15" w:type="dxa"/>
              <w:left w:w="15" w:type="dxa"/>
              <w:right w:w="15" w:type="dxa"/>
            </w:tcMar>
            <w:vAlign w:val="bottom"/>
          </w:tcPr>
          <w:p w14:paraId="2B9E9ABB">
            <w:pPr>
              <w:pStyle w:val="34"/>
              <w:jc w:val="center"/>
            </w:pPr>
            <w:r>
              <w:t>27.5</w:t>
            </w:r>
          </w:p>
        </w:tc>
        <w:tc>
          <w:tcPr>
            <w:tcW w:w="0" w:type="auto"/>
            <w:shd w:val="clear" w:color="auto" w:fill="auto"/>
            <w:noWrap/>
            <w:tcMar>
              <w:top w:w="15" w:type="dxa"/>
              <w:left w:w="15" w:type="dxa"/>
              <w:right w:w="15" w:type="dxa"/>
            </w:tcMar>
            <w:vAlign w:val="bottom"/>
          </w:tcPr>
          <w:p w14:paraId="1CB869DC">
            <w:pPr>
              <w:pStyle w:val="34"/>
              <w:jc w:val="center"/>
            </w:pPr>
            <w:r>
              <w:t>2</w:t>
            </w:r>
          </w:p>
        </w:tc>
        <w:tc>
          <w:tcPr>
            <w:tcW w:w="0" w:type="auto"/>
            <w:shd w:val="clear" w:color="auto" w:fill="auto"/>
            <w:noWrap/>
            <w:tcMar>
              <w:top w:w="15" w:type="dxa"/>
              <w:left w:w="15" w:type="dxa"/>
              <w:right w:w="15" w:type="dxa"/>
            </w:tcMar>
            <w:vAlign w:val="bottom"/>
          </w:tcPr>
          <w:p w14:paraId="35DB9EAC">
            <w:pPr>
              <w:pStyle w:val="34"/>
              <w:jc w:val="center"/>
            </w:pPr>
            <w:r>
              <w:t>54</w:t>
            </w:r>
          </w:p>
        </w:tc>
        <w:tc>
          <w:tcPr>
            <w:tcW w:w="0" w:type="auto"/>
            <w:shd w:val="clear" w:color="auto" w:fill="auto"/>
            <w:noWrap/>
            <w:tcMar>
              <w:top w:w="15" w:type="dxa"/>
              <w:left w:w="15" w:type="dxa"/>
              <w:right w:w="15" w:type="dxa"/>
            </w:tcMar>
            <w:vAlign w:val="bottom"/>
          </w:tcPr>
          <w:p w14:paraId="2BC696AE">
            <w:pPr>
              <w:pStyle w:val="34"/>
              <w:jc w:val="center"/>
            </w:pPr>
            <w:r>
              <w:t>18</w:t>
            </w:r>
          </w:p>
        </w:tc>
        <w:tc>
          <w:tcPr>
            <w:tcW w:w="0" w:type="auto"/>
            <w:shd w:val="clear" w:color="auto" w:fill="auto"/>
            <w:noWrap/>
            <w:tcMar>
              <w:top w:w="15" w:type="dxa"/>
              <w:left w:w="15" w:type="dxa"/>
              <w:right w:w="15" w:type="dxa"/>
            </w:tcMar>
            <w:vAlign w:val="bottom"/>
          </w:tcPr>
          <w:p w14:paraId="69987631">
            <w:pPr>
              <w:pStyle w:val="34"/>
              <w:jc w:val="center"/>
            </w:pPr>
            <w:r>
              <w:t>18</w:t>
            </w:r>
          </w:p>
        </w:tc>
        <w:tc>
          <w:tcPr>
            <w:tcW w:w="0" w:type="auto"/>
            <w:shd w:val="clear" w:color="auto" w:fill="auto"/>
            <w:noWrap/>
            <w:tcMar>
              <w:top w:w="15" w:type="dxa"/>
              <w:left w:w="15" w:type="dxa"/>
              <w:right w:w="15" w:type="dxa"/>
            </w:tcMar>
            <w:vAlign w:val="bottom"/>
          </w:tcPr>
          <w:p w14:paraId="042074A9">
            <w:pPr>
              <w:pStyle w:val="34"/>
              <w:jc w:val="center"/>
            </w:pPr>
            <w:r>
              <w:t>1</w:t>
            </w:r>
          </w:p>
        </w:tc>
        <w:tc>
          <w:tcPr>
            <w:tcW w:w="0" w:type="auto"/>
            <w:shd w:val="clear" w:color="auto" w:fill="auto"/>
            <w:noWrap/>
            <w:tcMar>
              <w:top w:w="15" w:type="dxa"/>
              <w:left w:w="15" w:type="dxa"/>
              <w:right w:w="15" w:type="dxa"/>
            </w:tcMar>
            <w:vAlign w:val="bottom"/>
          </w:tcPr>
          <w:p w14:paraId="3C0AC235">
            <w:pPr>
              <w:pStyle w:val="34"/>
              <w:jc w:val="center"/>
            </w:pPr>
            <w:r>
              <w:t>46</w:t>
            </w:r>
          </w:p>
        </w:tc>
        <w:tc>
          <w:tcPr>
            <w:tcW w:w="0" w:type="auto"/>
            <w:shd w:val="clear" w:color="auto" w:fill="auto"/>
            <w:noWrap/>
            <w:tcMar>
              <w:top w:w="15" w:type="dxa"/>
              <w:left w:w="15" w:type="dxa"/>
              <w:right w:w="15" w:type="dxa"/>
            </w:tcMar>
            <w:vAlign w:val="bottom"/>
          </w:tcPr>
          <w:p w14:paraId="344BA400">
            <w:pPr>
              <w:pStyle w:val="34"/>
              <w:jc w:val="center"/>
            </w:pPr>
            <w:r>
              <w:t>45</w:t>
            </w:r>
          </w:p>
        </w:tc>
        <w:tc>
          <w:tcPr>
            <w:tcW w:w="0" w:type="auto"/>
            <w:shd w:val="clear" w:color="auto" w:fill="auto"/>
            <w:noWrap/>
            <w:tcMar>
              <w:top w:w="15" w:type="dxa"/>
              <w:left w:w="15" w:type="dxa"/>
              <w:right w:w="15" w:type="dxa"/>
            </w:tcMar>
            <w:vAlign w:val="bottom"/>
          </w:tcPr>
          <w:p w14:paraId="72E6EB9E">
            <w:pPr>
              <w:pStyle w:val="34"/>
              <w:jc w:val="center"/>
            </w:pPr>
            <w:r>
              <w:t>38</w:t>
            </w:r>
          </w:p>
        </w:tc>
        <w:tc>
          <w:tcPr>
            <w:tcW w:w="0" w:type="auto"/>
            <w:tcBorders>
              <w:right w:val="nil"/>
            </w:tcBorders>
            <w:shd w:val="clear" w:color="auto" w:fill="auto"/>
            <w:noWrap/>
            <w:tcMar>
              <w:top w:w="15" w:type="dxa"/>
              <w:left w:w="15" w:type="dxa"/>
              <w:right w:w="15" w:type="dxa"/>
            </w:tcMar>
            <w:vAlign w:val="bottom"/>
          </w:tcPr>
          <w:p w14:paraId="2766688A">
            <w:pPr>
              <w:pStyle w:val="34"/>
              <w:jc w:val="center"/>
            </w:pPr>
            <w:r>
              <w:rPr>
                <w:rFonts w:hint="eastAsia"/>
              </w:rPr>
              <w:t>53</w:t>
            </w:r>
          </w:p>
        </w:tc>
      </w:tr>
      <w:tr w14:paraId="282CBD48">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0" w:type="auto"/>
            <w:tcBorders>
              <w:left w:val="nil"/>
            </w:tcBorders>
            <w:shd w:val="clear" w:color="auto" w:fill="auto"/>
            <w:noWrap/>
            <w:tcMar>
              <w:top w:w="15" w:type="dxa"/>
              <w:left w:w="15" w:type="dxa"/>
              <w:right w:w="15" w:type="dxa"/>
            </w:tcMar>
            <w:vAlign w:val="bottom"/>
          </w:tcPr>
          <w:p w14:paraId="6258EB80">
            <w:pPr>
              <w:pStyle w:val="34"/>
              <w:jc w:val="center"/>
            </w:pPr>
            <w:r>
              <w:rPr>
                <w:rFonts w:hint="eastAsia"/>
              </w:rPr>
              <w:t>同凌陂灌区</w:t>
            </w:r>
          </w:p>
        </w:tc>
        <w:tc>
          <w:tcPr>
            <w:tcW w:w="0" w:type="auto"/>
            <w:shd w:val="clear" w:color="auto" w:fill="auto"/>
            <w:noWrap/>
            <w:tcMar>
              <w:top w:w="15" w:type="dxa"/>
              <w:left w:w="15" w:type="dxa"/>
              <w:right w:w="15" w:type="dxa"/>
            </w:tcMar>
            <w:vAlign w:val="bottom"/>
          </w:tcPr>
          <w:p w14:paraId="4111156A">
            <w:pPr>
              <w:pStyle w:val="34"/>
              <w:jc w:val="center"/>
            </w:pPr>
            <w:r>
              <w:t>南雄市雄州街道</w:t>
            </w:r>
          </w:p>
        </w:tc>
        <w:tc>
          <w:tcPr>
            <w:tcW w:w="0" w:type="auto"/>
            <w:shd w:val="clear" w:color="auto" w:fill="auto"/>
            <w:noWrap/>
            <w:tcMar>
              <w:top w:w="15" w:type="dxa"/>
              <w:left w:w="15" w:type="dxa"/>
              <w:right w:w="15" w:type="dxa"/>
            </w:tcMar>
            <w:vAlign w:val="bottom"/>
          </w:tcPr>
          <w:p w14:paraId="36C84298">
            <w:pPr>
              <w:pStyle w:val="34"/>
              <w:jc w:val="center"/>
            </w:pPr>
            <w:r>
              <w:t>0.75</w:t>
            </w:r>
          </w:p>
        </w:tc>
        <w:tc>
          <w:tcPr>
            <w:tcW w:w="0" w:type="auto"/>
            <w:shd w:val="clear" w:color="auto" w:fill="auto"/>
            <w:noWrap/>
            <w:tcMar>
              <w:top w:w="15" w:type="dxa"/>
              <w:left w:w="15" w:type="dxa"/>
              <w:right w:w="15" w:type="dxa"/>
            </w:tcMar>
            <w:vAlign w:val="bottom"/>
          </w:tcPr>
          <w:p w14:paraId="4BDB8A48">
            <w:pPr>
              <w:pStyle w:val="34"/>
              <w:jc w:val="center"/>
            </w:pPr>
          </w:p>
        </w:tc>
        <w:tc>
          <w:tcPr>
            <w:tcW w:w="0" w:type="auto"/>
            <w:shd w:val="clear" w:color="auto" w:fill="auto"/>
            <w:noWrap/>
            <w:tcMar>
              <w:top w:w="15" w:type="dxa"/>
              <w:left w:w="15" w:type="dxa"/>
              <w:right w:w="15" w:type="dxa"/>
            </w:tcMar>
            <w:vAlign w:val="bottom"/>
          </w:tcPr>
          <w:p w14:paraId="7E7BFF70">
            <w:pPr>
              <w:pStyle w:val="34"/>
              <w:jc w:val="center"/>
            </w:pPr>
            <w:r>
              <w:t>0.5</w:t>
            </w:r>
          </w:p>
        </w:tc>
        <w:tc>
          <w:tcPr>
            <w:tcW w:w="0" w:type="auto"/>
            <w:shd w:val="clear" w:color="auto" w:fill="auto"/>
            <w:noWrap/>
            <w:tcMar>
              <w:top w:w="15" w:type="dxa"/>
              <w:left w:w="15" w:type="dxa"/>
              <w:right w:w="15" w:type="dxa"/>
            </w:tcMar>
            <w:vAlign w:val="bottom"/>
          </w:tcPr>
          <w:p w14:paraId="14FF62A9">
            <w:pPr>
              <w:pStyle w:val="34"/>
              <w:jc w:val="center"/>
            </w:pPr>
            <w:r>
              <w:t>0.4</w:t>
            </w:r>
          </w:p>
        </w:tc>
        <w:tc>
          <w:tcPr>
            <w:tcW w:w="0" w:type="auto"/>
            <w:shd w:val="clear" w:color="auto" w:fill="auto"/>
            <w:noWrap/>
            <w:tcMar>
              <w:top w:w="15" w:type="dxa"/>
              <w:left w:w="15" w:type="dxa"/>
              <w:right w:w="15" w:type="dxa"/>
            </w:tcMar>
            <w:vAlign w:val="bottom"/>
          </w:tcPr>
          <w:p w14:paraId="12DC78B3">
            <w:pPr>
              <w:pStyle w:val="34"/>
              <w:jc w:val="center"/>
            </w:pPr>
            <w:r>
              <w:t>90</w:t>
            </w:r>
          </w:p>
        </w:tc>
        <w:tc>
          <w:tcPr>
            <w:tcW w:w="0" w:type="auto"/>
            <w:shd w:val="clear" w:color="auto" w:fill="auto"/>
            <w:noWrap/>
            <w:tcMar>
              <w:top w:w="15" w:type="dxa"/>
              <w:left w:w="15" w:type="dxa"/>
              <w:right w:w="15" w:type="dxa"/>
            </w:tcMar>
            <w:vAlign w:val="bottom"/>
          </w:tcPr>
          <w:p w14:paraId="2AE09B8D">
            <w:pPr>
              <w:pStyle w:val="34"/>
              <w:jc w:val="center"/>
            </w:pPr>
            <w:r>
              <w:t>75</w:t>
            </w:r>
          </w:p>
        </w:tc>
        <w:tc>
          <w:tcPr>
            <w:tcW w:w="0" w:type="auto"/>
            <w:shd w:val="clear" w:color="auto" w:fill="auto"/>
            <w:noWrap/>
            <w:tcMar>
              <w:top w:w="15" w:type="dxa"/>
              <w:left w:w="15" w:type="dxa"/>
              <w:right w:w="15" w:type="dxa"/>
            </w:tcMar>
            <w:vAlign w:val="bottom"/>
          </w:tcPr>
          <w:p w14:paraId="1637B7BA">
            <w:pPr>
              <w:pStyle w:val="34"/>
              <w:jc w:val="center"/>
            </w:pPr>
            <w:r>
              <w:t>0.35</w:t>
            </w:r>
          </w:p>
        </w:tc>
        <w:tc>
          <w:tcPr>
            <w:tcW w:w="0" w:type="auto"/>
            <w:shd w:val="clear" w:color="auto" w:fill="auto"/>
            <w:noWrap/>
            <w:tcMar>
              <w:top w:w="15" w:type="dxa"/>
              <w:left w:w="15" w:type="dxa"/>
              <w:right w:w="15" w:type="dxa"/>
            </w:tcMar>
            <w:vAlign w:val="bottom"/>
          </w:tcPr>
          <w:p w14:paraId="0D64D8B5">
            <w:pPr>
              <w:pStyle w:val="34"/>
              <w:jc w:val="center"/>
            </w:pPr>
            <w:r>
              <w:t>15</w:t>
            </w:r>
          </w:p>
        </w:tc>
        <w:tc>
          <w:tcPr>
            <w:tcW w:w="0" w:type="auto"/>
            <w:shd w:val="clear" w:color="auto" w:fill="auto"/>
            <w:noWrap/>
            <w:tcMar>
              <w:top w:w="15" w:type="dxa"/>
              <w:left w:w="15" w:type="dxa"/>
              <w:right w:w="15" w:type="dxa"/>
            </w:tcMar>
            <w:vAlign w:val="bottom"/>
          </w:tcPr>
          <w:p w14:paraId="13B3D92D">
            <w:pPr>
              <w:pStyle w:val="34"/>
              <w:jc w:val="center"/>
            </w:pPr>
            <w:r>
              <w:t>15</w:t>
            </w:r>
          </w:p>
        </w:tc>
        <w:tc>
          <w:tcPr>
            <w:tcW w:w="0" w:type="auto"/>
            <w:shd w:val="clear" w:color="auto" w:fill="auto"/>
            <w:noWrap/>
            <w:tcMar>
              <w:top w:w="15" w:type="dxa"/>
              <w:left w:w="15" w:type="dxa"/>
              <w:right w:w="15" w:type="dxa"/>
            </w:tcMar>
            <w:vAlign w:val="bottom"/>
          </w:tcPr>
          <w:p w14:paraId="200F24AB">
            <w:pPr>
              <w:pStyle w:val="34"/>
              <w:jc w:val="center"/>
            </w:pPr>
            <w:r>
              <w:t>0.5</w:t>
            </w:r>
          </w:p>
        </w:tc>
        <w:tc>
          <w:tcPr>
            <w:tcW w:w="0" w:type="auto"/>
            <w:shd w:val="clear" w:color="auto" w:fill="auto"/>
            <w:noWrap/>
            <w:tcMar>
              <w:top w:w="15" w:type="dxa"/>
              <w:left w:w="15" w:type="dxa"/>
              <w:right w:w="15" w:type="dxa"/>
            </w:tcMar>
            <w:vAlign w:val="bottom"/>
          </w:tcPr>
          <w:p w14:paraId="4638BE07">
            <w:pPr>
              <w:pStyle w:val="34"/>
              <w:jc w:val="center"/>
            </w:pPr>
            <w:r>
              <w:t>36</w:t>
            </w:r>
          </w:p>
        </w:tc>
        <w:tc>
          <w:tcPr>
            <w:tcW w:w="0" w:type="auto"/>
            <w:shd w:val="clear" w:color="auto" w:fill="auto"/>
            <w:noWrap/>
            <w:tcMar>
              <w:top w:w="15" w:type="dxa"/>
              <w:left w:w="15" w:type="dxa"/>
              <w:right w:w="15" w:type="dxa"/>
            </w:tcMar>
            <w:vAlign w:val="bottom"/>
          </w:tcPr>
          <w:p w14:paraId="60F18D2F">
            <w:pPr>
              <w:pStyle w:val="34"/>
              <w:jc w:val="center"/>
            </w:pPr>
            <w:r>
              <w:t>7</w:t>
            </w:r>
          </w:p>
        </w:tc>
        <w:tc>
          <w:tcPr>
            <w:tcW w:w="0" w:type="auto"/>
            <w:shd w:val="clear" w:color="auto" w:fill="auto"/>
            <w:noWrap/>
            <w:tcMar>
              <w:top w:w="15" w:type="dxa"/>
              <w:left w:w="15" w:type="dxa"/>
              <w:right w:w="15" w:type="dxa"/>
            </w:tcMar>
            <w:vAlign w:val="bottom"/>
          </w:tcPr>
          <w:p w14:paraId="78042ACA">
            <w:pPr>
              <w:pStyle w:val="34"/>
              <w:jc w:val="center"/>
            </w:pPr>
            <w:r>
              <w:t>5</w:t>
            </w:r>
          </w:p>
        </w:tc>
        <w:tc>
          <w:tcPr>
            <w:tcW w:w="0" w:type="auto"/>
            <w:shd w:val="clear" w:color="auto" w:fill="auto"/>
            <w:noWrap/>
            <w:tcMar>
              <w:top w:w="15" w:type="dxa"/>
              <w:left w:w="15" w:type="dxa"/>
              <w:right w:w="15" w:type="dxa"/>
            </w:tcMar>
            <w:vAlign w:val="bottom"/>
          </w:tcPr>
          <w:p w14:paraId="4D329157">
            <w:pPr>
              <w:pStyle w:val="34"/>
              <w:jc w:val="center"/>
            </w:pPr>
            <w:r>
              <w:t>0</w:t>
            </w:r>
          </w:p>
        </w:tc>
        <w:tc>
          <w:tcPr>
            <w:tcW w:w="0" w:type="auto"/>
            <w:shd w:val="clear" w:color="auto" w:fill="auto"/>
            <w:noWrap/>
            <w:tcMar>
              <w:top w:w="15" w:type="dxa"/>
              <w:left w:w="15" w:type="dxa"/>
              <w:right w:w="15" w:type="dxa"/>
            </w:tcMar>
            <w:vAlign w:val="bottom"/>
          </w:tcPr>
          <w:p w14:paraId="200059AC">
            <w:pPr>
              <w:pStyle w:val="34"/>
              <w:jc w:val="center"/>
            </w:pPr>
            <w:r>
              <w:t>35</w:t>
            </w:r>
          </w:p>
        </w:tc>
        <w:tc>
          <w:tcPr>
            <w:tcW w:w="0" w:type="auto"/>
            <w:shd w:val="clear" w:color="auto" w:fill="auto"/>
            <w:noWrap/>
            <w:tcMar>
              <w:top w:w="15" w:type="dxa"/>
              <w:left w:w="15" w:type="dxa"/>
              <w:right w:w="15" w:type="dxa"/>
            </w:tcMar>
            <w:vAlign w:val="bottom"/>
          </w:tcPr>
          <w:p w14:paraId="10252EAC">
            <w:pPr>
              <w:pStyle w:val="34"/>
              <w:jc w:val="center"/>
            </w:pPr>
            <w:r>
              <w:t>25</w:t>
            </w:r>
          </w:p>
        </w:tc>
        <w:tc>
          <w:tcPr>
            <w:tcW w:w="0" w:type="auto"/>
            <w:shd w:val="clear" w:color="auto" w:fill="auto"/>
            <w:noWrap/>
            <w:tcMar>
              <w:top w:w="15" w:type="dxa"/>
              <w:left w:w="15" w:type="dxa"/>
              <w:right w:w="15" w:type="dxa"/>
            </w:tcMar>
            <w:vAlign w:val="bottom"/>
          </w:tcPr>
          <w:p w14:paraId="5EAA71E4">
            <w:pPr>
              <w:pStyle w:val="34"/>
              <w:jc w:val="center"/>
            </w:pPr>
            <w:r>
              <w:t>18</w:t>
            </w:r>
          </w:p>
        </w:tc>
        <w:tc>
          <w:tcPr>
            <w:tcW w:w="0" w:type="auto"/>
            <w:tcBorders>
              <w:right w:val="nil"/>
            </w:tcBorders>
            <w:shd w:val="clear" w:color="auto" w:fill="auto"/>
            <w:noWrap/>
            <w:tcMar>
              <w:top w:w="15" w:type="dxa"/>
              <w:left w:w="15" w:type="dxa"/>
              <w:right w:w="15" w:type="dxa"/>
            </w:tcMar>
            <w:vAlign w:val="bottom"/>
          </w:tcPr>
          <w:p w14:paraId="18E07B36">
            <w:pPr>
              <w:pStyle w:val="34"/>
              <w:jc w:val="center"/>
            </w:pPr>
            <w:r>
              <w:rPr>
                <w:rFonts w:hint="eastAsia"/>
              </w:rPr>
              <w:t>40</w:t>
            </w:r>
          </w:p>
        </w:tc>
      </w:tr>
    </w:tbl>
    <w:p w14:paraId="582E982C">
      <w:pPr>
        <w:ind w:firstLine="420"/>
        <w:jc w:val="center"/>
      </w:pPr>
    </w:p>
    <w:p w14:paraId="6F9A83BF">
      <w:pPr>
        <w:ind w:firstLine="422"/>
        <w:jc w:val="center"/>
        <w:rPr>
          <w:b/>
          <w:bCs/>
        </w:rPr>
      </w:pPr>
      <w:r>
        <w:rPr>
          <w:rFonts w:hint="eastAsia"/>
          <w:b/>
          <w:bCs/>
        </w:rPr>
        <w:t>表5 2011年南雄市地表水资源量</w:t>
      </w:r>
    </w:p>
    <w:tbl>
      <w:tblPr>
        <w:tblStyle w:val="14"/>
        <w:tblW w:w="0" w:type="auto"/>
        <w:tblInd w:w="0" w:type="dxa"/>
        <w:tblBorders>
          <w:top w:val="single" w:color="auto" w:sz="4" w:space="0"/>
          <w:left w:val="none" w:color="auto" w:sz="4" w:space="0"/>
          <w:bottom w:val="single" w:color="auto" w:sz="4" w:space="0"/>
          <w:right w:val="none" w:color="auto" w:sz="4" w:space="0"/>
          <w:insideH w:val="single" w:color="auto" w:sz="4" w:space="0"/>
          <w:insideV w:val="single" w:color="auto" w:sz="4" w:space="0"/>
        </w:tblBorders>
        <w:tblLayout w:type="fixed"/>
        <w:tblCellMar>
          <w:top w:w="0" w:type="dxa"/>
          <w:left w:w="0" w:type="dxa"/>
          <w:bottom w:w="0" w:type="dxa"/>
          <w:right w:w="0" w:type="dxa"/>
        </w:tblCellMar>
      </w:tblPr>
      <w:tblGrid>
        <w:gridCol w:w="475"/>
        <w:gridCol w:w="2172"/>
        <w:gridCol w:w="2975"/>
        <w:gridCol w:w="1965"/>
      </w:tblGrid>
      <w:tr w14:paraId="7599ADFD">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475" w:type="dxa"/>
            <w:tcBorders>
              <w:left w:val="nil"/>
            </w:tcBorders>
            <w:shd w:val="clear" w:color="auto" w:fill="auto"/>
            <w:noWrap/>
            <w:tcMar>
              <w:top w:w="15" w:type="dxa"/>
              <w:left w:w="15" w:type="dxa"/>
              <w:right w:w="15" w:type="dxa"/>
            </w:tcMar>
            <w:vAlign w:val="bottom"/>
          </w:tcPr>
          <w:p w14:paraId="0B4059B1">
            <w:pPr>
              <w:widowControl/>
              <w:ind w:firstLine="0" w:firstLineChars="0"/>
              <w:jc w:val="center"/>
              <w:textAlignment w:val="bottom"/>
              <w:rPr>
                <w:rFonts w:ascii="Arial" w:hAnsi="Arial" w:cs="Arial"/>
                <w:b/>
                <w:bCs/>
                <w:color w:val="000000"/>
                <w:sz w:val="20"/>
                <w:szCs w:val="20"/>
              </w:rPr>
            </w:pPr>
            <w:r>
              <w:rPr>
                <w:rFonts w:ascii="Arial" w:hAnsi="Arial" w:cs="Arial"/>
                <w:b/>
                <w:bCs/>
                <w:color w:val="000000"/>
                <w:kern w:val="0"/>
                <w:sz w:val="20"/>
                <w:szCs w:val="20"/>
              </w:rPr>
              <w:t>年度</w:t>
            </w:r>
          </w:p>
        </w:tc>
        <w:tc>
          <w:tcPr>
            <w:tcW w:w="2172" w:type="dxa"/>
            <w:shd w:val="clear" w:color="auto" w:fill="auto"/>
            <w:noWrap/>
            <w:tcMar>
              <w:top w:w="15" w:type="dxa"/>
              <w:left w:w="15" w:type="dxa"/>
              <w:right w:w="15" w:type="dxa"/>
            </w:tcMar>
            <w:vAlign w:val="bottom"/>
          </w:tcPr>
          <w:p w14:paraId="7E611419">
            <w:pPr>
              <w:widowControl/>
              <w:ind w:firstLine="0" w:firstLineChars="0"/>
              <w:jc w:val="center"/>
              <w:textAlignment w:val="bottom"/>
              <w:rPr>
                <w:rFonts w:ascii="宋体" w:hAnsi="宋体" w:cs="宋体"/>
                <w:b/>
                <w:bCs/>
                <w:color w:val="000000"/>
                <w:sz w:val="20"/>
                <w:szCs w:val="20"/>
              </w:rPr>
            </w:pPr>
            <w:r>
              <w:rPr>
                <w:rFonts w:hint="eastAsia" w:ascii="宋体" w:hAnsi="宋体" w:cs="宋体"/>
                <w:b/>
                <w:bCs/>
                <w:color w:val="000000"/>
                <w:kern w:val="0"/>
                <w:sz w:val="20"/>
                <w:szCs w:val="20"/>
              </w:rPr>
              <w:t>地表水资源量</w:t>
            </w:r>
            <w:r>
              <w:rPr>
                <w:rStyle w:val="35"/>
              </w:rPr>
              <w:t>(</w:t>
            </w:r>
            <w:r>
              <w:rPr>
                <w:rStyle w:val="36"/>
                <w:rFonts w:hint="default"/>
                <w:b/>
                <w:bCs/>
              </w:rPr>
              <w:t>亿立方米</w:t>
            </w:r>
            <w:r>
              <w:rPr>
                <w:rStyle w:val="35"/>
              </w:rPr>
              <w:t>)</w:t>
            </w:r>
          </w:p>
        </w:tc>
        <w:tc>
          <w:tcPr>
            <w:tcW w:w="2975" w:type="dxa"/>
            <w:shd w:val="clear" w:color="auto" w:fill="auto"/>
            <w:noWrap/>
            <w:tcMar>
              <w:top w:w="15" w:type="dxa"/>
              <w:left w:w="15" w:type="dxa"/>
              <w:right w:w="15" w:type="dxa"/>
            </w:tcMar>
            <w:vAlign w:val="bottom"/>
          </w:tcPr>
          <w:p w14:paraId="5D4B3664">
            <w:pPr>
              <w:widowControl/>
              <w:ind w:firstLine="0" w:firstLineChars="0"/>
              <w:jc w:val="center"/>
              <w:textAlignment w:val="bottom"/>
              <w:rPr>
                <w:rFonts w:ascii="Arial" w:hAnsi="Arial" w:cs="Arial"/>
                <w:b/>
                <w:bCs/>
                <w:color w:val="000000"/>
                <w:sz w:val="20"/>
                <w:szCs w:val="20"/>
              </w:rPr>
            </w:pPr>
            <w:r>
              <w:rPr>
                <w:rFonts w:ascii="Arial" w:hAnsi="Arial" w:cs="Arial"/>
                <w:b/>
                <w:bCs/>
                <w:color w:val="000000"/>
                <w:kern w:val="0"/>
                <w:sz w:val="20"/>
                <w:szCs w:val="20"/>
              </w:rPr>
              <w:t>多年平均地表水资源量(亿立方米)</w:t>
            </w:r>
          </w:p>
        </w:tc>
        <w:tc>
          <w:tcPr>
            <w:tcW w:w="1965" w:type="dxa"/>
            <w:tcBorders>
              <w:right w:val="nil"/>
            </w:tcBorders>
            <w:shd w:val="clear" w:color="auto" w:fill="auto"/>
            <w:noWrap/>
            <w:tcMar>
              <w:top w:w="15" w:type="dxa"/>
              <w:left w:w="15" w:type="dxa"/>
              <w:right w:w="15" w:type="dxa"/>
            </w:tcMar>
            <w:vAlign w:val="bottom"/>
          </w:tcPr>
          <w:p w14:paraId="0879BC3F">
            <w:pPr>
              <w:widowControl/>
              <w:ind w:firstLine="0" w:firstLineChars="0"/>
              <w:jc w:val="center"/>
              <w:textAlignment w:val="bottom"/>
              <w:rPr>
                <w:rFonts w:ascii="宋体" w:hAnsi="宋体" w:cs="宋体"/>
                <w:b/>
                <w:bCs/>
                <w:color w:val="000000"/>
                <w:sz w:val="20"/>
                <w:szCs w:val="20"/>
              </w:rPr>
            </w:pPr>
            <w:r>
              <w:rPr>
                <w:rFonts w:hint="eastAsia" w:ascii="宋体" w:hAnsi="宋体" w:cs="宋体"/>
                <w:b/>
                <w:bCs/>
                <w:color w:val="000000"/>
                <w:kern w:val="0"/>
                <w:sz w:val="20"/>
                <w:szCs w:val="20"/>
              </w:rPr>
              <w:t>与多年均值比较（</w:t>
            </w:r>
            <w:r>
              <w:rPr>
                <w:rStyle w:val="35"/>
              </w:rPr>
              <w:t>%</w:t>
            </w:r>
            <w:r>
              <w:rPr>
                <w:rStyle w:val="36"/>
                <w:rFonts w:hint="default"/>
                <w:b/>
                <w:bCs/>
              </w:rPr>
              <w:t>）</w:t>
            </w:r>
          </w:p>
        </w:tc>
      </w:tr>
      <w:tr w14:paraId="30452A4B">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475" w:type="dxa"/>
            <w:tcBorders>
              <w:left w:val="nil"/>
            </w:tcBorders>
            <w:shd w:val="clear" w:color="auto" w:fill="auto"/>
            <w:noWrap/>
            <w:tcMar>
              <w:top w:w="15" w:type="dxa"/>
              <w:left w:w="15" w:type="dxa"/>
              <w:right w:w="15" w:type="dxa"/>
            </w:tcMar>
            <w:vAlign w:val="bottom"/>
          </w:tcPr>
          <w:p w14:paraId="1E75E55E">
            <w:pPr>
              <w:widowControl/>
              <w:ind w:firstLine="0" w:firstLineChars="0"/>
              <w:jc w:val="center"/>
              <w:textAlignment w:val="bottom"/>
              <w:rPr>
                <w:rFonts w:ascii="Arial" w:hAnsi="Arial" w:cs="Arial"/>
                <w:color w:val="000000"/>
                <w:sz w:val="20"/>
                <w:szCs w:val="20"/>
              </w:rPr>
            </w:pPr>
            <w:r>
              <w:rPr>
                <w:rFonts w:ascii="Arial" w:hAnsi="Arial" w:cs="Arial"/>
                <w:color w:val="000000"/>
                <w:kern w:val="0"/>
                <w:sz w:val="20"/>
                <w:szCs w:val="20"/>
              </w:rPr>
              <w:t>2011</w:t>
            </w:r>
          </w:p>
        </w:tc>
        <w:tc>
          <w:tcPr>
            <w:tcW w:w="2172" w:type="dxa"/>
            <w:shd w:val="clear" w:color="auto" w:fill="auto"/>
            <w:noWrap/>
            <w:tcMar>
              <w:top w:w="15" w:type="dxa"/>
              <w:left w:w="15" w:type="dxa"/>
              <w:right w:w="15" w:type="dxa"/>
            </w:tcMar>
            <w:vAlign w:val="bottom"/>
          </w:tcPr>
          <w:p w14:paraId="185F606F">
            <w:pPr>
              <w:widowControl/>
              <w:ind w:firstLine="0" w:firstLineChars="0"/>
              <w:jc w:val="center"/>
              <w:textAlignment w:val="bottom"/>
              <w:rPr>
                <w:rFonts w:ascii="Arial" w:hAnsi="Arial" w:cs="Arial"/>
                <w:color w:val="000000"/>
                <w:sz w:val="20"/>
                <w:szCs w:val="20"/>
              </w:rPr>
            </w:pPr>
            <w:r>
              <w:rPr>
                <w:rFonts w:ascii="Arial" w:hAnsi="Arial" w:cs="Arial"/>
                <w:color w:val="000000"/>
                <w:kern w:val="0"/>
                <w:sz w:val="20"/>
                <w:szCs w:val="20"/>
              </w:rPr>
              <w:t>18.49</w:t>
            </w:r>
          </w:p>
        </w:tc>
        <w:tc>
          <w:tcPr>
            <w:tcW w:w="2975" w:type="dxa"/>
            <w:shd w:val="clear" w:color="auto" w:fill="auto"/>
            <w:noWrap/>
            <w:tcMar>
              <w:top w:w="15" w:type="dxa"/>
              <w:left w:w="15" w:type="dxa"/>
              <w:right w:w="15" w:type="dxa"/>
            </w:tcMar>
            <w:vAlign w:val="bottom"/>
          </w:tcPr>
          <w:p w14:paraId="4717C133">
            <w:pPr>
              <w:widowControl/>
              <w:ind w:firstLine="0" w:firstLineChars="0"/>
              <w:jc w:val="center"/>
              <w:textAlignment w:val="bottom"/>
              <w:rPr>
                <w:rFonts w:ascii="Arial" w:hAnsi="Arial" w:cs="Arial"/>
                <w:color w:val="000000"/>
                <w:sz w:val="20"/>
                <w:szCs w:val="20"/>
              </w:rPr>
            </w:pPr>
            <w:r>
              <w:rPr>
                <w:rFonts w:ascii="Arial" w:hAnsi="Arial" w:cs="Arial"/>
                <w:color w:val="000000"/>
                <w:kern w:val="0"/>
                <w:sz w:val="20"/>
                <w:szCs w:val="20"/>
              </w:rPr>
              <w:t>18.73</w:t>
            </w:r>
          </w:p>
        </w:tc>
        <w:tc>
          <w:tcPr>
            <w:tcW w:w="1965" w:type="dxa"/>
            <w:tcBorders>
              <w:right w:val="nil"/>
            </w:tcBorders>
            <w:shd w:val="clear" w:color="auto" w:fill="auto"/>
            <w:noWrap/>
            <w:tcMar>
              <w:top w:w="15" w:type="dxa"/>
              <w:left w:w="15" w:type="dxa"/>
              <w:right w:w="15" w:type="dxa"/>
            </w:tcMar>
            <w:vAlign w:val="bottom"/>
          </w:tcPr>
          <w:p w14:paraId="1637AA3F">
            <w:pPr>
              <w:widowControl/>
              <w:ind w:firstLine="0" w:firstLineChars="0"/>
              <w:jc w:val="center"/>
              <w:textAlignment w:val="bottom"/>
              <w:rPr>
                <w:rFonts w:ascii="Arial" w:hAnsi="Arial" w:cs="Arial"/>
                <w:color w:val="000000"/>
                <w:sz w:val="20"/>
                <w:szCs w:val="20"/>
              </w:rPr>
            </w:pPr>
            <w:r>
              <w:rPr>
                <w:rFonts w:ascii="Arial" w:hAnsi="Arial" w:cs="Arial"/>
                <w:color w:val="000000"/>
                <w:kern w:val="0"/>
                <w:sz w:val="20"/>
                <w:szCs w:val="20"/>
              </w:rPr>
              <w:t>-1.3</w:t>
            </w:r>
          </w:p>
        </w:tc>
      </w:tr>
      <w:tr w14:paraId="6E644451">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475" w:type="dxa"/>
            <w:tcBorders>
              <w:left w:val="nil"/>
            </w:tcBorders>
            <w:shd w:val="clear" w:color="auto" w:fill="auto"/>
            <w:noWrap/>
            <w:tcMar>
              <w:top w:w="15" w:type="dxa"/>
              <w:left w:w="15" w:type="dxa"/>
              <w:right w:w="15" w:type="dxa"/>
            </w:tcMar>
            <w:vAlign w:val="bottom"/>
          </w:tcPr>
          <w:p w14:paraId="4002B52B">
            <w:pPr>
              <w:ind w:firstLine="400"/>
              <w:jc w:val="center"/>
              <w:rPr>
                <w:rFonts w:ascii="Arial" w:hAnsi="Arial" w:cs="Arial"/>
                <w:color w:val="000000"/>
                <w:sz w:val="20"/>
                <w:szCs w:val="20"/>
              </w:rPr>
            </w:pPr>
          </w:p>
        </w:tc>
        <w:tc>
          <w:tcPr>
            <w:tcW w:w="2172" w:type="dxa"/>
            <w:shd w:val="clear" w:color="auto" w:fill="auto"/>
            <w:noWrap/>
            <w:tcMar>
              <w:top w:w="15" w:type="dxa"/>
              <w:left w:w="15" w:type="dxa"/>
              <w:right w:w="15" w:type="dxa"/>
            </w:tcMar>
            <w:vAlign w:val="bottom"/>
          </w:tcPr>
          <w:p w14:paraId="6BAEF1F3">
            <w:pPr>
              <w:ind w:firstLine="400"/>
              <w:jc w:val="center"/>
              <w:rPr>
                <w:rFonts w:ascii="Arial" w:hAnsi="Arial" w:cs="Arial"/>
                <w:color w:val="000000"/>
                <w:sz w:val="20"/>
                <w:szCs w:val="20"/>
              </w:rPr>
            </w:pPr>
          </w:p>
        </w:tc>
        <w:tc>
          <w:tcPr>
            <w:tcW w:w="2975" w:type="dxa"/>
            <w:shd w:val="clear" w:color="auto" w:fill="auto"/>
            <w:noWrap/>
            <w:tcMar>
              <w:top w:w="15" w:type="dxa"/>
              <w:left w:w="15" w:type="dxa"/>
              <w:right w:w="15" w:type="dxa"/>
            </w:tcMar>
            <w:vAlign w:val="bottom"/>
          </w:tcPr>
          <w:p w14:paraId="0D444E3E">
            <w:pPr>
              <w:ind w:firstLine="400"/>
              <w:jc w:val="center"/>
              <w:rPr>
                <w:rFonts w:ascii="Arial" w:hAnsi="Arial" w:cs="Arial"/>
                <w:color w:val="000000"/>
                <w:sz w:val="20"/>
                <w:szCs w:val="20"/>
              </w:rPr>
            </w:pPr>
          </w:p>
        </w:tc>
        <w:tc>
          <w:tcPr>
            <w:tcW w:w="1965" w:type="dxa"/>
            <w:tcBorders>
              <w:right w:val="nil"/>
            </w:tcBorders>
            <w:shd w:val="clear" w:color="auto" w:fill="auto"/>
            <w:noWrap/>
            <w:tcMar>
              <w:top w:w="15" w:type="dxa"/>
              <w:left w:w="15" w:type="dxa"/>
              <w:right w:w="15" w:type="dxa"/>
            </w:tcMar>
            <w:vAlign w:val="bottom"/>
          </w:tcPr>
          <w:p w14:paraId="0181389D">
            <w:pPr>
              <w:ind w:firstLine="400"/>
              <w:jc w:val="center"/>
              <w:rPr>
                <w:rFonts w:ascii="Arial" w:hAnsi="Arial" w:cs="Arial"/>
                <w:color w:val="000000"/>
                <w:sz w:val="20"/>
                <w:szCs w:val="20"/>
              </w:rPr>
            </w:pPr>
          </w:p>
        </w:tc>
      </w:tr>
      <w:tr w14:paraId="1ADD904E">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475" w:type="dxa"/>
            <w:tcBorders>
              <w:left w:val="nil"/>
            </w:tcBorders>
            <w:shd w:val="clear" w:color="auto" w:fill="auto"/>
            <w:noWrap/>
            <w:tcMar>
              <w:top w:w="15" w:type="dxa"/>
              <w:left w:w="15" w:type="dxa"/>
              <w:right w:w="15" w:type="dxa"/>
            </w:tcMar>
            <w:vAlign w:val="bottom"/>
          </w:tcPr>
          <w:p w14:paraId="07098291">
            <w:pPr>
              <w:ind w:firstLine="400"/>
              <w:jc w:val="center"/>
              <w:rPr>
                <w:rFonts w:ascii="Arial" w:hAnsi="Arial" w:cs="Arial"/>
                <w:color w:val="000000"/>
                <w:sz w:val="20"/>
                <w:szCs w:val="20"/>
              </w:rPr>
            </w:pPr>
          </w:p>
        </w:tc>
        <w:tc>
          <w:tcPr>
            <w:tcW w:w="2172" w:type="dxa"/>
            <w:shd w:val="clear" w:color="auto" w:fill="auto"/>
            <w:noWrap/>
            <w:tcMar>
              <w:top w:w="15" w:type="dxa"/>
              <w:left w:w="15" w:type="dxa"/>
              <w:right w:w="15" w:type="dxa"/>
            </w:tcMar>
            <w:vAlign w:val="bottom"/>
          </w:tcPr>
          <w:p w14:paraId="3D09C90E">
            <w:pPr>
              <w:ind w:firstLine="400"/>
              <w:jc w:val="center"/>
              <w:rPr>
                <w:rFonts w:ascii="Arial" w:hAnsi="Arial" w:cs="Arial"/>
                <w:color w:val="000000"/>
                <w:sz w:val="20"/>
                <w:szCs w:val="20"/>
              </w:rPr>
            </w:pPr>
          </w:p>
        </w:tc>
        <w:tc>
          <w:tcPr>
            <w:tcW w:w="2975" w:type="dxa"/>
            <w:shd w:val="clear" w:color="auto" w:fill="auto"/>
            <w:noWrap/>
            <w:tcMar>
              <w:top w:w="15" w:type="dxa"/>
              <w:left w:w="15" w:type="dxa"/>
              <w:right w:w="15" w:type="dxa"/>
            </w:tcMar>
            <w:vAlign w:val="bottom"/>
          </w:tcPr>
          <w:p w14:paraId="5E7CF5F3">
            <w:pPr>
              <w:ind w:firstLine="400"/>
              <w:jc w:val="center"/>
              <w:rPr>
                <w:rFonts w:ascii="Arial" w:hAnsi="Arial" w:cs="Arial"/>
                <w:color w:val="000000"/>
                <w:sz w:val="20"/>
                <w:szCs w:val="20"/>
              </w:rPr>
            </w:pPr>
          </w:p>
        </w:tc>
        <w:tc>
          <w:tcPr>
            <w:tcW w:w="1965" w:type="dxa"/>
            <w:tcBorders>
              <w:right w:val="nil"/>
            </w:tcBorders>
            <w:shd w:val="clear" w:color="auto" w:fill="auto"/>
            <w:noWrap/>
            <w:tcMar>
              <w:top w:w="15" w:type="dxa"/>
              <w:left w:w="15" w:type="dxa"/>
              <w:right w:w="15" w:type="dxa"/>
            </w:tcMar>
            <w:vAlign w:val="bottom"/>
          </w:tcPr>
          <w:p w14:paraId="58F8D1BC">
            <w:pPr>
              <w:ind w:firstLine="400"/>
              <w:jc w:val="center"/>
              <w:rPr>
                <w:rFonts w:ascii="Arial" w:hAnsi="Arial" w:cs="Arial"/>
                <w:color w:val="000000"/>
                <w:sz w:val="20"/>
                <w:szCs w:val="20"/>
              </w:rPr>
            </w:pPr>
          </w:p>
        </w:tc>
      </w:tr>
      <w:tr w14:paraId="3D8EC1FE">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475" w:type="dxa"/>
            <w:tcBorders>
              <w:left w:val="nil"/>
            </w:tcBorders>
            <w:shd w:val="clear" w:color="auto" w:fill="auto"/>
            <w:noWrap/>
            <w:tcMar>
              <w:top w:w="15" w:type="dxa"/>
              <w:left w:w="15" w:type="dxa"/>
              <w:right w:w="15" w:type="dxa"/>
            </w:tcMar>
            <w:vAlign w:val="bottom"/>
          </w:tcPr>
          <w:p w14:paraId="2597C260">
            <w:pPr>
              <w:ind w:firstLine="400"/>
              <w:jc w:val="center"/>
              <w:rPr>
                <w:rFonts w:ascii="Arial" w:hAnsi="Arial" w:cs="Arial"/>
                <w:color w:val="000000"/>
                <w:sz w:val="20"/>
                <w:szCs w:val="20"/>
              </w:rPr>
            </w:pPr>
          </w:p>
        </w:tc>
        <w:tc>
          <w:tcPr>
            <w:tcW w:w="2172" w:type="dxa"/>
            <w:shd w:val="clear" w:color="auto" w:fill="auto"/>
            <w:noWrap/>
            <w:tcMar>
              <w:top w:w="15" w:type="dxa"/>
              <w:left w:w="15" w:type="dxa"/>
              <w:right w:w="15" w:type="dxa"/>
            </w:tcMar>
            <w:vAlign w:val="bottom"/>
          </w:tcPr>
          <w:p w14:paraId="108862D6">
            <w:pPr>
              <w:ind w:firstLine="400"/>
              <w:jc w:val="center"/>
              <w:rPr>
                <w:rFonts w:ascii="Arial" w:hAnsi="Arial" w:cs="Arial"/>
                <w:color w:val="000000"/>
                <w:sz w:val="20"/>
                <w:szCs w:val="20"/>
              </w:rPr>
            </w:pPr>
          </w:p>
        </w:tc>
        <w:tc>
          <w:tcPr>
            <w:tcW w:w="2975" w:type="dxa"/>
            <w:shd w:val="clear" w:color="auto" w:fill="auto"/>
            <w:noWrap/>
            <w:tcMar>
              <w:top w:w="15" w:type="dxa"/>
              <w:left w:w="15" w:type="dxa"/>
              <w:right w:w="15" w:type="dxa"/>
            </w:tcMar>
            <w:vAlign w:val="bottom"/>
          </w:tcPr>
          <w:p w14:paraId="0C2EE897">
            <w:pPr>
              <w:ind w:firstLine="400"/>
              <w:jc w:val="center"/>
              <w:rPr>
                <w:rFonts w:ascii="Arial" w:hAnsi="Arial" w:cs="Arial"/>
                <w:color w:val="000000"/>
                <w:sz w:val="20"/>
                <w:szCs w:val="20"/>
              </w:rPr>
            </w:pPr>
          </w:p>
        </w:tc>
        <w:tc>
          <w:tcPr>
            <w:tcW w:w="1965" w:type="dxa"/>
            <w:tcBorders>
              <w:right w:val="nil"/>
            </w:tcBorders>
            <w:shd w:val="clear" w:color="auto" w:fill="auto"/>
            <w:noWrap/>
            <w:tcMar>
              <w:top w:w="15" w:type="dxa"/>
              <w:left w:w="15" w:type="dxa"/>
              <w:right w:w="15" w:type="dxa"/>
            </w:tcMar>
            <w:vAlign w:val="bottom"/>
          </w:tcPr>
          <w:p w14:paraId="2536BD0F">
            <w:pPr>
              <w:ind w:firstLine="400"/>
              <w:jc w:val="center"/>
              <w:rPr>
                <w:rFonts w:ascii="Arial" w:hAnsi="Arial" w:cs="Arial"/>
                <w:color w:val="000000"/>
                <w:sz w:val="20"/>
                <w:szCs w:val="20"/>
              </w:rPr>
            </w:pPr>
          </w:p>
        </w:tc>
      </w:tr>
      <w:tr w14:paraId="3FAB27C8">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475" w:type="dxa"/>
            <w:tcBorders>
              <w:left w:val="nil"/>
            </w:tcBorders>
            <w:shd w:val="clear" w:color="auto" w:fill="auto"/>
            <w:noWrap/>
            <w:tcMar>
              <w:top w:w="15" w:type="dxa"/>
              <w:left w:w="15" w:type="dxa"/>
              <w:right w:w="15" w:type="dxa"/>
            </w:tcMar>
            <w:vAlign w:val="bottom"/>
          </w:tcPr>
          <w:p w14:paraId="51387EB7">
            <w:pPr>
              <w:ind w:firstLine="400"/>
              <w:jc w:val="center"/>
              <w:rPr>
                <w:rFonts w:ascii="Arial" w:hAnsi="Arial" w:cs="Arial"/>
                <w:color w:val="000000"/>
                <w:sz w:val="20"/>
                <w:szCs w:val="20"/>
              </w:rPr>
            </w:pPr>
          </w:p>
        </w:tc>
        <w:tc>
          <w:tcPr>
            <w:tcW w:w="2172" w:type="dxa"/>
            <w:shd w:val="clear" w:color="auto" w:fill="auto"/>
            <w:noWrap/>
            <w:tcMar>
              <w:top w:w="15" w:type="dxa"/>
              <w:left w:w="15" w:type="dxa"/>
              <w:right w:w="15" w:type="dxa"/>
            </w:tcMar>
            <w:vAlign w:val="bottom"/>
          </w:tcPr>
          <w:p w14:paraId="502A9847">
            <w:pPr>
              <w:ind w:firstLine="400"/>
              <w:jc w:val="center"/>
              <w:rPr>
                <w:rFonts w:ascii="Arial" w:hAnsi="Arial" w:cs="Arial"/>
                <w:color w:val="000000"/>
                <w:sz w:val="20"/>
                <w:szCs w:val="20"/>
              </w:rPr>
            </w:pPr>
          </w:p>
        </w:tc>
        <w:tc>
          <w:tcPr>
            <w:tcW w:w="2975" w:type="dxa"/>
            <w:shd w:val="clear" w:color="auto" w:fill="auto"/>
            <w:noWrap/>
            <w:tcMar>
              <w:top w:w="15" w:type="dxa"/>
              <w:left w:w="15" w:type="dxa"/>
              <w:right w:w="15" w:type="dxa"/>
            </w:tcMar>
            <w:vAlign w:val="bottom"/>
          </w:tcPr>
          <w:p w14:paraId="7C572231">
            <w:pPr>
              <w:ind w:firstLine="400"/>
              <w:jc w:val="center"/>
              <w:rPr>
                <w:rFonts w:ascii="Arial" w:hAnsi="Arial" w:cs="Arial"/>
                <w:color w:val="000000"/>
                <w:sz w:val="20"/>
                <w:szCs w:val="20"/>
              </w:rPr>
            </w:pPr>
          </w:p>
        </w:tc>
        <w:tc>
          <w:tcPr>
            <w:tcW w:w="1965" w:type="dxa"/>
            <w:tcBorders>
              <w:right w:val="nil"/>
            </w:tcBorders>
            <w:shd w:val="clear" w:color="auto" w:fill="auto"/>
            <w:noWrap/>
            <w:tcMar>
              <w:top w:w="15" w:type="dxa"/>
              <w:left w:w="15" w:type="dxa"/>
              <w:right w:w="15" w:type="dxa"/>
            </w:tcMar>
            <w:vAlign w:val="bottom"/>
          </w:tcPr>
          <w:p w14:paraId="7E4EF8AA">
            <w:pPr>
              <w:ind w:firstLine="400"/>
              <w:jc w:val="center"/>
              <w:rPr>
                <w:rFonts w:ascii="Arial" w:hAnsi="Arial" w:cs="Arial"/>
                <w:color w:val="000000"/>
                <w:sz w:val="20"/>
                <w:szCs w:val="20"/>
              </w:rPr>
            </w:pPr>
          </w:p>
        </w:tc>
      </w:tr>
      <w:tr w14:paraId="2E666F39">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475" w:type="dxa"/>
            <w:tcBorders>
              <w:left w:val="nil"/>
            </w:tcBorders>
            <w:shd w:val="clear" w:color="auto" w:fill="auto"/>
            <w:noWrap/>
            <w:tcMar>
              <w:top w:w="15" w:type="dxa"/>
              <w:left w:w="15" w:type="dxa"/>
              <w:right w:w="15" w:type="dxa"/>
            </w:tcMar>
            <w:vAlign w:val="bottom"/>
          </w:tcPr>
          <w:p w14:paraId="03BDD7BC">
            <w:pPr>
              <w:ind w:firstLine="400"/>
              <w:jc w:val="center"/>
              <w:rPr>
                <w:rFonts w:ascii="Arial" w:hAnsi="Arial" w:cs="Arial"/>
                <w:color w:val="000000"/>
                <w:sz w:val="20"/>
                <w:szCs w:val="20"/>
              </w:rPr>
            </w:pPr>
          </w:p>
        </w:tc>
        <w:tc>
          <w:tcPr>
            <w:tcW w:w="2172" w:type="dxa"/>
            <w:shd w:val="clear" w:color="auto" w:fill="auto"/>
            <w:noWrap/>
            <w:tcMar>
              <w:top w:w="15" w:type="dxa"/>
              <w:left w:w="15" w:type="dxa"/>
              <w:right w:w="15" w:type="dxa"/>
            </w:tcMar>
            <w:vAlign w:val="bottom"/>
          </w:tcPr>
          <w:p w14:paraId="17CAD8C8">
            <w:pPr>
              <w:ind w:firstLine="400"/>
              <w:jc w:val="center"/>
              <w:rPr>
                <w:rFonts w:ascii="Arial" w:hAnsi="Arial" w:cs="Arial"/>
                <w:color w:val="000000"/>
                <w:sz w:val="20"/>
                <w:szCs w:val="20"/>
              </w:rPr>
            </w:pPr>
          </w:p>
        </w:tc>
        <w:tc>
          <w:tcPr>
            <w:tcW w:w="2975" w:type="dxa"/>
            <w:shd w:val="clear" w:color="auto" w:fill="auto"/>
            <w:noWrap/>
            <w:tcMar>
              <w:top w:w="15" w:type="dxa"/>
              <w:left w:w="15" w:type="dxa"/>
              <w:right w:w="15" w:type="dxa"/>
            </w:tcMar>
            <w:vAlign w:val="bottom"/>
          </w:tcPr>
          <w:p w14:paraId="460186D5">
            <w:pPr>
              <w:ind w:firstLine="400"/>
              <w:jc w:val="center"/>
              <w:rPr>
                <w:rFonts w:ascii="Arial" w:hAnsi="Arial" w:cs="Arial"/>
                <w:color w:val="000000"/>
                <w:sz w:val="20"/>
                <w:szCs w:val="20"/>
              </w:rPr>
            </w:pPr>
          </w:p>
        </w:tc>
        <w:tc>
          <w:tcPr>
            <w:tcW w:w="1965" w:type="dxa"/>
            <w:tcBorders>
              <w:right w:val="nil"/>
            </w:tcBorders>
            <w:shd w:val="clear" w:color="auto" w:fill="auto"/>
            <w:noWrap/>
            <w:tcMar>
              <w:top w:w="15" w:type="dxa"/>
              <w:left w:w="15" w:type="dxa"/>
              <w:right w:w="15" w:type="dxa"/>
            </w:tcMar>
            <w:vAlign w:val="bottom"/>
          </w:tcPr>
          <w:p w14:paraId="3ECAEA2C">
            <w:pPr>
              <w:ind w:firstLine="400"/>
              <w:jc w:val="center"/>
              <w:rPr>
                <w:rFonts w:ascii="Arial" w:hAnsi="Arial" w:cs="Arial"/>
                <w:color w:val="000000"/>
                <w:sz w:val="20"/>
                <w:szCs w:val="20"/>
              </w:rPr>
            </w:pPr>
          </w:p>
        </w:tc>
      </w:tr>
      <w:tr w14:paraId="6F3D4B7F">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475" w:type="dxa"/>
            <w:tcBorders>
              <w:left w:val="nil"/>
            </w:tcBorders>
            <w:shd w:val="clear" w:color="auto" w:fill="auto"/>
            <w:noWrap/>
            <w:tcMar>
              <w:top w:w="15" w:type="dxa"/>
              <w:left w:w="15" w:type="dxa"/>
              <w:right w:w="15" w:type="dxa"/>
            </w:tcMar>
            <w:vAlign w:val="bottom"/>
          </w:tcPr>
          <w:p w14:paraId="5302D241">
            <w:pPr>
              <w:ind w:firstLine="400"/>
              <w:jc w:val="center"/>
              <w:rPr>
                <w:rFonts w:ascii="Arial" w:hAnsi="Arial" w:cs="Arial"/>
                <w:color w:val="000000"/>
                <w:sz w:val="20"/>
                <w:szCs w:val="20"/>
              </w:rPr>
            </w:pPr>
          </w:p>
        </w:tc>
        <w:tc>
          <w:tcPr>
            <w:tcW w:w="2172" w:type="dxa"/>
            <w:shd w:val="clear" w:color="auto" w:fill="auto"/>
            <w:noWrap/>
            <w:tcMar>
              <w:top w:w="15" w:type="dxa"/>
              <w:left w:w="15" w:type="dxa"/>
              <w:right w:w="15" w:type="dxa"/>
            </w:tcMar>
            <w:vAlign w:val="bottom"/>
          </w:tcPr>
          <w:p w14:paraId="1782C310">
            <w:pPr>
              <w:ind w:firstLine="400"/>
              <w:jc w:val="center"/>
              <w:rPr>
                <w:rFonts w:ascii="Arial" w:hAnsi="Arial" w:cs="Arial"/>
                <w:color w:val="000000"/>
                <w:sz w:val="20"/>
                <w:szCs w:val="20"/>
              </w:rPr>
            </w:pPr>
          </w:p>
        </w:tc>
        <w:tc>
          <w:tcPr>
            <w:tcW w:w="2975" w:type="dxa"/>
            <w:shd w:val="clear" w:color="auto" w:fill="auto"/>
            <w:noWrap/>
            <w:tcMar>
              <w:top w:w="15" w:type="dxa"/>
              <w:left w:w="15" w:type="dxa"/>
              <w:right w:w="15" w:type="dxa"/>
            </w:tcMar>
            <w:vAlign w:val="bottom"/>
          </w:tcPr>
          <w:p w14:paraId="74A300B3">
            <w:pPr>
              <w:ind w:firstLine="400"/>
              <w:jc w:val="center"/>
              <w:rPr>
                <w:rFonts w:ascii="Arial" w:hAnsi="Arial" w:cs="Arial"/>
                <w:color w:val="000000"/>
                <w:sz w:val="20"/>
                <w:szCs w:val="20"/>
              </w:rPr>
            </w:pPr>
          </w:p>
        </w:tc>
        <w:tc>
          <w:tcPr>
            <w:tcW w:w="1965" w:type="dxa"/>
            <w:tcBorders>
              <w:right w:val="nil"/>
            </w:tcBorders>
            <w:shd w:val="clear" w:color="auto" w:fill="auto"/>
            <w:noWrap/>
            <w:tcMar>
              <w:top w:w="15" w:type="dxa"/>
              <w:left w:w="15" w:type="dxa"/>
              <w:right w:w="15" w:type="dxa"/>
            </w:tcMar>
            <w:vAlign w:val="bottom"/>
          </w:tcPr>
          <w:p w14:paraId="08D3B01A">
            <w:pPr>
              <w:ind w:firstLine="400"/>
              <w:jc w:val="center"/>
              <w:rPr>
                <w:rFonts w:ascii="Arial" w:hAnsi="Arial" w:cs="Arial"/>
                <w:color w:val="000000"/>
                <w:sz w:val="20"/>
                <w:szCs w:val="20"/>
              </w:rPr>
            </w:pPr>
          </w:p>
        </w:tc>
      </w:tr>
      <w:tr w14:paraId="49A62FB7">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475" w:type="dxa"/>
            <w:tcBorders>
              <w:left w:val="nil"/>
            </w:tcBorders>
            <w:shd w:val="clear" w:color="auto" w:fill="auto"/>
            <w:noWrap/>
            <w:tcMar>
              <w:top w:w="15" w:type="dxa"/>
              <w:left w:w="15" w:type="dxa"/>
              <w:right w:w="15" w:type="dxa"/>
            </w:tcMar>
            <w:vAlign w:val="bottom"/>
          </w:tcPr>
          <w:p w14:paraId="52BE3005">
            <w:pPr>
              <w:ind w:firstLine="400"/>
              <w:jc w:val="center"/>
              <w:rPr>
                <w:rFonts w:ascii="Arial" w:hAnsi="Arial" w:cs="Arial"/>
                <w:color w:val="000000"/>
                <w:sz w:val="20"/>
                <w:szCs w:val="20"/>
              </w:rPr>
            </w:pPr>
          </w:p>
        </w:tc>
        <w:tc>
          <w:tcPr>
            <w:tcW w:w="2172" w:type="dxa"/>
            <w:shd w:val="clear" w:color="auto" w:fill="auto"/>
            <w:noWrap/>
            <w:tcMar>
              <w:top w:w="15" w:type="dxa"/>
              <w:left w:w="15" w:type="dxa"/>
              <w:right w:w="15" w:type="dxa"/>
            </w:tcMar>
            <w:vAlign w:val="bottom"/>
          </w:tcPr>
          <w:p w14:paraId="474E19C7">
            <w:pPr>
              <w:ind w:firstLine="400"/>
              <w:jc w:val="center"/>
              <w:rPr>
                <w:rFonts w:ascii="Arial" w:hAnsi="Arial" w:cs="Arial"/>
                <w:color w:val="000000"/>
                <w:sz w:val="20"/>
                <w:szCs w:val="20"/>
              </w:rPr>
            </w:pPr>
          </w:p>
        </w:tc>
        <w:tc>
          <w:tcPr>
            <w:tcW w:w="2975" w:type="dxa"/>
            <w:shd w:val="clear" w:color="auto" w:fill="auto"/>
            <w:noWrap/>
            <w:tcMar>
              <w:top w:w="15" w:type="dxa"/>
              <w:left w:w="15" w:type="dxa"/>
              <w:right w:w="15" w:type="dxa"/>
            </w:tcMar>
            <w:vAlign w:val="bottom"/>
          </w:tcPr>
          <w:p w14:paraId="3C94390B">
            <w:pPr>
              <w:ind w:firstLine="400"/>
              <w:jc w:val="center"/>
              <w:rPr>
                <w:rFonts w:ascii="Arial" w:hAnsi="Arial" w:cs="Arial"/>
                <w:color w:val="000000"/>
                <w:sz w:val="20"/>
                <w:szCs w:val="20"/>
              </w:rPr>
            </w:pPr>
          </w:p>
        </w:tc>
        <w:tc>
          <w:tcPr>
            <w:tcW w:w="1965" w:type="dxa"/>
            <w:tcBorders>
              <w:right w:val="nil"/>
            </w:tcBorders>
            <w:shd w:val="clear" w:color="auto" w:fill="auto"/>
            <w:noWrap/>
            <w:tcMar>
              <w:top w:w="15" w:type="dxa"/>
              <w:left w:w="15" w:type="dxa"/>
              <w:right w:w="15" w:type="dxa"/>
            </w:tcMar>
            <w:vAlign w:val="bottom"/>
          </w:tcPr>
          <w:p w14:paraId="6946A12C">
            <w:pPr>
              <w:ind w:firstLine="400"/>
              <w:jc w:val="center"/>
              <w:rPr>
                <w:rFonts w:ascii="Arial" w:hAnsi="Arial" w:cs="Arial"/>
                <w:color w:val="000000"/>
                <w:sz w:val="20"/>
                <w:szCs w:val="20"/>
              </w:rPr>
            </w:pPr>
          </w:p>
        </w:tc>
      </w:tr>
    </w:tbl>
    <w:p w14:paraId="0D1D0F0E">
      <w:pPr>
        <w:ind w:firstLine="420"/>
        <w:jc w:val="center"/>
      </w:pPr>
    </w:p>
    <w:p w14:paraId="5AAEBD4A">
      <w:pPr>
        <w:ind w:firstLine="422"/>
        <w:jc w:val="center"/>
        <w:rPr>
          <w:b/>
          <w:bCs/>
        </w:rPr>
      </w:pPr>
      <w:r>
        <w:rPr>
          <w:rFonts w:hint="eastAsia"/>
          <w:b/>
          <w:bCs/>
        </w:rPr>
        <w:t>表6 2011年南雄市水资源地下水资源量</w:t>
      </w:r>
    </w:p>
    <w:tbl>
      <w:tblPr>
        <w:tblStyle w:val="14"/>
        <w:tblW w:w="8925" w:type="dxa"/>
        <w:tblInd w:w="0" w:type="dxa"/>
        <w:tblBorders>
          <w:top w:val="single" w:color="auto" w:sz="4" w:space="0"/>
          <w:left w:val="none" w:color="auto" w:sz="4" w:space="0"/>
          <w:bottom w:val="single" w:color="auto" w:sz="4" w:space="0"/>
          <w:right w:val="none" w:color="auto" w:sz="4" w:space="0"/>
          <w:insideH w:val="single" w:color="auto" w:sz="4" w:space="0"/>
          <w:insideV w:val="single" w:color="auto" w:sz="4" w:space="0"/>
        </w:tblBorders>
        <w:tblLayout w:type="autofit"/>
        <w:tblCellMar>
          <w:top w:w="0" w:type="dxa"/>
          <w:left w:w="0" w:type="dxa"/>
          <w:bottom w:w="0" w:type="dxa"/>
          <w:right w:w="0" w:type="dxa"/>
        </w:tblCellMar>
      </w:tblPr>
      <w:tblGrid>
        <w:gridCol w:w="960"/>
        <w:gridCol w:w="2415"/>
        <w:gridCol w:w="3330"/>
        <w:gridCol w:w="2220"/>
      </w:tblGrid>
      <w:tr w14:paraId="6D152AA9">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960" w:type="dxa"/>
            <w:tcBorders>
              <w:left w:val="nil"/>
            </w:tcBorders>
            <w:shd w:val="clear" w:color="auto" w:fill="auto"/>
            <w:noWrap/>
            <w:tcMar>
              <w:top w:w="15" w:type="dxa"/>
              <w:left w:w="15" w:type="dxa"/>
              <w:right w:w="15" w:type="dxa"/>
            </w:tcMar>
            <w:vAlign w:val="bottom"/>
          </w:tcPr>
          <w:p w14:paraId="42489882">
            <w:pPr>
              <w:pStyle w:val="34"/>
              <w:jc w:val="center"/>
              <w:rPr>
                <w:b/>
                <w:bCs/>
              </w:rPr>
            </w:pPr>
            <w:r>
              <w:rPr>
                <w:b/>
                <w:bCs/>
              </w:rPr>
              <w:t>年度</w:t>
            </w:r>
          </w:p>
        </w:tc>
        <w:tc>
          <w:tcPr>
            <w:tcW w:w="2415" w:type="dxa"/>
            <w:shd w:val="clear" w:color="auto" w:fill="auto"/>
            <w:noWrap/>
            <w:tcMar>
              <w:top w:w="15" w:type="dxa"/>
              <w:left w:w="15" w:type="dxa"/>
              <w:right w:w="15" w:type="dxa"/>
            </w:tcMar>
            <w:vAlign w:val="bottom"/>
          </w:tcPr>
          <w:p w14:paraId="5FDD084C">
            <w:pPr>
              <w:pStyle w:val="34"/>
              <w:jc w:val="center"/>
              <w:rPr>
                <w:b/>
                <w:bCs/>
              </w:rPr>
            </w:pPr>
            <w:r>
              <w:rPr>
                <w:b/>
                <w:bCs/>
              </w:rPr>
              <w:t>地下水资源量(亿立方米)</w:t>
            </w:r>
          </w:p>
        </w:tc>
        <w:tc>
          <w:tcPr>
            <w:tcW w:w="3330" w:type="dxa"/>
            <w:shd w:val="clear" w:color="auto" w:fill="auto"/>
            <w:noWrap/>
            <w:tcMar>
              <w:top w:w="15" w:type="dxa"/>
              <w:left w:w="15" w:type="dxa"/>
              <w:right w:w="15" w:type="dxa"/>
            </w:tcMar>
            <w:vAlign w:val="bottom"/>
          </w:tcPr>
          <w:p w14:paraId="6DF214EF">
            <w:pPr>
              <w:pStyle w:val="34"/>
              <w:jc w:val="center"/>
              <w:rPr>
                <w:b/>
                <w:bCs/>
              </w:rPr>
            </w:pPr>
            <w:r>
              <w:rPr>
                <w:b/>
                <w:bCs/>
              </w:rPr>
              <w:t>多年平均地下水资源量(亿立方米)</w:t>
            </w:r>
          </w:p>
        </w:tc>
        <w:tc>
          <w:tcPr>
            <w:tcW w:w="2220" w:type="dxa"/>
            <w:tcBorders>
              <w:right w:val="nil"/>
            </w:tcBorders>
            <w:shd w:val="clear" w:color="auto" w:fill="auto"/>
            <w:noWrap/>
            <w:tcMar>
              <w:top w:w="15" w:type="dxa"/>
              <w:left w:w="15" w:type="dxa"/>
              <w:right w:w="15" w:type="dxa"/>
            </w:tcMar>
            <w:vAlign w:val="bottom"/>
          </w:tcPr>
          <w:p w14:paraId="6F1FCEFC">
            <w:pPr>
              <w:pStyle w:val="34"/>
              <w:jc w:val="center"/>
              <w:rPr>
                <w:b/>
                <w:bCs/>
              </w:rPr>
            </w:pPr>
            <w:r>
              <w:rPr>
                <w:b/>
                <w:bCs/>
              </w:rPr>
              <w:t>与多年均值比较(%)</w:t>
            </w:r>
          </w:p>
        </w:tc>
      </w:tr>
      <w:tr w14:paraId="29300A0C">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0" w:type="auto"/>
            <w:tcBorders>
              <w:left w:val="nil"/>
            </w:tcBorders>
            <w:shd w:val="clear" w:color="auto" w:fill="auto"/>
            <w:noWrap/>
            <w:tcMar>
              <w:top w:w="15" w:type="dxa"/>
              <w:left w:w="15" w:type="dxa"/>
              <w:right w:w="15" w:type="dxa"/>
            </w:tcMar>
            <w:vAlign w:val="bottom"/>
          </w:tcPr>
          <w:p w14:paraId="4438E52A">
            <w:pPr>
              <w:pStyle w:val="34"/>
              <w:jc w:val="center"/>
            </w:pPr>
            <w:r>
              <w:t>2011</w:t>
            </w:r>
          </w:p>
        </w:tc>
        <w:tc>
          <w:tcPr>
            <w:tcW w:w="0" w:type="auto"/>
            <w:shd w:val="clear" w:color="auto" w:fill="auto"/>
            <w:noWrap/>
            <w:tcMar>
              <w:top w:w="15" w:type="dxa"/>
              <w:left w:w="15" w:type="dxa"/>
              <w:right w:w="15" w:type="dxa"/>
            </w:tcMar>
            <w:vAlign w:val="bottom"/>
          </w:tcPr>
          <w:p w14:paraId="4DE54FD3">
            <w:pPr>
              <w:pStyle w:val="34"/>
              <w:jc w:val="center"/>
            </w:pPr>
            <w:r>
              <w:t>4.72</w:t>
            </w:r>
          </w:p>
        </w:tc>
        <w:tc>
          <w:tcPr>
            <w:tcW w:w="0" w:type="auto"/>
            <w:shd w:val="clear" w:color="auto" w:fill="auto"/>
            <w:noWrap/>
            <w:tcMar>
              <w:top w:w="15" w:type="dxa"/>
              <w:left w:w="15" w:type="dxa"/>
              <w:right w:w="15" w:type="dxa"/>
            </w:tcMar>
            <w:vAlign w:val="bottom"/>
          </w:tcPr>
          <w:p w14:paraId="1D6804D7">
            <w:pPr>
              <w:pStyle w:val="34"/>
              <w:jc w:val="center"/>
            </w:pPr>
            <w:r>
              <w:t>4.52</w:t>
            </w:r>
          </w:p>
        </w:tc>
        <w:tc>
          <w:tcPr>
            <w:tcW w:w="0" w:type="auto"/>
            <w:tcBorders>
              <w:right w:val="nil"/>
            </w:tcBorders>
            <w:shd w:val="clear" w:color="auto" w:fill="auto"/>
            <w:noWrap/>
            <w:tcMar>
              <w:top w:w="15" w:type="dxa"/>
              <w:left w:w="15" w:type="dxa"/>
              <w:right w:w="15" w:type="dxa"/>
            </w:tcMar>
            <w:vAlign w:val="bottom"/>
          </w:tcPr>
          <w:p w14:paraId="0CC3B165">
            <w:pPr>
              <w:pStyle w:val="34"/>
              <w:jc w:val="center"/>
            </w:pPr>
            <w:r>
              <w:t>4.4</w:t>
            </w:r>
          </w:p>
        </w:tc>
      </w:tr>
      <w:tr w14:paraId="6249106C">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0" w:type="auto"/>
            <w:tcBorders>
              <w:left w:val="nil"/>
            </w:tcBorders>
            <w:shd w:val="clear" w:color="auto" w:fill="auto"/>
            <w:noWrap/>
            <w:tcMar>
              <w:top w:w="15" w:type="dxa"/>
              <w:left w:w="15" w:type="dxa"/>
              <w:right w:w="15" w:type="dxa"/>
            </w:tcMar>
            <w:vAlign w:val="bottom"/>
          </w:tcPr>
          <w:p w14:paraId="788F3F00">
            <w:pPr>
              <w:pStyle w:val="34"/>
            </w:pPr>
          </w:p>
        </w:tc>
        <w:tc>
          <w:tcPr>
            <w:tcW w:w="0" w:type="auto"/>
            <w:shd w:val="clear" w:color="auto" w:fill="auto"/>
            <w:noWrap/>
            <w:tcMar>
              <w:top w:w="15" w:type="dxa"/>
              <w:left w:w="15" w:type="dxa"/>
              <w:right w:w="15" w:type="dxa"/>
            </w:tcMar>
            <w:vAlign w:val="bottom"/>
          </w:tcPr>
          <w:p w14:paraId="55A193D1">
            <w:pPr>
              <w:pStyle w:val="34"/>
            </w:pPr>
          </w:p>
        </w:tc>
        <w:tc>
          <w:tcPr>
            <w:tcW w:w="0" w:type="auto"/>
            <w:shd w:val="clear" w:color="auto" w:fill="auto"/>
            <w:noWrap/>
            <w:tcMar>
              <w:top w:w="15" w:type="dxa"/>
              <w:left w:w="15" w:type="dxa"/>
              <w:right w:w="15" w:type="dxa"/>
            </w:tcMar>
            <w:vAlign w:val="bottom"/>
          </w:tcPr>
          <w:p w14:paraId="421D543E">
            <w:pPr>
              <w:pStyle w:val="34"/>
            </w:pPr>
          </w:p>
        </w:tc>
        <w:tc>
          <w:tcPr>
            <w:tcW w:w="0" w:type="auto"/>
            <w:tcBorders>
              <w:right w:val="nil"/>
            </w:tcBorders>
            <w:shd w:val="clear" w:color="auto" w:fill="auto"/>
            <w:noWrap/>
            <w:tcMar>
              <w:top w:w="15" w:type="dxa"/>
              <w:left w:w="15" w:type="dxa"/>
              <w:right w:w="15" w:type="dxa"/>
            </w:tcMar>
            <w:vAlign w:val="bottom"/>
          </w:tcPr>
          <w:p w14:paraId="437C167E">
            <w:pPr>
              <w:pStyle w:val="34"/>
            </w:pPr>
          </w:p>
        </w:tc>
      </w:tr>
      <w:tr w14:paraId="6CCFE80F">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0" w:type="auto"/>
            <w:tcBorders>
              <w:left w:val="nil"/>
            </w:tcBorders>
            <w:shd w:val="clear" w:color="auto" w:fill="auto"/>
            <w:noWrap/>
            <w:tcMar>
              <w:top w:w="15" w:type="dxa"/>
              <w:left w:w="15" w:type="dxa"/>
              <w:right w:w="15" w:type="dxa"/>
            </w:tcMar>
            <w:vAlign w:val="bottom"/>
          </w:tcPr>
          <w:p w14:paraId="0CAE3B74">
            <w:pPr>
              <w:pStyle w:val="34"/>
            </w:pPr>
          </w:p>
        </w:tc>
        <w:tc>
          <w:tcPr>
            <w:tcW w:w="0" w:type="auto"/>
            <w:shd w:val="clear" w:color="auto" w:fill="auto"/>
            <w:noWrap/>
            <w:tcMar>
              <w:top w:w="15" w:type="dxa"/>
              <w:left w:w="15" w:type="dxa"/>
              <w:right w:w="15" w:type="dxa"/>
            </w:tcMar>
            <w:vAlign w:val="bottom"/>
          </w:tcPr>
          <w:p w14:paraId="34C294C4">
            <w:pPr>
              <w:pStyle w:val="34"/>
            </w:pPr>
          </w:p>
        </w:tc>
        <w:tc>
          <w:tcPr>
            <w:tcW w:w="0" w:type="auto"/>
            <w:shd w:val="clear" w:color="auto" w:fill="auto"/>
            <w:noWrap/>
            <w:tcMar>
              <w:top w:w="15" w:type="dxa"/>
              <w:left w:w="15" w:type="dxa"/>
              <w:right w:w="15" w:type="dxa"/>
            </w:tcMar>
            <w:vAlign w:val="bottom"/>
          </w:tcPr>
          <w:p w14:paraId="2A104FC2">
            <w:pPr>
              <w:pStyle w:val="34"/>
            </w:pPr>
          </w:p>
        </w:tc>
        <w:tc>
          <w:tcPr>
            <w:tcW w:w="0" w:type="auto"/>
            <w:tcBorders>
              <w:right w:val="nil"/>
            </w:tcBorders>
            <w:shd w:val="clear" w:color="auto" w:fill="auto"/>
            <w:noWrap/>
            <w:tcMar>
              <w:top w:w="15" w:type="dxa"/>
              <w:left w:w="15" w:type="dxa"/>
              <w:right w:w="15" w:type="dxa"/>
            </w:tcMar>
            <w:vAlign w:val="bottom"/>
          </w:tcPr>
          <w:p w14:paraId="5DE04544">
            <w:pPr>
              <w:pStyle w:val="34"/>
            </w:pPr>
          </w:p>
        </w:tc>
      </w:tr>
      <w:tr w14:paraId="393BEDE3">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0" w:type="auto"/>
            <w:tcBorders>
              <w:left w:val="nil"/>
            </w:tcBorders>
            <w:shd w:val="clear" w:color="auto" w:fill="auto"/>
            <w:noWrap/>
            <w:tcMar>
              <w:top w:w="15" w:type="dxa"/>
              <w:left w:w="15" w:type="dxa"/>
              <w:right w:w="15" w:type="dxa"/>
            </w:tcMar>
            <w:vAlign w:val="bottom"/>
          </w:tcPr>
          <w:p w14:paraId="526D5149">
            <w:pPr>
              <w:pStyle w:val="34"/>
            </w:pPr>
          </w:p>
        </w:tc>
        <w:tc>
          <w:tcPr>
            <w:tcW w:w="0" w:type="auto"/>
            <w:shd w:val="clear" w:color="auto" w:fill="auto"/>
            <w:noWrap/>
            <w:tcMar>
              <w:top w:w="15" w:type="dxa"/>
              <w:left w:w="15" w:type="dxa"/>
              <w:right w:w="15" w:type="dxa"/>
            </w:tcMar>
            <w:vAlign w:val="bottom"/>
          </w:tcPr>
          <w:p w14:paraId="40524A35">
            <w:pPr>
              <w:pStyle w:val="34"/>
            </w:pPr>
          </w:p>
        </w:tc>
        <w:tc>
          <w:tcPr>
            <w:tcW w:w="0" w:type="auto"/>
            <w:shd w:val="clear" w:color="auto" w:fill="auto"/>
            <w:noWrap/>
            <w:tcMar>
              <w:top w:w="15" w:type="dxa"/>
              <w:left w:w="15" w:type="dxa"/>
              <w:right w:w="15" w:type="dxa"/>
            </w:tcMar>
            <w:vAlign w:val="bottom"/>
          </w:tcPr>
          <w:p w14:paraId="6D905D5B">
            <w:pPr>
              <w:pStyle w:val="34"/>
            </w:pPr>
          </w:p>
        </w:tc>
        <w:tc>
          <w:tcPr>
            <w:tcW w:w="0" w:type="auto"/>
            <w:tcBorders>
              <w:right w:val="nil"/>
            </w:tcBorders>
            <w:shd w:val="clear" w:color="auto" w:fill="auto"/>
            <w:noWrap/>
            <w:tcMar>
              <w:top w:w="15" w:type="dxa"/>
              <w:left w:w="15" w:type="dxa"/>
              <w:right w:w="15" w:type="dxa"/>
            </w:tcMar>
            <w:vAlign w:val="bottom"/>
          </w:tcPr>
          <w:p w14:paraId="7137465B">
            <w:pPr>
              <w:pStyle w:val="34"/>
            </w:pPr>
          </w:p>
        </w:tc>
      </w:tr>
      <w:tr w14:paraId="57589A7E">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0" w:type="auto"/>
            <w:tcBorders>
              <w:left w:val="nil"/>
            </w:tcBorders>
            <w:shd w:val="clear" w:color="auto" w:fill="auto"/>
            <w:noWrap/>
            <w:tcMar>
              <w:top w:w="15" w:type="dxa"/>
              <w:left w:w="15" w:type="dxa"/>
              <w:right w:w="15" w:type="dxa"/>
            </w:tcMar>
            <w:vAlign w:val="bottom"/>
          </w:tcPr>
          <w:p w14:paraId="36123A1A">
            <w:pPr>
              <w:pStyle w:val="34"/>
            </w:pPr>
          </w:p>
        </w:tc>
        <w:tc>
          <w:tcPr>
            <w:tcW w:w="0" w:type="auto"/>
            <w:shd w:val="clear" w:color="auto" w:fill="auto"/>
            <w:noWrap/>
            <w:tcMar>
              <w:top w:w="15" w:type="dxa"/>
              <w:left w:w="15" w:type="dxa"/>
              <w:right w:w="15" w:type="dxa"/>
            </w:tcMar>
            <w:vAlign w:val="bottom"/>
          </w:tcPr>
          <w:p w14:paraId="79C34626">
            <w:pPr>
              <w:pStyle w:val="34"/>
            </w:pPr>
          </w:p>
        </w:tc>
        <w:tc>
          <w:tcPr>
            <w:tcW w:w="0" w:type="auto"/>
            <w:shd w:val="clear" w:color="auto" w:fill="auto"/>
            <w:noWrap/>
            <w:tcMar>
              <w:top w:w="15" w:type="dxa"/>
              <w:left w:w="15" w:type="dxa"/>
              <w:right w:w="15" w:type="dxa"/>
            </w:tcMar>
            <w:vAlign w:val="bottom"/>
          </w:tcPr>
          <w:p w14:paraId="00788865">
            <w:pPr>
              <w:pStyle w:val="34"/>
            </w:pPr>
          </w:p>
        </w:tc>
        <w:tc>
          <w:tcPr>
            <w:tcW w:w="0" w:type="auto"/>
            <w:tcBorders>
              <w:right w:val="nil"/>
            </w:tcBorders>
            <w:shd w:val="clear" w:color="auto" w:fill="auto"/>
            <w:noWrap/>
            <w:tcMar>
              <w:top w:w="15" w:type="dxa"/>
              <w:left w:w="15" w:type="dxa"/>
              <w:right w:w="15" w:type="dxa"/>
            </w:tcMar>
            <w:vAlign w:val="bottom"/>
          </w:tcPr>
          <w:p w14:paraId="581923DF">
            <w:pPr>
              <w:pStyle w:val="34"/>
            </w:pPr>
          </w:p>
        </w:tc>
      </w:tr>
      <w:tr w14:paraId="112CF511">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0" w:type="auto"/>
            <w:tcBorders>
              <w:left w:val="nil"/>
            </w:tcBorders>
            <w:shd w:val="clear" w:color="auto" w:fill="auto"/>
            <w:noWrap/>
            <w:tcMar>
              <w:top w:w="15" w:type="dxa"/>
              <w:left w:w="15" w:type="dxa"/>
              <w:right w:w="15" w:type="dxa"/>
            </w:tcMar>
            <w:vAlign w:val="bottom"/>
          </w:tcPr>
          <w:p w14:paraId="2AF5D092">
            <w:pPr>
              <w:pStyle w:val="34"/>
            </w:pPr>
          </w:p>
        </w:tc>
        <w:tc>
          <w:tcPr>
            <w:tcW w:w="0" w:type="auto"/>
            <w:shd w:val="clear" w:color="auto" w:fill="auto"/>
            <w:noWrap/>
            <w:tcMar>
              <w:top w:w="15" w:type="dxa"/>
              <w:left w:w="15" w:type="dxa"/>
              <w:right w:w="15" w:type="dxa"/>
            </w:tcMar>
            <w:vAlign w:val="bottom"/>
          </w:tcPr>
          <w:p w14:paraId="6A36011B">
            <w:pPr>
              <w:pStyle w:val="34"/>
            </w:pPr>
          </w:p>
        </w:tc>
        <w:tc>
          <w:tcPr>
            <w:tcW w:w="0" w:type="auto"/>
            <w:shd w:val="clear" w:color="auto" w:fill="auto"/>
            <w:noWrap/>
            <w:tcMar>
              <w:top w:w="15" w:type="dxa"/>
              <w:left w:w="15" w:type="dxa"/>
              <w:right w:w="15" w:type="dxa"/>
            </w:tcMar>
            <w:vAlign w:val="bottom"/>
          </w:tcPr>
          <w:p w14:paraId="3105F53F">
            <w:pPr>
              <w:pStyle w:val="34"/>
            </w:pPr>
          </w:p>
        </w:tc>
        <w:tc>
          <w:tcPr>
            <w:tcW w:w="0" w:type="auto"/>
            <w:tcBorders>
              <w:right w:val="nil"/>
            </w:tcBorders>
            <w:shd w:val="clear" w:color="auto" w:fill="auto"/>
            <w:noWrap/>
            <w:tcMar>
              <w:top w:w="15" w:type="dxa"/>
              <w:left w:w="15" w:type="dxa"/>
              <w:right w:w="15" w:type="dxa"/>
            </w:tcMar>
            <w:vAlign w:val="bottom"/>
          </w:tcPr>
          <w:p w14:paraId="0088CD10">
            <w:pPr>
              <w:pStyle w:val="34"/>
            </w:pPr>
          </w:p>
        </w:tc>
      </w:tr>
    </w:tbl>
    <w:p w14:paraId="32BF7DB2">
      <w:pPr>
        <w:ind w:firstLine="420"/>
        <w:jc w:val="center"/>
      </w:pPr>
    </w:p>
    <w:p w14:paraId="5F53132A">
      <w:pPr>
        <w:ind w:firstLine="422"/>
        <w:jc w:val="center"/>
        <w:rPr>
          <w:b/>
          <w:bCs/>
        </w:rPr>
      </w:pPr>
      <w:r>
        <w:rPr>
          <w:rFonts w:hint="eastAsia"/>
          <w:b/>
          <w:bCs/>
        </w:rPr>
        <w:t>表7 2011年南雄市供水量</w:t>
      </w:r>
    </w:p>
    <w:p w14:paraId="02C130D4">
      <w:pPr>
        <w:ind w:firstLine="420"/>
        <w:jc w:val="right"/>
        <w:rPr>
          <w:b/>
          <w:bCs/>
        </w:rPr>
      </w:pPr>
      <w:r>
        <w:rPr>
          <w:rFonts w:hint="eastAsia"/>
        </w:rPr>
        <w:t>单位：万立方米</w:t>
      </w:r>
    </w:p>
    <w:tbl>
      <w:tblPr>
        <w:tblStyle w:val="14"/>
        <w:tblW w:w="9864" w:type="dxa"/>
        <w:tblInd w:w="0" w:type="dxa"/>
        <w:tblBorders>
          <w:top w:val="single" w:color="auto" w:sz="4" w:space="0"/>
          <w:left w:val="none" w:color="auto" w:sz="4" w:space="0"/>
          <w:bottom w:val="single" w:color="auto" w:sz="4" w:space="0"/>
          <w:right w:val="none" w:color="auto" w:sz="4" w:space="0"/>
          <w:insideH w:val="single" w:color="auto" w:sz="4" w:space="0"/>
          <w:insideV w:val="single" w:color="auto" w:sz="4" w:space="0"/>
        </w:tblBorders>
        <w:tblLayout w:type="fixed"/>
        <w:tblCellMar>
          <w:top w:w="0" w:type="dxa"/>
          <w:left w:w="0" w:type="dxa"/>
          <w:bottom w:w="0" w:type="dxa"/>
          <w:right w:w="0" w:type="dxa"/>
        </w:tblCellMar>
      </w:tblPr>
      <w:tblGrid>
        <w:gridCol w:w="580"/>
        <w:gridCol w:w="681"/>
        <w:gridCol w:w="814"/>
        <w:gridCol w:w="1632"/>
        <w:gridCol w:w="1021"/>
        <w:gridCol w:w="1632"/>
        <w:gridCol w:w="624"/>
        <w:gridCol w:w="624"/>
        <w:gridCol w:w="624"/>
        <w:gridCol w:w="1632"/>
      </w:tblGrid>
      <w:tr w14:paraId="0C49872D">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580" w:type="dxa"/>
            <w:vMerge w:val="restart"/>
            <w:tcBorders>
              <w:left w:val="nil"/>
            </w:tcBorders>
            <w:shd w:val="clear" w:color="auto" w:fill="auto"/>
            <w:noWrap/>
            <w:tcMar>
              <w:top w:w="15" w:type="dxa"/>
              <w:left w:w="15" w:type="dxa"/>
              <w:right w:w="15" w:type="dxa"/>
            </w:tcMar>
            <w:vAlign w:val="bottom"/>
          </w:tcPr>
          <w:p w14:paraId="0354FFB2">
            <w:pPr>
              <w:pStyle w:val="34"/>
              <w:jc w:val="center"/>
              <w:rPr>
                <w:b/>
                <w:bCs/>
              </w:rPr>
            </w:pPr>
            <w:r>
              <w:rPr>
                <w:b/>
                <w:bCs/>
              </w:rPr>
              <w:t>年度</w:t>
            </w:r>
          </w:p>
        </w:tc>
        <w:tc>
          <w:tcPr>
            <w:tcW w:w="681" w:type="dxa"/>
            <w:vMerge w:val="restart"/>
            <w:shd w:val="clear" w:color="auto" w:fill="auto"/>
            <w:noWrap/>
            <w:tcMar>
              <w:top w:w="15" w:type="dxa"/>
              <w:left w:w="15" w:type="dxa"/>
              <w:right w:w="15" w:type="dxa"/>
            </w:tcMar>
            <w:vAlign w:val="bottom"/>
          </w:tcPr>
          <w:p w14:paraId="7C178168">
            <w:pPr>
              <w:pStyle w:val="34"/>
              <w:jc w:val="center"/>
              <w:rPr>
                <w:b/>
                <w:bCs/>
              </w:rPr>
            </w:pPr>
            <w:r>
              <w:rPr>
                <w:b/>
                <w:bCs/>
              </w:rPr>
              <w:t>总供水量</w:t>
            </w:r>
          </w:p>
        </w:tc>
        <w:tc>
          <w:tcPr>
            <w:tcW w:w="5099" w:type="dxa"/>
            <w:gridSpan w:val="4"/>
            <w:shd w:val="clear" w:color="auto" w:fill="auto"/>
            <w:noWrap/>
            <w:tcMar>
              <w:top w:w="15" w:type="dxa"/>
              <w:left w:w="15" w:type="dxa"/>
              <w:right w:w="15" w:type="dxa"/>
            </w:tcMar>
            <w:vAlign w:val="bottom"/>
          </w:tcPr>
          <w:p w14:paraId="6D38AC08">
            <w:pPr>
              <w:pStyle w:val="34"/>
              <w:jc w:val="center"/>
              <w:rPr>
                <w:b/>
                <w:bCs/>
              </w:rPr>
            </w:pPr>
            <w:r>
              <w:rPr>
                <w:b/>
                <w:bCs/>
              </w:rPr>
              <w:t>地表水量</w:t>
            </w:r>
          </w:p>
        </w:tc>
        <w:tc>
          <w:tcPr>
            <w:tcW w:w="624" w:type="dxa"/>
            <w:vMerge w:val="restart"/>
            <w:shd w:val="clear" w:color="auto" w:fill="auto"/>
            <w:noWrap/>
            <w:tcMar>
              <w:top w:w="15" w:type="dxa"/>
              <w:left w:w="15" w:type="dxa"/>
              <w:right w:w="15" w:type="dxa"/>
            </w:tcMar>
            <w:vAlign w:val="bottom"/>
          </w:tcPr>
          <w:p w14:paraId="5ED2DCD5">
            <w:pPr>
              <w:pStyle w:val="34"/>
              <w:jc w:val="center"/>
              <w:rPr>
                <w:b/>
                <w:bCs/>
              </w:rPr>
            </w:pPr>
            <w:r>
              <w:rPr>
                <w:b/>
                <w:bCs/>
              </w:rPr>
              <w:t>蓄水量</w:t>
            </w:r>
          </w:p>
        </w:tc>
        <w:tc>
          <w:tcPr>
            <w:tcW w:w="624" w:type="dxa"/>
            <w:vMerge w:val="restart"/>
            <w:shd w:val="clear" w:color="auto" w:fill="auto"/>
            <w:noWrap/>
            <w:tcMar>
              <w:top w:w="15" w:type="dxa"/>
              <w:left w:w="15" w:type="dxa"/>
              <w:right w:w="15" w:type="dxa"/>
            </w:tcMar>
            <w:vAlign w:val="bottom"/>
          </w:tcPr>
          <w:p w14:paraId="5730DE10">
            <w:pPr>
              <w:pStyle w:val="34"/>
              <w:jc w:val="center"/>
              <w:rPr>
                <w:b/>
                <w:bCs/>
              </w:rPr>
            </w:pPr>
            <w:r>
              <w:rPr>
                <w:b/>
                <w:bCs/>
              </w:rPr>
              <w:t>引水量</w:t>
            </w:r>
          </w:p>
        </w:tc>
        <w:tc>
          <w:tcPr>
            <w:tcW w:w="624" w:type="dxa"/>
            <w:vMerge w:val="restart"/>
            <w:shd w:val="clear" w:color="auto" w:fill="auto"/>
            <w:noWrap/>
            <w:tcMar>
              <w:top w:w="15" w:type="dxa"/>
              <w:left w:w="15" w:type="dxa"/>
              <w:right w:w="15" w:type="dxa"/>
            </w:tcMar>
            <w:vAlign w:val="bottom"/>
          </w:tcPr>
          <w:p w14:paraId="1DEE95ED">
            <w:pPr>
              <w:pStyle w:val="34"/>
              <w:jc w:val="center"/>
              <w:rPr>
                <w:b/>
                <w:bCs/>
              </w:rPr>
            </w:pPr>
            <w:r>
              <w:rPr>
                <w:b/>
                <w:bCs/>
              </w:rPr>
              <w:t>提水量</w:t>
            </w:r>
          </w:p>
        </w:tc>
        <w:tc>
          <w:tcPr>
            <w:tcW w:w="1632" w:type="dxa"/>
            <w:vMerge w:val="restart"/>
            <w:tcBorders>
              <w:right w:val="nil"/>
            </w:tcBorders>
            <w:shd w:val="clear" w:color="auto" w:fill="auto"/>
            <w:noWrap/>
            <w:tcMar>
              <w:top w:w="15" w:type="dxa"/>
              <w:left w:w="15" w:type="dxa"/>
              <w:right w:w="15" w:type="dxa"/>
            </w:tcMar>
            <w:vAlign w:val="bottom"/>
          </w:tcPr>
          <w:p w14:paraId="70C6EEE1">
            <w:pPr>
              <w:pStyle w:val="34"/>
              <w:jc w:val="center"/>
              <w:rPr>
                <w:b/>
                <w:bCs/>
              </w:rPr>
            </w:pPr>
            <w:r>
              <w:rPr>
                <w:b/>
                <w:bCs/>
              </w:rPr>
              <w:t>占总供水量比例(%)</w:t>
            </w:r>
          </w:p>
        </w:tc>
      </w:tr>
      <w:tr w14:paraId="07FDC5B1">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580" w:type="dxa"/>
            <w:vMerge w:val="continue"/>
            <w:tcBorders>
              <w:left w:val="nil"/>
            </w:tcBorders>
            <w:shd w:val="clear" w:color="auto" w:fill="auto"/>
            <w:noWrap/>
            <w:tcMar>
              <w:top w:w="15" w:type="dxa"/>
              <w:left w:w="15" w:type="dxa"/>
              <w:right w:w="15" w:type="dxa"/>
            </w:tcMar>
            <w:vAlign w:val="bottom"/>
          </w:tcPr>
          <w:p w14:paraId="5BF90414">
            <w:pPr>
              <w:pStyle w:val="34"/>
              <w:jc w:val="center"/>
              <w:rPr>
                <w:b/>
                <w:bCs/>
              </w:rPr>
            </w:pPr>
          </w:p>
        </w:tc>
        <w:tc>
          <w:tcPr>
            <w:tcW w:w="681" w:type="dxa"/>
            <w:vMerge w:val="continue"/>
            <w:shd w:val="clear" w:color="auto" w:fill="auto"/>
            <w:noWrap/>
            <w:tcMar>
              <w:top w:w="15" w:type="dxa"/>
              <w:left w:w="15" w:type="dxa"/>
              <w:right w:w="15" w:type="dxa"/>
            </w:tcMar>
            <w:vAlign w:val="bottom"/>
          </w:tcPr>
          <w:p w14:paraId="09ED3E8E">
            <w:pPr>
              <w:pStyle w:val="34"/>
              <w:jc w:val="center"/>
              <w:rPr>
                <w:b/>
                <w:bCs/>
              </w:rPr>
            </w:pPr>
          </w:p>
        </w:tc>
        <w:tc>
          <w:tcPr>
            <w:tcW w:w="814" w:type="dxa"/>
            <w:shd w:val="clear" w:color="auto" w:fill="auto"/>
            <w:noWrap/>
            <w:tcMar>
              <w:top w:w="15" w:type="dxa"/>
              <w:left w:w="15" w:type="dxa"/>
              <w:right w:w="15" w:type="dxa"/>
            </w:tcMar>
            <w:vAlign w:val="bottom"/>
          </w:tcPr>
          <w:p w14:paraId="2797D37B">
            <w:pPr>
              <w:pStyle w:val="34"/>
              <w:jc w:val="center"/>
              <w:rPr>
                <w:b/>
                <w:bCs/>
              </w:rPr>
            </w:pPr>
            <w:r>
              <w:rPr>
                <w:b/>
                <w:bCs/>
              </w:rPr>
              <w:t>地下水量</w:t>
            </w:r>
          </w:p>
        </w:tc>
        <w:tc>
          <w:tcPr>
            <w:tcW w:w="1632" w:type="dxa"/>
            <w:shd w:val="clear" w:color="auto" w:fill="auto"/>
            <w:noWrap/>
            <w:tcMar>
              <w:top w:w="15" w:type="dxa"/>
              <w:left w:w="15" w:type="dxa"/>
              <w:right w:w="15" w:type="dxa"/>
            </w:tcMar>
            <w:vAlign w:val="bottom"/>
          </w:tcPr>
          <w:p w14:paraId="37B96592">
            <w:pPr>
              <w:pStyle w:val="34"/>
              <w:jc w:val="center"/>
              <w:rPr>
                <w:b/>
                <w:bCs/>
              </w:rPr>
            </w:pPr>
            <w:r>
              <w:rPr>
                <w:b/>
                <w:bCs/>
              </w:rPr>
              <w:t>占总供水量比例(%)</w:t>
            </w:r>
          </w:p>
        </w:tc>
        <w:tc>
          <w:tcPr>
            <w:tcW w:w="1021" w:type="dxa"/>
            <w:shd w:val="clear" w:color="auto" w:fill="auto"/>
            <w:noWrap/>
            <w:tcMar>
              <w:top w:w="15" w:type="dxa"/>
              <w:left w:w="15" w:type="dxa"/>
              <w:right w:w="15" w:type="dxa"/>
            </w:tcMar>
            <w:vAlign w:val="bottom"/>
          </w:tcPr>
          <w:p w14:paraId="75D3A908">
            <w:pPr>
              <w:pStyle w:val="34"/>
              <w:jc w:val="center"/>
              <w:rPr>
                <w:b/>
                <w:bCs/>
              </w:rPr>
            </w:pPr>
            <w:r>
              <w:rPr>
                <w:b/>
                <w:bCs/>
              </w:rPr>
              <w:t>其它供水量</w:t>
            </w:r>
          </w:p>
        </w:tc>
        <w:tc>
          <w:tcPr>
            <w:tcW w:w="1632" w:type="dxa"/>
            <w:shd w:val="clear" w:color="auto" w:fill="auto"/>
            <w:noWrap/>
            <w:tcMar>
              <w:top w:w="15" w:type="dxa"/>
              <w:left w:w="15" w:type="dxa"/>
              <w:right w:w="15" w:type="dxa"/>
            </w:tcMar>
            <w:vAlign w:val="bottom"/>
          </w:tcPr>
          <w:p w14:paraId="73E5C257">
            <w:pPr>
              <w:pStyle w:val="34"/>
              <w:jc w:val="center"/>
              <w:rPr>
                <w:b/>
                <w:bCs/>
              </w:rPr>
            </w:pPr>
            <w:r>
              <w:rPr>
                <w:b/>
                <w:bCs/>
              </w:rPr>
              <w:t>占总供水量比例(%)</w:t>
            </w:r>
          </w:p>
        </w:tc>
        <w:tc>
          <w:tcPr>
            <w:tcW w:w="624" w:type="dxa"/>
            <w:vMerge w:val="continue"/>
            <w:shd w:val="clear" w:color="auto" w:fill="auto"/>
            <w:noWrap/>
            <w:tcMar>
              <w:top w:w="15" w:type="dxa"/>
              <w:left w:w="15" w:type="dxa"/>
              <w:right w:w="15" w:type="dxa"/>
            </w:tcMar>
            <w:vAlign w:val="bottom"/>
          </w:tcPr>
          <w:p w14:paraId="099D72AF">
            <w:pPr>
              <w:pStyle w:val="34"/>
              <w:jc w:val="center"/>
              <w:rPr>
                <w:b/>
                <w:bCs/>
              </w:rPr>
            </w:pPr>
          </w:p>
        </w:tc>
        <w:tc>
          <w:tcPr>
            <w:tcW w:w="624" w:type="dxa"/>
            <w:vMerge w:val="continue"/>
            <w:shd w:val="clear" w:color="auto" w:fill="auto"/>
            <w:noWrap/>
            <w:tcMar>
              <w:top w:w="15" w:type="dxa"/>
              <w:left w:w="15" w:type="dxa"/>
              <w:right w:w="15" w:type="dxa"/>
            </w:tcMar>
            <w:vAlign w:val="bottom"/>
          </w:tcPr>
          <w:p w14:paraId="4A01211F">
            <w:pPr>
              <w:pStyle w:val="34"/>
              <w:jc w:val="center"/>
              <w:rPr>
                <w:b/>
                <w:bCs/>
              </w:rPr>
            </w:pPr>
          </w:p>
        </w:tc>
        <w:tc>
          <w:tcPr>
            <w:tcW w:w="624" w:type="dxa"/>
            <w:vMerge w:val="continue"/>
            <w:shd w:val="clear" w:color="auto" w:fill="auto"/>
            <w:noWrap/>
            <w:tcMar>
              <w:top w:w="15" w:type="dxa"/>
              <w:left w:w="15" w:type="dxa"/>
              <w:right w:w="15" w:type="dxa"/>
            </w:tcMar>
            <w:vAlign w:val="bottom"/>
          </w:tcPr>
          <w:p w14:paraId="26E8EC41">
            <w:pPr>
              <w:pStyle w:val="34"/>
              <w:jc w:val="center"/>
              <w:rPr>
                <w:b/>
                <w:bCs/>
              </w:rPr>
            </w:pPr>
          </w:p>
        </w:tc>
        <w:tc>
          <w:tcPr>
            <w:tcW w:w="1632" w:type="dxa"/>
            <w:vMerge w:val="continue"/>
            <w:tcBorders>
              <w:right w:val="nil"/>
            </w:tcBorders>
            <w:shd w:val="clear" w:color="auto" w:fill="auto"/>
            <w:noWrap/>
            <w:tcMar>
              <w:top w:w="15" w:type="dxa"/>
              <w:left w:w="15" w:type="dxa"/>
              <w:right w:w="15" w:type="dxa"/>
            </w:tcMar>
            <w:vAlign w:val="bottom"/>
          </w:tcPr>
          <w:p w14:paraId="53CD9CFE">
            <w:pPr>
              <w:pStyle w:val="34"/>
              <w:jc w:val="center"/>
              <w:rPr>
                <w:b/>
                <w:bCs/>
              </w:rPr>
            </w:pPr>
          </w:p>
        </w:tc>
      </w:tr>
      <w:tr w14:paraId="683205F0">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580" w:type="dxa"/>
            <w:tcBorders>
              <w:left w:val="nil"/>
            </w:tcBorders>
            <w:shd w:val="clear" w:color="auto" w:fill="auto"/>
            <w:noWrap/>
            <w:tcMar>
              <w:top w:w="15" w:type="dxa"/>
              <w:left w:w="15" w:type="dxa"/>
              <w:right w:w="15" w:type="dxa"/>
            </w:tcMar>
            <w:vAlign w:val="bottom"/>
          </w:tcPr>
          <w:p w14:paraId="277575F4">
            <w:pPr>
              <w:pStyle w:val="34"/>
              <w:jc w:val="center"/>
            </w:pPr>
            <w:r>
              <w:t>2011</w:t>
            </w:r>
          </w:p>
        </w:tc>
        <w:tc>
          <w:tcPr>
            <w:tcW w:w="681" w:type="dxa"/>
            <w:shd w:val="clear" w:color="auto" w:fill="auto"/>
            <w:noWrap/>
            <w:tcMar>
              <w:top w:w="15" w:type="dxa"/>
              <w:left w:w="15" w:type="dxa"/>
              <w:right w:w="15" w:type="dxa"/>
            </w:tcMar>
            <w:vAlign w:val="bottom"/>
          </w:tcPr>
          <w:p w14:paraId="380635FB">
            <w:pPr>
              <w:pStyle w:val="34"/>
              <w:jc w:val="center"/>
            </w:pPr>
            <w:r>
              <w:t>35920</w:t>
            </w:r>
          </w:p>
        </w:tc>
        <w:tc>
          <w:tcPr>
            <w:tcW w:w="814" w:type="dxa"/>
            <w:shd w:val="clear" w:color="auto" w:fill="auto"/>
            <w:noWrap/>
            <w:tcMar>
              <w:top w:w="15" w:type="dxa"/>
              <w:left w:w="15" w:type="dxa"/>
              <w:right w:w="15" w:type="dxa"/>
            </w:tcMar>
            <w:vAlign w:val="bottom"/>
          </w:tcPr>
          <w:p w14:paraId="476975E4">
            <w:pPr>
              <w:pStyle w:val="34"/>
              <w:jc w:val="center"/>
            </w:pPr>
            <w:r>
              <w:t>20800</w:t>
            </w:r>
          </w:p>
        </w:tc>
        <w:tc>
          <w:tcPr>
            <w:tcW w:w="1632" w:type="dxa"/>
            <w:shd w:val="clear" w:color="auto" w:fill="auto"/>
            <w:noWrap/>
            <w:tcMar>
              <w:top w:w="15" w:type="dxa"/>
              <w:left w:w="15" w:type="dxa"/>
              <w:right w:w="15" w:type="dxa"/>
            </w:tcMar>
            <w:vAlign w:val="bottom"/>
          </w:tcPr>
          <w:p w14:paraId="58EFEFF6">
            <w:pPr>
              <w:pStyle w:val="34"/>
              <w:jc w:val="center"/>
            </w:pPr>
            <w:r>
              <w:t>9800</w:t>
            </w:r>
          </w:p>
        </w:tc>
        <w:tc>
          <w:tcPr>
            <w:tcW w:w="1021" w:type="dxa"/>
            <w:shd w:val="clear" w:color="auto" w:fill="auto"/>
            <w:noWrap/>
            <w:tcMar>
              <w:top w:w="15" w:type="dxa"/>
              <w:left w:w="15" w:type="dxa"/>
              <w:right w:w="15" w:type="dxa"/>
            </w:tcMar>
            <w:vAlign w:val="bottom"/>
          </w:tcPr>
          <w:p w14:paraId="441505FE">
            <w:pPr>
              <w:pStyle w:val="34"/>
              <w:jc w:val="center"/>
            </w:pPr>
            <w:r>
              <w:t>3720</w:t>
            </w:r>
          </w:p>
        </w:tc>
        <w:tc>
          <w:tcPr>
            <w:tcW w:w="1632" w:type="dxa"/>
            <w:shd w:val="clear" w:color="auto" w:fill="auto"/>
            <w:noWrap/>
            <w:tcMar>
              <w:top w:w="15" w:type="dxa"/>
              <w:left w:w="15" w:type="dxa"/>
              <w:right w:w="15" w:type="dxa"/>
            </w:tcMar>
            <w:vAlign w:val="bottom"/>
          </w:tcPr>
          <w:p w14:paraId="23DC447B">
            <w:pPr>
              <w:pStyle w:val="34"/>
              <w:jc w:val="center"/>
            </w:pPr>
            <w:r>
              <w:t>95.5</w:t>
            </w:r>
          </w:p>
        </w:tc>
        <w:tc>
          <w:tcPr>
            <w:tcW w:w="624" w:type="dxa"/>
            <w:shd w:val="clear" w:color="auto" w:fill="auto"/>
            <w:noWrap/>
            <w:tcMar>
              <w:top w:w="15" w:type="dxa"/>
              <w:left w:w="15" w:type="dxa"/>
              <w:right w:w="15" w:type="dxa"/>
            </w:tcMar>
            <w:vAlign w:val="bottom"/>
          </w:tcPr>
          <w:p w14:paraId="43A87EF2">
            <w:pPr>
              <w:pStyle w:val="34"/>
              <w:jc w:val="center"/>
            </w:pPr>
            <w:r>
              <w:t>1500</w:t>
            </w:r>
          </w:p>
        </w:tc>
        <w:tc>
          <w:tcPr>
            <w:tcW w:w="624" w:type="dxa"/>
            <w:shd w:val="clear" w:color="auto" w:fill="auto"/>
            <w:noWrap/>
            <w:tcMar>
              <w:top w:w="15" w:type="dxa"/>
              <w:left w:w="15" w:type="dxa"/>
              <w:right w:w="15" w:type="dxa"/>
            </w:tcMar>
            <w:vAlign w:val="bottom"/>
          </w:tcPr>
          <w:p w14:paraId="049E6E5F">
            <w:pPr>
              <w:pStyle w:val="34"/>
              <w:jc w:val="center"/>
            </w:pPr>
            <w:r>
              <w:t>402</w:t>
            </w:r>
          </w:p>
        </w:tc>
        <w:tc>
          <w:tcPr>
            <w:tcW w:w="624" w:type="dxa"/>
            <w:shd w:val="clear" w:color="auto" w:fill="auto"/>
            <w:noWrap/>
            <w:tcMar>
              <w:top w:w="15" w:type="dxa"/>
              <w:left w:w="15" w:type="dxa"/>
              <w:right w:w="15" w:type="dxa"/>
            </w:tcMar>
            <w:vAlign w:val="bottom"/>
          </w:tcPr>
          <w:p w14:paraId="788579EC">
            <w:pPr>
              <w:pStyle w:val="34"/>
              <w:jc w:val="center"/>
            </w:pPr>
            <w:r>
              <w:t>100</w:t>
            </w:r>
          </w:p>
        </w:tc>
        <w:tc>
          <w:tcPr>
            <w:tcW w:w="1632" w:type="dxa"/>
            <w:tcBorders>
              <w:right w:val="nil"/>
            </w:tcBorders>
            <w:shd w:val="clear" w:color="auto" w:fill="auto"/>
            <w:noWrap/>
            <w:tcMar>
              <w:top w:w="15" w:type="dxa"/>
              <w:left w:w="15" w:type="dxa"/>
              <w:right w:w="15" w:type="dxa"/>
            </w:tcMar>
            <w:vAlign w:val="bottom"/>
          </w:tcPr>
          <w:p w14:paraId="72B03E1D">
            <w:pPr>
              <w:pStyle w:val="34"/>
              <w:jc w:val="center"/>
            </w:pPr>
            <w:r>
              <w:t>0.3</w:t>
            </w:r>
          </w:p>
        </w:tc>
      </w:tr>
      <w:tr w14:paraId="541CD1A7">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580" w:type="dxa"/>
            <w:tcBorders>
              <w:left w:val="nil"/>
            </w:tcBorders>
            <w:shd w:val="clear" w:color="auto" w:fill="auto"/>
            <w:noWrap/>
            <w:tcMar>
              <w:top w:w="15" w:type="dxa"/>
              <w:left w:w="15" w:type="dxa"/>
              <w:right w:w="15" w:type="dxa"/>
            </w:tcMar>
            <w:vAlign w:val="bottom"/>
          </w:tcPr>
          <w:p w14:paraId="72F2A411">
            <w:pPr>
              <w:pStyle w:val="34"/>
            </w:pPr>
          </w:p>
        </w:tc>
        <w:tc>
          <w:tcPr>
            <w:tcW w:w="681" w:type="dxa"/>
            <w:shd w:val="clear" w:color="auto" w:fill="auto"/>
            <w:noWrap/>
            <w:tcMar>
              <w:top w:w="15" w:type="dxa"/>
              <w:left w:w="15" w:type="dxa"/>
              <w:right w:w="15" w:type="dxa"/>
            </w:tcMar>
            <w:vAlign w:val="bottom"/>
          </w:tcPr>
          <w:p w14:paraId="073E4D8D">
            <w:pPr>
              <w:pStyle w:val="34"/>
            </w:pPr>
          </w:p>
        </w:tc>
        <w:tc>
          <w:tcPr>
            <w:tcW w:w="814" w:type="dxa"/>
            <w:shd w:val="clear" w:color="auto" w:fill="auto"/>
            <w:noWrap/>
            <w:tcMar>
              <w:top w:w="15" w:type="dxa"/>
              <w:left w:w="15" w:type="dxa"/>
              <w:right w:w="15" w:type="dxa"/>
            </w:tcMar>
            <w:vAlign w:val="bottom"/>
          </w:tcPr>
          <w:p w14:paraId="452F2365">
            <w:pPr>
              <w:pStyle w:val="34"/>
            </w:pPr>
          </w:p>
        </w:tc>
        <w:tc>
          <w:tcPr>
            <w:tcW w:w="1632" w:type="dxa"/>
            <w:shd w:val="clear" w:color="auto" w:fill="auto"/>
            <w:noWrap/>
            <w:tcMar>
              <w:top w:w="15" w:type="dxa"/>
              <w:left w:w="15" w:type="dxa"/>
              <w:right w:w="15" w:type="dxa"/>
            </w:tcMar>
            <w:vAlign w:val="bottom"/>
          </w:tcPr>
          <w:p w14:paraId="4CB7346D">
            <w:pPr>
              <w:pStyle w:val="34"/>
            </w:pPr>
          </w:p>
        </w:tc>
        <w:tc>
          <w:tcPr>
            <w:tcW w:w="1021" w:type="dxa"/>
            <w:shd w:val="clear" w:color="auto" w:fill="auto"/>
            <w:noWrap/>
            <w:tcMar>
              <w:top w:w="15" w:type="dxa"/>
              <w:left w:w="15" w:type="dxa"/>
              <w:right w:w="15" w:type="dxa"/>
            </w:tcMar>
            <w:vAlign w:val="bottom"/>
          </w:tcPr>
          <w:p w14:paraId="6036D28A">
            <w:pPr>
              <w:pStyle w:val="34"/>
            </w:pPr>
          </w:p>
        </w:tc>
        <w:tc>
          <w:tcPr>
            <w:tcW w:w="1632" w:type="dxa"/>
            <w:shd w:val="clear" w:color="auto" w:fill="auto"/>
            <w:noWrap/>
            <w:tcMar>
              <w:top w:w="15" w:type="dxa"/>
              <w:left w:w="15" w:type="dxa"/>
              <w:right w:w="15" w:type="dxa"/>
            </w:tcMar>
            <w:vAlign w:val="bottom"/>
          </w:tcPr>
          <w:p w14:paraId="10839313">
            <w:pPr>
              <w:pStyle w:val="34"/>
            </w:pPr>
          </w:p>
        </w:tc>
        <w:tc>
          <w:tcPr>
            <w:tcW w:w="624" w:type="dxa"/>
            <w:shd w:val="clear" w:color="auto" w:fill="auto"/>
            <w:noWrap/>
            <w:tcMar>
              <w:top w:w="15" w:type="dxa"/>
              <w:left w:w="15" w:type="dxa"/>
              <w:right w:w="15" w:type="dxa"/>
            </w:tcMar>
            <w:vAlign w:val="bottom"/>
          </w:tcPr>
          <w:p w14:paraId="1D5C7046">
            <w:pPr>
              <w:pStyle w:val="34"/>
            </w:pPr>
          </w:p>
        </w:tc>
        <w:tc>
          <w:tcPr>
            <w:tcW w:w="624" w:type="dxa"/>
            <w:shd w:val="clear" w:color="auto" w:fill="auto"/>
            <w:noWrap/>
            <w:tcMar>
              <w:top w:w="15" w:type="dxa"/>
              <w:left w:w="15" w:type="dxa"/>
              <w:right w:w="15" w:type="dxa"/>
            </w:tcMar>
            <w:vAlign w:val="bottom"/>
          </w:tcPr>
          <w:p w14:paraId="0AD72EFE">
            <w:pPr>
              <w:pStyle w:val="34"/>
            </w:pPr>
          </w:p>
        </w:tc>
        <w:tc>
          <w:tcPr>
            <w:tcW w:w="624" w:type="dxa"/>
            <w:shd w:val="clear" w:color="auto" w:fill="auto"/>
            <w:noWrap/>
            <w:tcMar>
              <w:top w:w="15" w:type="dxa"/>
              <w:left w:w="15" w:type="dxa"/>
              <w:right w:w="15" w:type="dxa"/>
            </w:tcMar>
            <w:vAlign w:val="bottom"/>
          </w:tcPr>
          <w:p w14:paraId="50595741">
            <w:pPr>
              <w:pStyle w:val="34"/>
            </w:pPr>
          </w:p>
        </w:tc>
        <w:tc>
          <w:tcPr>
            <w:tcW w:w="1632" w:type="dxa"/>
            <w:tcBorders>
              <w:right w:val="nil"/>
            </w:tcBorders>
            <w:shd w:val="clear" w:color="auto" w:fill="auto"/>
            <w:noWrap/>
            <w:tcMar>
              <w:top w:w="15" w:type="dxa"/>
              <w:left w:w="15" w:type="dxa"/>
              <w:right w:w="15" w:type="dxa"/>
            </w:tcMar>
            <w:vAlign w:val="bottom"/>
          </w:tcPr>
          <w:p w14:paraId="16D89CD3">
            <w:pPr>
              <w:pStyle w:val="34"/>
            </w:pPr>
          </w:p>
        </w:tc>
      </w:tr>
      <w:tr w14:paraId="7CED6C06">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580" w:type="dxa"/>
            <w:tcBorders>
              <w:left w:val="nil"/>
            </w:tcBorders>
            <w:shd w:val="clear" w:color="auto" w:fill="auto"/>
            <w:noWrap/>
            <w:tcMar>
              <w:top w:w="15" w:type="dxa"/>
              <w:left w:w="15" w:type="dxa"/>
              <w:right w:w="15" w:type="dxa"/>
            </w:tcMar>
            <w:vAlign w:val="bottom"/>
          </w:tcPr>
          <w:p w14:paraId="79300169">
            <w:pPr>
              <w:pStyle w:val="34"/>
            </w:pPr>
          </w:p>
        </w:tc>
        <w:tc>
          <w:tcPr>
            <w:tcW w:w="681" w:type="dxa"/>
            <w:shd w:val="clear" w:color="auto" w:fill="auto"/>
            <w:noWrap/>
            <w:tcMar>
              <w:top w:w="15" w:type="dxa"/>
              <w:left w:w="15" w:type="dxa"/>
              <w:right w:w="15" w:type="dxa"/>
            </w:tcMar>
            <w:vAlign w:val="bottom"/>
          </w:tcPr>
          <w:p w14:paraId="5CACD579">
            <w:pPr>
              <w:pStyle w:val="34"/>
            </w:pPr>
          </w:p>
        </w:tc>
        <w:tc>
          <w:tcPr>
            <w:tcW w:w="814" w:type="dxa"/>
            <w:shd w:val="clear" w:color="auto" w:fill="auto"/>
            <w:noWrap/>
            <w:tcMar>
              <w:top w:w="15" w:type="dxa"/>
              <w:left w:w="15" w:type="dxa"/>
              <w:right w:w="15" w:type="dxa"/>
            </w:tcMar>
            <w:vAlign w:val="bottom"/>
          </w:tcPr>
          <w:p w14:paraId="648A5DB7">
            <w:pPr>
              <w:pStyle w:val="34"/>
            </w:pPr>
          </w:p>
        </w:tc>
        <w:tc>
          <w:tcPr>
            <w:tcW w:w="1632" w:type="dxa"/>
            <w:shd w:val="clear" w:color="auto" w:fill="auto"/>
            <w:noWrap/>
            <w:tcMar>
              <w:top w:w="15" w:type="dxa"/>
              <w:left w:w="15" w:type="dxa"/>
              <w:right w:w="15" w:type="dxa"/>
            </w:tcMar>
            <w:vAlign w:val="bottom"/>
          </w:tcPr>
          <w:p w14:paraId="428ACD30">
            <w:pPr>
              <w:pStyle w:val="34"/>
            </w:pPr>
          </w:p>
        </w:tc>
        <w:tc>
          <w:tcPr>
            <w:tcW w:w="1021" w:type="dxa"/>
            <w:shd w:val="clear" w:color="auto" w:fill="auto"/>
            <w:noWrap/>
            <w:tcMar>
              <w:top w:w="15" w:type="dxa"/>
              <w:left w:w="15" w:type="dxa"/>
              <w:right w:w="15" w:type="dxa"/>
            </w:tcMar>
            <w:vAlign w:val="bottom"/>
          </w:tcPr>
          <w:p w14:paraId="259A2159">
            <w:pPr>
              <w:pStyle w:val="34"/>
            </w:pPr>
          </w:p>
        </w:tc>
        <w:tc>
          <w:tcPr>
            <w:tcW w:w="1632" w:type="dxa"/>
            <w:shd w:val="clear" w:color="auto" w:fill="auto"/>
            <w:noWrap/>
            <w:tcMar>
              <w:top w:w="15" w:type="dxa"/>
              <w:left w:w="15" w:type="dxa"/>
              <w:right w:w="15" w:type="dxa"/>
            </w:tcMar>
            <w:vAlign w:val="bottom"/>
          </w:tcPr>
          <w:p w14:paraId="34A75F6D">
            <w:pPr>
              <w:pStyle w:val="34"/>
            </w:pPr>
          </w:p>
        </w:tc>
        <w:tc>
          <w:tcPr>
            <w:tcW w:w="624" w:type="dxa"/>
            <w:shd w:val="clear" w:color="auto" w:fill="auto"/>
            <w:noWrap/>
            <w:tcMar>
              <w:top w:w="15" w:type="dxa"/>
              <w:left w:w="15" w:type="dxa"/>
              <w:right w:w="15" w:type="dxa"/>
            </w:tcMar>
            <w:vAlign w:val="bottom"/>
          </w:tcPr>
          <w:p w14:paraId="441F3640">
            <w:pPr>
              <w:pStyle w:val="34"/>
            </w:pPr>
          </w:p>
        </w:tc>
        <w:tc>
          <w:tcPr>
            <w:tcW w:w="624" w:type="dxa"/>
            <w:shd w:val="clear" w:color="auto" w:fill="auto"/>
            <w:noWrap/>
            <w:tcMar>
              <w:top w:w="15" w:type="dxa"/>
              <w:left w:w="15" w:type="dxa"/>
              <w:right w:w="15" w:type="dxa"/>
            </w:tcMar>
            <w:vAlign w:val="bottom"/>
          </w:tcPr>
          <w:p w14:paraId="2F1493FF">
            <w:pPr>
              <w:pStyle w:val="34"/>
            </w:pPr>
          </w:p>
        </w:tc>
        <w:tc>
          <w:tcPr>
            <w:tcW w:w="624" w:type="dxa"/>
            <w:shd w:val="clear" w:color="auto" w:fill="auto"/>
            <w:noWrap/>
            <w:tcMar>
              <w:top w:w="15" w:type="dxa"/>
              <w:left w:w="15" w:type="dxa"/>
              <w:right w:w="15" w:type="dxa"/>
            </w:tcMar>
            <w:vAlign w:val="bottom"/>
          </w:tcPr>
          <w:p w14:paraId="2127D4EF">
            <w:pPr>
              <w:pStyle w:val="34"/>
            </w:pPr>
          </w:p>
        </w:tc>
        <w:tc>
          <w:tcPr>
            <w:tcW w:w="1632" w:type="dxa"/>
            <w:tcBorders>
              <w:right w:val="nil"/>
            </w:tcBorders>
            <w:shd w:val="clear" w:color="auto" w:fill="auto"/>
            <w:noWrap/>
            <w:tcMar>
              <w:top w:w="15" w:type="dxa"/>
              <w:left w:w="15" w:type="dxa"/>
              <w:right w:w="15" w:type="dxa"/>
            </w:tcMar>
            <w:vAlign w:val="bottom"/>
          </w:tcPr>
          <w:p w14:paraId="3FC3DC6A">
            <w:pPr>
              <w:pStyle w:val="34"/>
            </w:pPr>
          </w:p>
        </w:tc>
      </w:tr>
      <w:tr w14:paraId="3E01632A">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580" w:type="dxa"/>
            <w:tcBorders>
              <w:left w:val="nil"/>
            </w:tcBorders>
            <w:shd w:val="clear" w:color="auto" w:fill="auto"/>
            <w:noWrap/>
            <w:tcMar>
              <w:top w:w="15" w:type="dxa"/>
              <w:left w:w="15" w:type="dxa"/>
              <w:right w:w="15" w:type="dxa"/>
            </w:tcMar>
            <w:vAlign w:val="bottom"/>
          </w:tcPr>
          <w:p w14:paraId="79B615B5">
            <w:pPr>
              <w:pStyle w:val="34"/>
            </w:pPr>
          </w:p>
        </w:tc>
        <w:tc>
          <w:tcPr>
            <w:tcW w:w="681" w:type="dxa"/>
            <w:shd w:val="clear" w:color="auto" w:fill="auto"/>
            <w:noWrap/>
            <w:tcMar>
              <w:top w:w="15" w:type="dxa"/>
              <w:left w:w="15" w:type="dxa"/>
              <w:right w:w="15" w:type="dxa"/>
            </w:tcMar>
            <w:vAlign w:val="bottom"/>
          </w:tcPr>
          <w:p w14:paraId="41A16E17">
            <w:pPr>
              <w:pStyle w:val="34"/>
            </w:pPr>
          </w:p>
        </w:tc>
        <w:tc>
          <w:tcPr>
            <w:tcW w:w="814" w:type="dxa"/>
            <w:shd w:val="clear" w:color="auto" w:fill="auto"/>
            <w:noWrap/>
            <w:tcMar>
              <w:top w:w="15" w:type="dxa"/>
              <w:left w:w="15" w:type="dxa"/>
              <w:right w:w="15" w:type="dxa"/>
            </w:tcMar>
            <w:vAlign w:val="bottom"/>
          </w:tcPr>
          <w:p w14:paraId="42EE5969">
            <w:pPr>
              <w:pStyle w:val="34"/>
            </w:pPr>
          </w:p>
        </w:tc>
        <w:tc>
          <w:tcPr>
            <w:tcW w:w="1632" w:type="dxa"/>
            <w:shd w:val="clear" w:color="auto" w:fill="auto"/>
            <w:noWrap/>
            <w:tcMar>
              <w:top w:w="15" w:type="dxa"/>
              <w:left w:w="15" w:type="dxa"/>
              <w:right w:w="15" w:type="dxa"/>
            </w:tcMar>
            <w:vAlign w:val="bottom"/>
          </w:tcPr>
          <w:p w14:paraId="1DDD38F2">
            <w:pPr>
              <w:pStyle w:val="34"/>
            </w:pPr>
          </w:p>
        </w:tc>
        <w:tc>
          <w:tcPr>
            <w:tcW w:w="1021" w:type="dxa"/>
            <w:shd w:val="clear" w:color="auto" w:fill="auto"/>
            <w:noWrap/>
            <w:tcMar>
              <w:top w:w="15" w:type="dxa"/>
              <w:left w:w="15" w:type="dxa"/>
              <w:right w:w="15" w:type="dxa"/>
            </w:tcMar>
            <w:vAlign w:val="bottom"/>
          </w:tcPr>
          <w:p w14:paraId="000E98A0">
            <w:pPr>
              <w:pStyle w:val="34"/>
            </w:pPr>
          </w:p>
        </w:tc>
        <w:tc>
          <w:tcPr>
            <w:tcW w:w="1632" w:type="dxa"/>
            <w:shd w:val="clear" w:color="auto" w:fill="auto"/>
            <w:noWrap/>
            <w:tcMar>
              <w:top w:w="15" w:type="dxa"/>
              <w:left w:w="15" w:type="dxa"/>
              <w:right w:w="15" w:type="dxa"/>
            </w:tcMar>
            <w:vAlign w:val="bottom"/>
          </w:tcPr>
          <w:p w14:paraId="22CEDED6">
            <w:pPr>
              <w:pStyle w:val="34"/>
            </w:pPr>
          </w:p>
        </w:tc>
        <w:tc>
          <w:tcPr>
            <w:tcW w:w="624" w:type="dxa"/>
            <w:shd w:val="clear" w:color="auto" w:fill="auto"/>
            <w:noWrap/>
            <w:tcMar>
              <w:top w:w="15" w:type="dxa"/>
              <w:left w:w="15" w:type="dxa"/>
              <w:right w:w="15" w:type="dxa"/>
            </w:tcMar>
            <w:vAlign w:val="bottom"/>
          </w:tcPr>
          <w:p w14:paraId="66FA2568">
            <w:pPr>
              <w:pStyle w:val="34"/>
            </w:pPr>
          </w:p>
        </w:tc>
        <w:tc>
          <w:tcPr>
            <w:tcW w:w="624" w:type="dxa"/>
            <w:shd w:val="clear" w:color="auto" w:fill="auto"/>
            <w:noWrap/>
            <w:tcMar>
              <w:top w:w="15" w:type="dxa"/>
              <w:left w:w="15" w:type="dxa"/>
              <w:right w:w="15" w:type="dxa"/>
            </w:tcMar>
            <w:vAlign w:val="bottom"/>
          </w:tcPr>
          <w:p w14:paraId="3822FBB9">
            <w:pPr>
              <w:pStyle w:val="34"/>
            </w:pPr>
          </w:p>
        </w:tc>
        <w:tc>
          <w:tcPr>
            <w:tcW w:w="624" w:type="dxa"/>
            <w:shd w:val="clear" w:color="auto" w:fill="auto"/>
            <w:noWrap/>
            <w:tcMar>
              <w:top w:w="15" w:type="dxa"/>
              <w:left w:w="15" w:type="dxa"/>
              <w:right w:w="15" w:type="dxa"/>
            </w:tcMar>
            <w:vAlign w:val="bottom"/>
          </w:tcPr>
          <w:p w14:paraId="46B7B1E0">
            <w:pPr>
              <w:pStyle w:val="34"/>
            </w:pPr>
          </w:p>
        </w:tc>
        <w:tc>
          <w:tcPr>
            <w:tcW w:w="1632" w:type="dxa"/>
            <w:tcBorders>
              <w:right w:val="nil"/>
            </w:tcBorders>
            <w:shd w:val="clear" w:color="auto" w:fill="auto"/>
            <w:noWrap/>
            <w:tcMar>
              <w:top w:w="15" w:type="dxa"/>
              <w:left w:w="15" w:type="dxa"/>
              <w:right w:w="15" w:type="dxa"/>
            </w:tcMar>
            <w:vAlign w:val="bottom"/>
          </w:tcPr>
          <w:p w14:paraId="6655A5DF">
            <w:pPr>
              <w:pStyle w:val="34"/>
            </w:pPr>
          </w:p>
        </w:tc>
      </w:tr>
      <w:tr w14:paraId="112403AF">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580" w:type="dxa"/>
            <w:tcBorders>
              <w:left w:val="nil"/>
            </w:tcBorders>
            <w:shd w:val="clear" w:color="auto" w:fill="auto"/>
            <w:noWrap/>
            <w:tcMar>
              <w:top w:w="15" w:type="dxa"/>
              <w:left w:w="15" w:type="dxa"/>
              <w:right w:w="15" w:type="dxa"/>
            </w:tcMar>
            <w:vAlign w:val="bottom"/>
          </w:tcPr>
          <w:p w14:paraId="425C3DAA">
            <w:pPr>
              <w:pStyle w:val="34"/>
            </w:pPr>
          </w:p>
        </w:tc>
        <w:tc>
          <w:tcPr>
            <w:tcW w:w="681" w:type="dxa"/>
            <w:shd w:val="clear" w:color="auto" w:fill="auto"/>
            <w:noWrap/>
            <w:tcMar>
              <w:top w:w="15" w:type="dxa"/>
              <w:left w:w="15" w:type="dxa"/>
              <w:right w:w="15" w:type="dxa"/>
            </w:tcMar>
            <w:vAlign w:val="bottom"/>
          </w:tcPr>
          <w:p w14:paraId="1ECDFF25">
            <w:pPr>
              <w:pStyle w:val="34"/>
            </w:pPr>
          </w:p>
        </w:tc>
        <w:tc>
          <w:tcPr>
            <w:tcW w:w="814" w:type="dxa"/>
            <w:shd w:val="clear" w:color="auto" w:fill="auto"/>
            <w:noWrap/>
            <w:tcMar>
              <w:top w:w="15" w:type="dxa"/>
              <w:left w:w="15" w:type="dxa"/>
              <w:right w:w="15" w:type="dxa"/>
            </w:tcMar>
            <w:vAlign w:val="bottom"/>
          </w:tcPr>
          <w:p w14:paraId="4200A849">
            <w:pPr>
              <w:pStyle w:val="34"/>
            </w:pPr>
          </w:p>
        </w:tc>
        <w:tc>
          <w:tcPr>
            <w:tcW w:w="1632" w:type="dxa"/>
            <w:shd w:val="clear" w:color="auto" w:fill="auto"/>
            <w:noWrap/>
            <w:tcMar>
              <w:top w:w="15" w:type="dxa"/>
              <w:left w:w="15" w:type="dxa"/>
              <w:right w:w="15" w:type="dxa"/>
            </w:tcMar>
            <w:vAlign w:val="bottom"/>
          </w:tcPr>
          <w:p w14:paraId="314E88C9">
            <w:pPr>
              <w:pStyle w:val="34"/>
            </w:pPr>
          </w:p>
        </w:tc>
        <w:tc>
          <w:tcPr>
            <w:tcW w:w="1021" w:type="dxa"/>
            <w:shd w:val="clear" w:color="auto" w:fill="auto"/>
            <w:noWrap/>
            <w:tcMar>
              <w:top w:w="15" w:type="dxa"/>
              <w:left w:w="15" w:type="dxa"/>
              <w:right w:w="15" w:type="dxa"/>
            </w:tcMar>
            <w:vAlign w:val="bottom"/>
          </w:tcPr>
          <w:p w14:paraId="6BADD8F3">
            <w:pPr>
              <w:pStyle w:val="34"/>
            </w:pPr>
          </w:p>
        </w:tc>
        <w:tc>
          <w:tcPr>
            <w:tcW w:w="1632" w:type="dxa"/>
            <w:shd w:val="clear" w:color="auto" w:fill="auto"/>
            <w:noWrap/>
            <w:tcMar>
              <w:top w:w="15" w:type="dxa"/>
              <w:left w:w="15" w:type="dxa"/>
              <w:right w:w="15" w:type="dxa"/>
            </w:tcMar>
            <w:vAlign w:val="bottom"/>
          </w:tcPr>
          <w:p w14:paraId="4501F13D">
            <w:pPr>
              <w:pStyle w:val="34"/>
            </w:pPr>
          </w:p>
        </w:tc>
        <w:tc>
          <w:tcPr>
            <w:tcW w:w="624" w:type="dxa"/>
            <w:shd w:val="clear" w:color="auto" w:fill="auto"/>
            <w:noWrap/>
            <w:tcMar>
              <w:top w:w="15" w:type="dxa"/>
              <w:left w:w="15" w:type="dxa"/>
              <w:right w:w="15" w:type="dxa"/>
            </w:tcMar>
            <w:vAlign w:val="bottom"/>
          </w:tcPr>
          <w:p w14:paraId="16414780">
            <w:pPr>
              <w:pStyle w:val="34"/>
            </w:pPr>
          </w:p>
        </w:tc>
        <w:tc>
          <w:tcPr>
            <w:tcW w:w="624" w:type="dxa"/>
            <w:shd w:val="clear" w:color="auto" w:fill="auto"/>
            <w:noWrap/>
            <w:tcMar>
              <w:top w:w="15" w:type="dxa"/>
              <w:left w:w="15" w:type="dxa"/>
              <w:right w:w="15" w:type="dxa"/>
            </w:tcMar>
            <w:vAlign w:val="bottom"/>
          </w:tcPr>
          <w:p w14:paraId="1A8CFDB3">
            <w:pPr>
              <w:pStyle w:val="34"/>
            </w:pPr>
          </w:p>
        </w:tc>
        <w:tc>
          <w:tcPr>
            <w:tcW w:w="624" w:type="dxa"/>
            <w:shd w:val="clear" w:color="auto" w:fill="auto"/>
            <w:noWrap/>
            <w:tcMar>
              <w:top w:w="15" w:type="dxa"/>
              <w:left w:w="15" w:type="dxa"/>
              <w:right w:w="15" w:type="dxa"/>
            </w:tcMar>
            <w:vAlign w:val="bottom"/>
          </w:tcPr>
          <w:p w14:paraId="6201E11E">
            <w:pPr>
              <w:pStyle w:val="34"/>
            </w:pPr>
          </w:p>
        </w:tc>
        <w:tc>
          <w:tcPr>
            <w:tcW w:w="1632" w:type="dxa"/>
            <w:tcBorders>
              <w:right w:val="nil"/>
            </w:tcBorders>
            <w:shd w:val="clear" w:color="auto" w:fill="auto"/>
            <w:noWrap/>
            <w:tcMar>
              <w:top w:w="15" w:type="dxa"/>
              <w:left w:w="15" w:type="dxa"/>
              <w:right w:w="15" w:type="dxa"/>
            </w:tcMar>
            <w:vAlign w:val="bottom"/>
          </w:tcPr>
          <w:p w14:paraId="3988766A">
            <w:pPr>
              <w:pStyle w:val="34"/>
            </w:pPr>
          </w:p>
        </w:tc>
      </w:tr>
      <w:tr w14:paraId="4B52488E">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580" w:type="dxa"/>
            <w:tcBorders>
              <w:left w:val="nil"/>
            </w:tcBorders>
            <w:shd w:val="clear" w:color="auto" w:fill="auto"/>
            <w:noWrap/>
            <w:tcMar>
              <w:top w:w="15" w:type="dxa"/>
              <w:left w:w="15" w:type="dxa"/>
              <w:right w:w="15" w:type="dxa"/>
            </w:tcMar>
            <w:vAlign w:val="bottom"/>
          </w:tcPr>
          <w:p w14:paraId="28C10920">
            <w:pPr>
              <w:pStyle w:val="34"/>
            </w:pPr>
          </w:p>
        </w:tc>
        <w:tc>
          <w:tcPr>
            <w:tcW w:w="681" w:type="dxa"/>
            <w:shd w:val="clear" w:color="auto" w:fill="auto"/>
            <w:noWrap/>
            <w:tcMar>
              <w:top w:w="15" w:type="dxa"/>
              <w:left w:w="15" w:type="dxa"/>
              <w:right w:w="15" w:type="dxa"/>
            </w:tcMar>
            <w:vAlign w:val="bottom"/>
          </w:tcPr>
          <w:p w14:paraId="69E069A7">
            <w:pPr>
              <w:pStyle w:val="34"/>
            </w:pPr>
          </w:p>
        </w:tc>
        <w:tc>
          <w:tcPr>
            <w:tcW w:w="814" w:type="dxa"/>
            <w:shd w:val="clear" w:color="auto" w:fill="auto"/>
            <w:noWrap/>
            <w:tcMar>
              <w:top w:w="15" w:type="dxa"/>
              <w:left w:w="15" w:type="dxa"/>
              <w:right w:w="15" w:type="dxa"/>
            </w:tcMar>
            <w:vAlign w:val="bottom"/>
          </w:tcPr>
          <w:p w14:paraId="6C37DE67">
            <w:pPr>
              <w:pStyle w:val="34"/>
            </w:pPr>
          </w:p>
        </w:tc>
        <w:tc>
          <w:tcPr>
            <w:tcW w:w="1632" w:type="dxa"/>
            <w:shd w:val="clear" w:color="auto" w:fill="auto"/>
            <w:noWrap/>
            <w:tcMar>
              <w:top w:w="15" w:type="dxa"/>
              <w:left w:w="15" w:type="dxa"/>
              <w:right w:w="15" w:type="dxa"/>
            </w:tcMar>
            <w:vAlign w:val="bottom"/>
          </w:tcPr>
          <w:p w14:paraId="5D2FAA07">
            <w:pPr>
              <w:pStyle w:val="34"/>
            </w:pPr>
          </w:p>
        </w:tc>
        <w:tc>
          <w:tcPr>
            <w:tcW w:w="1021" w:type="dxa"/>
            <w:shd w:val="clear" w:color="auto" w:fill="auto"/>
            <w:noWrap/>
            <w:tcMar>
              <w:top w:w="15" w:type="dxa"/>
              <w:left w:w="15" w:type="dxa"/>
              <w:right w:w="15" w:type="dxa"/>
            </w:tcMar>
            <w:vAlign w:val="bottom"/>
          </w:tcPr>
          <w:p w14:paraId="427F6C19">
            <w:pPr>
              <w:pStyle w:val="34"/>
            </w:pPr>
          </w:p>
        </w:tc>
        <w:tc>
          <w:tcPr>
            <w:tcW w:w="1632" w:type="dxa"/>
            <w:shd w:val="clear" w:color="auto" w:fill="auto"/>
            <w:noWrap/>
            <w:tcMar>
              <w:top w:w="15" w:type="dxa"/>
              <w:left w:w="15" w:type="dxa"/>
              <w:right w:w="15" w:type="dxa"/>
            </w:tcMar>
            <w:vAlign w:val="bottom"/>
          </w:tcPr>
          <w:p w14:paraId="7B52EB23">
            <w:pPr>
              <w:pStyle w:val="34"/>
            </w:pPr>
          </w:p>
        </w:tc>
        <w:tc>
          <w:tcPr>
            <w:tcW w:w="624" w:type="dxa"/>
            <w:shd w:val="clear" w:color="auto" w:fill="auto"/>
            <w:noWrap/>
            <w:tcMar>
              <w:top w:w="15" w:type="dxa"/>
              <w:left w:w="15" w:type="dxa"/>
              <w:right w:w="15" w:type="dxa"/>
            </w:tcMar>
            <w:vAlign w:val="bottom"/>
          </w:tcPr>
          <w:p w14:paraId="5149953E">
            <w:pPr>
              <w:pStyle w:val="34"/>
            </w:pPr>
          </w:p>
        </w:tc>
        <w:tc>
          <w:tcPr>
            <w:tcW w:w="624" w:type="dxa"/>
            <w:shd w:val="clear" w:color="auto" w:fill="auto"/>
            <w:noWrap/>
            <w:tcMar>
              <w:top w:w="15" w:type="dxa"/>
              <w:left w:w="15" w:type="dxa"/>
              <w:right w:w="15" w:type="dxa"/>
            </w:tcMar>
            <w:vAlign w:val="bottom"/>
          </w:tcPr>
          <w:p w14:paraId="4E0CA25D">
            <w:pPr>
              <w:pStyle w:val="34"/>
            </w:pPr>
          </w:p>
        </w:tc>
        <w:tc>
          <w:tcPr>
            <w:tcW w:w="624" w:type="dxa"/>
            <w:shd w:val="clear" w:color="auto" w:fill="auto"/>
            <w:noWrap/>
            <w:tcMar>
              <w:top w:w="15" w:type="dxa"/>
              <w:left w:w="15" w:type="dxa"/>
              <w:right w:w="15" w:type="dxa"/>
            </w:tcMar>
            <w:vAlign w:val="bottom"/>
          </w:tcPr>
          <w:p w14:paraId="2B912FA0">
            <w:pPr>
              <w:pStyle w:val="34"/>
            </w:pPr>
          </w:p>
        </w:tc>
        <w:tc>
          <w:tcPr>
            <w:tcW w:w="1632" w:type="dxa"/>
            <w:tcBorders>
              <w:right w:val="nil"/>
            </w:tcBorders>
            <w:shd w:val="clear" w:color="auto" w:fill="auto"/>
            <w:noWrap/>
            <w:tcMar>
              <w:top w:w="15" w:type="dxa"/>
              <w:left w:w="15" w:type="dxa"/>
              <w:right w:w="15" w:type="dxa"/>
            </w:tcMar>
            <w:vAlign w:val="bottom"/>
          </w:tcPr>
          <w:p w14:paraId="0439F0A6">
            <w:pPr>
              <w:pStyle w:val="34"/>
            </w:pPr>
          </w:p>
        </w:tc>
      </w:tr>
      <w:tr w14:paraId="0C19AF4F">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580" w:type="dxa"/>
            <w:tcBorders>
              <w:left w:val="nil"/>
            </w:tcBorders>
            <w:shd w:val="clear" w:color="auto" w:fill="auto"/>
            <w:noWrap/>
            <w:tcMar>
              <w:top w:w="15" w:type="dxa"/>
              <w:left w:w="15" w:type="dxa"/>
              <w:right w:w="15" w:type="dxa"/>
            </w:tcMar>
            <w:vAlign w:val="bottom"/>
          </w:tcPr>
          <w:p w14:paraId="0175F25D">
            <w:pPr>
              <w:pStyle w:val="34"/>
            </w:pPr>
          </w:p>
        </w:tc>
        <w:tc>
          <w:tcPr>
            <w:tcW w:w="681" w:type="dxa"/>
            <w:shd w:val="clear" w:color="auto" w:fill="auto"/>
            <w:noWrap/>
            <w:tcMar>
              <w:top w:w="15" w:type="dxa"/>
              <w:left w:w="15" w:type="dxa"/>
              <w:right w:w="15" w:type="dxa"/>
            </w:tcMar>
            <w:vAlign w:val="bottom"/>
          </w:tcPr>
          <w:p w14:paraId="76685778">
            <w:pPr>
              <w:pStyle w:val="34"/>
            </w:pPr>
          </w:p>
        </w:tc>
        <w:tc>
          <w:tcPr>
            <w:tcW w:w="814" w:type="dxa"/>
            <w:shd w:val="clear" w:color="auto" w:fill="auto"/>
            <w:noWrap/>
            <w:tcMar>
              <w:top w:w="15" w:type="dxa"/>
              <w:left w:w="15" w:type="dxa"/>
              <w:right w:w="15" w:type="dxa"/>
            </w:tcMar>
            <w:vAlign w:val="bottom"/>
          </w:tcPr>
          <w:p w14:paraId="0E459F56">
            <w:pPr>
              <w:pStyle w:val="34"/>
            </w:pPr>
          </w:p>
        </w:tc>
        <w:tc>
          <w:tcPr>
            <w:tcW w:w="1632" w:type="dxa"/>
            <w:shd w:val="clear" w:color="auto" w:fill="auto"/>
            <w:noWrap/>
            <w:tcMar>
              <w:top w:w="15" w:type="dxa"/>
              <w:left w:w="15" w:type="dxa"/>
              <w:right w:w="15" w:type="dxa"/>
            </w:tcMar>
            <w:vAlign w:val="bottom"/>
          </w:tcPr>
          <w:p w14:paraId="1BEBEBA6">
            <w:pPr>
              <w:pStyle w:val="34"/>
            </w:pPr>
          </w:p>
        </w:tc>
        <w:tc>
          <w:tcPr>
            <w:tcW w:w="1021" w:type="dxa"/>
            <w:shd w:val="clear" w:color="auto" w:fill="auto"/>
            <w:noWrap/>
            <w:tcMar>
              <w:top w:w="15" w:type="dxa"/>
              <w:left w:w="15" w:type="dxa"/>
              <w:right w:w="15" w:type="dxa"/>
            </w:tcMar>
            <w:vAlign w:val="bottom"/>
          </w:tcPr>
          <w:p w14:paraId="3E23CE61">
            <w:pPr>
              <w:pStyle w:val="34"/>
            </w:pPr>
          </w:p>
        </w:tc>
        <w:tc>
          <w:tcPr>
            <w:tcW w:w="1632" w:type="dxa"/>
            <w:shd w:val="clear" w:color="auto" w:fill="auto"/>
            <w:noWrap/>
            <w:tcMar>
              <w:top w:w="15" w:type="dxa"/>
              <w:left w:w="15" w:type="dxa"/>
              <w:right w:w="15" w:type="dxa"/>
            </w:tcMar>
            <w:vAlign w:val="bottom"/>
          </w:tcPr>
          <w:p w14:paraId="4AE375C4">
            <w:pPr>
              <w:pStyle w:val="34"/>
            </w:pPr>
          </w:p>
        </w:tc>
        <w:tc>
          <w:tcPr>
            <w:tcW w:w="624" w:type="dxa"/>
            <w:shd w:val="clear" w:color="auto" w:fill="auto"/>
            <w:noWrap/>
            <w:tcMar>
              <w:top w:w="15" w:type="dxa"/>
              <w:left w:w="15" w:type="dxa"/>
              <w:right w:w="15" w:type="dxa"/>
            </w:tcMar>
            <w:vAlign w:val="bottom"/>
          </w:tcPr>
          <w:p w14:paraId="444E9E7B">
            <w:pPr>
              <w:pStyle w:val="34"/>
            </w:pPr>
          </w:p>
        </w:tc>
        <w:tc>
          <w:tcPr>
            <w:tcW w:w="624" w:type="dxa"/>
            <w:shd w:val="clear" w:color="auto" w:fill="auto"/>
            <w:noWrap/>
            <w:tcMar>
              <w:top w:w="15" w:type="dxa"/>
              <w:left w:w="15" w:type="dxa"/>
              <w:right w:w="15" w:type="dxa"/>
            </w:tcMar>
            <w:vAlign w:val="bottom"/>
          </w:tcPr>
          <w:p w14:paraId="619F171C">
            <w:pPr>
              <w:pStyle w:val="34"/>
            </w:pPr>
          </w:p>
        </w:tc>
        <w:tc>
          <w:tcPr>
            <w:tcW w:w="624" w:type="dxa"/>
            <w:shd w:val="clear" w:color="auto" w:fill="auto"/>
            <w:noWrap/>
            <w:tcMar>
              <w:top w:w="15" w:type="dxa"/>
              <w:left w:w="15" w:type="dxa"/>
              <w:right w:w="15" w:type="dxa"/>
            </w:tcMar>
            <w:vAlign w:val="bottom"/>
          </w:tcPr>
          <w:p w14:paraId="5850F224">
            <w:pPr>
              <w:pStyle w:val="34"/>
            </w:pPr>
          </w:p>
        </w:tc>
        <w:tc>
          <w:tcPr>
            <w:tcW w:w="1632" w:type="dxa"/>
            <w:tcBorders>
              <w:right w:val="nil"/>
            </w:tcBorders>
            <w:shd w:val="clear" w:color="auto" w:fill="auto"/>
            <w:noWrap/>
            <w:tcMar>
              <w:top w:w="15" w:type="dxa"/>
              <w:left w:w="15" w:type="dxa"/>
              <w:right w:w="15" w:type="dxa"/>
            </w:tcMar>
            <w:vAlign w:val="bottom"/>
          </w:tcPr>
          <w:p w14:paraId="219D968C">
            <w:pPr>
              <w:pStyle w:val="34"/>
            </w:pPr>
          </w:p>
        </w:tc>
      </w:tr>
    </w:tbl>
    <w:p w14:paraId="0DE2202D">
      <w:pPr>
        <w:ind w:firstLine="420"/>
        <w:jc w:val="center"/>
      </w:pPr>
    </w:p>
    <w:p w14:paraId="6E3BB114">
      <w:pPr>
        <w:ind w:firstLine="422"/>
        <w:jc w:val="center"/>
        <w:rPr>
          <w:b/>
          <w:bCs/>
        </w:rPr>
      </w:pPr>
      <w:r>
        <w:rPr>
          <w:rFonts w:hint="eastAsia"/>
          <w:b/>
          <w:bCs/>
        </w:rPr>
        <w:t>表8 2011年南雄市用水量</w:t>
      </w:r>
    </w:p>
    <w:p w14:paraId="0D7B87C2">
      <w:pPr>
        <w:ind w:firstLine="420"/>
        <w:jc w:val="right"/>
      </w:pPr>
      <w:r>
        <w:rPr>
          <w:rFonts w:hint="eastAsia"/>
        </w:rPr>
        <w:t>单位：万立方米</w:t>
      </w:r>
    </w:p>
    <w:tbl>
      <w:tblPr>
        <w:tblStyle w:val="14"/>
        <w:tblW w:w="10050" w:type="dxa"/>
        <w:tblInd w:w="0" w:type="dxa"/>
        <w:tblBorders>
          <w:top w:val="single" w:color="auto" w:sz="4" w:space="0"/>
          <w:left w:val="none" w:color="auto" w:sz="4" w:space="0"/>
          <w:bottom w:val="single" w:color="auto" w:sz="4" w:space="0"/>
          <w:right w:val="none" w:color="auto" w:sz="4" w:space="0"/>
          <w:insideH w:val="single" w:color="auto" w:sz="4" w:space="0"/>
          <w:insideV w:val="single" w:color="auto" w:sz="4" w:space="0"/>
        </w:tblBorders>
        <w:tblLayout w:type="fixed"/>
        <w:tblCellMar>
          <w:top w:w="0" w:type="dxa"/>
          <w:left w:w="0" w:type="dxa"/>
          <w:bottom w:w="0" w:type="dxa"/>
          <w:right w:w="0" w:type="dxa"/>
        </w:tblCellMar>
      </w:tblPr>
      <w:tblGrid>
        <w:gridCol w:w="632"/>
        <w:gridCol w:w="701"/>
        <w:gridCol w:w="864"/>
        <w:gridCol w:w="573"/>
        <w:gridCol w:w="761"/>
        <w:gridCol w:w="1215"/>
        <w:gridCol w:w="889"/>
        <w:gridCol w:w="1361"/>
        <w:gridCol w:w="761"/>
        <w:gridCol w:w="1553"/>
        <w:gridCol w:w="740"/>
      </w:tblGrid>
      <w:tr w14:paraId="1D00E4CF">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632" w:type="dxa"/>
            <w:vMerge w:val="restart"/>
            <w:tcBorders>
              <w:left w:val="nil"/>
            </w:tcBorders>
            <w:shd w:val="clear" w:color="auto" w:fill="auto"/>
            <w:noWrap/>
            <w:tcMar>
              <w:top w:w="15" w:type="dxa"/>
              <w:left w:w="15" w:type="dxa"/>
              <w:right w:w="15" w:type="dxa"/>
            </w:tcMar>
            <w:vAlign w:val="bottom"/>
          </w:tcPr>
          <w:p w14:paraId="547FB25F">
            <w:pPr>
              <w:pStyle w:val="34"/>
              <w:jc w:val="center"/>
              <w:rPr>
                <w:b/>
                <w:bCs/>
              </w:rPr>
            </w:pPr>
            <w:r>
              <w:rPr>
                <w:b/>
                <w:bCs/>
              </w:rPr>
              <w:t>年度</w:t>
            </w:r>
          </w:p>
        </w:tc>
        <w:tc>
          <w:tcPr>
            <w:tcW w:w="4114" w:type="dxa"/>
            <w:gridSpan w:val="5"/>
            <w:shd w:val="clear" w:color="auto" w:fill="auto"/>
            <w:noWrap/>
            <w:tcMar>
              <w:top w:w="15" w:type="dxa"/>
              <w:left w:w="15" w:type="dxa"/>
              <w:right w:w="15" w:type="dxa"/>
            </w:tcMar>
            <w:vAlign w:val="bottom"/>
          </w:tcPr>
          <w:p w14:paraId="23D0BDBC">
            <w:pPr>
              <w:pStyle w:val="34"/>
              <w:jc w:val="center"/>
              <w:rPr>
                <w:b/>
                <w:bCs/>
              </w:rPr>
            </w:pPr>
            <w:r>
              <w:rPr>
                <w:b/>
                <w:bCs/>
              </w:rPr>
              <w:t>生产用水量</w:t>
            </w:r>
          </w:p>
        </w:tc>
        <w:tc>
          <w:tcPr>
            <w:tcW w:w="889" w:type="dxa"/>
            <w:vMerge w:val="restart"/>
            <w:shd w:val="clear" w:color="auto" w:fill="auto"/>
            <w:noWrap/>
            <w:tcMar>
              <w:top w:w="15" w:type="dxa"/>
              <w:left w:w="15" w:type="dxa"/>
              <w:right w:w="15" w:type="dxa"/>
            </w:tcMar>
            <w:vAlign w:val="bottom"/>
          </w:tcPr>
          <w:p w14:paraId="5F9E8233">
            <w:pPr>
              <w:pStyle w:val="34"/>
              <w:jc w:val="center"/>
              <w:rPr>
                <w:b/>
                <w:bCs/>
              </w:rPr>
            </w:pPr>
            <w:r>
              <w:rPr>
                <w:b/>
                <w:bCs/>
              </w:rPr>
              <w:t>居民生活</w:t>
            </w:r>
          </w:p>
        </w:tc>
        <w:tc>
          <w:tcPr>
            <w:tcW w:w="1361" w:type="dxa"/>
            <w:vMerge w:val="restart"/>
            <w:shd w:val="clear" w:color="auto" w:fill="auto"/>
            <w:noWrap/>
            <w:tcMar>
              <w:top w:w="15" w:type="dxa"/>
              <w:left w:w="15" w:type="dxa"/>
              <w:right w:w="15" w:type="dxa"/>
            </w:tcMar>
            <w:vAlign w:val="bottom"/>
          </w:tcPr>
          <w:p w14:paraId="64B0F0E2">
            <w:pPr>
              <w:pStyle w:val="34"/>
              <w:jc w:val="center"/>
              <w:rPr>
                <w:b/>
                <w:bCs/>
              </w:rPr>
            </w:pPr>
            <w:r>
              <w:rPr>
                <w:b/>
                <w:bCs/>
              </w:rPr>
              <w:t>占总用水比例(%)</w:t>
            </w:r>
          </w:p>
        </w:tc>
        <w:tc>
          <w:tcPr>
            <w:tcW w:w="761" w:type="dxa"/>
            <w:vMerge w:val="restart"/>
            <w:shd w:val="clear" w:color="auto" w:fill="auto"/>
            <w:noWrap/>
            <w:tcMar>
              <w:top w:w="15" w:type="dxa"/>
              <w:left w:w="15" w:type="dxa"/>
              <w:right w:w="15" w:type="dxa"/>
            </w:tcMar>
            <w:vAlign w:val="bottom"/>
          </w:tcPr>
          <w:p w14:paraId="499ED9AF">
            <w:pPr>
              <w:pStyle w:val="34"/>
              <w:jc w:val="center"/>
              <w:rPr>
                <w:b/>
                <w:bCs/>
              </w:rPr>
            </w:pPr>
            <w:r>
              <w:rPr>
                <w:b/>
                <w:bCs/>
              </w:rPr>
              <w:t>生态环境</w:t>
            </w:r>
          </w:p>
        </w:tc>
        <w:tc>
          <w:tcPr>
            <w:tcW w:w="1553" w:type="dxa"/>
            <w:vMerge w:val="restart"/>
            <w:tcBorders>
              <w:right w:val="nil"/>
            </w:tcBorders>
            <w:shd w:val="clear" w:color="auto" w:fill="auto"/>
            <w:noWrap/>
            <w:tcMar>
              <w:top w:w="15" w:type="dxa"/>
              <w:left w:w="15" w:type="dxa"/>
              <w:right w:w="15" w:type="dxa"/>
            </w:tcMar>
            <w:vAlign w:val="bottom"/>
          </w:tcPr>
          <w:p w14:paraId="30EF09AD">
            <w:pPr>
              <w:pStyle w:val="34"/>
              <w:jc w:val="center"/>
              <w:rPr>
                <w:b/>
                <w:bCs/>
              </w:rPr>
            </w:pPr>
            <w:r>
              <w:rPr>
                <w:b/>
                <w:bCs/>
              </w:rPr>
              <w:t>占总用水比例(%)</w:t>
            </w:r>
          </w:p>
        </w:tc>
        <w:tc>
          <w:tcPr>
            <w:tcW w:w="740" w:type="dxa"/>
            <w:vMerge w:val="restart"/>
            <w:tcBorders>
              <w:right w:val="nil"/>
            </w:tcBorders>
            <w:shd w:val="clear" w:color="auto" w:fill="auto"/>
            <w:noWrap/>
            <w:tcMar>
              <w:top w:w="15" w:type="dxa"/>
              <w:left w:w="15" w:type="dxa"/>
              <w:right w:w="15" w:type="dxa"/>
            </w:tcMar>
            <w:vAlign w:val="bottom"/>
          </w:tcPr>
          <w:p w14:paraId="0B4F5C2F">
            <w:pPr>
              <w:pStyle w:val="34"/>
              <w:jc w:val="center"/>
              <w:rPr>
                <w:b/>
                <w:bCs/>
              </w:rPr>
            </w:pPr>
            <w:r>
              <w:rPr>
                <w:rFonts w:hint="eastAsia"/>
                <w:b/>
                <w:bCs/>
              </w:rPr>
              <w:t>总用水量</w:t>
            </w:r>
          </w:p>
        </w:tc>
      </w:tr>
      <w:tr w14:paraId="667B2B99">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632" w:type="dxa"/>
            <w:vMerge w:val="continue"/>
            <w:tcBorders>
              <w:left w:val="nil"/>
            </w:tcBorders>
            <w:shd w:val="clear" w:color="auto" w:fill="auto"/>
            <w:noWrap/>
            <w:tcMar>
              <w:top w:w="15" w:type="dxa"/>
              <w:left w:w="15" w:type="dxa"/>
              <w:right w:w="15" w:type="dxa"/>
            </w:tcMar>
            <w:vAlign w:val="bottom"/>
          </w:tcPr>
          <w:p w14:paraId="32B6D3F8">
            <w:pPr>
              <w:pStyle w:val="34"/>
            </w:pPr>
          </w:p>
        </w:tc>
        <w:tc>
          <w:tcPr>
            <w:tcW w:w="701" w:type="dxa"/>
            <w:shd w:val="clear" w:color="auto" w:fill="auto"/>
            <w:noWrap/>
            <w:tcMar>
              <w:top w:w="15" w:type="dxa"/>
              <w:left w:w="15" w:type="dxa"/>
              <w:right w:w="15" w:type="dxa"/>
            </w:tcMar>
            <w:vAlign w:val="bottom"/>
          </w:tcPr>
          <w:p w14:paraId="34A9192A">
            <w:pPr>
              <w:pStyle w:val="34"/>
              <w:jc w:val="center"/>
              <w:rPr>
                <w:b/>
                <w:bCs/>
              </w:rPr>
            </w:pPr>
            <w:r>
              <w:rPr>
                <w:b/>
                <w:bCs/>
              </w:rPr>
              <w:t>农田灌溉</w:t>
            </w:r>
          </w:p>
        </w:tc>
        <w:tc>
          <w:tcPr>
            <w:tcW w:w="864" w:type="dxa"/>
            <w:shd w:val="clear" w:color="auto" w:fill="auto"/>
            <w:noWrap/>
            <w:tcMar>
              <w:top w:w="15" w:type="dxa"/>
              <w:left w:w="15" w:type="dxa"/>
              <w:right w:w="15" w:type="dxa"/>
            </w:tcMar>
            <w:vAlign w:val="bottom"/>
          </w:tcPr>
          <w:p w14:paraId="4961308A">
            <w:pPr>
              <w:pStyle w:val="34"/>
              <w:jc w:val="center"/>
              <w:rPr>
                <w:b/>
                <w:bCs/>
              </w:rPr>
            </w:pPr>
            <w:r>
              <w:rPr>
                <w:b/>
                <w:bCs/>
              </w:rPr>
              <w:t>林牧渔畜</w:t>
            </w:r>
          </w:p>
        </w:tc>
        <w:tc>
          <w:tcPr>
            <w:tcW w:w="573" w:type="dxa"/>
            <w:shd w:val="clear" w:color="auto" w:fill="auto"/>
            <w:noWrap/>
            <w:tcMar>
              <w:top w:w="15" w:type="dxa"/>
              <w:left w:w="15" w:type="dxa"/>
              <w:right w:w="15" w:type="dxa"/>
            </w:tcMar>
            <w:vAlign w:val="bottom"/>
          </w:tcPr>
          <w:p w14:paraId="4992EE80">
            <w:pPr>
              <w:pStyle w:val="34"/>
              <w:jc w:val="center"/>
              <w:rPr>
                <w:b/>
                <w:bCs/>
              </w:rPr>
            </w:pPr>
            <w:r>
              <w:rPr>
                <w:b/>
                <w:bCs/>
              </w:rPr>
              <w:t>工业</w:t>
            </w:r>
          </w:p>
        </w:tc>
        <w:tc>
          <w:tcPr>
            <w:tcW w:w="761" w:type="dxa"/>
            <w:shd w:val="clear" w:color="auto" w:fill="auto"/>
            <w:noWrap/>
            <w:tcMar>
              <w:top w:w="15" w:type="dxa"/>
              <w:left w:w="15" w:type="dxa"/>
              <w:right w:w="15" w:type="dxa"/>
            </w:tcMar>
            <w:vAlign w:val="bottom"/>
          </w:tcPr>
          <w:p w14:paraId="5DFC6849">
            <w:pPr>
              <w:pStyle w:val="34"/>
              <w:jc w:val="center"/>
              <w:rPr>
                <w:b/>
                <w:bCs/>
              </w:rPr>
            </w:pPr>
            <w:r>
              <w:rPr>
                <w:b/>
                <w:bCs/>
              </w:rPr>
              <w:t>城镇公用</w:t>
            </w:r>
          </w:p>
        </w:tc>
        <w:tc>
          <w:tcPr>
            <w:tcW w:w="1215" w:type="dxa"/>
            <w:shd w:val="clear" w:color="auto" w:fill="auto"/>
            <w:noWrap/>
            <w:tcMar>
              <w:top w:w="15" w:type="dxa"/>
              <w:left w:w="15" w:type="dxa"/>
              <w:right w:w="15" w:type="dxa"/>
            </w:tcMar>
            <w:vAlign w:val="bottom"/>
          </w:tcPr>
          <w:p w14:paraId="38F850D4">
            <w:pPr>
              <w:pStyle w:val="34"/>
              <w:jc w:val="center"/>
              <w:rPr>
                <w:b/>
                <w:bCs/>
              </w:rPr>
            </w:pPr>
            <w:r>
              <w:rPr>
                <w:b/>
                <w:bCs/>
              </w:rPr>
              <w:t>占总用水比例(%)</w:t>
            </w:r>
          </w:p>
        </w:tc>
        <w:tc>
          <w:tcPr>
            <w:tcW w:w="889" w:type="dxa"/>
            <w:vMerge w:val="continue"/>
            <w:shd w:val="clear" w:color="auto" w:fill="auto"/>
            <w:noWrap/>
            <w:tcMar>
              <w:top w:w="15" w:type="dxa"/>
              <w:left w:w="15" w:type="dxa"/>
              <w:right w:w="15" w:type="dxa"/>
            </w:tcMar>
            <w:vAlign w:val="bottom"/>
          </w:tcPr>
          <w:p w14:paraId="54F4775C">
            <w:pPr>
              <w:pStyle w:val="34"/>
            </w:pPr>
          </w:p>
        </w:tc>
        <w:tc>
          <w:tcPr>
            <w:tcW w:w="1361" w:type="dxa"/>
            <w:vMerge w:val="continue"/>
            <w:shd w:val="clear" w:color="auto" w:fill="auto"/>
            <w:noWrap/>
            <w:tcMar>
              <w:top w:w="15" w:type="dxa"/>
              <w:left w:w="15" w:type="dxa"/>
              <w:right w:w="15" w:type="dxa"/>
            </w:tcMar>
            <w:vAlign w:val="bottom"/>
          </w:tcPr>
          <w:p w14:paraId="1F74157B">
            <w:pPr>
              <w:pStyle w:val="34"/>
            </w:pPr>
          </w:p>
        </w:tc>
        <w:tc>
          <w:tcPr>
            <w:tcW w:w="761" w:type="dxa"/>
            <w:vMerge w:val="continue"/>
            <w:shd w:val="clear" w:color="auto" w:fill="auto"/>
            <w:noWrap/>
            <w:tcMar>
              <w:top w:w="15" w:type="dxa"/>
              <w:left w:w="15" w:type="dxa"/>
              <w:right w:w="15" w:type="dxa"/>
            </w:tcMar>
            <w:vAlign w:val="bottom"/>
          </w:tcPr>
          <w:p w14:paraId="0ECE93C8">
            <w:pPr>
              <w:pStyle w:val="34"/>
            </w:pPr>
          </w:p>
        </w:tc>
        <w:tc>
          <w:tcPr>
            <w:tcW w:w="1553" w:type="dxa"/>
            <w:vMerge w:val="continue"/>
            <w:tcBorders>
              <w:right w:val="nil"/>
            </w:tcBorders>
            <w:shd w:val="clear" w:color="auto" w:fill="auto"/>
            <w:noWrap/>
            <w:tcMar>
              <w:top w:w="15" w:type="dxa"/>
              <w:left w:w="15" w:type="dxa"/>
              <w:right w:w="15" w:type="dxa"/>
            </w:tcMar>
            <w:vAlign w:val="bottom"/>
          </w:tcPr>
          <w:p w14:paraId="7BDF83D2">
            <w:pPr>
              <w:pStyle w:val="34"/>
            </w:pPr>
          </w:p>
        </w:tc>
        <w:tc>
          <w:tcPr>
            <w:tcW w:w="740" w:type="dxa"/>
            <w:vMerge w:val="continue"/>
            <w:tcBorders>
              <w:right w:val="nil"/>
            </w:tcBorders>
            <w:shd w:val="clear" w:color="auto" w:fill="auto"/>
            <w:noWrap/>
            <w:tcMar>
              <w:top w:w="15" w:type="dxa"/>
              <w:left w:w="15" w:type="dxa"/>
              <w:right w:w="15" w:type="dxa"/>
            </w:tcMar>
            <w:vAlign w:val="bottom"/>
          </w:tcPr>
          <w:p w14:paraId="50D02EC4">
            <w:pPr>
              <w:pStyle w:val="34"/>
            </w:pPr>
          </w:p>
        </w:tc>
      </w:tr>
      <w:tr w14:paraId="307F7C04">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632" w:type="dxa"/>
            <w:tcBorders>
              <w:left w:val="nil"/>
            </w:tcBorders>
            <w:shd w:val="clear" w:color="auto" w:fill="auto"/>
            <w:noWrap/>
            <w:tcMar>
              <w:top w:w="15" w:type="dxa"/>
              <w:left w:w="15" w:type="dxa"/>
              <w:right w:w="15" w:type="dxa"/>
            </w:tcMar>
            <w:vAlign w:val="bottom"/>
          </w:tcPr>
          <w:p w14:paraId="168BC3D6">
            <w:pPr>
              <w:pStyle w:val="34"/>
            </w:pPr>
            <w:r>
              <w:t>2011</w:t>
            </w:r>
          </w:p>
        </w:tc>
        <w:tc>
          <w:tcPr>
            <w:tcW w:w="701" w:type="dxa"/>
            <w:shd w:val="clear" w:color="auto" w:fill="auto"/>
            <w:noWrap/>
            <w:tcMar>
              <w:top w:w="15" w:type="dxa"/>
              <w:left w:w="15" w:type="dxa"/>
              <w:right w:w="15" w:type="dxa"/>
            </w:tcMar>
            <w:vAlign w:val="bottom"/>
          </w:tcPr>
          <w:p w14:paraId="560F8135">
            <w:pPr>
              <w:pStyle w:val="34"/>
            </w:pPr>
            <w:r>
              <w:t>26670</w:t>
            </w:r>
          </w:p>
        </w:tc>
        <w:tc>
          <w:tcPr>
            <w:tcW w:w="864" w:type="dxa"/>
            <w:shd w:val="clear" w:color="auto" w:fill="auto"/>
            <w:noWrap/>
            <w:tcMar>
              <w:top w:w="15" w:type="dxa"/>
              <w:left w:w="15" w:type="dxa"/>
              <w:right w:w="15" w:type="dxa"/>
            </w:tcMar>
            <w:vAlign w:val="bottom"/>
          </w:tcPr>
          <w:p w14:paraId="57ABFD85">
            <w:pPr>
              <w:pStyle w:val="34"/>
            </w:pPr>
            <w:r>
              <w:t>3090</w:t>
            </w:r>
          </w:p>
        </w:tc>
        <w:tc>
          <w:tcPr>
            <w:tcW w:w="573" w:type="dxa"/>
            <w:shd w:val="clear" w:color="auto" w:fill="auto"/>
            <w:noWrap/>
            <w:tcMar>
              <w:top w:w="15" w:type="dxa"/>
              <w:left w:w="15" w:type="dxa"/>
              <w:right w:w="15" w:type="dxa"/>
            </w:tcMar>
            <w:vAlign w:val="bottom"/>
          </w:tcPr>
          <w:p w14:paraId="406098B3">
            <w:pPr>
              <w:pStyle w:val="34"/>
            </w:pPr>
            <w:r>
              <w:t>3680</w:t>
            </w:r>
          </w:p>
        </w:tc>
        <w:tc>
          <w:tcPr>
            <w:tcW w:w="761" w:type="dxa"/>
            <w:shd w:val="clear" w:color="auto" w:fill="auto"/>
            <w:noWrap/>
            <w:tcMar>
              <w:top w:w="15" w:type="dxa"/>
              <w:left w:w="15" w:type="dxa"/>
              <w:right w:w="15" w:type="dxa"/>
            </w:tcMar>
            <w:vAlign w:val="bottom"/>
          </w:tcPr>
          <w:p w14:paraId="420B2642">
            <w:pPr>
              <w:pStyle w:val="34"/>
            </w:pPr>
            <w:r>
              <w:t>550</w:t>
            </w:r>
          </w:p>
        </w:tc>
        <w:tc>
          <w:tcPr>
            <w:tcW w:w="1215" w:type="dxa"/>
            <w:shd w:val="clear" w:color="auto" w:fill="auto"/>
            <w:noWrap/>
            <w:tcMar>
              <w:top w:w="15" w:type="dxa"/>
              <w:left w:w="15" w:type="dxa"/>
              <w:right w:w="15" w:type="dxa"/>
            </w:tcMar>
            <w:vAlign w:val="bottom"/>
          </w:tcPr>
          <w:p w14:paraId="0F2CA0AF">
            <w:pPr>
              <w:pStyle w:val="34"/>
            </w:pPr>
            <w:r>
              <w:t>94.6</w:t>
            </w:r>
          </w:p>
        </w:tc>
        <w:tc>
          <w:tcPr>
            <w:tcW w:w="889" w:type="dxa"/>
            <w:shd w:val="clear" w:color="auto" w:fill="auto"/>
            <w:noWrap/>
            <w:tcMar>
              <w:top w:w="15" w:type="dxa"/>
              <w:left w:w="15" w:type="dxa"/>
              <w:right w:w="15" w:type="dxa"/>
            </w:tcMar>
            <w:vAlign w:val="bottom"/>
          </w:tcPr>
          <w:p w14:paraId="50A47AA5">
            <w:pPr>
              <w:pStyle w:val="34"/>
            </w:pPr>
            <w:r>
              <w:t>1790</w:t>
            </w:r>
          </w:p>
        </w:tc>
        <w:tc>
          <w:tcPr>
            <w:tcW w:w="1361" w:type="dxa"/>
            <w:shd w:val="clear" w:color="auto" w:fill="auto"/>
            <w:noWrap/>
            <w:tcMar>
              <w:top w:w="15" w:type="dxa"/>
              <w:left w:w="15" w:type="dxa"/>
              <w:right w:w="15" w:type="dxa"/>
            </w:tcMar>
            <w:vAlign w:val="bottom"/>
          </w:tcPr>
          <w:p w14:paraId="2D9693C4">
            <w:pPr>
              <w:pStyle w:val="34"/>
            </w:pPr>
            <w:r>
              <w:t>5.0</w:t>
            </w:r>
          </w:p>
        </w:tc>
        <w:tc>
          <w:tcPr>
            <w:tcW w:w="761" w:type="dxa"/>
            <w:shd w:val="clear" w:color="auto" w:fill="auto"/>
            <w:noWrap/>
            <w:tcMar>
              <w:top w:w="15" w:type="dxa"/>
              <w:left w:w="15" w:type="dxa"/>
              <w:right w:w="15" w:type="dxa"/>
            </w:tcMar>
            <w:vAlign w:val="bottom"/>
          </w:tcPr>
          <w:p w14:paraId="06FEEDA6">
            <w:pPr>
              <w:pStyle w:val="34"/>
            </w:pPr>
            <w:r>
              <w:t>140</w:t>
            </w:r>
          </w:p>
        </w:tc>
        <w:tc>
          <w:tcPr>
            <w:tcW w:w="1553" w:type="dxa"/>
            <w:tcBorders>
              <w:right w:val="nil"/>
            </w:tcBorders>
            <w:shd w:val="clear" w:color="auto" w:fill="auto"/>
            <w:noWrap/>
            <w:tcMar>
              <w:top w:w="15" w:type="dxa"/>
              <w:left w:w="15" w:type="dxa"/>
              <w:right w:w="15" w:type="dxa"/>
            </w:tcMar>
            <w:vAlign w:val="bottom"/>
          </w:tcPr>
          <w:p w14:paraId="50BF5C1D">
            <w:pPr>
              <w:pStyle w:val="34"/>
            </w:pPr>
            <w:r>
              <w:t>0.4</w:t>
            </w:r>
          </w:p>
        </w:tc>
        <w:tc>
          <w:tcPr>
            <w:tcW w:w="740" w:type="dxa"/>
            <w:tcBorders>
              <w:right w:val="nil"/>
            </w:tcBorders>
            <w:shd w:val="clear" w:color="auto" w:fill="auto"/>
            <w:noWrap/>
            <w:tcMar>
              <w:top w:w="15" w:type="dxa"/>
              <w:left w:w="15" w:type="dxa"/>
              <w:right w:w="15" w:type="dxa"/>
            </w:tcMar>
            <w:vAlign w:val="bottom"/>
          </w:tcPr>
          <w:p w14:paraId="7D8BF884">
            <w:pPr>
              <w:pStyle w:val="34"/>
            </w:pPr>
            <w:r>
              <w:rPr>
                <w:rFonts w:hint="eastAsia"/>
              </w:rPr>
              <w:t>35920</w:t>
            </w:r>
          </w:p>
        </w:tc>
      </w:tr>
      <w:tr w14:paraId="54A4278E">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632" w:type="dxa"/>
            <w:tcBorders>
              <w:left w:val="nil"/>
            </w:tcBorders>
            <w:shd w:val="clear" w:color="auto" w:fill="auto"/>
            <w:noWrap/>
            <w:tcMar>
              <w:top w:w="15" w:type="dxa"/>
              <w:left w:w="15" w:type="dxa"/>
              <w:right w:w="15" w:type="dxa"/>
            </w:tcMar>
            <w:vAlign w:val="bottom"/>
          </w:tcPr>
          <w:p w14:paraId="6F281794">
            <w:pPr>
              <w:pStyle w:val="34"/>
            </w:pPr>
          </w:p>
        </w:tc>
        <w:tc>
          <w:tcPr>
            <w:tcW w:w="701" w:type="dxa"/>
            <w:shd w:val="clear" w:color="auto" w:fill="auto"/>
            <w:noWrap/>
            <w:tcMar>
              <w:top w:w="15" w:type="dxa"/>
              <w:left w:w="15" w:type="dxa"/>
              <w:right w:w="15" w:type="dxa"/>
            </w:tcMar>
            <w:vAlign w:val="bottom"/>
          </w:tcPr>
          <w:p w14:paraId="099F00CD">
            <w:pPr>
              <w:pStyle w:val="34"/>
            </w:pPr>
          </w:p>
        </w:tc>
        <w:tc>
          <w:tcPr>
            <w:tcW w:w="864" w:type="dxa"/>
            <w:shd w:val="clear" w:color="auto" w:fill="auto"/>
            <w:noWrap/>
            <w:tcMar>
              <w:top w:w="15" w:type="dxa"/>
              <w:left w:w="15" w:type="dxa"/>
              <w:right w:w="15" w:type="dxa"/>
            </w:tcMar>
            <w:vAlign w:val="bottom"/>
          </w:tcPr>
          <w:p w14:paraId="4ABE1CC1">
            <w:pPr>
              <w:pStyle w:val="34"/>
            </w:pPr>
          </w:p>
        </w:tc>
        <w:tc>
          <w:tcPr>
            <w:tcW w:w="573" w:type="dxa"/>
            <w:shd w:val="clear" w:color="auto" w:fill="auto"/>
            <w:noWrap/>
            <w:tcMar>
              <w:top w:w="15" w:type="dxa"/>
              <w:left w:w="15" w:type="dxa"/>
              <w:right w:w="15" w:type="dxa"/>
            </w:tcMar>
            <w:vAlign w:val="bottom"/>
          </w:tcPr>
          <w:p w14:paraId="7F048073">
            <w:pPr>
              <w:pStyle w:val="34"/>
            </w:pPr>
          </w:p>
        </w:tc>
        <w:tc>
          <w:tcPr>
            <w:tcW w:w="761" w:type="dxa"/>
            <w:shd w:val="clear" w:color="auto" w:fill="auto"/>
            <w:noWrap/>
            <w:tcMar>
              <w:top w:w="15" w:type="dxa"/>
              <w:left w:w="15" w:type="dxa"/>
              <w:right w:w="15" w:type="dxa"/>
            </w:tcMar>
            <w:vAlign w:val="bottom"/>
          </w:tcPr>
          <w:p w14:paraId="3C46B54F">
            <w:pPr>
              <w:pStyle w:val="34"/>
            </w:pPr>
          </w:p>
        </w:tc>
        <w:tc>
          <w:tcPr>
            <w:tcW w:w="1215" w:type="dxa"/>
            <w:shd w:val="clear" w:color="auto" w:fill="auto"/>
            <w:noWrap/>
            <w:tcMar>
              <w:top w:w="15" w:type="dxa"/>
              <w:left w:w="15" w:type="dxa"/>
              <w:right w:w="15" w:type="dxa"/>
            </w:tcMar>
            <w:vAlign w:val="bottom"/>
          </w:tcPr>
          <w:p w14:paraId="706BA3D4">
            <w:pPr>
              <w:pStyle w:val="34"/>
            </w:pPr>
          </w:p>
        </w:tc>
        <w:tc>
          <w:tcPr>
            <w:tcW w:w="889" w:type="dxa"/>
            <w:shd w:val="clear" w:color="auto" w:fill="auto"/>
            <w:noWrap/>
            <w:tcMar>
              <w:top w:w="15" w:type="dxa"/>
              <w:left w:w="15" w:type="dxa"/>
              <w:right w:w="15" w:type="dxa"/>
            </w:tcMar>
            <w:vAlign w:val="bottom"/>
          </w:tcPr>
          <w:p w14:paraId="73CE5289">
            <w:pPr>
              <w:pStyle w:val="34"/>
            </w:pPr>
          </w:p>
        </w:tc>
        <w:tc>
          <w:tcPr>
            <w:tcW w:w="1361" w:type="dxa"/>
            <w:shd w:val="clear" w:color="auto" w:fill="auto"/>
            <w:noWrap/>
            <w:tcMar>
              <w:top w:w="15" w:type="dxa"/>
              <w:left w:w="15" w:type="dxa"/>
              <w:right w:w="15" w:type="dxa"/>
            </w:tcMar>
            <w:vAlign w:val="bottom"/>
          </w:tcPr>
          <w:p w14:paraId="4AC2DCA8">
            <w:pPr>
              <w:pStyle w:val="34"/>
            </w:pPr>
          </w:p>
        </w:tc>
        <w:tc>
          <w:tcPr>
            <w:tcW w:w="761" w:type="dxa"/>
            <w:shd w:val="clear" w:color="auto" w:fill="auto"/>
            <w:noWrap/>
            <w:tcMar>
              <w:top w:w="15" w:type="dxa"/>
              <w:left w:w="15" w:type="dxa"/>
              <w:right w:w="15" w:type="dxa"/>
            </w:tcMar>
            <w:vAlign w:val="bottom"/>
          </w:tcPr>
          <w:p w14:paraId="7D59A388">
            <w:pPr>
              <w:pStyle w:val="34"/>
            </w:pPr>
          </w:p>
        </w:tc>
        <w:tc>
          <w:tcPr>
            <w:tcW w:w="1553" w:type="dxa"/>
            <w:tcBorders>
              <w:right w:val="nil"/>
            </w:tcBorders>
            <w:shd w:val="clear" w:color="auto" w:fill="auto"/>
            <w:noWrap/>
            <w:tcMar>
              <w:top w:w="15" w:type="dxa"/>
              <w:left w:w="15" w:type="dxa"/>
              <w:right w:w="15" w:type="dxa"/>
            </w:tcMar>
            <w:vAlign w:val="bottom"/>
          </w:tcPr>
          <w:p w14:paraId="0C295E1E">
            <w:pPr>
              <w:pStyle w:val="34"/>
            </w:pPr>
          </w:p>
        </w:tc>
        <w:tc>
          <w:tcPr>
            <w:tcW w:w="740" w:type="dxa"/>
            <w:tcBorders>
              <w:right w:val="nil"/>
            </w:tcBorders>
            <w:shd w:val="clear" w:color="auto" w:fill="auto"/>
            <w:noWrap/>
            <w:tcMar>
              <w:top w:w="15" w:type="dxa"/>
              <w:left w:w="15" w:type="dxa"/>
              <w:right w:w="15" w:type="dxa"/>
            </w:tcMar>
            <w:vAlign w:val="bottom"/>
          </w:tcPr>
          <w:p w14:paraId="6CBA4458">
            <w:pPr>
              <w:pStyle w:val="34"/>
            </w:pPr>
          </w:p>
        </w:tc>
      </w:tr>
      <w:tr w14:paraId="13D0A010">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632" w:type="dxa"/>
            <w:tcBorders>
              <w:left w:val="nil"/>
            </w:tcBorders>
            <w:shd w:val="clear" w:color="auto" w:fill="auto"/>
            <w:noWrap/>
            <w:tcMar>
              <w:top w:w="15" w:type="dxa"/>
              <w:left w:w="15" w:type="dxa"/>
              <w:right w:w="15" w:type="dxa"/>
            </w:tcMar>
            <w:vAlign w:val="bottom"/>
          </w:tcPr>
          <w:p w14:paraId="03F3CA83">
            <w:pPr>
              <w:pStyle w:val="34"/>
            </w:pPr>
          </w:p>
        </w:tc>
        <w:tc>
          <w:tcPr>
            <w:tcW w:w="701" w:type="dxa"/>
            <w:shd w:val="clear" w:color="auto" w:fill="auto"/>
            <w:noWrap/>
            <w:tcMar>
              <w:top w:w="15" w:type="dxa"/>
              <w:left w:w="15" w:type="dxa"/>
              <w:right w:w="15" w:type="dxa"/>
            </w:tcMar>
            <w:vAlign w:val="bottom"/>
          </w:tcPr>
          <w:p w14:paraId="44CCF2D4">
            <w:pPr>
              <w:pStyle w:val="34"/>
            </w:pPr>
          </w:p>
        </w:tc>
        <w:tc>
          <w:tcPr>
            <w:tcW w:w="864" w:type="dxa"/>
            <w:shd w:val="clear" w:color="auto" w:fill="auto"/>
            <w:noWrap/>
            <w:tcMar>
              <w:top w:w="15" w:type="dxa"/>
              <w:left w:w="15" w:type="dxa"/>
              <w:right w:w="15" w:type="dxa"/>
            </w:tcMar>
            <w:vAlign w:val="bottom"/>
          </w:tcPr>
          <w:p w14:paraId="6C9191FA">
            <w:pPr>
              <w:pStyle w:val="34"/>
            </w:pPr>
          </w:p>
        </w:tc>
        <w:tc>
          <w:tcPr>
            <w:tcW w:w="573" w:type="dxa"/>
            <w:shd w:val="clear" w:color="auto" w:fill="auto"/>
            <w:noWrap/>
            <w:tcMar>
              <w:top w:w="15" w:type="dxa"/>
              <w:left w:w="15" w:type="dxa"/>
              <w:right w:w="15" w:type="dxa"/>
            </w:tcMar>
            <w:vAlign w:val="bottom"/>
          </w:tcPr>
          <w:p w14:paraId="01DC5988">
            <w:pPr>
              <w:pStyle w:val="34"/>
            </w:pPr>
          </w:p>
        </w:tc>
        <w:tc>
          <w:tcPr>
            <w:tcW w:w="761" w:type="dxa"/>
            <w:shd w:val="clear" w:color="auto" w:fill="auto"/>
            <w:noWrap/>
            <w:tcMar>
              <w:top w:w="15" w:type="dxa"/>
              <w:left w:w="15" w:type="dxa"/>
              <w:right w:w="15" w:type="dxa"/>
            </w:tcMar>
            <w:vAlign w:val="bottom"/>
          </w:tcPr>
          <w:p w14:paraId="675137A4">
            <w:pPr>
              <w:pStyle w:val="34"/>
            </w:pPr>
          </w:p>
        </w:tc>
        <w:tc>
          <w:tcPr>
            <w:tcW w:w="1215" w:type="dxa"/>
            <w:shd w:val="clear" w:color="auto" w:fill="auto"/>
            <w:noWrap/>
            <w:tcMar>
              <w:top w:w="15" w:type="dxa"/>
              <w:left w:w="15" w:type="dxa"/>
              <w:right w:w="15" w:type="dxa"/>
            </w:tcMar>
            <w:vAlign w:val="bottom"/>
          </w:tcPr>
          <w:p w14:paraId="557E3225">
            <w:pPr>
              <w:pStyle w:val="34"/>
            </w:pPr>
          </w:p>
        </w:tc>
        <w:tc>
          <w:tcPr>
            <w:tcW w:w="889" w:type="dxa"/>
            <w:shd w:val="clear" w:color="auto" w:fill="auto"/>
            <w:noWrap/>
            <w:tcMar>
              <w:top w:w="15" w:type="dxa"/>
              <w:left w:w="15" w:type="dxa"/>
              <w:right w:w="15" w:type="dxa"/>
            </w:tcMar>
            <w:vAlign w:val="bottom"/>
          </w:tcPr>
          <w:p w14:paraId="3347EE97">
            <w:pPr>
              <w:pStyle w:val="34"/>
            </w:pPr>
          </w:p>
        </w:tc>
        <w:tc>
          <w:tcPr>
            <w:tcW w:w="1361" w:type="dxa"/>
            <w:shd w:val="clear" w:color="auto" w:fill="auto"/>
            <w:noWrap/>
            <w:tcMar>
              <w:top w:w="15" w:type="dxa"/>
              <w:left w:w="15" w:type="dxa"/>
              <w:right w:w="15" w:type="dxa"/>
            </w:tcMar>
            <w:vAlign w:val="bottom"/>
          </w:tcPr>
          <w:p w14:paraId="1B50B1A8">
            <w:pPr>
              <w:pStyle w:val="34"/>
            </w:pPr>
          </w:p>
        </w:tc>
        <w:tc>
          <w:tcPr>
            <w:tcW w:w="761" w:type="dxa"/>
            <w:shd w:val="clear" w:color="auto" w:fill="auto"/>
            <w:noWrap/>
            <w:tcMar>
              <w:top w:w="15" w:type="dxa"/>
              <w:left w:w="15" w:type="dxa"/>
              <w:right w:w="15" w:type="dxa"/>
            </w:tcMar>
            <w:vAlign w:val="bottom"/>
          </w:tcPr>
          <w:p w14:paraId="3FA26A06">
            <w:pPr>
              <w:pStyle w:val="34"/>
            </w:pPr>
          </w:p>
        </w:tc>
        <w:tc>
          <w:tcPr>
            <w:tcW w:w="1553" w:type="dxa"/>
            <w:tcBorders>
              <w:right w:val="nil"/>
            </w:tcBorders>
            <w:shd w:val="clear" w:color="auto" w:fill="auto"/>
            <w:noWrap/>
            <w:tcMar>
              <w:top w:w="15" w:type="dxa"/>
              <w:left w:w="15" w:type="dxa"/>
              <w:right w:w="15" w:type="dxa"/>
            </w:tcMar>
            <w:vAlign w:val="bottom"/>
          </w:tcPr>
          <w:p w14:paraId="359205DC">
            <w:pPr>
              <w:pStyle w:val="34"/>
            </w:pPr>
          </w:p>
        </w:tc>
        <w:tc>
          <w:tcPr>
            <w:tcW w:w="740" w:type="dxa"/>
            <w:tcBorders>
              <w:right w:val="nil"/>
            </w:tcBorders>
            <w:shd w:val="clear" w:color="auto" w:fill="auto"/>
            <w:noWrap/>
            <w:tcMar>
              <w:top w:w="15" w:type="dxa"/>
              <w:left w:w="15" w:type="dxa"/>
              <w:right w:w="15" w:type="dxa"/>
            </w:tcMar>
            <w:vAlign w:val="bottom"/>
          </w:tcPr>
          <w:p w14:paraId="49CB352D">
            <w:pPr>
              <w:pStyle w:val="34"/>
            </w:pPr>
          </w:p>
        </w:tc>
      </w:tr>
      <w:tr w14:paraId="26856C8D">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632" w:type="dxa"/>
            <w:tcBorders>
              <w:left w:val="nil"/>
            </w:tcBorders>
            <w:shd w:val="clear" w:color="auto" w:fill="auto"/>
            <w:noWrap/>
            <w:tcMar>
              <w:top w:w="15" w:type="dxa"/>
              <w:left w:w="15" w:type="dxa"/>
              <w:right w:w="15" w:type="dxa"/>
            </w:tcMar>
            <w:vAlign w:val="bottom"/>
          </w:tcPr>
          <w:p w14:paraId="39062CCF">
            <w:pPr>
              <w:pStyle w:val="34"/>
            </w:pPr>
          </w:p>
        </w:tc>
        <w:tc>
          <w:tcPr>
            <w:tcW w:w="701" w:type="dxa"/>
            <w:shd w:val="clear" w:color="auto" w:fill="auto"/>
            <w:noWrap/>
            <w:tcMar>
              <w:top w:w="15" w:type="dxa"/>
              <w:left w:w="15" w:type="dxa"/>
              <w:right w:w="15" w:type="dxa"/>
            </w:tcMar>
            <w:vAlign w:val="bottom"/>
          </w:tcPr>
          <w:p w14:paraId="5DC6E5D3">
            <w:pPr>
              <w:pStyle w:val="34"/>
            </w:pPr>
          </w:p>
        </w:tc>
        <w:tc>
          <w:tcPr>
            <w:tcW w:w="864" w:type="dxa"/>
            <w:shd w:val="clear" w:color="auto" w:fill="auto"/>
            <w:noWrap/>
            <w:tcMar>
              <w:top w:w="15" w:type="dxa"/>
              <w:left w:w="15" w:type="dxa"/>
              <w:right w:w="15" w:type="dxa"/>
            </w:tcMar>
            <w:vAlign w:val="bottom"/>
          </w:tcPr>
          <w:p w14:paraId="4EC77A4E">
            <w:pPr>
              <w:pStyle w:val="34"/>
            </w:pPr>
          </w:p>
        </w:tc>
        <w:tc>
          <w:tcPr>
            <w:tcW w:w="573" w:type="dxa"/>
            <w:shd w:val="clear" w:color="auto" w:fill="auto"/>
            <w:noWrap/>
            <w:tcMar>
              <w:top w:w="15" w:type="dxa"/>
              <w:left w:w="15" w:type="dxa"/>
              <w:right w:w="15" w:type="dxa"/>
            </w:tcMar>
            <w:vAlign w:val="bottom"/>
          </w:tcPr>
          <w:p w14:paraId="3CE2C4F9">
            <w:pPr>
              <w:pStyle w:val="34"/>
            </w:pPr>
          </w:p>
        </w:tc>
        <w:tc>
          <w:tcPr>
            <w:tcW w:w="761" w:type="dxa"/>
            <w:shd w:val="clear" w:color="auto" w:fill="auto"/>
            <w:noWrap/>
            <w:tcMar>
              <w:top w:w="15" w:type="dxa"/>
              <w:left w:w="15" w:type="dxa"/>
              <w:right w:w="15" w:type="dxa"/>
            </w:tcMar>
            <w:vAlign w:val="bottom"/>
          </w:tcPr>
          <w:p w14:paraId="68E751AE">
            <w:pPr>
              <w:pStyle w:val="34"/>
            </w:pPr>
          </w:p>
        </w:tc>
        <w:tc>
          <w:tcPr>
            <w:tcW w:w="1215" w:type="dxa"/>
            <w:shd w:val="clear" w:color="auto" w:fill="auto"/>
            <w:noWrap/>
            <w:tcMar>
              <w:top w:w="15" w:type="dxa"/>
              <w:left w:w="15" w:type="dxa"/>
              <w:right w:w="15" w:type="dxa"/>
            </w:tcMar>
            <w:vAlign w:val="bottom"/>
          </w:tcPr>
          <w:p w14:paraId="461431BD">
            <w:pPr>
              <w:pStyle w:val="34"/>
            </w:pPr>
          </w:p>
        </w:tc>
        <w:tc>
          <w:tcPr>
            <w:tcW w:w="889" w:type="dxa"/>
            <w:shd w:val="clear" w:color="auto" w:fill="auto"/>
            <w:noWrap/>
            <w:tcMar>
              <w:top w:w="15" w:type="dxa"/>
              <w:left w:w="15" w:type="dxa"/>
              <w:right w:w="15" w:type="dxa"/>
            </w:tcMar>
            <w:vAlign w:val="bottom"/>
          </w:tcPr>
          <w:p w14:paraId="03B59105">
            <w:pPr>
              <w:pStyle w:val="34"/>
            </w:pPr>
          </w:p>
        </w:tc>
        <w:tc>
          <w:tcPr>
            <w:tcW w:w="1361" w:type="dxa"/>
            <w:shd w:val="clear" w:color="auto" w:fill="auto"/>
            <w:noWrap/>
            <w:tcMar>
              <w:top w:w="15" w:type="dxa"/>
              <w:left w:w="15" w:type="dxa"/>
              <w:right w:w="15" w:type="dxa"/>
            </w:tcMar>
            <w:vAlign w:val="bottom"/>
          </w:tcPr>
          <w:p w14:paraId="467A811C">
            <w:pPr>
              <w:pStyle w:val="34"/>
            </w:pPr>
          </w:p>
        </w:tc>
        <w:tc>
          <w:tcPr>
            <w:tcW w:w="761" w:type="dxa"/>
            <w:shd w:val="clear" w:color="auto" w:fill="auto"/>
            <w:noWrap/>
            <w:tcMar>
              <w:top w:w="15" w:type="dxa"/>
              <w:left w:w="15" w:type="dxa"/>
              <w:right w:w="15" w:type="dxa"/>
            </w:tcMar>
            <w:vAlign w:val="bottom"/>
          </w:tcPr>
          <w:p w14:paraId="3EB80731">
            <w:pPr>
              <w:pStyle w:val="34"/>
            </w:pPr>
          </w:p>
        </w:tc>
        <w:tc>
          <w:tcPr>
            <w:tcW w:w="1553" w:type="dxa"/>
            <w:tcBorders>
              <w:right w:val="nil"/>
            </w:tcBorders>
            <w:shd w:val="clear" w:color="auto" w:fill="auto"/>
            <w:noWrap/>
            <w:tcMar>
              <w:top w:w="15" w:type="dxa"/>
              <w:left w:w="15" w:type="dxa"/>
              <w:right w:w="15" w:type="dxa"/>
            </w:tcMar>
            <w:vAlign w:val="bottom"/>
          </w:tcPr>
          <w:p w14:paraId="48C0C343">
            <w:pPr>
              <w:pStyle w:val="34"/>
            </w:pPr>
          </w:p>
        </w:tc>
        <w:tc>
          <w:tcPr>
            <w:tcW w:w="740" w:type="dxa"/>
            <w:tcBorders>
              <w:right w:val="nil"/>
            </w:tcBorders>
            <w:shd w:val="clear" w:color="auto" w:fill="auto"/>
            <w:noWrap/>
            <w:tcMar>
              <w:top w:w="15" w:type="dxa"/>
              <w:left w:w="15" w:type="dxa"/>
              <w:right w:w="15" w:type="dxa"/>
            </w:tcMar>
            <w:vAlign w:val="bottom"/>
          </w:tcPr>
          <w:p w14:paraId="444A33C9">
            <w:pPr>
              <w:pStyle w:val="34"/>
            </w:pPr>
          </w:p>
        </w:tc>
      </w:tr>
      <w:tr w14:paraId="2FF62A9C">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632" w:type="dxa"/>
            <w:tcBorders>
              <w:left w:val="nil"/>
            </w:tcBorders>
            <w:shd w:val="clear" w:color="auto" w:fill="auto"/>
            <w:noWrap/>
            <w:tcMar>
              <w:top w:w="15" w:type="dxa"/>
              <w:left w:w="15" w:type="dxa"/>
              <w:right w:w="15" w:type="dxa"/>
            </w:tcMar>
            <w:vAlign w:val="bottom"/>
          </w:tcPr>
          <w:p w14:paraId="47483BBA">
            <w:pPr>
              <w:pStyle w:val="34"/>
            </w:pPr>
          </w:p>
        </w:tc>
        <w:tc>
          <w:tcPr>
            <w:tcW w:w="701" w:type="dxa"/>
            <w:shd w:val="clear" w:color="auto" w:fill="auto"/>
            <w:noWrap/>
            <w:tcMar>
              <w:top w:w="15" w:type="dxa"/>
              <w:left w:w="15" w:type="dxa"/>
              <w:right w:w="15" w:type="dxa"/>
            </w:tcMar>
            <w:vAlign w:val="bottom"/>
          </w:tcPr>
          <w:p w14:paraId="274AE8E3">
            <w:pPr>
              <w:pStyle w:val="34"/>
            </w:pPr>
          </w:p>
        </w:tc>
        <w:tc>
          <w:tcPr>
            <w:tcW w:w="864" w:type="dxa"/>
            <w:shd w:val="clear" w:color="auto" w:fill="auto"/>
            <w:noWrap/>
            <w:tcMar>
              <w:top w:w="15" w:type="dxa"/>
              <w:left w:w="15" w:type="dxa"/>
              <w:right w:w="15" w:type="dxa"/>
            </w:tcMar>
            <w:vAlign w:val="bottom"/>
          </w:tcPr>
          <w:p w14:paraId="3F3A0C8A">
            <w:pPr>
              <w:pStyle w:val="34"/>
            </w:pPr>
          </w:p>
        </w:tc>
        <w:tc>
          <w:tcPr>
            <w:tcW w:w="573" w:type="dxa"/>
            <w:shd w:val="clear" w:color="auto" w:fill="auto"/>
            <w:noWrap/>
            <w:tcMar>
              <w:top w:w="15" w:type="dxa"/>
              <w:left w:w="15" w:type="dxa"/>
              <w:right w:w="15" w:type="dxa"/>
            </w:tcMar>
            <w:vAlign w:val="bottom"/>
          </w:tcPr>
          <w:p w14:paraId="1897FD89">
            <w:pPr>
              <w:pStyle w:val="34"/>
            </w:pPr>
          </w:p>
        </w:tc>
        <w:tc>
          <w:tcPr>
            <w:tcW w:w="761" w:type="dxa"/>
            <w:shd w:val="clear" w:color="auto" w:fill="auto"/>
            <w:noWrap/>
            <w:tcMar>
              <w:top w:w="15" w:type="dxa"/>
              <w:left w:w="15" w:type="dxa"/>
              <w:right w:w="15" w:type="dxa"/>
            </w:tcMar>
            <w:vAlign w:val="bottom"/>
          </w:tcPr>
          <w:p w14:paraId="044A7005">
            <w:pPr>
              <w:pStyle w:val="34"/>
            </w:pPr>
          </w:p>
        </w:tc>
        <w:tc>
          <w:tcPr>
            <w:tcW w:w="1215" w:type="dxa"/>
            <w:shd w:val="clear" w:color="auto" w:fill="auto"/>
            <w:noWrap/>
            <w:tcMar>
              <w:top w:w="15" w:type="dxa"/>
              <w:left w:w="15" w:type="dxa"/>
              <w:right w:w="15" w:type="dxa"/>
            </w:tcMar>
            <w:vAlign w:val="bottom"/>
          </w:tcPr>
          <w:p w14:paraId="445DE15C">
            <w:pPr>
              <w:pStyle w:val="34"/>
            </w:pPr>
          </w:p>
        </w:tc>
        <w:tc>
          <w:tcPr>
            <w:tcW w:w="889" w:type="dxa"/>
            <w:shd w:val="clear" w:color="auto" w:fill="auto"/>
            <w:noWrap/>
            <w:tcMar>
              <w:top w:w="15" w:type="dxa"/>
              <w:left w:w="15" w:type="dxa"/>
              <w:right w:w="15" w:type="dxa"/>
            </w:tcMar>
            <w:vAlign w:val="bottom"/>
          </w:tcPr>
          <w:p w14:paraId="5EF448FC">
            <w:pPr>
              <w:pStyle w:val="34"/>
            </w:pPr>
          </w:p>
        </w:tc>
        <w:tc>
          <w:tcPr>
            <w:tcW w:w="1361" w:type="dxa"/>
            <w:shd w:val="clear" w:color="auto" w:fill="auto"/>
            <w:noWrap/>
            <w:tcMar>
              <w:top w:w="15" w:type="dxa"/>
              <w:left w:w="15" w:type="dxa"/>
              <w:right w:w="15" w:type="dxa"/>
            </w:tcMar>
            <w:vAlign w:val="bottom"/>
          </w:tcPr>
          <w:p w14:paraId="70476095">
            <w:pPr>
              <w:pStyle w:val="34"/>
            </w:pPr>
          </w:p>
        </w:tc>
        <w:tc>
          <w:tcPr>
            <w:tcW w:w="761" w:type="dxa"/>
            <w:shd w:val="clear" w:color="auto" w:fill="auto"/>
            <w:noWrap/>
            <w:tcMar>
              <w:top w:w="15" w:type="dxa"/>
              <w:left w:w="15" w:type="dxa"/>
              <w:right w:w="15" w:type="dxa"/>
            </w:tcMar>
            <w:vAlign w:val="bottom"/>
          </w:tcPr>
          <w:p w14:paraId="368E0BFE">
            <w:pPr>
              <w:pStyle w:val="34"/>
            </w:pPr>
          </w:p>
        </w:tc>
        <w:tc>
          <w:tcPr>
            <w:tcW w:w="1553" w:type="dxa"/>
            <w:tcBorders>
              <w:right w:val="nil"/>
            </w:tcBorders>
            <w:shd w:val="clear" w:color="auto" w:fill="auto"/>
            <w:noWrap/>
            <w:tcMar>
              <w:top w:w="15" w:type="dxa"/>
              <w:left w:w="15" w:type="dxa"/>
              <w:right w:w="15" w:type="dxa"/>
            </w:tcMar>
            <w:vAlign w:val="bottom"/>
          </w:tcPr>
          <w:p w14:paraId="64FDAA96">
            <w:pPr>
              <w:pStyle w:val="34"/>
            </w:pPr>
          </w:p>
        </w:tc>
        <w:tc>
          <w:tcPr>
            <w:tcW w:w="740" w:type="dxa"/>
            <w:tcBorders>
              <w:right w:val="nil"/>
            </w:tcBorders>
            <w:shd w:val="clear" w:color="auto" w:fill="auto"/>
            <w:noWrap/>
            <w:tcMar>
              <w:top w:w="15" w:type="dxa"/>
              <w:left w:w="15" w:type="dxa"/>
              <w:right w:w="15" w:type="dxa"/>
            </w:tcMar>
            <w:vAlign w:val="bottom"/>
          </w:tcPr>
          <w:p w14:paraId="56B6974C">
            <w:pPr>
              <w:pStyle w:val="34"/>
            </w:pPr>
          </w:p>
        </w:tc>
      </w:tr>
      <w:tr w14:paraId="536DF128">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632" w:type="dxa"/>
            <w:tcBorders>
              <w:left w:val="nil"/>
            </w:tcBorders>
            <w:shd w:val="clear" w:color="auto" w:fill="auto"/>
            <w:noWrap/>
            <w:tcMar>
              <w:top w:w="15" w:type="dxa"/>
              <w:left w:w="15" w:type="dxa"/>
              <w:right w:w="15" w:type="dxa"/>
            </w:tcMar>
            <w:vAlign w:val="bottom"/>
          </w:tcPr>
          <w:p w14:paraId="4975491F">
            <w:pPr>
              <w:pStyle w:val="34"/>
            </w:pPr>
          </w:p>
        </w:tc>
        <w:tc>
          <w:tcPr>
            <w:tcW w:w="701" w:type="dxa"/>
            <w:shd w:val="clear" w:color="auto" w:fill="auto"/>
            <w:noWrap/>
            <w:tcMar>
              <w:top w:w="15" w:type="dxa"/>
              <w:left w:w="15" w:type="dxa"/>
              <w:right w:w="15" w:type="dxa"/>
            </w:tcMar>
            <w:vAlign w:val="bottom"/>
          </w:tcPr>
          <w:p w14:paraId="1E6C3D24">
            <w:pPr>
              <w:pStyle w:val="34"/>
            </w:pPr>
          </w:p>
        </w:tc>
        <w:tc>
          <w:tcPr>
            <w:tcW w:w="864" w:type="dxa"/>
            <w:shd w:val="clear" w:color="auto" w:fill="auto"/>
            <w:noWrap/>
            <w:tcMar>
              <w:top w:w="15" w:type="dxa"/>
              <w:left w:w="15" w:type="dxa"/>
              <w:right w:w="15" w:type="dxa"/>
            </w:tcMar>
            <w:vAlign w:val="bottom"/>
          </w:tcPr>
          <w:p w14:paraId="1DA5D954">
            <w:pPr>
              <w:pStyle w:val="34"/>
            </w:pPr>
          </w:p>
        </w:tc>
        <w:tc>
          <w:tcPr>
            <w:tcW w:w="573" w:type="dxa"/>
            <w:shd w:val="clear" w:color="auto" w:fill="auto"/>
            <w:noWrap/>
            <w:tcMar>
              <w:top w:w="15" w:type="dxa"/>
              <w:left w:w="15" w:type="dxa"/>
              <w:right w:w="15" w:type="dxa"/>
            </w:tcMar>
            <w:vAlign w:val="bottom"/>
          </w:tcPr>
          <w:p w14:paraId="2A8C1603">
            <w:pPr>
              <w:pStyle w:val="34"/>
            </w:pPr>
          </w:p>
        </w:tc>
        <w:tc>
          <w:tcPr>
            <w:tcW w:w="761" w:type="dxa"/>
            <w:shd w:val="clear" w:color="auto" w:fill="auto"/>
            <w:noWrap/>
            <w:tcMar>
              <w:top w:w="15" w:type="dxa"/>
              <w:left w:w="15" w:type="dxa"/>
              <w:right w:w="15" w:type="dxa"/>
            </w:tcMar>
            <w:vAlign w:val="bottom"/>
          </w:tcPr>
          <w:p w14:paraId="35F84E27">
            <w:pPr>
              <w:pStyle w:val="34"/>
            </w:pPr>
          </w:p>
        </w:tc>
        <w:tc>
          <w:tcPr>
            <w:tcW w:w="1215" w:type="dxa"/>
            <w:shd w:val="clear" w:color="auto" w:fill="auto"/>
            <w:noWrap/>
            <w:tcMar>
              <w:top w:w="15" w:type="dxa"/>
              <w:left w:w="15" w:type="dxa"/>
              <w:right w:w="15" w:type="dxa"/>
            </w:tcMar>
            <w:vAlign w:val="bottom"/>
          </w:tcPr>
          <w:p w14:paraId="3497ED03">
            <w:pPr>
              <w:pStyle w:val="34"/>
            </w:pPr>
          </w:p>
        </w:tc>
        <w:tc>
          <w:tcPr>
            <w:tcW w:w="889" w:type="dxa"/>
            <w:shd w:val="clear" w:color="auto" w:fill="auto"/>
            <w:noWrap/>
            <w:tcMar>
              <w:top w:w="15" w:type="dxa"/>
              <w:left w:w="15" w:type="dxa"/>
              <w:right w:w="15" w:type="dxa"/>
            </w:tcMar>
            <w:vAlign w:val="bottom"/>
          </w:tcPr>
          <w:p w14:paraId="242DE9F1">
            <w:pPr>
              <w:pStyle w:val="34"/>
            </w:pPr>
          </w:p>
        </w:tc>
        <w:tc>
          <w:tcPr>
            <w:tcW w:w="1361" w:type="dxa"/>
            <w:shd w:val="clear" w:color="auto" w:fill="auto"/>
            <w:noWrap/>
            <w:tcMar>
              <w:top w:w="15" w:type="dxa"/>
              <w:left w:w="15" w:type="dxa"/>
              <w:right w:w="15" w:type="dxa"/>
            </w:tcMar>
            <w:vAlign w:val="bottom"/>
          </w:tcPr>
          <w:p w14:paraId="1D655175">
            <w:pPr>
              <w:pStyle w:val="34"/>
            </w:pPr>
          </w:p>
        </w:tc>
        <w:tc>
          <w:tcPr>
            <w:tcW w:w="761" w:type="dxa"/>
            <w:shd w:val="clear" w:color="auto" w:fill="auto"/>
            <w:noWrap/>
            <w:tcMar>
              <w:top w:w="15" w:type="dxa"/>
              <w:left w:w="15" w:type="dxa"/>
              <w:right w:w="15" w:type="dxa"/>
            </w:tcMar>
            <w:vAlign w:val="bottom"/>
          </w:tcPr>
          <w:p w14:paraId="02F09F37">
            <w:pPr>
              <w:pStyle w:val="34"/>
            </w:pPr>
          </w:p>
        </w:tc>
        <w:tc>
          <w:tcPr>
            <w:tcW w:w="1553" w:type="dxa"/>
            <w:tcBorders>
              <w:right w:val="nil"/>
            </w:tcBorders>
            <w:shd w:val="clear" w:color="auto" w:fill="auto"/>
            <w:noWrap/>
            <w:tcMar>
              <w:top w:w="15" w:type="dxa"/>
              <w:left w:w="15" w:type="dxa"/>
              <w:right w:w="15" w:type="dxa"/>
            </w:tcMar>
            <w:vAlign w:val="bottom"/>
          </w:tcPr>
          <w:p w14:paraId="47763E25">
            <w:pPr>
              <w:pStyle w:val="34"/>
            </w:pPr>
          </w:p>
        </w:tc>
        <w:tc>
          <w:tcPr>
            <w:tcW w:w="740" w:type="dxa"/>
            <w:tcBorders>
              <w:right w:val="nil"/>
            </w:tcBorders>
            <w:shd w:val="clear" w:color="auto" w:fill="auto"/>
            <w:noWrap/>
            <w:tcMar>
              <w:top w:w="15" w:type="dxa"/>
              <w:left w:w="15" w:type="dxa"/>
              <w:right w:w="15" w:type="dxa"/>
            </w:tcMar>
            <w:vAlign w:val="bottom"/>
          </w:tcPr>
          <w:p w14:paraId="3A4F8BF8">
            <w:pPr>
              <w:pStyle w:val="34"/>
            </w:pPr>
          </w:p>
        </w:tc>
      </w:tr>
    </w:tbl>
    <w:p w14:paraId="10481B1E">
      <w:pPr>
        <w:ind w:firstLine="420"/>
        <w:jc w:val="right"/>
      </w:pPr>
    </w:p>
    <w:p w14:paraId="2C367E5B">
      <w:pPr>
        <w:ind w:firstLine="422"/>
        <w:jc w:val="center"/>
        <w:rPr>
          <w:b/>
          <w:bCs/>
        </w:rPr>
      </w:pPr>
      <w:r>
        <w:rPr>
          <w:rFonts w:hint="eastAsia"/>
          <w:b/>
          <w:bCs/>
        </w:rPr>
        <w:t>表9 2011年南雄市主要用水指标</w:t>
      </w:r>
    </w:p>
    <w:tbl>
      <w:tblPr>
        <w:tblStyle w:val="14"/>
        <w:tblW w:w="9362" w:type="dxa"/>
        <w:tblInd w:w="0" w:type="dxa"/>
        <w:tblBorders>
          <w:top w:val="single" w:color="auto" w:sz="4" w:space="0"/>
          <w:left w:val="none" w:color="auto" w:sz="4" w:space="0"/>
          <w:bottom w:val="single" w:color="auto" w:sz="4" w:space="0"/>
          <w:right w:val="none" w:color="auto" w:sz="4" w:space="0"/>
          <w:insideH w:val="single" w:color="auto" w:sz="4" w:space="0"/>
          <w:insideV w:val="single" w:color="auto" w:sz="4" w:space="0"/>
        </w:tblBorders>
        <w:tblLayout w:type="autofit"/>
        <w:tblCellMar>
          <w:top w:w="0" w:type="dxa"/>
          <w:left w:w="0" w:type="dxa"/>
          <w:bottom w:w="0" w:type="dxa"/>
          <w:right w:w="0" w:type="dxa"/>
        </w:tblCellMar>
      </w:tblPr>
      <w:tblGrid>
        <w:gridCol w:w="960"/>
        <w:gridCol w:w="1007"/>
        <w:gridCol w:w="960"/>
        <w:gridCol w:w="960"/>
        <w:gridCol w:w="838"/>
        <w:gridCol w:w="1082"/>
        <w:gridCol w:w="960"/>
        <w:gridCol w:w="1396"/>
        <w:gridCol w:w="1199"/>
      </w:tblGrid>
      <w:tr w14:paraId="71088E4B">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960" w:type="dxa"/>
            <w:vMerge w:val="restart"/>
            <w:tcBorders>
              <w:left w:val="nil"/>
            </w:tcBorders>
            <w:shd w:val="clear" w:color="auto" w:fill="auto"/>
            <w:noWrap/>
            <w:tcMar>
              <w:top w:w="15" w:type="dxa"/>
              <w:left w:w="15" w:type="dxa"/>
              <w:right w:w="15" w:type="dxa"/>
            </w:tcMar>
            <w:vAlign w:val="bottom"/>
          </w:tcPr>
          <w:p w14:paraId="3C55E213">
            <w:pPr>
              <w:pStyle w:val="34"/>
              <w:rPr>
                <w:b/>
                <w:bCs/>
              </w:rPr>
            </w:pPr>
            <w:r>
              <w:rPr>
                <w:b/>
                <w:bCs/>
              </w:rPr>
              <w:t>年度</w:t>
            </w:r>
          </w:p>
        </w:tc>
        <w:tc>
          <w:tcPr>
            <w:tcW w:w="1007" w:type="dxa"/>
            <w:vMerge w:val="restart"/>
            <w:shd w:val="clear" w:color="auto" w:fill="auto"/>
            <w:noWrap/>
            <w:tcMar>
              <w:top w:w="15" w:type="dxa"/>
              <w:left w:w="15" w:type="dxa"/>
              <w:right w:w="15" w:type="dxa"/>
            </w:tcMar>
            <w:vAlign w:val="bottom"/>
          </w:tcPr>
          <w:p w14:paraId="42862371">
            <w:pPr>
              <w:pStyle w:val="34"/>
              <w:jc w:val="center"/>
              <w:rPr>
                <w:b/>
                <w:bCs/>
              </w:rPr>
            </w:pPr>
            <w:r>
              <w:rPr>
                <w:rFonts w:hint="eastAsia"/>
                <w:b/>
                <w:bCs/>
              </w:rPr>
              <w:t>人</w:t>
            </w:r>
            <w:r>
              <w:rPr>
                <w:b/>
                <w:bCs/>
              </w:rPr>
              <w:t>均GDP(元)</w:t>
            </w:r>
          </w:p>
        </w:tc>
        <w:tc>
          <w:tcPr>
            <w:tcW w:w="960" w:type="dxa"/>
            <w:vMerge w:val="restart"/>
            <w:shd w:val="clear" w:color="auto" w:fill="auto"/>
            <w:noWrap/>
            <w:tcMar>
              <w:top w:w="15" w:type="dxa"/>
              <w:left w:w="15" w:type="dxa"/>
              <w:right w:w="15" w:type="dxa"/>
            </w:tcMar>
            <w:vAlign w:val="bottom"/>
          </w:tcPr>
          <w:p w14:paraId="2F69DF44">
            <w:pPr>
              <w:pStyle w:val="34"/>
              <w:jc w:val="center"/>
              <w:rPr>
                <w:b/>
                <w:bCs/>
              </w:rPr>
            </w:pPr>
            <w:r>
              <w:rPr>
                <w:b/>
                <w:bCs/>
              </w:rPr>
              <w:t>人均综合用水量(立方米)</w:t>
            </w:r>
          </w:p>
        </w:tc>
        <w:tc>
          <w:tcPr>
            <w:tcW w:w="960" w:type="dxa"/>
            <w:vMerge w:val="restart"/>
            <w:shd w:val="clear" w:color="auto" w:fill="auto"/>
            <w:noWrap/>
            <w:tcMar>
              <w:top w:w="15" w:type="dxa"/>
              <w:left w:w="15" w:type="dxa"/>
              <w:right w:w="15" w:type="dxa"/>
            </w:tcMar>
            <w:vAlign w:val="bottom"/>
          </w:tcPr>
          <w:p w14:paraId="495E774A">
            <w:pPr>
              <w:pStyle w:val="34"/>
              <w:jc w:val="center"/>
              <w:rPr>
                <w:b/>
                <w:bCs/>
              </w:rPr>
            </w:pPr>
            <w:r>
              <w:rPr>
                <w:b/>
                <w:bCs/>
              </w:rPr>
              <w:t>万元GDP用水量(立方米)</w:t>
            </w:r>
          </w:p>
        </w:tc>
        <w:tc>
          <w:tcPr>
            <w:tcW w:w="1920" w:type="dxa"/>
            <w:gridSpan w:val="2"/>
            <w:shd w:val="clear" w:color="auto" w:fill="auto"/>
            <w:noWrap/>
            <w:tcMar>
              <w:top w:w="15" w:type="dxa"/>
              <w:left w:w="15" w:type="dxa"/>
              <w:right w:w="15" w:type="dxa"/>
            </w:tcMar>
            <w:vAlign w:val="bottom"/>
          </w:tcPr>
          <w:p w14:paraId="61C19885">
            <w:pPr>
              <w:pStyle w:val="34"/>
              <w:rPr>
                <w:b/>
                <w:bCs/>
              </w:rPr>
            </w:pPr>
            <w:r>
              <w:rPr>
                <w:b/>
                <w:bCs/>
              </w:rPr>
              <w:t>万元工业增加值用水量(立方米)</w:t>
            </w:r>
          </w:p>
        </w:tc>
        <w:tc>
          <w:tcPr>
            <w:tcW w:w="960" w:type="dxa"/>
            <w:vMerge w:val="restart"/>
            <w:shd w:val="clear" w:color="auto" w:fill="auto"/>
            <w:noWrap/>
            <w:tcMar>
              <w:top w:w="15" w:type="dxa"/>
              <w:left w:w="15" w:type="dxa"/>
              <w:right w:w="15" w:type="dxa"/>
            </w:tcMar>
            <w:vAlign w:val="bottom"/>
          </w:tcPr>
          <w:p w14:paraId="17061A97">
            <w:pPr>
              <w:pStyle w:val="34"/>
              <w:rPr>
                <w:b/>
                <w:bCs/>
              </w:rPr>
            </w:pPr>
            <w:r>
              <w:rPr>
                <w:b/>
                <w:bCs/>
              </w:rPr>
              <w:t>农田实灌亩均用水量(立方米)</w:t>
            </w:r>
          </w:p>
        </w:tc>
        <w:tc>
          <w:tcPr>
            <w:tcW w:w="2595" w:type="dxa"/>
            <w:gridSpan w:val="2"/>
            <w:tcBorders>
              <w:right w:val="nil"/>
            </w:tcBorders>
            <w:shd w:val="clear" w:color="auto" w:fill="auto"/>
            <w:noWrap/>
            <w:tcMar>
              <w:top w:w="15" w:type="dxa"/>
              <w:left w:w="15" w:type="dxa"/>
              <w:right w:w="15" w:type="dxa"/>
            </w:tcMar>
            <w:vAlign w:val="bottom"/>
          </w:tcPr>
          <w:p w14:paraId="6736B7A2">
            <w:pPr>
              <w:pStyle w:val="34"/>
              <w:rPr>
                <w:b/>
                <w:bCs/>
              </w:rPr>
            </w:pPr>
            <w:r>
              <w:rPr>
                <w:b/>
                <w:bCs/>
              </w:rPr>
              <w:t>居民生活人均用水量(升/日)</w:t>
            </w:r>
          </w:p>
        </w:tc>
      </w:tr>
      <w:tr w14:paraId="55FE035C">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960" w:type="dxa"/>
            <w:vMerge w:val="continue"/>
            <w:tcBorders>
              <w:left w:val="nil"/>
            </w:tcBorders>
            <w:shd w:val="clear" w:color="auto" w:fill="auto"/>
            <w:noWrap/>
            <w:tcMar>
              <w:top w:w="15" w:type="dxa"/>
              <w:left w:w="15" w:type="dxa"/>
              <w:right w:w="15" w:type="dxa"/>
            </w:tcMar>
            <w:vAlign w:val="bottom"/>
          </w:tcPr>
          <w:p w14:paraId="2F8C16AA">
            <w:pPr>
              <w:pStyle w:val="34"/>
              <w:rPr>
                <w:b/>
                <w:bCs/>
              </w:rPr>
            </w:pPr>
          </w:p>
        </w:tc>
        <w:tc>
          <w:tcPr>
            <w:tcW w:w="1007" w:type="dxa"/>
            <w:vMerge w:val="continue"/>
            <w:shd w:val="clear" w:color="auto" w:fill="auto"/>
            <w:noWrap/>
            <w:tcMar>
              <w:top w:w="15" w:type="dxa"/>
              <w:left w:w="15" w:type="dxa"/>
              <w:right w:w="15" w:type="dxa"/>
            </w:tcMar>
            <w:vAlign w:val="bottom"/>
          </w:tcPr>
          <w:p w14:paraId="5AEE10EC">
            <w:pPr>
              <w:pStyle w:val="34"/>
              <w:rPr>
                <w:b/>
                <w:bCs/>
              </w:rPr>
            </w:pPr>
          </w:p>
        </w:tc>
        <w:tc>
          <w:tcPr>
            <w:tcW w:w="960" w:type="dxa"/>
            <w:vMerge w:val="continue"/>
            <w:shd w:val="clear" w:color="auto" w:fill="auto"/>
            <w:noWrap/>
            <w:tcMar>
              <w:top w:w="15" w:type="dxa"/>
              <w:left w:w="15" w:type="dxa"/>
              <w:right w:w="15" w:type="dxa"/>
            </w:tcMar>
            <w:vAlign w:val="bottom"/>
          </w:tcPr>
          <w:p w14:paraId="4F9A8586">
            <w:pPr>
              <w:pStyle w:val="34"/>
              <w:rPr>
                <w:b/>
                <w:bCs/>
              </w:rPr>
            </w:pPr>
          </w:p>
        </w:tc>
        <w:tc>
          <w:tcPr>
            <w:tcW w:w="960" w:type="dxa"/>
            <w:vMerge w:val="continue"/>
            <w:shd w:val="clear" w:color="auto" w:fill="auto"/>
            <w:noWrap/>
            <w:tcMar>
              <w:top w:w="15" w:type="dxa"/>
              <w:left w:w="15" w:type="dxa"/>
              <w:right w:w="15" w:type="dxa"/>
            </w:tcMar>
            <w:vAlign w:val="bottom"/>
          </w:tcPr>
          <w:p w14:paraId="290C6B80">
            <w:pPr>
              <w:pStyle w:val="34"/>
              <w:jc w:val="center"/>
              <w:rPr>
                <w:b/>
                <w:bCs/>
              </w:rPr>
            </w:pPr>
          </w:p>
        </w:tc>
        <w:tc>
          <w:tcPr>
            <w:tcW w:w="0" w:type="auto"/>
            <w:shd w:val="clear" w:color="auto" w:fill="auto"/>
            <w:noWrap/>
            <w:tcMar>
              <w:top w:w="15" w:type="dxa"/>
              <w:left w:w="15" w:type="dxa"/>
              <w:right w:w="15" w:type="dxa"/>
            </w:tcMar>
            <w:vAlign w:val="bottom"/>
          </w:tcPr>
          <w:p w14:paraId="6EB1789D">
            <w:pPr>
              <w:pStyle w:val="34"/>
              <w:rPr>
                <w:b/>
                <w:bCs/>
              </w:rPr>
            </w:pPr>
            <w:r>
              <w:rPr>
                <w:b/>
                <w:bCs/>
              </w:rPr>
              <w:t>含火电</w:t>
            </w:r>
          </w:p>
        </w:tc>
        <w:tc>
          <w:tcPr>
            <w:tcW w:w="1012" w:type="dxa"/>
            <w:shd w:val="clear" w:color="auto" w:fill="auto"/>
            <w:noWrap/>
            <w:tcMar>
              <w:top w:w="15" w:type="dxa"/>
              <w:left w:w="15" w:type="dxa"/>
              <w:right w:w="15" w:type="dxa"/>
            </w:tcMar>
            <w:vAlign w:val="bottom"/>
          </w:tcPr>
          <w:p w14:paraId="3236C32C">
            <w:pPr>
              <w:pStyle w:val="34"/>
              <w:rPr>
                <w:b/>
                <w:bCs/>
              </w:rPr>
            </w:pPr>
            <w:r>
              <w:rPr>
                <w:b/>
                <w:bCs/>
              </w:rPr>
              <w:t>不含火电</w:t>
            </w:r>
          </w:p>
        </w:tc>
        <w:tc>
          <w:tcPr>
            <w:tcW w:w="960" w:type="dxa"/>
            <w:vMerge w:val="continue"/>
            <w:shd w:val="clear" w:color="auto" w:fill="auto"/>
            <w:noWrap/>
            <w:tcMar>
              <w:top w:w="15" w:type="dxa"/>
              <w:left w:w="15" w:type="dxa"/>
              <w:right w:w="15" w:type="dxa"/>
            </w:tcMar>
            <w:vAlign w:val="bottom"/>
          </w:tcPr>
          <w:p w14:paraId="01797796">
            <w:pPr>
              <w:pStyle w:val="34"/>
              <w:rPr>
                <w:b/>
                <w:bCs/>
              </w:rPr>
            </w:pPr>
          </w:p>
        </w:tc>
        <w:tc>
          <w:tcPr>
            <w:tcW w:w="1396" w:type="dxa"/>
            <w:shd w:val="clear" w:color="auto" w:fill="auto"/>
            <w:noWrap/>
            <w:tcMar>
              <w:top w:w="15" w:type="dxa"/>
              <w:left w:w="15" w:type="dxa"/>
              <w:right w:w="15" w:type="dxa"/>
            </w:tcMar>
            <w:vAlign w:val="bottom"/>
          </w:tcPr>
          <w:p w14:paraId="51317EFC">
            <w:pPr>
              <w:pStyle w:val="34"/>
              <w:jc w:val="center"/>
              <w:rPr>
                <w:b/>
                <w:bCs/>
              </w:rPr>
            </w:pPr>
            <w:r>
              <w:rPr>
                <w:b/>
                <w:bCs/>
              </w:rPr>
              <w:t>城镇</w:t>
            </w:r>
          </w:p>
        </w:tc>
        <w:tc>
          <w:tcPr>
            <w:tcW w:w="1199" w:type="dxa"/>
            <w:tcBorders>
              <w:right w:val="nil"/>
            </w:tcBorders>
            <w:shd w:val="clear" w:color="auto" w:fill="auto"/>
            <w:noWrap/>
            <w:tcMar>
              <w:top w:w="15" w:type="dxa"/>
              <w:left w:w="15" w:type="dxa"/>
              <w:right w:w="15" w:type="dxa"/>
            </w:tcMar>
            <w:vAlign w:val="bottom"/>
          </w:tcPr>
          <w:p w14:paraId="4F320038">
            <w:pPr>
              <w:pStyle w:val="34"/>
              <w:jc w:val="center"/>
              <w:rPr>
                <w:b/>
                <w:bCs/>
              </w:rPr>
            </w:pPr>
            <w:r>
              <w:rPr>
                <w:b/>
                <w:bCs/>
              </w:rPr>
              <w:t>农村</w:t>
            </w:r>
          </w:p>
        </w:tc>
      </w:tr>
      <w:tr w14:paraId="395C95EA">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0" w:type="auto"/>
            <w:tcBorders>
              <w:left w:val="nil"/>
            </w:tcBorders>
            <w:shd w:val="clear" w:color="auto" w:fill="auto"/>
            <w:noWrap/>
            <w:tcMar>
              <w:top w:w="15" w:type="dxa"/>
              <w:left w:w="15" w:type="dxa"/>
              <w:right w:w="15" w:type="dxa"/>
            </w:tcMar>
            <w:vAlign w:val="bottom"/>
          </w:tcPr>
          <w:p w14:paraId="7B507FE1">
            <w:pPr>
              <w:widowControl/>
              <w:ind w:firstLine="400"/>
              <w:textAlignment w:val="bottom"/>
              <w:rPr>
                <w:rFonts w:ascii="Arial" w:hAnsi="Arial" w:cs="Arial"/>
                <w:color w:val="000000"/>
                <w:sz w:val="20"/>
                <w:szCs w:val="20"/>
              </w:rPr>
            </w:pPr>
            <w:r>
              <w:rPr>
                <w:rFonts w:ascii="Arial" w:hAnsi="Arial" w:cs="Arial"/>
                <w:color w:val="000000"/>
                <w:kern w:val="0"/>
                <w:sz w:val="20"/>
                <w:szCs w:val="20"/>
              </w:rPr>
              <w:t>2011</w:t>
            </w:r>
          </w:p>
        </w:tc>
        <w:tc>
          <w:tcPr>
            <w:tcW w:w="0" w:type="auto"/>
            <w:shd w:val="clear" w:color="auto" w:fill="auto"/>
            <w:noWrap/>
            <w:tcMar>
              <w:top w:w="15" w:type="dxa"/>
              <w:left w:w="15" w:type="dxa"/>
              <w:right w:w="15" w:type="dxa"/>
            </w:tcMar>
            <w:vAlign w:val="bottom"/>
          </w:tcPr>
          <w:p w14:paraId="489C0D6E">
            <w:pPr>
              <w:widowControl/>
              <w:ind w:firstLine="400"/>
              <w:textAlignment w:val="bottom"/>
              <w:rPr>
                <w:rFonts w:ascii="Arial" w:hAnsi="Arial" w:cs="Arial"/>
                <w:color w:val="000000"/>
                <w:sz w:val="20"/>
                <w:szCs w:val="20"/>
              </w:rPr>
            </w:pPr>
            <w:r>
              <w:rPr>
                <w:rFonts w:ascii="Arial" w:hAnsi="Arial" w:cs="Arial"/>
                <w:color w:val="000000"/>
                <w:kern w:val="0"/>
                <w:sz w:val="20"/>
                <w:szCs w:val="20"/>
              </w:rPr>
              <w:t>23754</w:t>
            </w:r>
          </w:p>
        </w:tc>
        <w:tc>
          <w:tcPr>
            <w:tcW w:w="0" w:type="auto"/>
            <w:shd w:val="clear" w:color="auto" w:fill="auto"/>
            <w:noWrap/>
            <w:tcMar>
              <w:top w:w="15" w:type="dxa"/>
              <w:left w:w="15" w:type="dxa"/>
              <w:right w:w="15" w:type="dxa"/>
            </w:tcMar>
            <w:vAlign w:val="bottom"/>
          </w:tcPr>
          <w:p w14:paraId="52327A1F">
            <w:pPr>
              <w:widowControl/>
              <w:ind w:firstLine="400"/>
              <w:textAlignment w:val="bottom"/>
              <w:rPr>
                <w:rFonts w:ascii="Arial" w:hAnsi="Arial" w:cs="Arial"/>
                <w:color w:val="000000"/>
                <w:sz w:val="20"/>
                <w:szCs w:val="20"/>
              </w:rPr>
            </w:pPr>
            <w:r>
              <w:rPr>
                <w:rFonts w:ascii="Arial" w:hAnsi="Arial" w:cs="Arial"/>
                <w:color w:val="000000"/>
                <w:kern w:val="0"/>
                <w:sz w:val="20"/>
                <w:szCs w:val="20"/>
              </w:rPr>
              <w:t>1126</w:t>
            </w:r>
          </w:p>
        </w:tc>
        <w:tc>
          <w:tcPr>
            <w:tcW w:w="0" w:type="auto"/>
            <w:shd w:val="clear" w:color="auto" w:fill="auto"/>
            <w:noWrap/>
            <w:tcMar>
              <w:top w:w="15" w:type="dxa"/>
              <w:left w:w="15" w:type="dxa"/>
              <w:right w:w="15" w:type="dxa"/>
            </w:tcMar>
            <w:vAlign w:val="bottom"/>
          </w:tcPr>
          <w:p w14:paraId="7C2B323C">
            <w:pPr>
              <w:widowControl/>
              <w:ind w:firstLine="400"/>
              <w:textAlignment w:val="bottom"/>
              <w:rPr>
                <w:rFonts w:ascii="Arial" w:hAnsi="Arial" w:cs="Arial"/>
                <w:color w:val="000000"/>
                <w:sz w:val="20"/>
                <w:szCs w:val="20"/>
              </w:rPr>
            </w:pPr>
            <w:r>
              <w:rPr>
                <w:rFonts w:ascii="Arial" w:hAnsi="Arial" w:cs="Arial"/>
                <w:color w:val="000000"/>
                <w:kern w:val="0"/>
                <w:sz w:val="20"/>
                <w:szCs w:val="20"/>
              </w:rPr>
              <w:t>474</w:t>
            </w:r>
          </w:p>
        </w:tc>
        <w:tc>
          <w:tcPr>
            <w:tcW w:w="0" w:type="auto"/>
            <w:shd w:val="clear" w:color="auto" w:fill="auto"/>
            <w:noWrap/>
            <w:tcMar>
              <w:top w:w="15" w:type="dxa"/>
              <w:left w:w="15" w:type="dxa"/>
              <w:right w:w="15" w:type="dxa"/>
            </w:tcMar>
            <w:vAlign w:val="bottom"/>
          </w:tcPr>
          <w:p w14:paraId="08490C5E">
            <w:pPr>
              <w:widowControl/>
              <w:ind w:firstLine="400"/>
              <w:textAlignment w:val="bottom"/>
              <w:rPr>
                <w:rFonts w:ascii="Arial" w:hAnsi="Arial" w:cs="Arial"/>
                <w:color w:val="000000"/>
                <w:sz w:val="20"/>
                <w:szCs w:val="20"/>
              </w:rPr>
            </w:pPr>
            <w:r>
              <w:rPr>
                <w:rFonts w:ascii="Arial" w:hAnsi="Arial" w:cs="Arial"/>
                <w:color w:val="000000"/>
                <w:kern w:val="0"/>
                <w:sz w:val="20"/>
                <w:szCs w:val="20"/>
              </w:rPr>
              <w:t>218</w:t>
            </w:r>
          </w:p>
        </w:tc>
        <w:tc>
          <w:tcPr>
            <w:tcW w:w="1012" w:type="dxa"/>
            <w:shd w:val="clear" w:color="auto" w:fill="auto"/>
            <w:noWrap/>
            <w:tcMar>
              <w:top w:w="15" w:type="dxa"/>
              <w:left w:w="15" w:type="dxa"/>
              <w:right w:w="15" w:type="dxa"/>
            </w:tcMar>
            <w:vAlign w:val="bottom"/>
          </w:tcPr>
          <w:p w14:paraId="6DD5AE41">
            <w:pPr>
              <w:widowControl/>
              <w:ind w:firstLine="400"/>
              <w:textAlignment w:val="bottom"/>
              <w:rPr>
                <w:rFonts w:ascii="Arial" w:hAnsi="Arial" w:cs="Arial"/>
                <w:color w:val="000000"/>
                <w:sz w:val="20"/>
                <w:szCs w:val="20"/>
              </w:rPr>
            </w:pPr>
            <w:r>
              <w:rPr>
                <w:rFonts w:ascii="Arial" w:hAnsi="Arial" w:cs="Arial"/>
                <w:color w:val="000000"/>
                <w:kern w:val="0"/>
                <w:sz w:val="20"/>
                <w:szCs w:val="20"/>
              </w:rPr>
              <w:t>218</w:t>
            </w:r>
          </w:p>
        </w:tc>
        <w:tc>
          <w:tcPr>
            <w:tcW w:w="960" w:type="dxa"/>
            <w:shd w:val="clear" w:color="auto" w:fill="auto"/>
            <w:noWrap/>
            <w:tcMar>
              <w:top w:w="15" w:type="dxa"/>
              <w:left w:w="15" w:type="dxa"/>
              <w:right w:w="15" w:type="dxa"/>
            </w:tcMar>
            <w:vAlign w:val="bottom"/>
          </w:tcPr>
          <w:p w14:paraId="3D277F7E">
            <w:pPr>
              <w:widowControl/>
              <w:ind w:firstLine="400"/>
              <w:textAlignment w:val="bottom"/>
              <w:rPr>
                <w:rFonts w:ascii="Arial" w:hAnsi="Arial" w:cs="Arial"/>
                <w:color w:val="000000"/>
                <w:sz w:val="20"/>
                <w:szCs w:val="20"/>
              </w:rPr>
            </w:pPr>
            <w:r>
              <w:rPr>
                <w:rFonts w:ascii="Arial" w:hAnsi="Arial" w:cs="Arial"/>
                <w:color w:val="000000"/>
                <w:kern w:val="0"/>
                <w:sz w:val="20"/>
                <w:szCs w:val="20"/>
              </w:rPr>
              <w:t>691</w:t>
            </w:r>
          </w:p>
        </w:tc>
        <w:tc>
          <w:tcPr>
            <w:tcW w:w="1396" w:type="dxa"/>
            <w:shd w:val="clear" w:color="auto" w:fill="auto"/>
            <w:noWrap/>
            <w:tcMar>
              <w:top w:w="15" w:type="dxa"/>
              <w:left w:w="15" w:type="dxa"/>
              <w:right w:w="15" w:type="dxa"/>
            </w:tcMar>
            <w:vAlign w:val="bottom"/>
          </w:tcPr>
          <w:p w14:paraId="2698E9BB">
            <w:pPr>
              <w:widowControl/>
              <w:ind w:firstLine="400"/>
              <w:textAlignment w:val="bottom"/>
              <w:rPr>
                <w:rFonts w:ascii="Arial" w:hAnsi="Arial" w:cs="Arial"/>
                <w:color w:val="000000"/>
                <w:sz w:val="20"/>
                <w:szCs w:val="20"/>
              </w:rPr>
            </w:pPr>
            <w:r>
              <w:rPr>
                <w:rFonts w:ascii="Arial" w:hAnsi="Arial" w:cs="Arial"/>
                <w:color w:val="000000"/>
                <w:kern w:val="0"/>
                <w:sz w:val="20"/>
                <w:szCs w:val="20"/>
              </w:rPr>
              <w:t>182</w:t>
            </w:r>
          </w:p>
        </w:tc>
        <w:tc>
          <w:tcPr>
            <w:tcW w:w="1199" w:type="dxa"/>
            <w:tcBorders>
              <w:right w:val="nil"/>
            </w:tcBorders>
            <w:shd w:val="clear" w:color="auto" w:fill="auto"/>
            <w:noWrap/>
            <w:tcMar>
              <w:top w:w="15" w:type="dxa"/>
              <w:left w:w="15" w:type="dxa"/>
              <w:right w:w="15" w:type="dxa"/>
            </w:tcMar>
            <w:vAlign w:val="bottom"/>
          </w:tcPr>
          <w:p w14:paraId="44024097">
            <w:pPr>
              <w:widowControl/>
              <w:ind w:firstLine="400"/>
              <w:textAlignment w:val="bottom"/>
              <w:rPr>
                <w:rFonts w:ascii="Arial" w:hAnsi="Arial" w:cs="Arial"/>
                <w:color w:val="000000"/>
                <w:sz w:val="20"/>
                <w:szCs w:val="20"/>
              </w:rPr>
            </w:pPr>
            <w:r>
              <w:rPr>
                <w:rFonts w:ascii="Arial" w:hAnsi="Arial" w:cs="Arial"/>
                <w:color w:val="000000"/>
                <w:kern w:val="0"/>
                <w:sz w:val="20"/>
                <w:szCs w:val="20"/>
              </w:rPr>
              <w:t>29</w:t>
            </w:r>
          </w:p>
        </w:tc>
      </w:tr>
      <w:tr w14:paraId="3380DCBA">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0" w:type="auto"/>
            <w:tcBorders>
              <w:left w:val="nil"/>
            </w:tcBorders>
            <w:shd w:val="clear" w:color="auto" w:fill="auto"/>
            <w:noWrap/>
            <w:tcMar>
              <w:top w:w="15" w:type="dxa"/>
              <w:left w:w="15" w:type="dxa"/>
              <w:right w:w="15" w:type="dxa"/>
            </w:tcMar>
            <w:vAlign w:val="bottom"/>
          </w:tcPr>
          <w:p w14:paraId="69DA14F1">
            <w:pPr>
              <w:ind w:firstLine="400"/>
              <w:rPr>
                <w:rFonts w:ascii="Arial" w:hAnsi="Arial" w:cs="Arial"/>
                <w:color w:val="000000"/>
                <w:sz w:val="20"/>
                <w:szCs w:val="20"/>
              </w:rPr>
            </w:pPr>
          </w:p>
        </w:tc>
        <w:tc>
          <w:tcPr>
            <w:tcW w:w="0" w:type="auto"/>
            <w:shd w:val="clear" w:color="auto" w:fill="auto"/>
            <w:noWrap/>
            <w:tcMar>
              <w:top w:w="15" w:type="dxa"/>
              <w:left w:w="15" w:type="dxa"/>
              <w:right w:w="15" w:type="dxa"/>
            </w:tcMar>
            <w:vAlign w:val="bottom"/>
          </w:tcPr>
          <w:p w14:paraId="5C0F387D">
            <w:pPr>
              <w:ind w:firstLine="400"/>
              <w:rPr>
                <w:rFonts w:ascii="Arial" w:hAnsi="Arial" w:cs="Arial"/>
                <w:color w:val="000000"/>
                <w:sz w:val="20"/>
                <w:szCs w:val="20"/>
              </w:rPr>
            </w:pPr>
          </w:p>
        </w:tc>
        <w:tc>
          <w:tcPr>
            <w:tcW w:w="0" w:type="auto"/>
            <w:shd w:val="clear" w:color="auto" w:fill="auto"/>
            <w:noWrap/>
            <w:tcMar>
              <w:top w:w="15" w:type="dxa"/>
              <w:left w:w="15" w:type="dxa"/>
              <w:right w:w="15" w:type="dxa"/>
            </w:tcMar>
            <w:vAlign w:val="bottom"/>
          </w:tcPr>
          <w:p w14:paraId="6917CEDE">
            <w:pPr>
              <w:ind w:firstLine="400"/>
              <w:rPr>
                <w:rFonts w:ascii="Arial" w:hAnsi="Arial" w:cs="Arial"/>
                <w:color w:val="000000"/>
                <w:sz w:val="20"/>
                <w:szCs w:val="20"/>
              </w:rPr>
            </w:pPr>
          </w:p>
        </w:tc>
        <w:tc>
          <w:tcPr>
            <w:tcW w:w="0" w:type="auto"/>
            <w:shd w:val="clear" w:color="auto" w:fill="auto"/>
            <w:noWrap/>
            <w:tcMar>
              <w:top w:w="15" w:type="dxa"/>
              <w:left w:w="15" w:type="dxa"/>
              <w:right w:w="15" w:type="dxa"/>
            </w:tcMar>
            <w:vAlign w:val="bottom"/>
          </w:tcPr>
          <w:p w14:paraId="2F7C14D7">
            <w:pPr>
              <w:ind w:firstLine="400"/>
              <w:jc w:val="center"/>
              <w:rPr>
                <w:rFonts w:ascii="Arial" w:hAnsi="Arial" w:cs="Arial"/>
                <w:color w:val="000000"/>
                <w:sz w:val="20"/>
                <w:szCs w:val="20"/>
              </w:rPr>
            </w:pPr>
          </w:p>
        </w:tc>
        <w:tc>
          <w:tcPr>
            <w:tcW w:w="0" w:type="auto"/>
            <w:shd w:val="clear" w:color="auto" w:fill="auto"/>
            <w:noWrap/>
            <w:tcMar>
              <w:top w:w="15" w:type="dxa"/>
              <w:left w:w="15" w:type="dxa"/>
              <w:right w:w="15" w:type="dxa"/>
            </w:tcMar>
            <w:vAlign w:val="bottom"/>
          </w:tcPr>
          <w:p w14:paraId="024FD2C7">
            <w:pPr>
              <w:ind w:firstLine="400"/>
              <w:rPr>
                <w:rFonts w:ascii="Arial" w:hAnsi="Arial" w:cs="Arial"/>
                <w:color w:val="000000"/>
                <w:sz w:val="20"/>
                <w:szCs w:val="20"/>
              </w:rPr>
            </w:pPr>
          </w:p>
        </w:tc>
        <w:tc>
          <w:tcPr>
            <w:tcW w:w="1012" w:type="dxa"/>
            <w:shd w:val="clear" w:color="auto" w:fill="auto"/>
            <w:noWrap/>
            <w:tcMar>
              <w:top w:w="15" w:type="dxa"/>
              <w:left w:w="15" w:type="dxa"/>
              <w:right w:w="15" w:type="dxa"/>
            </w:tcMar>
            <w:vAlign w:val="bottom"/>
          </w:tcPr>
          <w:p w14:paraId="483EAB4D">
            <w:pPr>
              <w:ind w:firstLine="400"/>
              <w:rPr>
                <w:rFonts w:ascii="Arial" w:hAnsi="Arial" w:cs="Arial"/>
                <w:color w:val="000000"/>
                <w:sz w:val="20"/>
                <w:szCs w:val="20"/>
              </w:rPr>
            </w:pPr>
          </w:p>
        </w:tc>
        <w:tc>
          <w:tcPr>
            <w:tcW w:w="960" w:type="dxa"/>
            <w:shd w:val="clear" w:color="auto" w:fill="auto"/>
            <w:noWrap/>
            <w:tcMar>
              <w:top w:w="15" w:type="dxa"/>
              <w:left w:w="15" w:type="dxa"/>
              <w:right w:w="15" w:type="dxa"/>
            </w:tcMar>
            <w:vAlign w:val="bottom"/>
          </w:tcPr>
          <w:p w14:paraId="5BA1D7DA">
            <w:pPr>
              <w:ind w:firstLine="400"/>
              <w:rPr>
                <w:rFonts w:ascii="Arial" w:hAnsi="Arial" w:cs="Arial"/>
                <w:color w:val="000000"/>
                <w:sz w:val="20"/>
                <w:szCs w:val="20"/>
              </w:rPr>
            </w:pPr>
          </w:p>
        </w:tc>
        <w:tc>
          <w:tcPr>
            <w:tcW w:w="1396" w:type="dxa"/>
            <w:shd w:val="clear" w:color="auto" w:fill="auto"/>
            <w:noWrap/>
            <w:tcMar>
              <w:top w:w="15" w:type="dxa"/>
              <w:left w:w="15" w:type="dxa"/>
              <w:right w:w="15" w:type="dxa"/>
            </w:tcMar>
            <w:vAlign w:val="bottom"/>
          </w:tcPr>
          <w:p w14:paraId="2EDDD415">
            <w:pPr>
              <w:ind w:firstLine="400"/>
              <w:rPr>
                <w:rFonts w:ascii="Arial" w:hAnsi="Arial" w:cs="Arial"/>
                <w:color w:val="000000"/>
                <w:sz w:val="20"/>
                <w:szCs w:val="20"/>
              </w:rPr>
            </w:pPr>
          </w:p>
        </w:tc>
        <w:tc>
          <w:tcPr>
            <w:tcW w:w="1199" w:type="dxa"/>
            <w:tcBorders>
              <w:right w:val="nil"/>
            </w:tcBorders>
            <w:shd w:val="clear" w:color="auto" w:fill="auto"/>
            <w:noWrap/>
            <w:tcMar>
              <w:top w:w="15" w:type="dxa"/>
              <w:left w:w="15" w:type="dxa"/>
              <w:right w:w="15" w:type="dxa"/>
            </w:tcMar>
            <w:vAlign w:val="bottom"/>
          </w:tcPr>
          <w:p w14:paraId="038964A3">
            <w:pPr>
              <w:ind w:firstLine="400"/>
              <w:rPr>
                <w:rFonts w:ascii="Arial" w:hAnsi="Arial" w:cs="Arial"/>
                <w:color w:val="000000"/>
                <w:sz w:val="20"/>
                <w:szCs w:val="20"/>
              </w:rPr>
            </w:pPr>
          </w:p>
        </w:tc>
      </w:tr>
      <w:tr w14:paraId="69BEDE25">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0" w:type="auto"/>
            <w:tcBorders>
              <w:left w:val="nil"/>
            </w:tcBorders>
            <w:shd w:val="clear" w:color="auto" w:fill="auto"/>
            <w:noWrap/>
            <w:tcMar>
              <w:top w:w="15" w:type="dxa"/>
              <w:left w:w="15" w:type="dxa"/>
              <w:right w:w="15" w:type="dxa"/>
            </w:tcMar>
            <w:vAlign w:val="bottom"/>
          </w:tcPr>
          <w:p w14:paraId="01E47F18">
            <w:pPr>
              <w:ind w:firstLine="400"/>
              <w:rPr>
                <w:rFonts w:ascii="Arial" w:hAnsi="Arial" w:cs="Arial"/>
                <w:color w:val="000000"/>
                <w:sz w:val="20"/>
                <w:szCs w:val="20"/>
              </w:rPr>
            </w:pPr>
          </w:p>
        </w:tc>
        <w:tc>
          <w:tcPr>
            <w:tcW w:w="0" w:type="auto"/>
            <w:shd w:val="clear" w:color="auto" w:fill="auto"/>
            <w:noWrap/>
            <w:tcMar>
              <w:top w:w="15" w:type="dxa"/>
              <w:left w:w="15" w:type="dxa"/>
              <w:right w:w="15" w:type="dxa"/>
            </w:tcMar>
            <w:vAlign w:val="bottom"/>
          </w:tcPr>
          <w:p w14:paraId="59B2FAFD">
            <w:pPr>
              <w:ind w:firstLine="400"/>
              <w:rPr>
                <w:rFonts w:ascii="Arial" w:hAnsi="Arial" w:cs="Arial"/>
                <w:color w:val="000000"/>
                <w:sz w:val="20"/>
                <w:szCs w:val="20"/>
              </w:rPr>
            </w:pPr>
          </w:p>
        </w:tc>
        <w:tc>
          <w:tcPr>
            <w:tcW w:w="0" w:type="auto"/>
            <w:shd w:val="clear" w:color="auto" w:fill="auto"/>
            <w:noWrap/>
            <w:tcMar>
              <w:top w:w="15" w:type="dxa"/>
              <w:left w:w="15" w:type="dxa"/>
              <w:right w:w="15" w:type="dxa"/>
            </w:tcMar>
            <w:vAlign w:val="bottom"/>
          </w:tcPr>
          <w:p w14:paraId="6FC4DFB4">
            <w:pPr>
              <w:ind w:firstLine="400"/>
              <w:rPr>
                <w:rFonts w:ascii="Arial" w:hAnsi="Arial" w:cs="Arial"/>
                <w:color w:val="000000"/>
                <w:sz w:val="20"/>
                <w:szCs w:val="20"/>
              </w:rPr>
            </w:pPr>
          </w:p>
        </w:tc>
        <w:tc>
          <w:tcPr>
            <w:tcW w:w="0" w:type="auto"/>
            <w:shd w:val="clear" w:color="auto" w:fill="auto"/>
            <w:noWrap/>
            <w:tcMar>
              <w:top w:w="15" w:type="dxa"/>
              <w:left w:w="15" w:type="dxa"/>
              <w:right w:w="15" w:type="dxa"/>
            </w:tcMar>
            <w:vAlign w:val="bottom"/>
          </w:tcPr>
          <w:p w14:paraId="5CF891F8">
            <w:pPr>
              <w:ind w:firstLine="400"/>
              <w:jc w:val="center"/>
              <w:rPr>
                <w:rFonts w:ascii="Arial" w:hAnsi="Arial" w:cs="Arial"/>
                <w:color w:val="000000"/>
                <w:sz w:val="20"/>
                <w:szCs w:val="20"/>
              </w:rPr>
            </w:pPr>
          </w:p>
        </w:tc>
        <w:tc>
          <w:tcPr>
            <w:tcW w:w="0" w:type="auto"/>
            <w:shd w:val="clear" w:color="auto" w:fill="auto"/>
            <w:noWrap/>
            <w:tcMar>
              <w:top w:w="15" w:type="dxa"/>
              <w:left w:w="15" w:type="dxa"/>
              <w:right w:w="15" w:type="dxa"/>
            </w:tcMar>
            <w:vAlign w:val="bottom"/>
          </w:tcPr>
          <w:p w14:paraId="146370B0">
            <w:pPr>
              <w:ind w:firstLine="400"/>
              <w:rPr>
                <w:rFonts w:ascii="Arial" w:hAnsi="Arial" w:cs="Arial"/>
                <w:color w:val="000000"/>
                <w:sz w:val="20"/>
                <w:szCs w:val="20"/>
              </w:rPr>
            </w:pPr>
          </w:p>
        </w:tc>
        <w:tc>
          <w:tcPr>
            <w:tcW w:w="1012" w:type="dxa"/>
            <w:shd w:val="clear" w:color="auto" w:fill="auto"/>
            <w:noWrap/>
            <w:tcMar>
              <w:top w:w="15" w:type="dxa"/>
              <w:left w:w="15" w:type="dxa"/>
              <w:right w:w="15" w:type="dxa"/>
            </w:tcMar>
            <w:vAlign w:val="bottom"/>
          </w:tcPr>
          <w:p w14:paraId="6CCBB00F">
            <w:pPr>
              <w:ind w:firstLine="400"/>
              <w:rPr>
                <w:rFonts w:ascii="Arial" w:hAnsi="Arial" w:cs="Arial"/>
                <w:color w:val="000000"/>
                <w:sz w:val="20"/>
                <w:szCs w:val="20"/>
              </w:rPr>
            </w:pPr>
          </w:p>
        </w:tc>
        <w:tc>
          <w:tcPr>
            <w:tcW w:w="960" w:type="dxa"/>
            <w:shd w:val="clear" w:color="auto" w:fill="auto"/>
            <w:noWrap/>
            <w:tcMar>
              <w:top w:w="15" w:type="dxa"/>
              <w:left w:w="15" w:type="dxa"/>
              <w:right w:w="15" w:type="dxa"/>
            </w:tcMar>
            <w:vAlign w:val="bottom"/>
          </w:tcPr>
          <w:p w14:paraId="33BA7CF3">
            <w:pPr>
              <w:ind w:firstLine="400"/>
              <w:rPr>
                <w:rFonts w:ascii="Arial" w:hAnsi="Arial" w:cs="Arial"/>
                <w:color w:val="000000"/>
                <w:sz w:val="20"/>
                <w:szCs w:val="20"/>
              </w:rPr>
            </w:pPr>
          </w:p>
        </w:tc>
        <w:tc>
          <w:tcPr>
            <w:tcW w:w="1396" w:type="dxa"/>
            <w:shd w:val="clear" w:color="auto" w:fill="auto"/>
            <w:noWrap/>
            <w:tcMar>
              <w:top w:w="15" w:type="dxa"/>
              <w:left w:w="15" w:type="dxa"/>
              <w:right w:w="15" w:type="dxa"/>
            </w:tcMar>
            <w:vAlign w:val="bottom"/>
          </w:tcPr>
          <w:p w14:paraId="31878EF9">
            <w:pPr>
              <w:ind w:firstLine="400"/>
              <w:rPr>
                <w:rFonts w:ascii="Arial" w:hAnsi="Arial" w:cs="Arial"/>
                <w:color w:val="000000"/>
                <w:sz w:val="20"/>
                <w:szCs w:val="20"/>
              </w:rPr>
            </w:pPr>
          </w:p>
        </w:tc>
        <w:tc>
          <w:tcPr>
            <w:tcW w:w="1199" w:type="dxa"/>
            <w:tcBorders>
              <w:right w:val="nil"/>
            </w:tcBorders>
            <w:shd w:val="clear" w:color="auto" w:fill="auto"/>
            <w:noWrap/>
            <w:tcMar>
              <w:top w:w="15" w:type="dxa"/>
              <w:left w:w="15" w:type="dxa"/>
              <w:right w:w="15" w:type="dxa"/>
            </w:tcMar>
            <w:vAlign w:val="bottom"/>
          </w:tcPr>
          <w:p w14:paraId="2ACD10A7">
            <w:pPr>
              <w:ind w:firstLine="400"/>
              <w:rPr>
                <w:rFonts w:ascii="Arial" w:hAnsi="Arial" w:cs="Arial"/>
                <w:color w:val="000000"/>
                <w:sz w:val="20"/>
                <w:szCs w:val="20"/>
              </w:rPr>
            </w:pPr>
          </w:p>
        </w:tc>
      </w:tr>
      <w:tr w14:paraId="7C5C107D">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0" w:type="auto"/>
            <w:tcBorders>
              <w:left w:val="nil"/>
            </w:tcBorders>
            <w:shd w:val="clear" w:color="auto" w:fill="auto"/>
            <w:noWrap/>
            <w:tcMar>
              <w:top w:w="15" w:type="dxa"/>
              <w:left w:w="15" w:type="dxa"/>
              <w:right w:w="15" w:type="dxa"/>
            </w:tcMar>
            <w:vAlign w:val="bottom"/>
          </w:tcPr>
          <w:p w14:paraId="61AC62E6">
            <w:pPr>
              <w:ind w:firstLine="400"/>
              <w:rPr>
                <w:rFonts w:ascii="Arial" w:hAnsi="Arial" w:cs="Arial"/>
                <w:color w:val="000000"/>
                <w:sz w:val="20"/>
                <w:szCs w:val="20"/>
              </w:rPr>
            </w:pPr>
          </w:p>
        </w:tc>
        <w:tc>
          <w:tcPr>
            <w:tcW w:w="0" w:type="auto"/>
            <w:shd w:val="clear" w:color="auto" w:fill="auto"/>
            <w:noWrap/>
            <w:tcMar>
              <w:top w:w="15" w:type="dxa"/>
              <w:left w:w="15" w:type="dxa"/>
              <w:right w:w="15" w:type="dxa"/>
            </w:tcMar>
            <w:vAlign w:val="bottom"/>
          </w:tcPr>
          <w:p w14:paraId="2FEE1F7E">
            <w:pPr>
              <w:ind w:firstLine="400"/>
              <w:rPr>
                <w:rFonts w:ascii="Arial" w:hAnsi="Arial" w:cs="Arial"/>
                <w:color w:val="000000"/>
                <w:sz w:val="20"/>
                <w:szCs w:val="20"/>
              </w:rPr>
            </w:pPr>
          </w:p>
        </w:tc>
        <w:tc>
          <w:tcPr>
            <w:tcW w:w="0" w:type="auto"/>
            <w:shd w:val="clear" w:color="auto" w:fill="auto"/>
            <w:noWrap/>
            <w:tcMar>
              <w:top w:w="15" w:type="dxa"/>
              <w:left w:w="15" w:type="dxa"/>
              <w:right w:w="15" w:type="dxa"/>
            </w:tcMar>
            <w:vAlign w:val="bottom"/>
          </w:tcPr>
          <w:p w14:paraId="100E0F67">
            <w:pPr>
              <w:ind w:firstLine="400"/>
              <w:rPr>
                <w:rFonts w:ascii="Arial" w:hAnsi="Arial" w:cs="Arial"/>
                <w:color w:val="000000"/>
                <w:sz w:val="20"/>
                <w:szCs w:val="20"/>
              </w:rPr>
            </w:pPr>
          </w:p>
        </w:tc>
        <w:tc>
          <w:tcPr>
            <w:tcW w:w="0" w:type="auto"/>
            <w:shd w:val="clear" w:color="auto" w:fill="auto"/>
            <w:noWrap/>
            <w:tcMar>
              <w:top w:w="15" w:type="dxa"/>
              <w:left w:w="15" w:type="dxa"/>
              <w:right w:w="15" w:type="dxa"/>
            </w:tcMar>
            <w:vAlign w:val="bottom"/>
          </w:tcPr>
          <w:p w14:paraId="23DDA3DC">
            <w:pPr>
              <w:ind w:firstLine="400"/>
              <w:jc w:val="center"/>
              <w:rPr>
                <w:rFonts w:ascii="Arial" w:hAnsi="Arial" w:cs="Arial"/>
                <w:color w:val="000000"/>
                <w:sz w:val="20"/>
                <w:szCs w:val="20"/>
              </w:rPr>
            </w:pPr>
          </w:p>
        </w:tc>
        <w:tc>
          <w:tcPr>
            <w:tcW w:w="0" w:type="auto"/>
            <w:shd w:val="clear" w:color="auto" w:fill="auto"/>
            <w:noWrap/>
            <w:tcMar>
              <w:top w:w="15" w:type="dxa"/>
              <w:left w:w="15" w:type="dxa"/>
              <w:right w:w="15" w:type="dxa"/>
            </w:tcMar>
            <w:vAlign w:val="bottom"/>
          </w:tcPr>
          <w:p w14:paraId="32C230B8">
            <w:pPr>
              <w:ind w:firstLine="400"/>
              <w:rPr>
                <w:rFonts w:ascii="Arial" w:hAnsi="Arial" w:cs="Arial"/>
                <w:color w:val="000000"/>
                <w:sz w:val="20"/>
                <w:szCs w:val="20"/>
              </w:rPr>
            </w:pPr>
          </w:p>
        </w:tc>
        <w:tc>
          <w:tcPr>
            <w:tcW w:w="1012" w:type="dxa"/>
            <w:shd w:val="clear" w:color="auto" w:fill="auto"/>
            <w:noWrap/>
            <w:tcMar>
              <w:top w:w="15" w:type="dxa"/>
              <w:left w:w="15" w:type="dxa"/>
              <w:right w:w="15" w:type="dxa"/>
            </w:tcMar>
            <w:vAlign w:val="bottom"/>
          </w:tcPr>
          <w:p w14:paraId="63F03E99">
            <w:pPr>
              <w:ind w:firstLine="400"/>
              <w:rPr>
                <w:rFonts w:ascii="Arial" w:hAnsi="Arial" w:cs="Arial"/>
                <w:color w:val="000000"/>
                <w:sz w:val="20"/>
                <w:szCs w:val="20"/>
              </w:rPr>
            </w:pPr>
          </w:p>
        </w:tc>
        <w:tc>
          <w:tcPr>
            <w:tcW w:w="960" w:type="dxa"/>
            <w:shd w:val="clear" w:color="auto" w:fill="auto"/>
            <w:noWrap/>
            <w:tcMar>
              <w:top w:w="15" w:type="dxa"/>
              <w:left w:w="15" w:type="dxa"/>
              <w:right w:w="15" w:type="dxa"/>
            </w:tcMar>
            <w:vAlign w:val="bottom"/>
          </w:tcPr>
          <w:p w14:paraId="7327B2E9">
            <w:pPr>
              <w:ind w:firstLine="400"/>
              <w:rPr>
                <w:rFonts w:ascii="Arial" w:hAnsi="Arial" w:cs="Arial"/>
                <w:color w:val="000000"/>
                <w:sz w:val="20"/>
                <w:szCs w:val="20"/>
              </w:rPr>
            </w:pPr>
          </w:p>
        </w:tc>
        <w:tc>
          <w:tcPr>
            <w:tcW w:w="1396" w:type="dxa"/>
            <w:shd w:val="clear" w:color="auto" w:fill="auto"/>
            <w:noWrap/>
            <w:tcMar>
              <w:top w:w="15" w:type="dxa"/>
              <w:left w:w="15" w:type="dxa"/>
              <w:right w:w="15" w:type="dxa"/>
            </w:tcMar>
            <w:vAlign w:val="bottom"/>
          </w:tcPr>
          <w:p w14:paraId="1BC6A1C7">
            <w:pPr>
              <w:ind w:firstLine="400"/>
              <w:rPr>
                <w:rFonts w:ascii="Arial" w:hAnsi="Arial" w:cs="Arial"/>
                <w:color w:val="000000"/>
                <w:sz w:val="20"/>
                <w:szCs w:val="20"/>
              </w:rPr>
            </w:pPr>
          </w:p>
        </w:tc>
        <w:tc>
          <w:tcPr>
            <w:tcW w:w="1199" w:type="dxa"/>
            <w:tcBorders>
              <w:right w:val="nil"/>
            </w:tcBorders>
            <w:shd w:val="clear" w:color="auto" w:fill="auto"/>
            <w:noWrap/>
            <w:tcMar>
              <w:top w:w="15" w:type="dxa"/>
              <w:left w:w="15" w:type="dxa"/>
              <w:right w:w="15" w:type="dxa"/>
            </w:tcMar>
            <w:vAlign w:val="bottom"/>
          </w:tcPr>
          <w:p w14:paraId="209169D4">
            <w:pPr>
              <w:ind w:firstLine="400"/>
              <w:rPr>
                <w:rFonts w:ascii="Arial" w:hAnsi="Arial" w:cs="Arial"/>
                <w:color w:val="000000"/>
                <w:sz w:val="20"/>
                <w:szCs w:val="20"/>
              </w:rPr>
            </w:pPr>
          </w:p>
        </w:tc>
      </w:tr>
      <w:tr w14:paraId="1E150C09">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0" w:type="auto"/>
            <w:tcBorders>
              <w:left w:val="nil"/>
            </w:tcBorders>
            <w:shd w:val="clear" w:color="auto" w:fill="auto"/>
            <w:noWrap/>
            <w:tcMar>
              <w:top w:w="15" w:type="dxa"/>
              <w:left w:w="15" w:type="dxa"/>
              <w:right w:w="15" w:type="dxa"/>
            </w:tcMar>
            <w:vAlign w:val="bottom"/>
          </w:tcPr>
          <w:p w14:paraId="35AB439B">
            <w:pPr>
              <w:ind w:firstLine="400"/>
              <w:rPr>
                <w:rFonts w:ascii="Arial" w:hAnsi="Arial" w:cs="Arial"/>
                <w:color w:val="000000"/>
                <w:sz w:val="20"/>
                <w:szCs w:val="20"/>
              </w:rPr>
            </w:pPr>
          </w:p>
        </w:tc>
        <w:tc>
          <w:tcPr>
            <w:tcW w:w="0" w:type="auto"/>
            <w:shd w:val="clear" w:color="auto" w:fill="auto"/>
            <w:noWrap/>
            <w:tcMar>
              <w:top w:w="15" w:type="dxa"/>
              <w:left w:w="15" w:type="dxa"/>
              <w:right w:w="15" w:type="dxa"/>
            </w:tcMar>
            <w:vAlign w:val="bottom"/>
          </w:tcPr>
          <w:p w14:paraId="6E458AB6">
            <w:pPr>
              <w:ind w:firstLine="400"/>
              <w:rPr>
                <w:rFonts w:ascii="Arial" w:hAnsi="Arial" w:cs="Arial"/>
                <w:color w:val="000000"/>
                <w:sz w:val="20"/>
                <w:szCs w:val="20"/>
              </w:rPr>
            </w:pPr>
          </w:p>
        </w:tc>
        <w:tc>
          <w:tcPr>
            <w:tcW w:w="0" w:type="auto"/>
            <w:shd w:val="clear" w:color="auto" w:fill="auto"/>
            <w:noWrap/>
            <w:tcMar>
              <w:top w:w="15" w:type="dxa"/>
              <w:left w:w="15" w:type="dxa"/>
              <w:right w:w="15" w:type="dxa"/>
            </w:tcMar>
            <w:vAlign w:val="bottom"/>
          </w:tcPr>
          <w:p w14:paraId="3A0E6626">
            <w:pPr>
              <w:ind w:firstLine="400"/>
              <w:rPr>
                <w:rFonts w:ascii="Arial" w:hAnsi="Arial" w:cs="Arial"/>
                <w:color w:val="000000"/>
                <w:sz w:val="20"/>
                <w:szCs w:val="20"/>
              </w:rPr>
            </w:pPr>
          </w:p>
        </w:tc>
        <w:tc>
          <w:tcPr>
            <w:tcW w:w="0" w:type="auto"/>
            <w:shd w:val="clear" w:color="auto" w:fill="auto"/>
            <w:noWrap/>
            <w:tcMar>
              <w:top w:w="15" w:type="dxa"/>
              <w:left w:w="15" w:type="dxa"/>
              <w:right w:w="15" w:type="dxa"/>
            </w:tcMar>
            <w:vAlign w:val="bottom"/>
          </w:tcPr>
          <w:p w14:paraId="757CFA69">
            <w:pPr>
              <w:ind w:firstLine="400"/>
              <w:jc w:val="center"/>
              <w:rPr>
                <w:rFonts w:ascii="Arial" w:hAnsi="Arial" w:cs="Arial"/>
                <w:color w:val="000000"/>
                <w:sz w:val="20"/>
                <w:szCs w:val="20"/>
              </w:rPr>
            </w:pPr>
          </w:p>
        </w:tc>
        <w:tc>
          <w:tcPr>
            <w:tcW w:w="0" w:type="auto"/>
            <w:shd w:val="clear" w:color="auto" w:fill="auto"/>
            <w:noWrap/>
            <w:tcMar>
              <w:top w:w="15" w:type="dxa"/>
              <w:left w:w="15" w:type="dxa"/>
              <w:right w:w="15" w:type="dxa"/>
            </w:tcMar>
            <w:vAlign w:val="bottom"/>
          </w:tcPr>
          <w:p w14:paraId="57EC2FEE">
            <w:pPr>
              <w:ind w:firstLine="400"/>
              <w:rPr>
                <w:rFonts w:ascii="Arial" w:hAnsi="Arial" w:cs="Arial"/>
                <w:color w:val="000000"/>
                <w:sz w:val="20"/>
                <w:szCs w:val="20"/>
              </w:rPr>
            </w:pPr>
          </w:p>
        </w:tc>
        <w:tc>
          <w:tcPr>
            <w:tcW w:w="1012" w:type="dxa"/>
            <w:shd w:val="clear" w:color="auto" w:fill="auto"/>
            <w:noWrap/>
            <w:tcMar>
              <w:top w:w="15" w:type="dxa"/>
              <w:left w:w="15" w:type="dxa"/>
              <w:right w:w="15" w:type="dxa"/>
            </w:tcMar>
            <w:vAlign w:val="bottom"/>
          </w:tcPr>
          <w:p w14:paraId="5AC7BBE5">
            <w:pPr>
              <w:ind w:firstLine="400"/>
              <w:rPr>
                <w:rFonts w:ascii="Arial" w:hAnsi="Arial" w:cs="Arial"/>
                <w:color w:val="000000"/>
                <w:sz w:val="20"/>
                <w:szCs w:val="20"/>
              </w:rPr>
            </w:pPr>
          </w:p>
        </w:tc>
        <w:tc>
          <w:tcPr>
            <w:tcW w:w="960" w:type="dxa"/>
            <w:shd w:val="clear" w:color="auto" w:fill="auto"/>
            <w:noWrap/>
            <w:tcMar>
              <w:top w:w="15" w:type="dxa"/>
              <w:left w:w="15" w:type="dxa"/>
              <w:right w:w="15" w:type="dxa"/>
            </w:tcMar>
            <w:vAlign w:val="bottom"/>
          </w:tcPr>
          <w:p w14:paraId="03E2B602">
            <w:pPr>
              <w:ind w:firstLine="400"/>
              <w:rPr>
                <w:rFonts w:ascii="Arial" w:hAnsi="Arial" w:cs="Arial"/>
                <w:color w:val="000000"/>
                <w:sz w:val="20"/>
                <w:szCs w:val="20"/>
              </w:rPr>
            </w:pPr>
          </w:p>
        </w:tc>
        <w:tc>
          <w:tcPr>
            <w:tcW w:w="1396" w:type="dxa"/>
            <w:shd w:val="clear" w:color="auto" w:fill="auto"/>
            <w:noWrap/>
            <w:tcMar>
              <w:top w:w="15" w:type="dxa"/>
              <w:left w:w="15" w:type="dxa"/>
              <w:right w:w="15" w:type="dxa"/>
            </w:tcMar>
            <w:vAlign w:val="bottom"/>
          </w:tcPr>
          <w:p w14:paraId="524C1DF0">
            <w:pPr>
              <w:ind w:firstLine="400"/>
              <w:rPr>
                <w:rFonts w:ascii="Arial" w:hAnsi="Arial" w:cs="Arial"/>
                <w:color w:val="000000"/>
                <w:sz w:val="20"/>
                <w:szCs w:val="20"/>
              </w:rPr>
            </w:pPr>
          </w:p>
        </w:tc>
        <w:tc>
          <w:tcPr>
            <w:tcW w:w="1199" w:type="dxa"/>
            <w:tcBorders>
              <w:right w:val="nil"/>
            </w:tcBorders>
            <w:shd w:val="clear" w:color="auto" w:fill="auto"/>
            <w:noWrap/>
            <w:tcMar>
              <w:top w:w="15" w:type="dxa"/>
              <w:left w:w="15" w:type="dxa"/>
              <w:right w:w="15" w:type="dxa"/>
            </w:tcMar>
            <w:vAlign w:val="bottom"/>
          </w:tcPr>
          <w:p w14:paraId="200EB379">
            <w:pPr>
              <w:ind w:firstLine="400"/>
              <w:rPr>
                <w:rFonts w:ascii="Arial" w:hAnsi="Arial" w:cs="Arial"/>
                <w:color w:val="000000"/>
                <w:sz w:val="20"/>
                <w:szCs w:val="20"/>
              </w:rPr>
            </w:pPr>
          </w:p>
        </w:tc>
      </w:tr>
      <w:tr w14:paraId="073FB299">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0" w:type="auto"/>
            <w:tcBorders>
              <w:left w:val="nil"/>
            </w:tcBorders>
            <w:shd w:val="clear" w:color="auto" w:fill="auto"/>
            <w:noWrap/>
            <w:tcMar>
              <w:top w:w="15" w:type="dxa"/>
              <w:left w:w="15" w:type="dxa"/>
              <w:right w:w="15" w:type="dxa"/>
            </w:tcMar>
            <w:vAlign w:val="bottom"/>
          </w:tcPr>
          <w:p w14:paraId="281F3339">
            <w:pPr>
              <w:ind w:firstLine="400"/>
              <w:rPr>
                <w:rFonts w:ascii="Arial" w:hAnsi="Arial" w:cs="Arial"/>
                <w:color w:val="000000"/>
                <w:sz w:val="20"/>
                <w:szCs w:val="20"/>
              </w:rPr>
            </w:pPr>
          </w:p>
        </w:tc>
        <w:tc>
          <w:tcPr>
            <w:tcW w:w="0" w:type="auto"/>
            <w:shd w:val="clear" w:color="auto" w:fill="auto"/>
            <w:noWrap/>
            <w:tcMar>
              <w:top w:w="15" w:type="dxa"/>
              <w:left w:w="15" w:type="dxa"/>
              <w:right w:w="15" w:type="dxa"/>
            </w:tcMar>
            <w:vAlign w:val="bottom"/>
          </w:tcPr>
          <w:p w14:paraId="5D7F44E9">
            <w:pPr>
              <w:ind w:firstLine="400"/>
              <w:rPr>
                <w:rFonts w:ascii="Arial" w:hAnsi="Arial" w:cs="Arial"/>
                <w:color w:val="000000"/>
                <w:sz w:val="20"/>
                <w:szCs w:val="20"/>
              </w:rPr>
            </w:pPr>
          </w:p>
        </w:tc>
        <w:tc>
          <w:tcPr>
            <w:tcW w:w="0" w:type="auto"/>
            <w:shd w:val="clear" w:color="auto" w:fill="auto"/>
            <w:noWrap/>
            <w:tcMar>
              <w:top w:w="15" w:type="dxa"/>
              <w:left w:w="15" w:type="dxa"/>
              <w:right w:w="15" w:type="dxa"/>
            </w:tcMar>
            <w:vAlign w:val="bottom"/>
          </w:tcPr>
          <w:p w14:paraId="4DB466BF">
            <w:pPr>
              <w:ind w:firstLine="400"/>
              <w:rPr>
                <w:rFonts w:ascii="Arial" w:hAnsi="Arial" w:cs="Arial"/>
                <w:color w:val="000000"/>
                <w:sz w:val="20"/>
                <w:szCs w:val="20"/>
              </w:rPr>
            </w:pPr>
          </w:p>
        </w:tc>
        <w:tc>
          <w:tcPr>
            <w:tcW w:w="0" w:type="auto"/>
            <w:shd w:val="clear" w:color="auto" w:fill="auto"/>
            <w:noWrap/>
            <w:tcMar>
              <w:top w:w="15" w:type="dxa"/>
              <w:left w:w="15" w:type="dxa"/>
              <w:right w:w="15" w:type="dxa"/>
            </w:tcMar>
            <w:vAlign w:val="bottom"/>
          </w:tcPr>
          <w:p w14:paraId="57754C0A">
            <w:pPr>
              <w:ind w:firstLine="400"/>
              <w:jc w:val="center"/>
              <w:rPr>
                <w:rFonts w:ascii="Arial" w:hAnsi="Arial" w:cs="Arial"/>
                <w:color w:val="000000"/>
                <w:sz w:val="20"/>
                <w:szCs w:val="20"/>
              </w:rPr>
            </w:pPr>
          </w:p>
        </w:tc>
        <w:tc>
          <w:tcPr>
            <w:tcW w:w="0" w:type="auto"/>
            <w:shd w:val="clear" w:color="auto" w:fill="auto"/>
            <w:noWrap/>
            <w:tcMar>
              <w:top w:w="15" w:type="dxa"/>
              <w:left w:w="15" w:type="dxa"/>
              <w:right w:w="15" w:type="dxa"/>
            </w:tcMar>
            <w:vAlign w:val="bottom"/>
          </w:tcPr>
          <w:p w14:paraId="24D72904">
            <w:pPr>
              <w:ind w:firstLine="400"/>
              <w:rPr>
                <w:rFonts w:ascii="Arial" w:hAnsi="Arial" w:cs="Arial"/>
                <w:color w:val="000000"/>
                <w:sz w:val="20"/>
                <w:szCs w:val="20"/>
              </w:rPr>
            </w:pPr>
          </w:p>
        </w:tc>
        <w:tc>
          <w:tcPr>
            <w:tcW w:w="1012" w:type="dxa"/>
            <w:shd w:val="clear" w:color="auto" w:fill="auto"/>
            <w:noWrap/>
            <w:tcMar>
              <w:top w:w="15" w:type="dxa"/>
              <w:left w:w="15" w:type="dxa"/>
              <w:right w:w="15" w:type="dxa"/>
            </w:tcMar>
            <w:vAlign w:val="bottom"/>
          </w:tcPr>
          <w:p w14:paraId="3F3379DD">
            <w:pPr>
              <w:ind w:firstLine="400"/>
              <w:rPr>
                <w:rFonts w:ascii="Arial" w:hAnsi="Arial" w:cs="Arial"/>
                <w:color w:val="000000"/>
                <w:sz w:val="20"/>
                <w:szCs w:val="20"/>
              </w:rPr>
            </w:pPr>
          </w:p>
        </w:tc>
        <w:tc>
          <w:tcPr>
            <w:tcW w:w="960" w:type="dxa"/>
            <w:shd w:val="clear" w:color="auto" w:fill="auto"/>
            <w:noWrap/>
            <w:tcMar>
              <w:top w:w="15" w:type="dxa"/>
              <w:left w:w="15" w:type="dxa"/>
              <w:right w:w="15" w:type="dxa"/>
            </w:tcMar>
            <w:vAlign w:val="bottom"/>
          </w:tcPr>
          <w:p w14:paraId="04672EAF">
            <w:pPr>
              <w:ind w:firstLine="400"/>
              <w:rPr>
                <w:rFonts w:ascii="Arial" w:hAnsi="Arial" w:cs="Arial"/>
                <w:color w:val="000000"/>
                <w:sz w:val="20"/>
                <w:szCs w:val="20"/>
              </w:rPr>
            </w:pPr>
          </w:p>
        </w:tc>
        <w:tc>
          <w:tcPr>
            <w:tcW w:w="1396" w:type="dxa"/>
            <w:shd w:val="clear" w:color="auto" w:fill="auto"/>
            <w:noWrap/>
            <w:tcMar>
              <w:top w:w="15" w:type="dxa"/>
              <w:left w:w="15" w:type="dxa"/>
              <w:right w:w="15" w:type="dxa"/>
            </w:tcMar>
            <w:vAlign w:val="bottom"/>
          </w:tcPr>
          <w:p w14:paraId="37E0A9CD">
            <w:pPr>
              <w:ind w:firstLine="400"/>
              <w:rPr>
                <w:rFonts w:ascii="Arial" w:hAnsi="Arial" w:cs="Arial"/>
                <w:color w:val="000000"/>
                <w:sz w:val="20"/>
                <w:szCs w:val="20"/>
              </w:rPr>
            </w:pPr>
          </w:p>
        </w:tc>
        <w:tc>
          <w:tcPr>
            <w:tcW w:w="1199" w:type="dxa"/>
            <w:tcBorders>
              <w:right w:val="nil"/>
            </w:tcBorders>
            <w:shd w:val="clear" w:color="auto" w:fill="auto"/>
            <w:noWrap/>
            <w:tcMar>
              <w:top w:w="15" w:type="dxa"/>
              <w:left w:w="15" w:type="dxa"/>
              <w:right w:w="15" w:type="dxa"/>
            </w:tcMar>
            <w:vAlign w:val="bottom"/>
          </w:tcPr>
          <w:p w14:paraId="06B27FD3">
            <w:pPr>
              <w:ind w:firstLine="400"/>
              <w:rPr>
                <w:rFonts w:ascii="Arial" w:hAnsi="Arial" w:cs="Arial"/>
                <w:color w:val="000000"/>
                <w:sz w:val="20"/>
                <w:szCs w:val="20"/>
              </w:rPr>
            </w:pPr>
          </w:p>
        </w:tc>
      </w:tr>
      <w:tr w14:paraId="5B3AE5C6">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0" w:type="auto"/>
            <w:tcBorders>
              <w:left w:val="nil"/>
            </w:tcBorders>
            <w:shd w:val="clear" w:color="auto" w:fill="auto"/>
            <w:noWrap/>
            <w:tcMar>
              <w:top w:w="15" w:type="dxa"/>
              <w:left w:w="15" w:type="dxa"/>
              <w:right w:w="15" w:type="dxa"/>
            </w:tcMar>
            <w:vAlign w:val="bottom"/>
          </w:tcPr>
          <w:p w14:paraId="108E2C26">
            <w:pPr>
              <w:ind w:firstLine="400"/>
              <w:rPr>
                <w:rFonts w:ascii="Arial" w:hAnsi="Arial" w:cs="Arial"/>
                <w:color w:val="000000"/>
                <w:sz w:val="20"/>
                <w:szCs w:val="20"/>
              </w:rPr>
            </w:pPr>
          </w:p>
        </w:tc>
        <w:tc>
          <w:tcPr>
            <w:tcW w:w="0" w:type="auto"/>
            <w:shd w:val="clear" w:color="auto" w:fill="auto"/>
            <w:noWrap/>
            <w:tcMar>
              <w:top w:w="15" w:type="dxa"/>
              <w:left w:w="15" w:type="dxa"/>
              <w:right w:w="15" w:type="dxa"/>
            </w:tcMar>
            <w:vAlign w:val="bottom"/>
          </w:tcPr>
          <w:p w14:paraId="20A0BCC0">
            <w:pPr>
              <w:ind w:firstLine="400"/>
              <w:rPr>
                <w:rFonts w:ascii="Arial" w:hAnsi="Arial" w:cs="Arial"/>
                <w:color w:val="000000"/>
                <w:sz w:val="20"/>
                <w:szCs w:val="20"/>
              </w:rPr>
            </w:pPr>
          </w:p>
        </w:tc>
        <w:tc>
          <w:tcPr>
            <w:tcW w:w="0" w:type="auto"/>
            <w:shd w:val="clear" w:color="auto" w:fill="auto"/>
            <w:noWrap/>
            <w:tcMar>
              <w:top w:w="15" w:type="dxa"/>
              <w:left w:w="15" w:type="dxa"/>
              <w:right w:w="15" w:type="dxa"/>
            </w:tcMar>
            <w:vAlign w:val="bottom"/>
          </w:tcPr>
          <w:p w14:paraId="03B6FC09">
            <w:pPr>
              <w:ind w:firstLine="400"/>
              <w:rPr>
                <w:rFonts w:ascii="Arial" w:hAnsi="Arial" w:cs="Arial"/>
                <w:color w:val="000000"/>
                <w:sz w:val="20"/>
                <w:szCs w:val="20"/>
              </w:rPr>
            </w:pPr>
          </w:p>
        </w:tc>
        <w:tc>
          <w:tcPr>
            <w:tcW w:w="0" w:type="auto"/>
            <w:shd w:val="clear" w:color="auto" w:fill="auto"/>
            <w:noWrap/>
            <w:tcMar>
              <w:top w:w="15" w:type="dxa"/>
              <w:left w:w="15" w:type="dxa"/>
              <w:right w:w="15" w:type="dxa"/>
            </w:tcMar>
            <w:vAlign w:val="bottom"/>
          </w:tcPr>
          <w:p w14:paraId="493D4A72">
            <w:pPr>
              <w:ind w:firstLine="400"/>
              <w:jc w:val="center"/>
              <w:rPr>
                <w:rFonts w:ascii="Arial" w:hAnsi="Arial" w:cs="Arial"/>
                <w:color w:val="000000"/>
                <w:sz w:val="20"/>
                <w:szCs w:val="20"/>
              </w:rPr>
            </w:pPr>
          </w:p>
        </w:tc>
        <w:tc>
          <w:tcPr>
            <w:tcW w:w="0" w:type="auto"/>
            <w:shd w:val="clear" w:color="auto" w:fill="auto"/>
            <w:noWrap/>
            <w:tcMar>
              <w:top w:w="15" w:type="dxa"/>
              <w:left w:w="15" w:type="dxa"/>
              <w:right w:w="15" w:type="dxa"/>
            </w:tcMar>
            <w:vAlign w:val="bottom"/>
          </w:tcPr>
          <w:p w14:paraId="77980A58">
            <w:pPr>
              <w:ind w:firstLine="400"/>
              <w:rPr>
                <w:rFonts w:ascii="Arial" w:hAnsi="Arial" w:cs="Arial"/>
                <w:color w:val="000000"/>
                <w:sz w:val="20"/>
                <w:szCs w:val="20"/>
              </w:rPr>
            </w:pPr>
          </w:p>
        </w:tc>
        <w:tc>
          <w:tcPr>
            <w:tcW w:w="1012" w:type="dxa"/>
            <w:shd w:val="clear" w:color="auto" w:fill="auto"/>
            <w:noWrap/>
            <w:tcMar>
              <w:top w:w="15" w:type="dxa"/>
              <w:left w:w="15" w:type="dxa"/>
              <w:right w:w="15" w:type="dxa"/>
            </w:tcMar>
            <w:vAlign w:val="bottom"/>
          </w:tcPr>
          <w:p w14:paraId="76DD4222">
            <w:pPr>
              <w:ind w:firstLine="400"/>
              <w:rPr>
                <w:rFonts w:ascii="Arial" w:hAnsi="Arial" w:cs="Arial"/>
                <w:color w:val="000000"/>
                <w:sz w:val="20"/>
                <w:szCs w:val="20"/>
              </w:rPr>
            </w:pPr>
          </w:p>
        </w:tc>
        <w:tc>
          <w:tcPr>
            <w:tcW w:w="960" w:type="dxa"/>
            <w:shd w:val="clear" w:color="auto" w:fill="auto"/>
            <w:noWrap/>
            <w:tcMar>
              <w:top w:w="15" w:type="dxa"/>
              <w:left w:w="15" w:type="dxa"/>
              <w:right w:w="15" w:type="dxa"/>
            </w:tcMar>
            <w:vAlign w:val="bottom"/>
          </w:tcPr>
          <w:p w14:paraId="37A6B5ED">
            <w:pPr>
              <w:ind w:firstLine="400"/>
              <w:rPr>
                <w:rFonts w:ascii="Arial" w:hAnsi="Arial" w:cs="Arial"/>
                <w:color w:val="000000"/>
                <w:sz w:val="20"/>
                <w:szCs w:val="20"/>
              </w:rPr>
            </w:pPr>
          </w:p>
        </w:tc>
        <w:tc>
          <w:tcPr>
            <w:tcW w:w="1396" w:type="dxa"/>
            <w:shd w:val="clear" w:color="auto" w:fill="auto"/>
            <w:noWrap/>
            <w:tcMar>
              <w:top w:w="15" w:type="dxa"/>
              <w:left w:w="15" w:type="dxa"/>
              <w:right w:w="15" w:type="dxa"/>
            </w:tcMar>
            <w:vAlign w:val="bottom"/>
          </w:tcPr>
          <w:p w14:paraId="423C00F6">
            <w:pPr>
              <w:ind w:firstLine="400"/>
              <w:rPr>
                <w:rFonts w:ascii="Arial" w:hAnsi="Arial" w:cs="Arial"/>
                <w:color w:val="000000"/>
                <w:sz w:val="20"/>
                <w:szCs w:val="20"/>
              </w:rPr>
            </w:pPr>
          </w:p>
        </w:tc>
        <w:tc>
          <w:tcPr>
            <w:tcW w:w="1199" w:type="dxa"/>
            <w:tcBorders>
              <w:right w:val="nil"/>
            </w:tcBorders>
            <w:shd w:val="clear" w:color="auto" w:fill="auto"/>
            <w:noWrap/>
            <w:tcMar>
              <w:top w:w="15" w:type="dxa"/>
              <w:left w:w="15" w:type="dxa"/>
              <w:right w:w="15" w:type="dxa"/>
            </w:tcMar>
            <w:vAlign w:val="bottom"/>
          </w:tcPr>
          <w:p w14:paraId="45814C28">
            <w:pPr>
              <w:ind w:firstLine="400"/>
              <w:rPr>
                <w:rFonts w:ascii="Arial" w:hAnsi="Arial" w:cs="Arial"/>
                <w:color w:val="000000"/>
                <w:sz w:val="20"/>
                <w:szCs w:val="20"/>
              </w:rPr>
            </w:pPr>
          </w:p>
        </w:tc>
      </w:tr>
      <w:tr w14:paraId="4B59652A">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0" w:type="auto"/>
            <w:tcBorders>
              <w:left w:val="nil"/>
            </w:tcBorders>
            <w:shd w:val="clear" w:color="auto" w:fill="auto"/>
            <w:noWrap/>
            <w:tcMar>
              <w:top w:w="15" w:type="dxa"/>
              <w:left w:w="15" w:type="dxa"/>
              <w:right w:w="15" w:type="dxa"/>
            </w:tcMar>
            <w:vAlign w:val="bottom"/>
          </w:tcPr>
          <w:p w14:paraId="0BDCEC34">
            <w:pPr>
              <w:ind w:firstLine="400"/>
              <w:rPr>
                <w:rFonts w:ascii="Arial" w:hAnsi="Arial" w:cs="Arial"/>
                <w:color w:val="000000"/>
                <w:sz w:val="20"/>
                <w:szCs w:val="20"/>
              </w:rPr>
            </w:pPr>
          </w:p>
        </w:tc>
        <w:tc>
          <w:tcPr>
            <w:tcW w:w="0" w:type="auto"/>
            <w:shd w:val="clear" w:color="auto" w:fill="auto"/>
            <w:noWrap/>
            <w:tcMar>
              <w:top w:w="15" w:type="dxa"/>
              <w:left w:w="15" w:type="dxa"/>
              <w:right w:w="15" w:type="dxa"/>
            </w:tcMar>
            <w:vAlign w:val="bottom"/>
          </w:tcPr>
          <w:p w14:paraId="11F391D8">
            <w:pPr>
              <w:ind w:firstLine="400"/>
              <w:rPr>
                <w:rFonts w:ascii="Arial" w:hAnsi="Arial" w:cs="Arial"/>
                <w:color w:val="000000"/>
                <w:sz w:val="20"/>
                <w:szCs w:val="20"/>
              </w:rPr>
            </w:pPr>
          </w:p>
        </w:tc>
        <w:tc>
          <w:tcPr>
            <w:tcW w:w="0" w:type="auto"/>
            <w:shd w:val="clear" w:color="auto" w:fill="auto"/>
            <w:noWrap/>
            <w:tcMar>
              <w:top w:w="15" w:type="dxa"/>
              <w:left w:w="15" w:type="dxa"/>
              <w:right w:w="15" w:type="dxa"/>
            </w:tcMar>
            <w:vAlign w:val="bottom"/>
          </w:tcPr>
          <w:p w14:paraId="54CBF67E">
            <w:pPr>
              <w:ind w:firstLine="400"/>
              <w:rPr>
                <w:rFonts w:ascii="Arial" w:hAnsi="Arial" w:cs="Arial"/>
                <w:color w:val="000000"/>
                <w:sz w:val="20"/>
                <w:szCs w:val="20"/>
              </w:rPr>
            </w:pPr>
          </w:p>
        </w:tc>
        <w:tc>
          <w:tcPr>
            <w:tcW w:w="0" w:type="auto"/>
            <w:shd w:val="clear" w:color="auto" w:fill="auto"/>
            <w:noWrap/>
            <w:tcMar>
              <w:top w:w="15" w:type="dxa"/>
              <w:left w:w="15" w:type="dxa"/>
              <w:right w:w="15" w:type="dxa"/>
            </w:tcMar>
            <w:vAlign w:val="bottom"/>
          </w:tcPr>
          <w:p w14:paraId="1D82402E">
            <w:pPr>
              <w:ind w:firstLine="400"/>
              <w:jc w:val="center"/>
              <w:rPr>
                <w:rFonts w:ascii="Arial" w:hAnsi="Arial" w:cs="Arial"/>
                <w:color w:val="000000"/>
                <w:sz w:val="20"/>
                <w:szCs w:val="20"/>
              </w:rPr>
            </w:pPr>
          </w:p>
        </w:tc>
        <w:tc>
          <w:tcPr>
            <w:tcW w:w="0" w:type="auto"/>
            <w:shd w:val="clear" w:color="auto" w:fill="auto"/>
            <w:noWrap/>
            <w:tcMar>
              <w:top w:w="15" w:type="dxa"/>
              <w:left w:w="15" w:type="dxa"/>
              <w:right w:w="15" w:type="dxa"/>
            </w:tcMar>
            <w:vAlign w:val="bottom"/>
          </w:tcPr>
          <w:p w14:paraId="17F6A22A">
            <w:pPr>
              <w:ind w:firstLine="400"/>
              <w:rPr>
                <w:rFonts w:ascii="Arial" w:hAnsi="Arial" w:cs="Arial"/>
                <w:color w:val="000000"/>
                <w:sz w:val="20"/>
                <w:szCs w:val="20"/>
              </w:rPr>
            </w:pPr>
          </w:p>
        </w:tc>
        <w:tc>
          <w:tcPr>
            <w:tcW w:w="1012" w:type="dxa"/>
            <w:shd w:val="clear" w:color="auto" w:fill="auto"/>
            <w:noWrap/>
            <w:tcMar>
              <w:top w:w="15" w:type="dxa"/>
              <w:left w:w="15" w:type="dxa"/>
              <w:right w:w="15" w:type="dxa"/>
            </w:tcMar>
            <w:vAlign w:val="bottom"/>
          </w:tcPr>
          <w:p w14:paraId="77970366">
            <w:pPr>
              <w:ind w:firstLine="400"/>
              <w:rPr>
                <w:rFonts w:ascii="Arial" w:hAnsi="Arial" w:cs="Arial"/>
                <w:color w:val="000000"/>
                <w:sz w:val="20"/>
                <w:szCs w:val="20"/>
              </w:rPr>
            </w:pPr>
          </w:p>
        </w:tc>
        <w:tc>
          <w:tcPr>
            <w:tcW w:w="960" w:type="dxa"/>
            <w:shd w:val="clear" w:color="auto" w:fill="auto"/>
            <w:noWrap/>
            <w:tcMar>
              <w:top w:w="15" w:type="dxa"/>
              <w:left w:w="15" w:type="dxa"/>
              <w:right w:w="15" w:type="dxa"/>
            </w:tcMar>
            <w:vAlign w:val="bottom"/>
          </w:tcPr>
          <w:p w14:paraId="6BCA148C">
            <w:pPr>
              <w:ind w:firstLine="400"/>
              <w:rPr>
                <w:rFonts w:ascii="Arial" w:hAnsi="Arial" w:cs="Arial"/>
                <w:color w:val="000000"/>
                <w:sz w:val="20"/>
                <w:szCs w:val="20"/>
              </w:rPr>
            </w:pPr>
          </w:p>
        </w:tc>
        <w:tc>
          <w:tcPr>
            <w:tcW w:w="1396" w:type="dxa"/>
            <w:shd w:val="clear" w:color="auto" w:fill="auto"/>
            <w:noWrap/>
            <w:tcMar>
              <w:top w:w="15" w:type="dxa"/>
              <w:left w:w="15" w:type="dxa"/>
              <w:right w:w="15" w:type="dxa"/>
            </w:tcMar>
            <w:vAlign w:val="bottom"/>
          </w:tcPr>
          <w:p w14:paraId="7674B0D1">
            <w:pPr>
              <w:ind w:firstLine="400"/>
              <w:rPr>
                <w:rFonts w:ascii="Arial" w:hAnsi="Arial" w:cs="Arial"/>
                <w:color w:val="000000"/>
                <w:sz w:val="20"/>
                <w:szCs w:val="20"/>
              </w:rPr>
            </w:pPr>
          </w:p>
        </w:tc>
        <w:tc>
          <w:tcPr>
            <w:tcW w:w="1199" w:type="dxa"/>
            <w:tcBorders>
              <w:right w:val="nil"/>
            </w:tcBorders>
            <w:shd w:val="clear" w:color="auto" w:fill="auto"/>
            <w:noWrap/>
            <w:tcMar>
              <w:top w:w="15" w:type="dxa"/>
              <w:left w:w="15" w:type="dxa"/>
              <w:right w:w="15" w:type="dxa"/>
            </w:tcMar>
            <w:vAlign w:val="bottom"/>
          </w:tcPr>
          <w:p w14:paraId="59CFE558">
            <w:pPr>
              <w:ind w:firstLine="400"/>
              <w:rPr>
                <w:rFonts w:ascii="Arial" w:hAnsi="Arial" w:cs="Arial"/>
                <w:color w:val="000000"/>
                <w:sz w:val="20"/>
                <w:szCs w:val="20"/>
              </w:rPr>
            </w:pPr>
          </w:p>
        </w:tc>
      </w:tr>
    </w:tbl>
    <w:p w14:paraId="0D570EE2">
      <w:pPr>
        <w:ind w:firstLine="422"/>
        <w:jc w:val="center"/>
        <w:rPr>
          <w:b/>
          <w:bCs/>
        </w:rPr>
      </w:pPr>
    </w:p>
    <w:p w14:paraId="16A84A1D">
      <w:pPr>
        <w:ind w:firstLine="422"/>
        <w:jc w:val="center"/>
        <w:rPr>
          <w:b/>
          <w:bCs/>
        </w:rPr>
      </w:pPr>
      <w:r>
        <w:rPr>
          <w:rFonts w:hint="eastAsia"/>
          <w:b/>
          <w:bCs/>
        </w:rPr>
        <w:t>表10 2011年南雄市水资源利用表</w:t>
      </w:r>
    </w:p>
    <w:tbl>
      <w:tblPr>
        <w:tblStyle w:val="14"/>
        <w:tblW w:w="0" w:type="auto"/>
        <w:tblInd w:w="0" w:type="dxa"/>
        <w:tblBorders>
          <w:top w:val="single" w:color="auto" w:sz="4" w:space="0"/>
          <w:left w:val="none" w:color="auto" w:sz="4" w:space="0"/>
          <w:bottom w:val="single" w:color="auto" w:sz="4" w:space="0"/>
          <w:right w:val="none" w:color="auto" w:sz="4" w:space="0"/>
          <w:insideH w:val="single" w:color="auto" w:sz="4" w:space="0"/>
          <w:insideV w:val="single" w:color="auto" w:sz="4" w:space="0"/>
        </w:tblBorders>
        <w:tblLayout w:type="autofit"/>
        <w:tblCellMar>
          <w:top w:w="0" w:type="dxa"/>
          <w:left w:w="0" w:type="dxa"/>
          <w:bottom w:w="0" w:type="dxa"/>
          <w:right w:w="0" w:type="dxa"/>
        </w:tblCellMar>
      </w:tblPr>
      <w:tblGrid>
        <w:gridCol w:w="473"/>
        <w:gridCol w:w="1646"/>
        <w:gridCol w:w="1857"/>
        <w:gridCol w:w="1646"/>
        <w:gridCol w:w="1540"/>
      </w:tblGrid>
      <w:tr w14:paraId="237940F7">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0" w:type="auto"/>
            <w:tcBorders>
              <w:left w:val="nil"/>
            </w:tcBorders>
            <w:shd w:val="clear" w:color="auto" w:fill="auto"/>
            <w:noWrap/>
            <w:tcMar>
              <w:top w:w="15" w:type="dxa"/>
              <w:left w:w="15" w:type="dxa"/>
              <w:right w:w="15" w:type="dxa"/>
            </w:tcMar>
            <w:vAlign w:val="bottom"/>
          </w:tcPr>
          <w:p w14:paraId="58458772">
            <w:pPr>
              <w:pStyle w:val="34"/>
              <w:rPr>
                <w:b/>
                <w:bCs/>
              </w:rPr>
            </w:pPr>
            <w:r>
              <w:rPr>
                <w:b/>
                <w:bCs/>
              </w:rPr>
              <w:t>年度</w:t>
            </w:r>
          </w:p>
        </w:tc>
        <w:tc>
          <w:tcPr>
            <w:tcW w:w="0" w:type="auto"/>
            <w:shd w:val="clear" w:color="auto" w:fill="auto"/>
            <w:noWrap/>
            <w:tcMar>
              <w:top w:w="15" w:type="dxa"/>
              <w:left w:w="15" w:type="dxa"/>
              <w:right w:w="15" w:type="dxa"/>
            </w:tcMar>
            <w:vAlign w:val="bottom"/>
          </w:tcPr>
          <w:p w14:paraId="21B24222">
            <w:pPr>
              <w:pStyle w:val="34"/>
              <w:rPr>
                <w:b/>
                <w:bCs/>
              </w:rPr>
            </w:pPr>
            <w:r>
              <w:rPr>
                <w:b/>
                <w:bCs/>
              </w:rPr>
              <w:t>降水量(亿立方米)</w:t>
            </w:r>
          </w:p>
        </w:tc>
        <w:tc>
          <w:tcPr>
            <w:tcW w:w="0" w:type="auto"/>
            <w:shd w:val="clear" w:color="auto" w:fill="auto"/>
            <w:noWrap/>
            <w:tcMar>
              <w:top w:w="15" w:type="dxa"/>
              <w:left w:w="15" w:type="dxa"/>
              <w:right w:w="15" w:type="dxa"/>
            </w:tcMar>
            <w:vAlign w:val="bottom"/>
          </w:tcPr>
          <w:p w14:paraId="51F736F4">
            <w:pPr>
              <w:pStyle w:val="34"/>
              <w:rPr>
                <w:b/>
                <w:bCs/>
              </w:rPr>
            </w:pPr>
            <w:r>
              <w:rPr>
                <w:b/>
                <w:bCs/>
              </w:rPr>
              <w:t>水资源量(亿立方米)</w:t>
            </w:r>
          </w:p>
        </w:tc>
        <w:tc>
          <w:tcPr>
            <w:tcW w:w="0" w:type="auto"/>
            <w:shd w:val="clear" w:color="auto" w:fill="auto"/>
            <w:noWrap/>
            <w:tcMar>
              <w:top w:w="15" w:type="dxa"/>
              <w:left w:w="15" w:type="dxa"/>
              <w:right w:w="15" w:type="dxa"/>
            </w:tcMar>
            <w:vAlign w:val="bottom"/>
          </w:tcPr>
          <w:p w14:paraId="32663C8B">
            <w:pPr>
              <w:pStyle w:val="34"/>
              <w:rPr>
                <w:b/>
                <w:bCs/>
              </w:rPr>
            </w:pPr>
            <w:r>
              <w:rPr>
                <w:b/>
                <w:bCs/>
              </w:rPr>
              <w:t>用水量(亿立方米)</w:t>
            </w:r>
          </w:p>
        </w:tc>
        <w:tc>
          <w:tcPr>
            <w:tcW w:w="0" w:type="auto"/>
            <w:shd w:val="clear" w:color="auto" w:fill="auto"/>
            <w:noWrap/>
            <w:tcMar>
              <w:top w:w="15" w:type="dxa"/>
              <w:left w:w="15" w:type="dxa"/>
              <w:right w:w="15" w:type="dxa"/>
            </w:tcMar>
            <w:vAlign w:val="bottom"/>
          </w:tcPr>
          <w:p w14:paraId="674300F3">
            <w:pPr>
              <w:pStyle w:val="34"/>
              <w:rPr>
                <w:b/>
                <w:bCs/>
              </w:rPr>
            </w:pPr>
            <w:r>
              <w:rPr>
                <w:b/>
                <w:bCs/>
              </w:rPr>
              <w:t>水资源利用率(%)</w:t>
            </w:r>
          </w:p>
        </w:tc>
      </w:tr>
      <w:tr w14:paraId="0DB464CE">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441" w:hRule="atLeast"/>
        </w:trPr>
        <w:tc>
          <w:tcPr>
            <w:tcW w:w="0" w:type="auto"/>
            <w:tcBorders>
              <w:left w:val="nil"/>
            </w:tcBorders>
            <w:shd w:val="clear" w:color="auto" w:fill="auto"/>
            <w:noWrap/>
            <w:tcMar>
              <w:top w:w="15" w:type="dxa"/>
              <w:left w:w="15" w:type="dxa"/>
              <w:right w:w="15" w:type="dxa"/>
            </w:tcMar>
            <w:vAlign w:val="bottom"/>
          </w:tcPr>
          <w:p w14:paraId="5CC2A7B6">
            <w:pPr>
              <w:pStyle w:val="34"/>
            </w:pPr>
            <w:r>
              <w:t>2011</w:t>
            </w:r>
          </w:p>
        </w:tc>
        <w:tc>
          <w:tcPr>
            <w:tcW w:w="0" w:type="auto"/>
            <w:shd w:val="clear" w:color="auto" w:fill="auto"/>
            <w:noWrap/>
            <w:tcMar>
              <w:top w:w="15" w:type="dxa"/>
              <w:left w:w="15" w:type="dxa"/>
              <w:right w:w="15" w:type="dxa"/>
            </w:tcMar>
            <w:vAlign w:val="bottom"/>
          </w:tcPr>
          <w:p w14:paraId="6FB40190">
            <w:pPr>
              <w:pStyle w:val="34"/>
              <w:jc w:val="center"/>
            </w:pPr>
            <w:r>
              <w:t>34.69</w:t>
            </w:r>
          </w:p>
        </w:tc>
        <w:tc>
          <w:tcPr>
            <w:tcW w:w="0" w:type="auto"/>
            <w:shd w:val="clear" w:color="auto" w:fill="auto"/>
            <w:noWrap/>
            <w:tcMar>
              <w:top w:w="15" w:type="dxa"/>
              <w:left w:w="15" w:type="dxa"/>
              <w:right w:w="15" w:type="dxa"/>
            </w:tcMar>
            <w:vAlign w:val="bottom"/>
          </w:tcPr>
          <w:p w14:paraId="6A6EC343">
            <w:pPr>
              <w:pStyle w:val="34"/>
              <w:jc w:val="center"/>
            </w:pPr>
            <w:r>
              <w:t>18.49</w:t>
            </w:r>
          </w:p>
        </w:tc>
        <w:tc>
          <w:tcPr>
            <w:tcW w:w="0" w:type="auto"/>
            <w:shd w:val="clear" w:color="auto" w:fill="auto"/>
            <w:noWrap/>
            <w:tcMar>
              <w:top w:w="15" w:type="dxa"/>
              <w:left w:w="15" w:type="dxa"/>
              <w:right w:w="15" w:type="dxa"/>
            </w:tcMar>
            <w:vAlign w:val="bottom"/>
          </w:tcPr>
          <w:p w14:paraId="35F295D5">
            <w:pPr>
              <w:pStyle w:val="34"/>
              <w:jc w:val="center"/>
            </w:pPr>
            <w:r>
              <w:t>3.59</w:t>
            </w:r>
          </w:p>
        </w:tc>
        <w:tc>
          <w:tcPr>
            <w:tcW w:w="0" w:type="auto"/>
            <w:shd w:val="clear" w:color="auto" w:fill="auto"/>
            <w:noWrap/>
            <w:tcMar>
              <w:top w:w="15" w:type="dxa"/>
              <w:left w:w="15" w:type="dxa"/>
              <w:right w:w="15" w:type="dxa"/>
            </w:tcMar>
            <w:vAlign w:val="bottom"/>
          </w:tcPr>
          <w:p w14:paraId="5345DE41">
            <w:pPr>
              <w:pStyle w:val="34"/>
              <w:jc w:val="center"/>
            </w:pPr>
            <w:r>
              <w:t>19.4</w:t>
            </w:r>
          </w:p>
        </w:tc>
      </w:tr>
      <w:tr w14:paraId="4DE7DC39">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0" w:type="auto"/>
            <w:tcBorders>
              <w:left w:val="nil"/>
            </w:tcBorders>
            <w:shd w:val="clear" w:color="auto" w:fill="auto"/>
            <w:noWrap/>
            <w:tcMar>
              <w:top w:w="15" w:type="dxa"/>
              <w:left w:w="15" w:type="dxa"/>
              <w:right w:w="15" w:type="dxa"/>
            </w:tcMar>
            <w:vAlign w:val="bottom"/>
          </w:tcPr>
          <w:p w14:paraId="499A8A60">
            <w:pPr>
              <w:ind w:firstLine="400"/>
              <w:rPr>
                <w:rFonts w:ascii="Arial" w:hAnsi="Arial" w:cs="Arial"/>
                <w:color w:val="000000"/>
                <w:sz w:val="20"/>
                <w:szCs w:val="20"/>
              </w:rPr>
            </w:pPr>
          </w:p>
        </w:tc>
        <w:tc>
          <w:tcPr>
            <w:tcW w:w="0" w:type="auto"/>
            <w:shd w:val="clear" w:color="auto" w:fill="auto"/>
            <w:noWrap/>
            <w:tcMar>
              <w:top w:w="15" w:type="dxa"/>
              <w:left w:w="15" w:type="dxa"/>
              <w:right w:w="15" w:type="dxa"/>
            </w:tcMar>
            <w:vAlign w:val="bottom"/>
          </w:tcPr>
          <w:p w14:paraId="73219F25">
            <w:pPr>
              <w:ind w:firstLine="400"/>
              <w:rPr>
                <w:rFonts w:ascii="Arial" w:hAnsi="Arial" w:cs="Arial"/>
                <w:color w:val="000000"/>
                <w:sz w:val="20"/>
                <w:szCs w:val="20"/>
              </w:rPr>
            </w:pPr>
          </w:p>
        </w:tc>
        <w:tc>
          <w:tcPr>
            <w:tcW w:w="0" w:type="auto"/>
            <w:shd w:val="clear" w:color="auto" w:fill="auto"/>
            <w:noWrap/>
            <w:tcMar>
              <w:top w:w="15" w:type="dxa"/>
              <w:left w:w="15" w:type="dxa"/>
              <w:right w:w="15" w:type="dxa"/>
            </w:tcMar>
            <w:vAlign w:val="bottom"/>
          </w:tcPr>
          <w:p w14:paraId="391FDAFE">
            <w:pPr>
              <w:ind w:firstLine="400"/>
              <w:rPr>
                <w:rFonts w:ascii="Arial" w:hAnsi="Arial" w:cs="Arial"/>
                <w:color w:val="000000"/>
                <w:sz w:val="20"/>
                <w:szCs w:val="20"/>
              </w:rPr>
            </w:pPr>
          </w:p>
        </w:tc>
        <w:tc>
          <w:tcPr>
            <w:tcW w:w="0" w:type="auto"/>
            <w:shd w:val="clear" w:color="auto" w:fill="auto"/>
            <w:noWrap/>
            <w:tcMar>
              <w:top w:w="15" w:type="dxa"/>
              <w:left w:w="15" w:type="dxa"/>
              <w:right w:w="15" w:type="dxa"/>
            </w:tcMar>
            <w:vAlign w:val="bottom"/>
          </w:tcPr>
          <w:p w14:paraId="153BAD17">
            <w:pPr>
              <w:ind w:firstLine="400"/>
              <w:rPr>
                <w:rFonts w:ascii="Arial" w:hAnsi="Arial" w:cs="Arial"/>
                <w:color w:val="000000"/>
                <w:sz w:val="20"/>
                <w:szCs w:val="20"/>
              </w:rPr>
            </w:pPr>
          </w:p>
        </w:tc>
        <w:tc>
          <w:tcPr>
            <w:tcW w:w="0" w:type="auto"/>
            <w:shd w:val="clear" w:color="auto" w:fill="auto"/>
            <w:noWrap/>
            <w:tcMar>
              <w:top w:w="15" w:type="dxa"/>
              <w:left w:w="15" w:type="dxa"/>
              <w:right w:w="15" w:type="dxa"/>
            </w:tcMar>
            <w:vAlign w:val="bottom"/>
          </w:tcPr>
          <w:p w14:paraId="120F18BE">
            <w:pPr>
              <w:ind w:firstLine="400"/>
              <w:rPr>
                <w:rFonts w:ascii="Arial" w:hAnsi="Arial" w:cs="Arial"/>
                <w:color w:val="000000"/>
                <w:sz w:val="20"/>
                <w:szCs w:val="20"/>
              </w:rPr>
            </w:pPr>
          </w:p>
        </w:tc>
      </w:tr>
      <w:tr w14:paraId="5911AF3B">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0" w:type="auto"/>
            <w:tcBorders>
              <w:left w:val="nil"/>
            </w:tcBorders>
            <w:shd w:val="clear" w:color="auto" w:fill="auto"/>
            <w:noWrap/>
            <w:tcMar>
              <w:top w:w="15" w:type="dxa"/>
              <w:left w:w="15" w:type="dxa"/>
              <w:right w:w="15" w:type="dxa"/>
            </w:tcMar>
            <w:vAlign w:val="bottom"/>
          </w:tcPr>
          <w:p w14:paraId="2A4A424B">
            <w:pPr>
              <w:ind w:firstLine="400"/>
              <w:rPr>
                <w:rFonts w:ascii="Arial" w:hAnsi="Arial" w:cs="Arial"/>
                <w:color w:val="000000"/>
                <w:sz w:val="20"/>
                <w:szCs w:val="20"/>
              </w:rPr>
            </w:pPr>
          </w:p>
        </w:tc>
        <w:tc>
          <w:tcPr>
            <w:tcW w:w="0" w:type="auto"/>
            <w:shd w:val="clear" w:color="auto" w:fill="auto"/>
            <w:noWrap/>
            <w:tcMar>
              <w:top w:w="15" w:type="dxa"/>
              <w:left w:w="15" w:type="dxa"/>
              <w:right w:w="15" w:type="dxa"/>
            </w:tcMar>
            <w:vAlign w:val="bottom"/>
          </w:tcPr>
          <w:p w14:paraId="36F43CAF">
            <w:pPr>
              <w:ind w:firstLine="400"/>
              <w:rPr>
                <w:rFonts w:ascii="Arial" w:hAnsi="Arial" w:cs="Arial"/>
                <w:color w:val="000000"/>
                <w:sz w:val="20"/>
                <w:szCs w:val="20"/>
              </w:rPr>
            </w:pPr>
          </w:p>
        </w:tc>
        <w:tc>
          <w:tcPr>
            <w:tcW w:w="0" w:type="auto"/>
            <w:shd w:val="clear" w:color="auto" w:fill="auto"/>
            <w:noWrap/>
            <w:tcMar>
              <w:top w:w="15" w:type="dxa"/>
              <w:left w:w="15" w:type="dxa"/>
              <w:right w:w="15" w:type="dxa"/>
            </w:tcMar>
            <w:vAlign w:val="bottom"/>
          </w:tcPr>
          <w:p w14:paraId="2F8B79A1">
            <w:pPr>
              <w:ind w:firstLine="400"/>
              <w:rPr>
                <w:rFonts w:ascii="Arial" w:hAnsi="Arial" w:cs="Arial"/>
                <w:color w:val="000000"/>
                <w:sz w:val="20"/>
                <w:szCs w:val="20"/>
              </w:rPr>
            </w:pPr>
          </w:p>
        </w:tc>
        <w:tc>
          <w:tcPr>
            <w:tcW w:w="0" w:type="auto"/>
            <w:shd w:val="clear" w:color="auto" w:fill="auto"/>
            <w:noWrap/>
            <w:tcMar>
              <w:top w:w="15" w:type="dxa"/>
              <w:left w:w="15" w:type="dxa"/>
              <w:right w:w="15" w:type="dxa"/>
            </w:tcMar>
            <w:vAlign w:val="bottom"/>
          </w:tcPr>
          <w:p w14:paraId="67B69993">
            <w:pPr>
              <w:ind w:firstLine="400"/>
              <w:rPr>
                <w:rFonts w:ascii="Arial" w:hAnsi="Arial" w:cs="Arial"/>
                <w:color w:val="000000"/>
                <w:sz w:val="20"/>
                <w:szCs w:val="20"/>
              </w:rPr>
            </w:pPr>
          </w:p>
        </w:tc>
        <w:tc>
          <w:tcPr>
            <w:tcW w:w="0" w:type="auto"/>
            <w:shd w:val="clear" w:color="auto" w:fill="auto"/>
            <w:noWrap/>
            <w:tcMar>
              <w:top w:w="15" w:type="dxa"/>
              <w:left w:w="15" w:type="dxa"/>
              <w:right w:w="15" w:type="dxa"/>
            </w:tcMar>
            <w:vAlign w:val="bottom"/>
          </w:tcPr>
          <w:p w14:paraId="55E1BEEA">
            <w:pPr>
              <w:ind w:firstLine="400"/>
              <w:rPr>
                <w:rFonts w:ascii="Arial" w:hAnsi="Arial" w:cs="Arial"/>
                <w:color w:val="000000"/>
                <w:sz w:val="20"/>
                <w:szCs w:val="20"/>
              </w:rPr>
            </w:pPr>
          </w:p>
        </w:tc>
      </w:tr>
    </w:tbl>
    <w:p w14:paraId="28E0FD1F">
      <w:pPr>
        <w:ind w:firstLine="422"/>
        <w:jc w:val="center"/>
        <w:rPr>
          <w:b/>
          <w:bCs/>
        </w:rPr>
      </w:pPr>
    </w:p>
    <w:p w14:paraId="797BD429">
      <w:pPr>
        <w:ind w:firstLine="422"/>
        <w:jc w:val="center"/>
        <w:rPr>
          <w:b/>
          <w:bCs/>
        </w:rPr>
      </w:pPr>
      <w:r>
        <w:rPr>
          <w:rFonts w:hint="eastAsia"/>
          <w:b/>
          <w:bCs/>
        </w:rPr>
        <w:t>表11 南雄市水库蓄水动态（2011年）</w:t>
      </w:r>
    </w:p>
    <w:p w14:paraId="737B47DD">
      <w:pPr>
        <w:ind w:firstLine="422"/>
        <w:jc w:val="right"/>
        <w:rPr>
          <w:b/>
          <w:bCs/>
        </w:rPr>
      </w:pPr>
      <w:r>
        <w:rPr>
          <w:rFonts w:hint="eastAsia"/>
          <w:b/>
          <w:bCs/>
        </w:rPr>
        <w:t>单位：万立方米</w:t>
      </w:r>
    </w:p>
    <w:tbl>
      <w:tblPr>
        <w:tblStyle w:val="14"/>
        <w:tblW w:w="9776" w:type="dxa"/>
        <w:tblInd w:w="0" w:type="dxa"/>
        <w:tblBorders>
          <w:top w:val="single" w:color="auto" w:sz="4" w:space="0"/>
          <w:left w:val="none" w:color="auto" w:sz="4" w:space="0"/>
          <w:bottom w:val="single" w:color="auto" w:sz="4" w:space="0"/>
          <w:right w:val="none" w:color="auto" w:sz="4" w:space="0"/>
          <w:insideH w:val="single" w:color="auto" w:sz="4" w:space="0"/>
          <w:insideV w:val="single" w:color="auto" w:sz="4" w:space="0"/>
        </w:tblBorders>
        <w:tblLayout w:type="autofit"/>
        <w:tblCellMar>
          <w:top w:w="0" w:type="dxa"/>
          <w:left w:w="0" w:type="dxa"/>
          <w:bottom w:w="0" w:type="dxa"/>
          <w:right w:w="0" w:type="dxa"/>
        </w:tblCellMar>
      </w:tblPr>
      <w:tblGrid>
        <w:gridCol w:w="888"/>
        <w:gridCol w:w="809"/>
        <w:gridCol w:w="809"/>
        <w:gridCol w:w="885"/>
        <w:gridCol w:w="885"/>
        <w:gridCol w:w="809"/>
        <w:gridCol w:w="888"/>
        <w:gridCol w:w="888"/>
        <w:gridCol w:w="809"/>
        <w:gridCol w:w="1053"/>
        <w:gridCol w:w="1053"/>
      </w:tblGrid>
      <w:tr w14:paraId="78C24970">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888" w:type="dxa"/>
            <w:vMerge w:val="restart"/>
            <w:tcBorders>
              <w:left w:val="nil"/>
            </w:tcBorders>
            <w:shd w:val="clear" w:color="auto" w:fill="auto"/>
            <w:noWrap/>
            <w:tcMar>
              <w:top w:w="15" w:type="dxa"/>
              <w:left w:w="15" w:type="dxa"/>
              <w:right w:w="15" w:type="dxa"/>
            </w:tcMar>
            <w:vAlign w:val="bottom"/>
          </w:tcPr>
          <w:p w14:paraId="6B1769C0">
            <w:pPr>
              <w:pStyle w:val="34"/>
              <w:jc w:val="center"/>
              <w:rPr>
                <w:b/>
                <w:bCs/>
              </w:rPr>
            </w:pPr>
            <w:r>
              <w:rPr>
                <w:b/>
                <w:bCs/>
              </w:rPr>
              <w:t>年度</w:t>
            </w:r>
          </w:p>
        </w:tc>
        <w:tc>
          <w:tcPr>
            <w:tcW w:w="1618" w:type="dxa"/>
            <w:gridSpan w:val="2"/>
            <w:shd w:val="clear" w:color="auto" w:fill="auto"/>
            <w:noWrap/>
            <w:tcMar>
              <w:top w:w="15" w:type="dxa"/>
              <w:left w:w="15" w:type="dxa"/>
              <w:right w:w="15" w:type="dxa"/>
            </w:tcMar>
            <w:vAlign w:val="bottom"/>
          </w:tcPr>
          <w:p w14:paraId="75B0F474">
            <w:pPr>
              <w:pStyle w:val="34"/>
              <w:jc w:val="center"/>
              <w:rPr>
                <w:b/>
                <w:bCs/>
              </w:rPr>
            </w:pPr>
            <w:r>
              <w:rPr>
                <w:b/>
                <w:bCs/>
              </w:rPr>
              <w:t>水库座数</w:t>
            </w:r>
          </w:p>
        </w:tc>
        <w:tc>
          <w:tcPr>
            <w:tcW w:w="1770" w:type="dxa"/>
            <w:gridSpan w:val="2"/>
            <w:shd w:val="clear" w:color="auto" w:fill="auto"/>
            <w:noWrap/>
            <w:tcMar>
              <w:top w:w="15" w:type="dxa"/>
              <w:left w:w="15" w:type="dxa"/>
              <w:right w:w="15" w:type="dxa"/>
            </w:tcMar>
            <w:vAlign w:val="bottom"/>
          </w:tcPr>
          <w:p w14:paraId="2B68D918">
            <w:pPr>
              <w:pStyle w:val="34"/>
              <w:jc w:val="center"/>
              <w:rPr>
                <w:b/>
                <w:bCs/>
              </w:rPr>
            </w:pPr>
            <w:r>
              <w:rPr>
                <w:b/>
                <w:bCs/>
              </w:rPr>
              <w:t>大型水库蓄水量</w:t>
            </w:r>
          </w:p>
        </w:tc>
        <w:tc>
          <w:tcPr>
            <w:tcW w:w="809" w:type="dxa"/>
            <w:vMerge w:val="restart"/>
            <w:shd w:val="clear" w:color="auto" w:fill="auto"/>
            <w:noWrap/>
            <w:tcMar>
              <w:top w:w="15" w:type="dxa"/>
              <w:left w:w="15" w:type="dxa"/>
              <w:right w:w="15" w:type="dxa"/>
            </w:tcMar>
            <w:vAlign w:val="bottom"/>
          </w:tcPr>
          <w:p w14:paraId="03D8FB12">
            <w:pPr>
              <w:pStyle w:val="34"/>
              <w:jc w:val="center"/>
              <w:rPr>
                <w:b/>
                <w:bCs/>
              </w:rPr>
            </w:pPr>
            <w:r>
              <w:rPr>
                <w:b/>
                <w:bCs/>
              </w:rPr>
              <w:t>大型水库年蓄水变量</w:t>
            </w:r>
          </w:p>
        </w:tc>
        <w:tc>
          <w:tcPr>
            <w:tcW w:w="1776" w:type="dxa"/>
            <w:gridSpan w:val="2"/>
            <w:shd w:val="clear" w:color="auto" w:fill="auto"/>
            <w:noWrap/>
            <w:tcMar>
              <w:top w:w="15" w:type="dxa"/>
              <w:left w:w="15" w:type="dxa"/>
              <w:right w:w="15" w:type="dxa"/>
            </w:tcMar>
            <w:vAlign w:val="bottom"/>
          </w:tcPr>
          <w:p w14:paraId="50D79B13">
            <w:pPr>
              <w:pStyle w:val="34"/>
              <w:jc w:val="center"/>
              <w:rPr>
                <w:b/>
                <w:bCs/>
              </w:rPr>
            </w:pPr>
            <w:r>
              <w:rPr>
                <w:b/>
                <w:bCs/>
              </w:rPr>
              <w:t>中型水库蓄水量</w:t>
            </w:r>
          </w:p>
        </w:tc>
        <w:tc>
          <w:tcPr>
            <w:tcW w:w="809" w:type="dxa"/>
            <w:vMerge w:val="restart"/>
            <w:shd w:val="clear" w:color="auto" w:fill="auto"/>
            <w:noWrap/>
            <w:tcMar>
              <w:top w:w="15" w:type="dxa"/>
              <w:left w:w="15" w:type="dxa"/>
              <w:right w:w="15" w:type="dxa"/>
            </w:tcMar>
            <w:vAlign w:val="bottom"/>
          </w:tcPr>
          <w:p w14:paraId="4E92A38B">
            <w:pPr>
              <w:pStyle w:val="34"/>
              <w:jc w:val="center"/>
              <w:rPr>
                <w:b/>
                <w:bCs/>
              </w:rPr>
            </w:pPr>
            <w:r>
              <w:rPr>
                <w:b/>
                <w:bCs/>
              </w:rPr>
              <w:t>中型水库年蓄水变量</w:t>
            </w:r>
          </w:p>
        </w:tc>
        <w:tc>
          <w:tcPr>
            <w:tcW w:w="2106" w:type="dxa"/>
            <w:gridSpan w:val="2"/>
            <w:tcBorders>
              <w:right w:val="nil"/>
            </w:tcBorders>
            <w:shd w:val="clear" w:color="auto" w:fill="auto"/>
            <w:noWrap/>
            <w:tcMar>
              <w:top w:w="15" w:type="dxa"/>
              <w:left w:w="15" w:type="dxa"/>
              <w:right w:w="15" w:type="dxa"/>
            </w:tcMar>
            <w:vAlign w:val="bottom"/>
          </w:tcPr>
          <w:p w14:paraId="4AA576B9">
            <w:pPr>
              <w:pStyle w:val="34"/>
              <w:jc w:val="center"/>
              <w:rPr>
                <w:b/>
                <w:bCs/>
              </w:rPr>
            </w:pPr>
            <w:r>
              <w:rPr>
                <w:rFonts w:hint="eastAsia"/>
                <w:b/>
                <w:bCs/>
              </w:rPr>
              <w:t>合计</w:t>
            </w:r>
          </w:p>
        </w:tc>
      </w:tr>
      <w:tr w14:paraId="718AFE9E">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888" w:type="dxa"/>
            <w:vMerge w:val="continue"/>
            <w:tcBorders>
              <w:left w:val="nil"/>
            </w:tcBorders>
            <w:shd w:val="clear" w:color="auto" w:fill="auto"/>
            <w:noWrap/>
            <w:tcMar>
              <w:top w:w="15" w:type="dxa"/>
              <w:left w:w="15" w:type="dxa"/>
              <w:right w:w="15" w:type="dxa"/>
            </w:tcMar>
            <w:vAlign w:val="bottom"/>
          </w:tcPr>
          <w:p w14:paraId="54846C7D">
            <w:pPr>
              <w:pStyle w:val="34"/>
              <w:jc w:val="center"/>
              <w:rPr>
                <w:b/>
                <w:bCs/>
              </w:rPr>
            </w:pPr>
          </w:p>
        </w:tc>
        <w:tc>
          <w:tcPr>
            <w:tcW w:w="809" w:type="dxa"/>
            <w:shd w:val="clear" w:color="auto" w:fill="auto"/>
            <w:noWrap/>
            <w:tcMar>
              <w:top w:w="15" w:type="dxa"/>
              <w:left w:w="15" w:type="dxa"/>
              <w:right w:w="15" w:type="dxa"/>
            </w:tcMar>
            <w:vAlign w:val="bottom"/>
          </w:tcPr>
          <w:p w14:paraId="5EA2D03C">
            <w:pPr>
              <w:pStyle w:val="34"/>
              <w:jc w:val="center"/>
              <w:rPr>
                <w:b/>
                <w:bCs/>
              </w:rPr>
            </w:pPr>
            <w:r>
              <w:rPr>
                <w:b/>
                <w:bCs/>
              </w:rPr>
              <w:t>大型</w:t>
            </w:r>
          </w:p>
        </w:tc>
        <w:tc>
          <w:tcPr>
            <w:tcW w:w="809" w:type="dxa"/>
            <w:shd w:val="clear" w:color="auto" w:fill="auto"/>
            <w:noWrap/>
            <w:tcMar>
              <w:top w:w="15" w:type="dxa"/>
              <w:left w:w="15" w:type="dxa"/>
              <w:right w:w="15" w:type="dxa"/>
            </w:tcMar>
            <w:vAlign w:val="bottom"/>
          </w:tcPr>
          <w:p w14:paraId="7D6BA6A5">
            <w:pPr>
              <w:pStyle w:val="34"/>
              <w:jc w:val="center"/>
              <w:rPr>
                <w:b/>
                <w:bCs/>
              </w:rPr>
            </w:pPr>
            <w:r>
              <w:rPr>
                <w:b/>
                <w:bCs/>
              </w:rPr>
              <w:t>中型</w:t>
            </w:r>
          </w:p>
        </w:tc>
        <w:tc>
          <w:tcPr>
            <w:tcW w:w="885" w:type="dxa"/>
            <w:shd w:val="clear" w:color="auto" w:fill="auto"/>
            <w:noWrap/>
            <w:tcMar>
              <w:top w:w="15" w:type="dxa"/>
              <w:left w:w="15" w:type="dxa"/>
              <w:right w:w="15" w:type="dxa"/>
            </w:tcMar>
            <w:vAlign w:val="bottom"/>
          </w:tcPr>
          <w:p w14:paraId="7C294FF3">
            <w:pPr>
              <w:pStyle w:val="34"/>
              <w:jc w:val="center"/>
              <w:rPr>
                <w:b/>
                <w:bCs/>
              </w:rPr>
            </w:pPr>
            <w:r>
              <w:rPr>
                <w:b/>
                <w:bCs/>
              </w:rPr>
              <w:t>上年末</w:t>
            </w:r>
          </w:p>
        </w:tc>
        <w:tc>
          <w:tcPr>
            <w:tcW w:w="885" w:type="dxa"/>
            <w:shd w:val="clear" w:color="auto" w:fill="auto"/>
            <w:noWrap/>
            <w:tcMar>
              <w:top w:w="15" w:type="dxa"/>
              <w:left w:w="15" w:type="dxa"/>
              <w:right w:w="15" w:type="dxa"/>
            </w:tcMar>
            <w:vAlign w:val="bottom"/>
          </w:tcPr>
          <w:p w14:paraId="31576D44">
            <w:pPr>
              <w:pStyle w:val="34"/>
              <w:jc w:val="center"/>
              <w:rPr>
                <w:b/>
                <w:bCs/>
              </w:rPr>
            </w:pPr>
            <w:r>
              <w:rPr>
                <w:b/>
                <w:bCs/>
              </w:rPr>
              <w:t>当年末</w:t>
            </w:r>
          </w:p>
        </w:tc>
        <w:tc>
          <w:tcPr>
            <w:tcW w:w="809" w:type="dxa"/>
            <w:vMerge w:val="continue"/>
            <w:shd w:val="clear" w:color="auto" w:fill="auto"/>
            <w:noWrap/>
            <w:tcMar>
              <w:top w:w="15" w:type="dxa"/>
              <w:left w:w="15" w:type="dxa"/>
              <w:right w:w="15" w:type="dxa"/>
            </w:tcMar>
            <w:vAlign w:val="bottom"/>
          </w:tcPr>
          <w:p w14:paraId="27E2BB86">
            <w:pPr>
              <w:pStyle w:val="34"/>
              <w:jc w:val="center"/>
              <w:rPr>
                <w:b/>
                <w:bCs/>
              </w:rPr>
            </w:pPr>
          </w:p>
        </w:tc>
        <w:tc>
          <w:tcPr>
            <w:tcW w:w="888" w:type="dxa"/>
            <w:shd w:val="clear" w:color="auto" w:fill="auto"/>
            <w:noWrap/>
            <w:tcMar>
              <w:top w:w="15" w:type="dxa"/>
              <w:left w:w="15" w:type="dxa"/>
              <w:right w:w="15" w:type="dxa"/>
            </w:tcMar>
            <w:vAlign w:val="bottom"/>
          </w:tcPr>
          <w:p w14:paraId="424A5203">
            <w:pPr>
              <w:pStyle w:val="34"/>
              <w:jc w:val="center"/>
              <w:rPr>
                <w:b/>
                <w:bCs/>
              </w:rPr>
            </w:pPr>
            <w:r>
              <w:rPr>
                <w:b/>
                <w:bCs/>
              </w:rPr>
              <w:t>上年末</w:t>
            </w:r>
          </w:p>
        </w:tc>
        <w:tc>
          <w:tcPr>
            <w:tcW w:w="888" w:type="dxa"/>
            <w:shd w:val="clear" w:color="auto" w:fill="auto"/>
            <w:noWrap/>
            <w:tcMar>
              <w:top w:w="15" w:type="dxa"/>
              <w:left w:w="15" w:type="dxa"/>
              <w:right w:w="15" w:type="dxa"/>
            </w:tcMar>
            <w:vAlign w:val="bottom"/>
          </w:tcPr>
          <w:p w14:paraId="0DF45138">
            <w:pPr>
              <w:pStyle w:val="34"/>
              <w:jc w:val="center"/>
              <w:rPr>
                <w:b/>
                <w:bCs/>
              </w:rPr>
            </w:pPr>
            <w:r>
              <w:rPr>
                <w:b/>
                <w:bCs/>
              </w:rPr>
              <w:t>当年末</w:t>
            </w:r>
          </w:p>
        </w:tc>
        <w:tc>
          <w:tcPr>
            <w:tcW w:w="809" w:type="dxa"/>
            <w:vMerge w:val="continue"/>
            <w:shd w:val="clear" w:color="auto" w:fill="auto"/>
            <w:noWrap/>
            <w:tcMar>
              <w:top w:w="15" w:type="dxa"/>
              <w:left w:w="15" w:type="dxa"/>
              <w:right w:w="15" w:type="dxa"/>
            </w:tcMar>
            <w:vAlign w:val="bottom"/>
          </w:tcPr>
          <w:p w14:paraId="1E689C0D">
            <w:pPr>
              <w:pStyle w:val="34"/>
              <w:jc w:val="center"/>
              <w:rPr>
                <w:b/>
                <w:bCs/>
              </w:rPr>
            </w:pPr>
          </w:p>
        </w:tc>
        <w:tc>
          <w:tcPr>
            <w:tcW w:w="1053" w:type="dxa"/>
            <w:tcBorders>
              <w:right w:val="nil"/>
            </w:tcBorders>
            <w:shd w:val="clear" w:color="auto" w:fill="auto"/>
            <w:noWrap/>
            <w:tcMar>
              <w:top w:w="15" w:type="dxa"/>
              <w:left w:w="15" w:type="dxa"/>
              <w:right w:w="15" w:type="dxa"/>
            </w:tcMar>
            <w:vAlign w:val="bottom"/>
          </w:tcPr>
          <w:p w14:paraId="6105B4DC">
            <w:pPr>
              <w:pStyle w:val="34"/>
              <w:jc w:val="center"/>
              <w:rPr>
                <w:b/>
                <w:bCs/>
              </w:rPr>
            </w:pPr>
            <w:r>
              <w:rPr>
                <w:b/>
                <w:bCs/>
              </w:rPr>
              <w:t>年蓄水量</w:t>
            </w:r>
          </w:p>
        </w:tc>
        <w:tc>
          <w:tcPr>
            <w:tcW w:w="1053" w:type="dxa"/>
            <w:tcBorders>
              <w:right w:val="nil"/>
            </w:tcBorders>
            <w:shd w:val="clear" w:color="auto" w:fill="auto"/>
            <w:noWrap/>
            <w:tcMar>
              <w:top w:w="15" w:type="dxa"/>
              <w:left w:w="15" w:type="dxa"/>
              <w:right w:w="15" w:type="dxa"/>
            </w:tcMar>
            <w:vAlign w:val="bottom"/>
          </w:tcPr>
          <w:p w14:paraId="3A573357">
            <w:pPr>
              <w:pStyle w:val="34"/>
              <w:jc w:val="center"/>
              <w:rPr>
                <w:b/>
                <w:bCs/>
              </w:rPr>
            </w:pPr>
            <w:r>
              <w:rPr>
                <w:b/>
                <w:bCs/>
              </w:rPr>
              <w:t>年蓄水</w:t>
            </w:r>
            <w:r>
              <w:rPr>
                <w:rFonts w:hint="eastAsia"/>
                <w:b/>
                <w:bCs/>
              </w:rPr>
              <w:t>变</w:t>
            </w:r>
            <w:r>
              <w:rPr>
                <w:b/>
                <w:bCs/>
              </w:rPr>
              <w:t>量</w:t>
            </w:r>
          </w:p>
        </w:tc>
      </w:tr>
      <w:tr w14:paraId="57A5FBCB">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888" w:type="dxa"/>
            <w:tcBorders>
              <w:left w:val="nil"/>
            </w:tcBorders>
            <w:shd w:val="clear" w:color="auto" w:fill="auto"/>
            <w:noWrap/>
            <w:tcMar>
              <w:top w:w="15" w:type="dxa"/>
              <w:left w:w="15" w:type="dxa"/>
              <w:right w:w="15" w:type="dxa"/>
            </w:tcMar>
            <w:vAlign w:val="bottom"/>
          </w:tcPr>
          <w:p w14:paraId="5772A995">
            <w:pPr>
              <w:pStyle w:val="34"/>
              <w:jc w:val="center"/>
            </w:pPr>
            <w:r>
              <w:t>2011</w:t>
            </w:r>
          </w:p>
        </w:tc>
        <w:tc>
          <w:tcPr>
            <w:tcW w:w="809" w:type="dxa"/>
            <w:shd w:val="clear" w:color="auto" w:fill="auto"/>
            <w:noWrap/>
            <w:tcMar>
              <w:top w:w="15" w:type="dxa"/>
              <w:left w:w="15" w:type="dxa"/>
              <w:right w:w="15" w:type="dxa"/>
            </w:tcMar>
            <w:vAlign w:val="bottom"/>
          </w:tcPr>
          <w:p w14:paraId="6B4C2927">
            <w:pPr>
              <w:pStyle w:val="34"/>
              <w:jc w:val="center"/>
            </w:pPr>
            <w:r>
              <w:t>0</w:t>
            </w:r>
          </w:p>
        </w:tc>
        <w:tc>
          <w:tcPr>
            <w:tcW w:w="809" w:type="dxa"/>
            <w:shd w:val="clear" w:color="auto" w:fill="auto"/>
            <w:noWrap/>
            <w:tcMar>
              <w:top w:w="15" w:type="dxa"/>
              <w:left w:w="15" w:type="dxa"/>
              <w:right w:w="15" w:type="dxa"/>
            </w:tcMar>
            <w:vAlign w:val="bottom"/>
          </w:tcPr>
          <w:p w14:paraId="27655C01">
            <w:pPr>
              <w:pStyle w:val="34"/>
              <w:jc w:val="center"/>
            </w:pPr>
            <w:r>
              <w:t>6</w:t>
            </w:r>
          </w:p>
        </w:tc>
        <w:tc>
          <w:tcPr>
            <w:tcW w:w="885" w:type="dxa"/>
            <w:shd w:val="clear" w:color="auto" w:fill="auto"/>
            <w:noWrap/>
            <w:tcMar>
              <w:top w:w="15" w:type="dxa"/>
              <w:left w:w="15" w:type="dxa"/>
              <w:right w:w="15" w:type="dxa"/>
            </w:tcMar>
            <w:vAlign w:val="bottom"/>
          </w:tcPr>
          <w:p w14:paraId="14AB3B1D">
            <w:pPr>
              <w:pStyle w:val="34"/>
              <w:jc w:val="center"/>
            </w:pPr>
            <w:r>
              <w:t>0</w:t>
            </w:r>
          </w:p>
        </w:tc>
        <w:tc>
          <w:tcPr>
            <w:tcW w:w="885" w:type="dxa"/>
            <w:shd w:val="clear" w:color="auto" w:fill="auto"/>
            <w:noWrap/>
            <w:tcMar>
              <w:top w:w="15" w:type="dxa"/>
              <w:left w:w="15" w:type="dxa"/>
              <w:right w:w="15" w:type="dxa"/>
            </w:tcMar>
            <w:vAlign w:val="bottom"/>
          </w:tcPr>
          <w:p w14:paraId="7E8372B4">
            <w:pPr>
              <w:pStyle w:val="34"/>
              <w:jc w:val="center"/>
            </w:pPr>
            <w:r>
              <w:t>0</w:t>
            </w:r>
          </w:p>
        </w:tc>
        <w:tc>
          <w:tcPr>
            <w:tcW w:w="809" w:type="dxa"/>
            <w:shd w:val="clear" w:color="auto" w:fill="auto"/>
            <w:noWrap/>
            <w:tcMar>
              <w:top w:w="15" w:type="dxa"/>
              <w:left w:w="15" w:type="dxa"/>
              <w:right w:w="15" w:type="dxa"/>
            </w:tcMar>
            <w:vAlign w:val="bottom"/>
          </w:tcPr>
          <w:p w14:paraId="409F31E9">
            <w:pPr>
              <w:pStyle w:val="34"/>
              <w:jc w:val="center"/>
            </w:pPr>
            <w:r>
              <w:t>0</w:t>
            </w:r>
          </w:p>
        </w:tc>
        <w:tc>
          <w:tcPr>
            <w:tcW w:w="888" w:type="dxa"/>
            <w:shd w:val="clear" w:color="auto" w:fill="auto"/>
            <w:noWrap/>
            <w:tcMar>
              <w:top w:w="15" w:type="dxa"/>
              <w:left w:w="15" w:type="dxa"/>
              <w:right w:w="15" w:type="dxa"/>
            </w:tcMar>
            <w:vAlign w:val="bottom"/>
          </w:tcPr>
          <w:p w14:paraId="64BE06F0">
            <w:pPr>
              <w:pStyle w:val="34"/>
              <w:jc w:val="center"/>
            </w:pPr>
            <w:r>
              <w:t>7536</w:t>
            </w:r>
          </w:p>
        </w:tc>
        <w:tc>
          <w:tcPr>
            <w:tcW w:w="888" w:type="dxa"/>
            <w:shd w:val="clear" w:color="auto" w:fill="auto"/>
            <w:noWrap/>
            <w:tcMar>
              <w:top w:w="15" w:type="dxa"/>
              <w:left w:w="15" w:type="dxa"/>
              <w:right w:w="15" w:type="dxa"/>
            </w:tcMar>
            <w:vAlign w:val="bottom"/>
          </w:tcPr>
          <w:p w14:paraId="0AAAC719">
            <w:pPr>
              <w:pStyle w:val="34"/>
              <w:jc w:val="center"/>
            </w:pPr>
            <w:r>
              <w:t>8388</w:t>
            </w:r>
          </w:p>
        </w:tc>
        <w:tc>
          <w:tcPr>
            <w:tcW w:w="809" w:type="dxa"/>
            <w:shd w:val="clear" w:color="auto" w:fill="auto"/>
            <w:noWrap/>
            <w:tcMar>
              <w:top w:w="15" w:type="dxa"/>
              <w:left w:w="15" w:type="dxa"/>
              <w:right w:w="15" w:type="dxa"/>
            </w:tcMar>
            <w:vAlign w:val="bottom"/>
          </w:tcPr>
          <w:p w14:paraId="0E1EB76E">
            <w:pPr>
              <w:pStyle w:val="34"/>
              <w:jc w:val="center"/>
            </w:pPr>
            <w:r>
              <w:t>852</w:t>
            </w:r>
          </w:p>
        </w:tc>
        <w:tc>
          <w:tcPr>
            <w:tcW w:w="1053" w:type="dxa"/>
            <w:tcBorders>
              <w:right w:val="nil"/>
            </w:tcBorders>
            <w:shd w:val="clear" w:color="auto" w:fill="auto"/>
            <w:noWrap/>
            <w:tcMar>
              <w:top w:w="15" w:type="dxa"/>
              <w:left w:w="15" w:type="dxa"/>
              <w:right w:w="15" w:type="dxa"/>
            </w:tcMar>
            <w:vAlign w:val="bottom"/>
          </w:tcPr>
          <w:p w14:paraId="7064EDA3">
            <w:pPr>
              <w:pStyle w:val="34"/>
              <w:jc w:val="center"/>
            </w:pPr>
            <w:r>
              <w:t>8388</w:t>
            </w:r>
          </w:p>
        </w:tc>
        <w:tc>
          <w:tcPr>
            <w:tcW w:w="1053" w:type="dxa"/>
            <w:tcBorders>
              <w:right w:val="nil"/>
            </w:tcBorders>
            <w:shd w:val="clear" w:color="auto" w:fill="auto"/>
            <w:noWrap/>
            <w:tcMar>
              <w:top w:w="15" w:type="dxa"/>
              <w:left w:w="15" w:type="dxa"/>
              <w:right w:w="15" w:type="dxa"/>
            </w:tcMar>
            <w:vAlign w:val="bottom"/>
          </w:tcPr>
          <w:p w14:paraId="45FEB748">
            <w:pPr>
              <w:pStyle w:val="34"/>
              <w:jc w:val="center"/>
            </w:pPr>
            <w:r>
              <w:rPr>
                <w:rFonts w:hint="eastAsia"/>
              </w:rPr>
              <w:t>852</w:t>
            </w:r>
          </w:p>
        </w:tc>
      </w:tr>
      <w:tr w14:paraId="4F7883F9">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888" w:type="dxa"/>
            <w:tcBorders>
              <w:left w:val="nil"/>
            </w:tcBorders>
            <w:shd w:val="clear" w:color="auto" w:fill="auto"/>
            <w:noWrap/>
            <w:tcMar>
              <w:top w:w="15" w:type="dxa"/>
              <w:left w:w="15" w:type="dxa"/>
              <w:right w:w="15" w:type="dxa"/>
            </w:tcMar>
            <w:vAlign w:val="bottom"/>
          </w:tcPr>
          <w:p w14:paraId="0E4762DA">
            <w:pPr>
              <w:pStyle w:val="34"/>
            </w:pPr>
          </w:p>
        </w:tc>
        <w:tc>
          <w:tcPr>
            <w:tcW w:w="809" w:type="dxa"/>
            <w:shd w:val="clear" w:color="auto" w:fill="auto"/>
            <w:noWrap/>
            <w:tcMar>
              <w:top w:w="15" w:type="dxa"/>
              <w:left w:w="15" w:type="dxa"/>
              <w:right w:w="15" w:type="dxa"/>
            </w:tcMar>
            <w:vAlign w:val="bottom"/>
          </w:tcPr>
          <w:p w14:paraId="1F071A77">
            <w:pPr>
              <w:pStyle w:val="34"/>
            </w:pPr>
          </w:p>
        </w:tc>
        <w:tc>
          <w:tcPr>
            <w:tcW w:w="809" w:type="dxa"/>
            <w:shd w:val="clear" w:color="auto" w:fill="auto"/>
            <w:noWrap/>
            <w:tcMar>
              <w:top w:w="15" w:type="dxa"/>
              <w:left w:w="15" w:type="dxa"/>
              <w:right w:w="15" w:type="dxa"/>
            </w:tcMar>
            <w:vAlign w:val="bottom"/>
          </w:tcPr>
          <w:p w14:paraId="05884DDA">
            <w:pPr>
              <w:pStyle w:val="34"/>
            </w:pPr>
          </w:p>
        </w:tc>
        <w:tc>
          <w:tcPr>
            <w:tcW w:w="885" w:type="dxa"/>
            <w:shd w:val="clear" w:color="auto" w:fill="auto"/>
            <w:noWrap/>
            <w:tcMar>
              <w:top w:w="15" w:type="dxa"/>
              <w:left w:w="15" w:type="dxa"/>
              <w:right w:w="15" w:type="dxa"/>
            </w:tcMar>
            <w:vAlign w:val="bottom"/>
          </w:tcPr>
          <w:p w14:paraId="0CD6A75C">
            <w:pPr>
              <w:pStyle w:val="34"/>
            </w:pPr>
          </w:p>
        </w:tc>
        <w:tc>
          <w:tcPr>
            <w:tcW w:w="885" w:type="dxa"/>
            <w:shd w:val="clear" w:color="auto" w:fill="auto"/>
            <w:noWrap/>
            <w:tcMar>
              <w:top w:w="15" w:type="dxa"/>
              <w:left w:w="15" w:type="dxa"/>
              <w:right w:w="15" w:type="dxa"/>
            </w:tcMar>
            <w:vAlign w:val="bottom"/>
          </w:tcPr>
          <w:p w14:paraId="4A30EE43">
            <w:pPr>
              <w:pStyle w:val="34"/>
            </w:pPr>
          </w:p>
        </w:tc>
        <w:tc>
          <w:tcPr>
            <w:tcW w:w="809" w:type="dxa"/>
            <w:shd w:val="clear" w:color="auto" w:fill="auto"/>
            <w:noWrap/>
            <w:tcMar>
              <w:top w:w="15" w:type="dxa"/>
              <w:left w:w="15" w:type="dxa"/>
              <w:right w:w="15" w:type="dxa"/>
            </w:tcMar>
            <w:vAlign w:val="bottom"/>
          </w:tcPr>
          <w:p w14:paraId="6A9D5F26">
            <w:pPr>
              <w:pStyle w:val="34"/>
            </w:pPr>
          </w:p>
        </w:tc>
        <w:tc>
          <w:tcPr>
            <w:tcW w:w="888" w:type="dxa"/>
            <w:shd w:val="clear" w:color="auto" w:fill="auto"/>
            <w:noWrap/>
            <w:tcMar>
              <w:top w:w="15" w:type="dxa"/>
              <w:left w:w="15" w:type="dxa"/>
              <w:right w:w="15" w:type="dxa"/>
            </w:tcMar>
            <w:vAlign w:val="bottom"/>
          </w:tcPr>
          <w:p w14:paraId="76B3C95A">
            <w:pPr>
              <w:pStyle w:val="34"/>
            </w:pPr>
          </w:p>
        </w:tc>
        <w:tc>
          <w:tcPr>
            <w:tcW w:w="888" w:type="dxa"/>
            <w:shd w:val="clear" w:color="auto" w:fill="auto"/>
            <w:noWrap/>
            <w:tcMar>
              <w:top w:w="15" w:type="dxa"/>
              <w:left w:w="15" w:type="dxa"/>
              <w:right w:w="15" w:type="dxa"/>
            </w:tcMar>
            <w:vAlign w:val="bottom"/>
          </w:tcPr>
          <w:p w14:paraId="5664688E">
            <w:pPr>
              <w:pStyle w:val="34"/>
            </w:pPr>
          </w:p>
        </w:tc>
        <w:tc>
          <w:tcPr>
            <w:tcW w:w="809" w:type="dxa"/>
            <w:shd w:val="clear" w:color="auto" w:fill="auto"/>
            <w:noWrap/>
            <w:tcMar>
              <w:top w:w="15" w:type="dxa"/>
              <w:left w:w="15" w:type="dxa"/>
              <w:right w:w="15" w:type="dxa"/>
            </w:tcMar>
            <w:vAlign w:val="bottom"/>
          </w:tcPr>
          <w:p w14:paraId="55D30FD1">
            <w:pPr>
              <w:pStyle w:val="34"/>
            </w:pPr>
          </w:p>
        </w:tc>
        <w:tc>
          <w:tcPr>
            <w:tcW w:w="1053" w:type="dxa"/>
            <w:tcBorders>
              <w:right w:val="nil"/>
            </w:tcBorders>
            <w:shd w:val="clear" w:color="auto" w:fill="auto"/>
            <w:noWrap/>
            <w:tcMar>
              <w:top w:w="15" w:type="dxa"/>
              <w:left w:w="15" w:type="dxa"/>
              <w:right w:w="15" w:type="dxa"/>
            </w:tcMar>
            <w:vAlign w:val="bottom"/>
          </w:tcPr>
          <w:p w14:paraId="1D85054E">
            <w:pPr>
              <w:pStyle w:val="34"/>
            </w:pPr>
          </w:p>
        </w:tc>
        <w:tc>
          <w:tcPr>
            <w:tcW w:w="1053" w:type="dxa"/>
            <w:tcBorders>
              <w:right w:val="nil"/>
            </w:tcBorders>
            <w:shd w:val="clear" w:color="auto" w:fill="auto"/>
            <w:noWrap/>
            <w:tcMar>
              <w:top w:w="15" w:type="dxa"/>
              <w:left w:w="15" w:type="dxa"/>
              <w:right w:w="15" w:type="dxa"/>
            </w:tcMar>
            <w:vAlign w:val="bottom"/>
          </w:tcPr>
          <w:p w14:paraId="00B331DC">
            <w:pPr>
              <w:pStyle w:val="34"/>
            </w:pPr>
          </w:p>
        </w:tc>
      </w:tr>
      <w:tr w14:paraId="3E13A882">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888" w:type="dxa"/>
            <w:tcBorders>
              <w:left w:val="nil"/>
            </w:tcBorders>
            <w:shd w:val="clear" w:color="auto" w:fill="auto"/>
            <w:noWrap/>
            <w:tcMar>
              <w:top w:w="15" w:type="dxa"/>
              <w:left w:w="15" w:type="dxa"/>
              <w:right w:w="15" w:type="dxa"/>
            </w:tcMar>
            <w:vAlign w:val="bottom"/>
          </w:tcPr>
          <w:p w14:paraId="10040FED">
            <w:pPr>
              <w:pStyle w:val="34"/>
            </w:pPr>
          </w:p>
        </w:tc>
        <w:tc>
          <w:tcPr>
            <w:tcW w:w="809" w:type="dxa"/>
            <w:shd w:val="clear" w:color="auto" w:fill="auto"/>
            <w:noWrap/>
            <w:tcMar>
              <w:top w:w="15" w:type="dxa"/>
              <w:left w:w="15" w:type="dxa"/>
              <w:right w:w="15" w:type="dxa"/>
            </w:tcMar>
            <w:vAlign w:val="bottom"/>
          </w:tcPr>
          <w:p w14:paraId="5C0E50DE">
            <w:pPr>
              <w:pStyle w:val="34"/>
            </w:pPr>
          </w:p>
        </w:tc>
        <w:tc>
          <w:tcPr>
            <w:tcW w:w="809" w:type="dxa"/>
            <w:shd w:val="clear" w:color="auto" w:fill="auto"/>
            <w:noWrap/>
            <w:tcMar>
              <w:top w:w="15" w:type="dxa"/>
              <w:left w:w="15" w:type="dxa"/>
              <w:right w:w="15" w:type="dxa"/>
            </w:tcMar>
            <w:vAlign w:val="bottom"/>
          </w:tcPr>
          <w:p w14:paraId="5EA79A52">
            <w:pPr>
              <w:pStyle w:val="34"/>
            </w:pPr>
          </w:p>
        </w:tc>
        <w:tc>
          <w:tcPr>
            <w:tcW w:w="885" w:type="dxa"/>
            <w:shd w:val="clear" w:color="auto" w:fill="auto"/>
            <w:noWrap/>
            <w:tcMar>
              <w:top w:w="15" w:type="dxa"/>
              <w:left w:w="15" w:type="dxa"/>
              <w:right w:w="15" w:type="dxa"/>
            </w:tcMar>
            <w:vAlign w:val="bottom"/>
          </w:tcPr>
          <w:p w14:paraId="79693251">
            <w:pPr>
              <w:pStyle w:val="34"/>
            </w:pPr>
          </w:p>
        </w:tc>
        <w:tc>
          <w:tcPr>
            <w:tcW w:w="885" w:type="dxa"/>
            <w:shd w:val="clear" w:color="auto" w:fill="auto"/>
            <w:noWrap/>
            <w:tcMar>
              <w:top w:w="15" w:type="dxa"/>
              <w:left w:w="15" w:type="dxa"/>
              <w:right w:w="15" w:type="dxa"/>
            </w:tcMar>
            <w:vAlign w:val="bottom"/>
          </w:tcPr>
          <w:p w14:paraId="3FABDA7D">
            <w:pPr>
              <w:pStyle w:val="34"/>
            </w:pPr>
          </w:p>
        </w:tc>
        <w:tc>
          <w:tcPr>
            <w:tcW w:w="809" w:type="dxa"/>
            <w:shd w:val="clear" w:color="auto" w:fill="auto"/>
            <w:noWrap/>
            <w:tcMar>
              <w:top w:w="15" w:type="dxa"/>
              <w:left w:w="15" w:type="dxa"/>
              <w:right w:w="15" w:type="dxa"/>
            </w:tcMar>
            <w:vAlign w:val="bottom"/>
          </w:tcPr>
          <w:p w14:paraId="08AE4551">
            <w:pPr>
              <w:pStyle w:val="34"/>
            </w:pPr>
          </w:p>
        </w:tc>
        <w:tc>
          <w:tcPr>
            <w:tcW w:w="888" w:type="dxa"/>
            <w:shd w:val="clear" w:color="auto" w:fill="auto"/>
            <w:noWrap/>
            <w:tcMar>
              <w:top w:w="15" w:type="dxa"/>
              <w:left w:w="15" w:type="dxa"/>
              <w:right w:w="15" w:type="dxa"/>
            </w:tcMar>
            <w:vAlign w:val="bottom"/>
          </w:tcPr>
          <w:p w14:paraId="09C9D6EB">
            <w:pPr>
              <w:pStyle w:val="34"/>
            </w:pPr>
          </w:p>
        </w:tc>
        <w:tc>
          <w:tcPr>
            <w:tcW w:w="888" w:type="dxa"/>
            <w:shd w:val="clear" w:color="auto" w:fill="auto"/>
            <w:noWrap/>
            <w:tcMar>
              <w:top w:w="15" w:type="dxa"/>
              <w:left w:w="15" w:type="dxa"/>
              <w:right w:w="15" w:type="dxa"/>
            </w:tcMar>
            <w:vAlign w:val="bottom"/>
          </w:tcPr>
          <w:p w14:paraId="26A7E227">
            <w:pPr>
              <w:pStyle w:val="34"/>
            </w:pPr>
          </w:p>
        </w:tc>
        <w:tc>
          <w:tcPr>
            <w:tcW w:w="809" w:type="dxa"/>
            <w:shd w:val="clear" w:color="auto" w:fill="auto"/>
            <w:noWrap/>
            <w:tcMar>
              <w:top w:w="15" w:type="dxa"/>
              <w:left w:w="15" w:type="dxa"/>
              <w:right w:w="15" w:type="dxa"/>
            </w:tcMar>
            <w:vAlign w:val="bottom"/>
          </w:tcPr>
          <w:p w14:paraId="5841F995">
            <w:pPr>
              <w:pStyle w:val="34"/>
            </w:pPr>
          </w:p>
        </w:tc>
        <w:tc>
          <w:tcPr>
            <w:tcW w:w="1053" w:type="dxa"/>
            <w:tcBorders>
              <w:right w:val="nil"/>
            </w:tcBorders>
            <w:shd w:val="clear" w:color="auto" w:fill="auto"/>
            <w:noWrap/>
            <w:tcMar>
              <w:top w:w="15" w:type="dxa"/>
              <w:left w:w="15" w:type="dxa"/>
              <w:right w:w="15" w:type="dxa"/>
            </w:tcMar>
            <w:vAlign w:val="bottom"/>
          </w:tcPr>
          <w:p w14:paraId="6EE623B6">
            <w:pPr>
              <w:pStyle w:val="34"/>
            </w:pPr>
          </w:p>
        </w:tc>
        <w:tc>
          <w:tcPr>
            <w:tcW w:w="1053" w:type="dxa"/>
            <w:tcBorders>
              <w:right w:val="nil"/>
            </w:tcBorders>
            <w:shd w:val="clear" w:color="auto" w:fill="auto"/>
            <w:noWrap/>
            <w:tcMar>
              <w:top w:w="15" w:type="dxa"/>
              <w:left w:w="15" w:type="dxa"/>
              <w:right w:w="15" w:type="dxa"/>
            </w:tcMar>
            <w:vAlign w:val="bottom"/>
          </w:tcPr>
          <w:p w14:paraId="3B65CA20">
            <w:pPr>
              <w:pStyle w:val="34"/>
            </w:pPr>
          </w:p>
        </w:tc>
      </w:tr>
      <w:tr w14:paraId="7976FCD1">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888" w:type="dxa"/>
            <w:tcBorders>
              <w:left w:val="nil"/>
            </w:tcBorders>
            <w:shd w:val="clear" w:color="auto" w:fill="auto"/>
            <w:noWrap/>
            <w:tcMar>
              <w:top w:w="15" w:type="dxa"/>
              <w:left w:w="15" w:type="dxa"/>
              <w:right w:w="15" w:type="dxa"/>
            </w:tcMar>
            <w:vAlign w:val="bottom"/>
          </w:tcPr>
          <w:p w14:paraId="0EA64615">
            <w:pPr>
              <w:ind w:firstLine="400"/>
              <w:rPr>
                <w:rFonts w:ascii="Arial" w:hAnsi="Arial" w:cs="Arial"/>
                <w:color w:val="000000"/>
                <w:sz w:val="20"/>
                <w:szCs w:val="20"/>
              </w:rPr>
            </w:pPr>
          </w:p>
        </w:tc>
        <w:tc>
          <w:tcPr>
            <w:tcW w:w="809" w:type="dxa"/>
            <w:shd w:val="clear" w:color="auto" w:fill="auto"/>
            <w:noWrap/>
            <w:tcMar>
              <w:top w:w="15" w:type="dxa"/>
              <w:left w:w="15" w:type="dxa"/>
              <w:right w:w="15" w:type="dxa"/>
            </w:tcMar>
            <w:vAlign w:val="bottom"/>
          </w:tcPr>
          <w:p w14:paraId="531BB140">
            <w:pPr>
              <w:ind w:firstLine="400"/>
              <w:rPr>
                <w:rFonts w:ascii="Arial" w:hAnsi="Arial" w:cs="Arial"/>
                <w:color w:val="000000"/>
                <w:sz w:val="20"/>
                <w:szCs w:val="20"/>
              </w:rPr>
            </w:pPr>
          </w:p>
        </w:tc>
        <w:tc>
          <w:tcPr>
            <w:tcW w:w="809" w:type="dxa"/>
            <w:shd w:val="clear" w:color="auto" w:fill="auto"/>
            <w:noWrap/>
            <w:tcMar>
              <w:top w:w="15" w:type="dxa"/>
              <w:left w:w="15" w:type="dxa"/>
              <w:right w:w="15" w:type="dxa"/>
            </w:tcMar>
            <w:vAlign w:val="bottom"/>
          </w:tcPr>
          <w:p w14:paraId="35A0D556">
            <w:pPr>
              <w:ind w:firstLine="400"/>
              <w:rPr>
                <w:rFonts w:ascii="Arial" w:hAnsi="Arial" w:cs="Arial"/>
                <w:color w:val="000000"/>
                <w:sz w:val="20"/>
                <w:szCs w:val="20"/>
              </w:rPr>
            </w:pPr>
          </w:p>
        </w:tc>
        <w:tc>
          <w:tcPr>
            <w:tcW w:w="885" w:type="dxa"/>
            <w:shd w:val="clear" w:color="auto" w:fill="auto"/>
            <w:noWrap/>
            <w:tcMar>
              <w:top w:w="15" w:type="dxa"/>
              <w:left w:w="15" w:type="dxa"/>
              <w:right w:w="15" w:type="dxa"/>
            </w:tcMar>
            <w:vAlign w:val="bottom"/>
          </w:tcPr>
          <w:p w14:paraId="66EB0D02">
            <w:pPr>
              <w:ind w:firstLine="400"/>
              <w:rPr>
                <w:rFonts w:ascii="Arial" w:hAnsi="Arial" w:cs="Arial"/>
                <w:color w:val="000000"/>
                <w:sz w:val="20"/>
                <w:szCs w:val="20"/>
              </w:rPr>
            </w:pPr>
          </w:p>
        </w:tc>
        <w:tc>
          <w:tcPr>
            <w:tcW w:w="885" w:type="dxa"/>
            <w:shd w:val="clear" w:color="auto" w:fill="auto"/>
            <w:noWrap/>
            <w:tcMar>
              <w:top w:w="15" w:type="dxa"/>
              <w:left w:w="15" w:type="dxa"/>
              <w:right w:w="15" w:type="dxa"/>
            </w:tcMar>
            <w:vAlign w:val="bottom"/>
          </w:tcPr>
          <w:p w14:paraId="51FE3F65">
            <w:pPr>
              <w:ind w:firstLine="400"/>
              <w:rPr>
                <w:rFonts w:ascii="Arial" w:hAnsi="Arial" w:cs="Arial"/>
                <w:color w:val="000000"/>
                <w:sz w:val="20"/>
                <w:szCs w:val="20"/>
              </w:rPr>
            </w:pPr>
          </w:p>
        </w:tc>
        <w:tc>
          <w:tcPr>
            <w:tcW w:w="809" w:type="dxa"/>
            <w:shd w:val="clear" w:color="auto" w:fill="auto"/>
            <w:noWrap/>
            <w:tcMar>
              <w:top w:w="15" w:type="dxa"/>
              <w:left w:w="15" w:type="dxa"/>
              <w:right w:w="15" w:type="dxa"/>
            </w:tcMar>
            <w:vAlign w:val="bottom"/>
          </w:tcPr>
          <w:p w14:paraId="73FA91E0">
            <w:pPr>
              <w:ind w:firstLine="400"/>
              <w:rPr>
                <w:rFonts w:ascii="Arial" w:hAnsi="Arial" w:cs="Arial"/>
                <w:color w:val="000000"/>
                <w:sz w:val="20"/>
                <w:szCs w:val="20"/>
              </w:rPr>
            </w:pPr>
          </w:p>
        </w:tc>
        <w:tc>
          <w:tcPr>
            <w:tcW w:w="888" w:type="dxa"/>
            <w:shd w:val="clear" w:color="auto" w:fill="auto"/>
            <w:noWrap/>
            <w:tcMar>
              <w:top w:w="15" w:type="dxa"/>
              <w:left w:w="15" w:type="dxa"/>
              <w:right w:w="15" w:type="dxa"/>
            </w:tcMar>
            <w:vAlign w:val="bottom"/>
          </w:tcPr>
          <w:p w14:paraId="4F5395F3">
            <w:pPr>
              <w:ind w:firstLine="400"/>
              <w:rPr>
                <w:rFonts w:ascii="Arial" w:hAnsi="Arial" w:cs="Arial"/>
                <w:color w:val="000000"/>
                <w:sz w:val="20"/>
                <w:szCs w:val="20"/>
              </w:rPr>
            </w:pPr>
          </w:p>
        </w:tc>
        <w:tc>
          <w:tcPr>
            <w:tcW w:w="888" w:type="dxa"/>
            <w:shd w:val="clear" w:color="auto" w:fill="auto"/>
            <w:noWrap/>
            <w:tcMar>
              <w:top w:w="15" w:type="dxa"/>
              <w:left w:w="15" w:type="dxa"/>
              <w:right w:w="15" w:type="dxa"/>
            </w:tcMar>
            <w:vAlign w:val="bottom"/>
          </w:tcPr>
          <w:p w14:paraId="0F6A7745">
            <w:pPr>
              <w:ind w:firstLine="400"/>
              <w:rPr>
                <w:rFonts w:ascii="Arial" w:hAnsi="Arial" w:cs="Arial"/>
                <w:color w:val="000000"/>
                <w:sz w:val="20"/>
                <w:szCs w:val="20"/>
              </w:rPr>
            </w:pPr>
          </w:p>
        </w:tc>
        <w:tc>
          <w:tcPr>
            <w:tcW w:w="809" w:type="dxa"/>
            <w:shd w:val="clear" w:color="auto" w:fill="auto"/>
            <w:noWrap/>
            <w:tcMar>
              <w:top w:w="15" w:type="dxa"/>
              <w:left w:w="15" w:type="dxa"/>
              <w:right w:w="15" w:type="dxa"/>
            </w:tcMar>
            <w:vAlign w:val="bottom"/>
          </w:tcPr>
          <w:p w14:paraId="0B1591D9">
            <w:pPr>
              <w:ind w:firstLine="400"/>
              <w:rPr>
                <w:rFonts w:ascii="Arial" w:hAnsi="Arial" w:cs="Arial"/>
                <w:color w:val="000000"/>
                <w:sz w:val="20"/>
                <w:szCs w:val="20"/>
              </w:rPr>
            </w:pPr>
          </w:p>
        </w:tc>
        <w:tc>
          <w:tcPr>
            <w:tcW w:w="1053" w:type="dxa"/>
            <w:tcBorders>
              <w:right w:val="nil"/>
            </w:tcBorders>
            <w:shd w:val="clear" w:color="auto" w:fill="auto"/>
            <w:noWrap/>
            <w:tcMar>
              <w:top w:w="15" w:type="dxa"/>
              <w:left w:w="15" w:type="dxa"/>
              <w:right w:w="15" w:type="dxa"/>
            </w:tcMar>
            <w:vAlign w:val="bottom"/>
          </w:tcPr>
          <w:p w14:paraId="1D8A30A4">
            <w:pPr>
              <w:ind w:firstLine="400"/>
              <w:rPr>
                <w:rFonts w:ascii="Arial" w:hAnsi="Arial" w:cs="Arial"/>
                <w:color w:val="000000"/>
                <w:sz w:val="20"/>
                <w:szCs w:val="20"/>
              </w:rPr>
            </w:pPr>
          </w:p>
        </w:tc>
        <w:tc>
          <w:tcPr>
            <w:tcW w:w="1053" w:type="dxa"/>
            <w:tcBorders>
              <w:right w:val="nil"/>
            </w:tcBorders>
            <w:shd w:val="clear" w:color="auto" w:fill="auto"/>
            <w:noWrap/>
            <w:tcMar>
              <w:top w:w="15" w:type="dxa"/>
              <w:left w:w="15" w:type="dxa"/>
              <w:right w:w="15" w:type="dxa"/>
            </w:tcMar>
            <w:vAlign w:val="bottom"/>
          </w:tcPr>
          <w:p w14:paraId="274429E6">
            <w:pPr>
              <w:ind w:firstLine="400"/>
              <w:rPr>
                <w:rFonts w:ascii="Arial" w:hAnsi="Arial" w:cs="Arial"/>
                <w:color w:val="000000"/>
                <w:sz w:val="20"/>
                <w:szCs w:val="20"/>
              </w:rPr>
            </w:pPr>
          </w:p>
        </w:tc>
      </w:tr>
      <w:tr w14:paraId="58D5ADA7">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888" w:type="dxa"/>
            <w:tcBorders>
              <w:left w:val="nil"/>
            </w:tcBorders>
            <w:shd w:val="clear" w:color="auto" w:fill="auto"/>
            <w:noWrap/>
            <w:tcMar>
              <w:top w:w="15" w:type="dxa"/>
              <w:left w:w="15" w:type="dxa"/>
              <w:right w:w="15" w:type="dxa"/>
            </w:tcMar>
            <w:vAlign w:val="bottom"/>
          </w:tcPr>
          <w:p w14:paraId="67830E56">
            <w:pPr>
              <w:ind w:firstLine="400"/>
              <w:rPr>
                <w:rFonts w:ascii="Arial" w:hAnsi="Arial" w:cs="Arial"/>
                <w:color w:val="000000"/>
                <w:sz w:val="20"/>
                <w:szCs w:val="20"/>
              </w:rPr>
            </w:pPr>
          </w:p>
        </w:tc>
        <w:tc>
          <w:tcPr>
            <w:tcW w:w="809" w:type="dxa"/>
            <w:shd w:val="clear" w:color="auto" w:fill="auto"/>
            <w:noWrap/>
            <w:tcMar>
              <w:top w:w="15" w:type="dxa"/>
              <w:left w:w="15" w:type="dxa"/>
              <w:right w:w="15" w:type="dxa"/>
            </w:tcMar>
            <w:vAlign w:val="bottom"/>
          </w:tcPr>
          <w:p w14:paraId="17F24E7B">
            <w:pPr>
              <w:ind w:firstLine="400"/>
              <w:rPr>
                <w:rFonts w:ascii="Arial" w:hAnsi="Arial" w:cs="Arial"/>
                <w:color w:val="000000"/>
                <w:sz w:val="20"/>
                <w:szCs w:val="20"/>
              </w:rPr>
            </w:pPr>
          </w:p>
        </w:tc>
        <w:tc>
          <w:tcPr>
            <w:tcW w:w="809" w:type="dxa"/>
            <w:shd w:val="clear" w:color="auto" w:fill="auto"/>
            <w:noWrap/>
            <w:tcMar>
              <w:top w:w="15" w:type="dxa"/>
              <w:left w:w="15" w:type="dxa"/>
              <w:right w:w="15" w:type="dxa"/>
            </w:tcMar>
            <w:vAlign w:val="bottom"/>
          </w:tcPr>
          <w:p w14:paraId="64732899">
            <w:pPr>
              <w:ind w:firstLine="400"/>
              <w:rPr>
                <w:rFonts w:ascii="Arial" w:hAnsi="Arial" w:cs="Arial"/>
                <w:color w:val="000000"/>
                <w:sz w:val="20"/>
                <w:szCs w:val="20"/>
              </w:rPr>
            </w:pPr>
          </w:p>
        </w:tc>
        <w:tc>
          <w:tcPr>
            <w:tcW w:w="885" w:type="dxa"/>
            <w:shd w:val="clear" w:color="auto" w:fill="auto"/>
            <w:noWrap/>
            <w:tcMar>
              <w:top w:w="15" w:type="dxa"/>
              <w:left w:w="15" w:type="dxa"/>
              <w:right w:w="15" w:type="dxa"/>
            </w:tcMar>
            <w:vAlign w:val="bottom"/>
          </w:tcPr>
          <w:p w14:paraId="57B17DF7">
            <w:pPr>
              <w:ind w:firstLine="400"/>
              <w:rPr>
                <w:rFonts w:ascii="Arial" w:hAnsi="Arial" w:cs="Arial"/>
                <w:color w:val="000000"/>
                <w:sz w:val="20"/>
                <w:szCs w:val="20"/>
              </w:rPr>
            </w:pPr>
          </w:p>
        </w:tc>
        <w:tc>
          <w:tcPr>
            <w:tcW w:w="885" w:type="dxa"/>
            <w:shd w:val="clear" w:color="auto" w:fill="auto"/>
            <w:noWrap/>
            <w:tcMar>
              <w:top w:w="15" w:type="dxa"/>
              <w:left w:w="15" w:type="dxa"/>
              <w:right w:w="15" w:type="dxa"/>
            </w:tcMar>
            <w:vAlign w:val="bottom"/>
          </w:tcPr>
          <w:p w14:paraId="7200FE33">
            <w:pPr>
              <w:ind w:firstLine="400"/>
              <w:rPr>
                <w:rFonts w:ascii="Arial" w:hAnsi="Arial" w:cs="Arial"/>
                <w:color w:val="000000"/>
                <w:sz w:val="20"/>
                <w:szCs w:val="20"/>
              </w:rPr>
            </w:pPr>
          </w:p>
        </w:tc>
        <w:tc>
          <w:tcPr>
            <w:tcW w:w="809" w:type="dxa"/>
            <w:shd w:val="clear" w:color="auto" w:fill="auto"/>
            <w:noWrap/>
            <w:tcMar>
              <w:top w:w="15" w:type="dxa"/>
              <w:left w:w="15" w:type="dxa"/>
              <w:right w:w="15" w:type="dxa"/>
            </w:tcMar>
            <w:vAlign w:val="bottom"/>
          </w:tcPr>
          <w:p w14:paraId="1D528167">
            <w:pPr>
              <w:ind w:firstLine="400"/>
              <w:rPr>
                <w:rFonts w:ascii="Arial" w:hAnsi="Arial" w:cs="Arial"/>
                <w:color w:val="000000"/>
                <w:sz w:val="20"/>
                <w:szCs w:val="20"/>
              </w:rPr>
            </w:pPr>
          </w:p>
        </w:tc>
        <w:tc>
          <w:tcPr>
            <w:tcW w:w="888" w:type="dxa"/>
            <w:shd w:val="clear" w:color="auto" w:fill="auto"/>
            <w:noWrap/>
            <w:tcMar>
              <w:top w:w="15" w:type="dxa"/>
              <w:left w:w="15" w:type="dxa"/>
              <w:right w:w="15" w:type="dxa"/>
            </w:tcMar>
            <w:vAlign w:val="bottom"/>
          </w:tcPr>
          <w:p w14:paraId="775F72D0">
            <w:pPr>
              <w:ind w:firstLine="400"/>
              <w:rPr>
                <w:rFonts w:ascii="Arial" w:hAnsi="Arial" w:cs="Arial"/>
                <w:color w:val="000000"/>
                <w:sz w:val="20"/>
                <w:szCs w:val="20"/>
              </w:rPr>
            </w:pPr>
          </w:p>
        </w:tc>
        <w:tc>
          <w:tcPr>
            <w:tcW w:w="888" w:type="dxa"/>
            <w:shd w:val="clear" w:color="auto" w:fill="auto"/>
            <w:noWrap/>
            <w:tcMar>
              <w:top w:w="15" w:type="dxa"/>
              <w:left w:w="15" w:type="dxa"/>
              <w:right w:w="15" w:type="dxa"/>
            </w:tcMar>
            <w:vAlign w:val="bottom"/>
          </w:tcPr>
          <w:p w14:paraId="1FFFB489">
            <w:pPr>
              <w:ind w:firstLine="400"/>
              <w:rPr>
                <w:rFonts w:ascii="Arial" w:hAnsi="Arial" w:cs="Arial"/>
                <w:color w:val="000000"/>
                <w:sz w:val="20"/>
                <w:szCs w:val="20"/>
              </w:rPr>
            </w:pPr>
          </w:p>
        </w:tc>
        <w:tc>
          <w:tcPr>
            <w:tcW w:w="809" w:type="dxa"/>
            <w:shd w:val="clear" w:color="auto" w:fill="auto"/>
            <w:noWrap/>
            <w:tcMar>
              <w:top w:w="15" w:type="dxa"/>
              <w:left w:w="15" w:type="dxa"/>
              <w:right w:w="15" w:type="dxa"/>
            </w:tcMar>
            <w:vAlign w:val="bottom"/>
          </w:tcPr>
          <w:p w14:paraId="1721D9B4">
            <w:pPr>
              <w:ind w:firstLine="400"/>
              <w:rPr>
                <w:rFonts w:ascii="Arial" w:hAnsi="Arial" w:cs="Arial"/>
                <w:color w:val="000000"/>
                <w:sz w:val="20"/>
                <w:szCs w:val="20"/>
              </w:rPr>
            </w:pPr>
          </w:p>
        </w:tc>
        <w:tc>
          <w:tcPr>
            <w:tcW w:w="1053" w:type="dxa"/>
            <w:tcBorders>
              <w:right w:val="nil"/>
            </w:tcBorders>
            <w:shd w:val="clear" w:color="auto" w:fill="auto"/>
            <w:noWrap/>
            <w:tcMar>
              <w:top w:w="15" w:type="dxa"/>
              <w:left w:w="15" w:type="dxa"/>
              <w:right w:w="15" w:type="dxa"/>
            </w:tcMar>
            <w:vAlign w:val="bottom"/>
          </w:tcPr>
          <w:p w14:paraId="4F39EF71">
            <w:pPr>
              <w:ind w:firstLine="400"/>
              <w:rPr>
                <w:rFonts w:ascii="Arial" w:hAnsi="Arial" w:cs="Arial"/>
                <w:color w:val="000000"/>
                <w:sz w:val="20"/>
                <w:szCs w:val="20"/>
              </w:rPr>
            </w:pPr>
          </w:p>
        </w:tc>
        <w:tc>
          <w:tcPr>
            <w:tcW w:w="1053" w:type="dxa"/>
            <w:tcBorders>
              <w:right w:val="nil"/>
            </w:tcBorders>
            <w:shd w:val="clear" w:color="auto" w:fill="auto"/>
            <w:noWrap/>
            <w:tcMar>
              <w:top w:w="15" w:type="dxa"/>
              <w:left w:w="15" w:type="dxa"/>
              <w:right w:w="15" w:type="dxa"/>
            </w:tcMar>
            <w:vAlign w:val="bottom"/>
          </w:tcPr>
          <w:p w14:paraId="2D629251">
            <w:pPr>
              <w:ind w:firstLine="400"/>
              <w:rPr>
                <w:rFonts w:ascii="Arial" w:hAnsi="Arial" w:cs="Arial"/>
                <w:color w:val="000000"/>
                <w:sz w:val="20"/>
                <w:szCs w:val="20"/>
              </w:rPr>
            </w:pPr>
          </w:p>
        </w:tc>
      </w:tr>
    </w:tbl>
    <w:p w14:paraId="37F41741">
      <w:pPr>
        <w:ind w:firstLine="422"/>
        <w:jc w:val="right"/>
        <w:rPr>
          <w:b/>
          <w:bCs/>
        </w:rPr>
      </w:pPr>
    </w:p>
    <w:p w14:paraId="69438FEE">
      <w:pPr>
        <w:ind w:firstLine="422"/>
        <w:jc w:val="center"/>
        <w:rPr>
          <w:b/>
          <w:bCs/>
        </w:rPr>
      </w:pPr>
      <w:r>
        <w:rPr>
          <w:rFonts w:hint="eastAsia"/>
          <w:b/>
          <w:bCs/>
        </w:rPr>
        <w:t>表12 韶关水文分局管辖的降水量站点一览表</w:t>
      </w:r>
    </w:p>
    <w:tbl>
      <w:tblPr>
        <w:tblStyle w:val="14"/>
        <w:tblW w:w="9985" w:type="dxa"/>
        <w:tblInd w:w="0" w:type="dxa"/>
        <w:tblBorders>
          <w:top w:val="single" w:color="auto" w:sz="4" w:space="0"/>
          <w:left w:val="none" w:color="auto" w:sz="4" w:space="0"/>
          <w:bottom w:val="single" w:color="auto" w:sz="4" w:space="0"/>
          <w:right w:val="none" w:color="auto" w:sz="4" w:space="0"/>
          <w:insideH w:val="single" w:color="auto" w:sz="4" w:space="0"/>
          <w:insideV w:val="single" w:color="auto" w:sz="4" w:space="0"/>
        </w:tblBorders>
        <w:tblLayout w:type="fixed"/>
        <w:tblCellMar>
          <w:top w:w="0" w:type="dxa"/>
          <w:left w:w="0" w:type="dxa"/>
          <w:bottom w:w="0" w:type="dxa"/>
          <w:right w:w="0" w:type="dxa"/>
        </w:tblCellMar>
      </w:tblPr>
      <w:tblGrid>
        <w:gridCol w:w="766"/>
        <w:gridCol w:w="767"/>
        <w:gridCol w:w="1306"/>
        <w:gridCol w:w="4970"/>
        <w:gridCol w:w="1201"/>
        <w:gridCol w:w="975"/>
      </w:tblGrid>
      <w:tr w14:paraId="2BE80FB8">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766" w:type="dxa"/>
            <w:tcBorders>
              <w:left w:val="nil"/>
            </w:tcBorders>
            <w:shd w:val="clear" w:color="auto" w:fill="auto"/>
            <w:noWrap/>
            <w:tcMar>
              <w:top w:w="15" w:type="dxa"/>
              <w:left w:w="15" w:type="dxa"/>
              <w:right w:w="15" w:type="dxa"/>
            </w:tcMar>
            <w:vAlign w:val="bottom"/>
          </w:tcPr>
          <w:p w14:paraId="0DE01E7E">
            <w:pPr>
              <w:pStyle w:val="34"/>
              <w:jc w:val="center"/>
              <w:rPr>
                <w:b/>
                <w:bCs/>
              </w:rPr>
            </w:pPr>
            <w:r>
              <w:rPr>
                <w:b/>
                <w:bCs/>
              </w:rPr>
              <w:t>水系</w:t>
            </w:r>
          </w:p>
        </w:tc>
        <w:tc>
          <w:tcPr>
            <w:tcW w:w="767" w:type="dxa"/>
            <w:shd w:val="clear" w:color="auto" w:fill="auto"/>
            <w:noWrap/>
            <w:tcMar>
              <w:top w:w="15" w:type="dxa"/>
              <w:left w:w="15" w:type="dxa"/>
              <w:right w:w="15" w:type="dxa"/>
            </w:tcMar>
            <w:vAlign w:val="bottom"/>
          </w:tcPr>
          <w:p w14:paraId="0FC516EC">
            <w:pPr>
              <w:pStyle w:val="34"/>
              <w:jc w:val="center"/>
              <w:rPr>
                <w:b/>
                <w:bCs/>
              </w:rPr>
            </w:pPr>
            <w:r>
              <w:rPr>
                <w:b/>
                <w:bCs/>
              </w:rPr>
              <w:t>河名</w:t>
            </w:r>
          </w:p>
        </w:tc>
        <w:tc>
          <w:tcPr>
            <w:tcW w:w="1306" w:type="dxa"/>
            <w:shd w:val="clear" w:color="auto" w:fill="auto"/>
            <w:noWrap/>
            <w:tcMar>
              <w:top w:w="15" w:type="dxa"/>
              <w:left w:w="15" w:type="dxa"/>
              <w:right w:w="15" w:type="dxa"/>
            </w:tcMar>
            <w:vAlign w:val="bottom"/>
          </w:tcPr>
          <w:p w14:paraId="7B1EED79">
            <w:pPr>
              <w:pStyle w:val="34"/>
              <w:jc w:val="center"/>
              <w:rPr>
                <w:b/>
                <w:bCs/>
              </w:rPr>
            </w:pPr>
            <w:r>
              <w:rPr>
                <w:b/>
                <w:bCs/>
              </w:rPr>
              <w:t>流入何处</w:t>
            </w:r>
          </w:p>
        </w:tc>
        <w:tc>
          <w:tcPr>
            <w:tcW w:w="4970" w:type="dxa"/>
            <w:shd w:val="clear" w:color="auto" w:fill="auto"/>
            <w:noWrap/>
            <w:tcMar>
              <w:top w:w="15" w:type="dxa"/>
              <w:left w:w="15" w:type="dxa"/>
              <w:right w:w="15" w:type="dxa"/>
            </w:tcMar>
            <w:vAlign w:val="bottom"/>
          </w:tcPr>
          <w:p w14:paraId="555F2C79">
            <w:pPr>
              <w:pStyle w:val="34"/>
              <w:jc w:val="center"/>
              <w:rPr>
                <w:b/>
                <w:bCs/>
              </w:rPr>
            </w:pPr>
            <w:r>
              <w:rPr>
                <w:b/>
                <w:bCs/>
              </w:rPr>
              <w:t>站名</w:t>
            </w:r>
          </w:p>
        </w:tc>
        <w:tc>
          <w:tcPr>
            <w:tcW w:w="1201" w:type="dxa"/>
            <w:shd w:val="clear" w:color="auto" w:fill="auto"/>
            <w:noWrap/>
            <w:tcMar>
              <w:top w:w="15" w:type="dxa"/>
              <w:left w:w="15" w:type="dxa"/>
              <w:right w:w="15" w:type="dxa"/>
            </w:tcMar>
            <w:vAlign w:val="bottom"/>
          </w:tcPr>
          <w:p w14:paraId="303278C4">
            <w:pPr>
              <w:pStyle w:val="34"/>
              <w:jc w:val="center"/>
              <w:rPr>
                <w:b/>
                <w:bCs/>
              </w:rPr>
            </w:pPr>
            <w:r>
              <w:rPr>
                <w:b/>
                <w:bCs/>
              </w:rPr>
              <w:t>站别</w:t>
            </w:r>
          </w:p>
        </w:tc>
        <w:tc>
          <w:tcPr>
            <w:tcW w:w="975" w:type="dxa"/>
            <w:tcBorders>
              <w:right w:val="nil"/>
            </w:tcBorders>
            <w:shd w:val="clear" w:color="auto" w:fill="auto"/>
            <w:noWrap/>
            <w:tcMar>
              <w:top w:w="15" w:type="dxa"/>
              <w:left w:w="15" w:type="dxa"/>
              <w:right w:w="15" w:type="dxa"/>
            </w:tcMar>
            <w:vAlign w:val="bottom"/>
          </w:tcPr>
          <w:p w14:paraId="40E18882">
            <w:pPr>
              <w:pStyle w:val="34"/>
              <w:jc w:val="center"/>
              <w:rPr>
                <w:b/>
                <w:bCs/>
              </w:rPr>
            </w:pPr>
            <w:r>
              <w:rPr>
                <w:b/>
                <w:bCs/>
              </w:rPr>
              <w:t>备注</w:t>
            </w:r>
          </w:p>
        </w:tc>
      </w:tr>
      <w:tr w14:paraId="6021D11A">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766" w:type="dxa"/>
            <w:tcBorders>
              <w:left w:val="nil"/>
            </w:tcBorders>
            <w:shd w:val="clear" w:color="auto" w:fill="auto"/>
            <w:noWrap/>
            <w:tcMar>
              <w:top w:w="15" w:type="dxa"/>
              <w:left w:w="15" w:type="dxa"/>
              <w:right w:w="15" w:type="dxa"/>
            </w:tcMar>
            <w:vAlign w:val="bottom"/>
          </w:tcPr>
          <w:p w14:paraId="2CA5055A">
            <w:pPr>
              <w:pStyle w:val="34"/>
            </w:pPr>
            <w:r>
              <w:t>北江</w:t>
            </w:r>
          </w:p>
        </w:tc>
        <w:tc>
          <w:tcPr>
            <w:tcW w:w="767" w:type="dxa"/>
            <w:shd w:val="clear" w:color="auto" w:fill="auto"/>
            <w:noWrap/>
            <w:tcMar>
              <w:top w:w="15" w:type="dxa"/>
              <w:left w:w="15" w:type="dxa"/>
              <w:right w:w="15" w:type="dxa"/>
            </w:tcMar>
            <w:vAlign w:val="bottom"/>
          </w:tcPr>
          <w:p w14:paraId="5971068B">
            <w:pPr>
              <w:pStyle w:val="34"/>
            </w:pPr>
            <w:r>
              <w:t>浈江</w:t>
            </w:r>
          </w:p>
        </w:tc>
        <w:tc>
          <w:tcPr>
            <w:tcW w:w="1306" w:type="dxa"/>
            <w:shd w:val="clear" w:color="auto" w:fill="auto"/>
            <w:noWrap/>
            <w:tcMar>
              <w:top w:w="15" w:type="dxa"/>
              <w:left w:w="15" w:type="dxa"/>
              <w:right w:w="15" w:type="dxa"/>
            </w:tcMar>
            <w:vAlign w:val="bottom"/>
          </w:tcPr>
          <w:p w14:paraId="4B30F1AA">
            <w:pPr>
              <w:pStyle w:val="34"/>
            </w:pPr>
            <w:r>
              <w:t>珠江三角洲</w:t>
            </w:r>
          </w:p>
        </w:tc>
        <w:tc>
          <w:tcPr>
            <w:tcW w:w="4970" w:type="dxa"/>
            <w:shd w:val="clear" w:color="auto" w:fill="auto"/>
            <w:noWrap/>
            <w:tcMar>
              <w:top w:w="15" w:type="dxa"/>
              <w:left w:w="15" w:type="dxa"/>
              <w:right w:w="15" w:type="dxa"/>
            </w:tcMar>
            <w:vAlign w:val="bottom"/>
          </w:tcPr>
          <w:p w14:paraId="3303D7A2">
            <w:pPr>
              <w:pStyle w:val="34"/>
              <w:jc w:val="left"/>
            </w:pPr>
            <w:r>
              <w:t>横江水库、乌迳、中坪水库、澜河、瀑布水库、百顺口、雄州、孔江水库、大源水库、南埔</w:t>
            </w:r>
          </w:p>
        </w:tc>
        <w:tc>
          <w:tcPr>
            <w:tcW w:w="1201" w:type="dxa"/>
            <w:shd w:val="clear" w:color="auto" w:fill="auto"/>
            <w:noWrap/>
            <w:tcMar>
              <w:top w:w="15" w:type="dxa"/>
              <w:left w:w="15" w:type="dxa"/>
              <w:right w:w="15" w:type="dxa"/>
            </w:tcMar>
            <w:vAlign w:val="bottom"/>
          </w:tcPr>
          <w:p w14:paraId="0351B4B9">
            <w:pPr>
              <w:pStyle w:val="34"/>
              <w:jc w:val="center"/>
            </w:pPr>
            <w:r>
              <w:t>水文</w:t>
            </w:r>
          </w:p>
        </w:tc>
        <w:tc>
          <w:tcPr>
            <w:tcW w:w="975" w:type="dxa"/>
            <w:tcBorders>
              <w:right w:val="nil"/>
            </w:tcBorders>
            <w:shd w:val="clear" w:color="auto" w:fill="auto"/>
            <w:noWrap/>
            <w:tcMar>
              <w:top w:w="15" w:type="dxa"/>
              <w:left w:w="15" w:type="dxa"/>
              <w:right w:w="15" w:type="dxa"/>
            </w:tcMar>
            <w:vAlign w:val="bottom"/>
          </w:tcPr>
          <w:p w14:paraId="465074FB">
            <w:pPr>
              <w:pStyle w:val="34"/>
              <w:jc w:val="center"/>
            </w:pPr>
          </w:p>
        </w:tc>
      </w:tr>
    </w:tbl>
    <w:p w14:paraId="47EAB5EE">
      <w:pPr>
        <w:ind w:firstLine="422"/>
        <w:jc w:val="center"/>
        <w:rPr>
          <w:b/>
          <w:bCs/>
        </w:rPr>
      </w:pPr>
    </w:p>
    <w:p w14:paraId="64764508">
      <w:pPr>
        <w:ind w:firstLine="422"/>
        <w:jc w:val="center"/>
        <w:rPr>
          <w:b/>
          <w:bCs/>
        </w:rPr>
      </w:pPr>
      <w:r>
        <w:rPr>
          <w:rFonts w:hint="eastAsia"/>
          <w:b/>
          <w:bCs/>
        </w:rPr>
        <w:t>表13 韶关市水环境监测站点一览表</w:t>
      </w:r>
    </w:p>
    <w:tbl>
      <w:tblPr>
        <w:tblStyle w:val="14"/>
        <w:tblW w:w="0" w:type="auto"/>
        <w:tblInd w:w="0" w:type="dxa"/>
        <w:tblBorders>
          <w:top w:val="single" w:color="auto" w:sz="4" w:space="0"/>
          <w:left w:val="none" w:color="auto" w:sz="4" w:space="0"/>
          <w:bottom w:val="single" w:color="auto" w:sz="4" w:space="0"/>
          <w:right w:val="none" w:color="auto" w:sz="4" w:space="0"/>
          <w:insideH w:val="single" w:color="auto" w:sz="4" w:space="0"/>
          <w:insideV w:val="single" w:color="auto" w:sz="4" w:space="0"/>
        </w:tblBorders>
        <w:tblLayout w:type="autofit"/>
        <w:tblCellMar>
          <w:top w:w="0" w:type="dxa"/>
          <w:left w:w="0" w:type="dxa"/>
          <w:bottom w:w="0" w:type="dxa"/>
          <w:right w:w="0" w:type="dxa"/>
        </w:tblCellMar>
      </w:tblPr>
      <w:tblGrid>
        <w:gridCol w:w="452"/>
        <w:gridCol w:w="452"/>
        <w:gridCol w:w="1080"/>
        <w:gridCol w:w="1710"/>
        <w:gridCol w:w="870"/>
        <w:gridCol w:w="4440"/>
      </w:tblGrid>
      <w:tr w14:paraId="21FBE18B">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0" w:type="auto"/>
            <w:tcBorders>
              <w:left w:val="nil"/>
            </w:tcBorders>
            <w:shd w:val="clear" w:color="auto" w:fill="auto"/>
            <w:noWrap/>
            <w:tcMar>
              <w:top w:w="15" w:type="dxa"/>
              <w:left w:w="15" w:type="dxa"/>
              <w:right w:w="15" w:type="dxa"/>
            </w:tcMar>
            <w:vAlign w:val="bottom"/>
          </w:tcPr>
          <w:p w14:paraId="21A9E560">
            <w:pPr>
              <w:pStyle w:val="34"/>
              <w:jc w:val="center"/>
              <w:rPr>
                <w:b/>
                <w:bCs/>
              </w:rPr>
            </w:pPr>
            <w:r>
              <w:rPr>
                <w:b/>
                <w:bCs/>
              </w:rPr>
              <w:t>水系</w:t>
            </w:r>
          </w:p>
        </w:tc>
        <w:tc>
          <w:tcPr>
            <w:tcW w:w="0" w:type="auto"/>
            <w:shd w:val="clear" w:color="auto" w:fill="auto"/>
            <w:noWrap/>
            <w:tcMar>
              <w:top w:w="15" w:type="dxa"/>
              <w:left w:w="15" w:type="dxa"/>
              <w:right w:w="15" w:type="dxa"/>
            </w:tcMar>
            <w:vAlign w:val="bottom"/>
          </w:tcPr>
          <w:p w14:paraId="7AB5B446">
            <w:pPr>
              <w:pStyle w:val="34"/>
              <w:jc w:val="center"/>
              <w:rPr>
                <w:b/>
                <w:bCs/>
              </w:rPr>
            </w:pPr>
            <w:r>
              <w:rPr>
                <w:b/>
                <w:bCs/>
              </w:rPr>
              <w:t>河名</w:t>
            </w:r>
          </w:p>
        </w:tc>
        <w:tc>
          <w:tcPr>
            <w:tcW w:w="0" w:type="auto"/>
            <w:shd w:val="clear" w:color="auto" w:fill="auto"/>
            <w:noWrap/>
            <w:tcMar>
              <w:top w:w="15" w:type="dxa"/>
              <w:left w:w="15" w:type="dxa"/>
              <w:right w:w="15" w:type="dxa"/>
            </w:tcMar>
            <w:vAlign w:val="bottom"/>
          </w:tcPr>
          <w:p w14:paraId="4605A59D">
            <w:pPr>
              <w:pStyle w:val="34"/>
              <w:jc w:val="center"/>
              <w:rPr>
                <w:b/>
                <w:bCs/>
              </w:rPr>
            </w:pPr>
            <w:r>
              <w:rPr>
                <w:b/>
                <w:bCs/>
              </w:rPr>
              <w:t>流入何处</w:t>
            </w:r>
          </w:p>
        </w:tc>
        <w:tc>
          <w:tcPr>
            <w:tcW w:w="0" w:type="auto"/>
            <w:shd w:val="clear" w:color="auto" w:fill="auto"/>
            <w:noWrap/>
            <w:tcMar>
              <w:top w:w="15" w:type="dxa"/>
              <w:left w:w="15" w:type="dxa"/>
              <w:right w:w="15" w:type="dxa"/>
            </w:tcMar>
            <w:vAlign w:val="bottom"/>
          </w:tcPr>
          <w:p w14:paraId="2408AF99">
            <w:pPr>
              <w:pStyle w:val="34"/>
              <w:jc w:val="center"/>
              <w:rPr>
                <w:b/>
                <w:bCs/>
              </w:rPr>
            </w:pPr>
            <w:r>
              <w:rPr>
                <w:b/>
                <w:bCs/>
              </w:rPr>
              <w:t>站名</w:t>
            </w:r>
          </w:p>
        </w:tc>
        <w:tc>
          <w:tcPr>
            <w:tcW w:w="0" w:type="auto"/>
            <w:shd w:val="clear" w:color="auto" w:fill="auto"/>
            <w:noWrap/>
            <w:tcMar>
              <w:top w:w="15" w:type="dxa"/>
              <w:left w:w="15" w:type="dxa"/>
              <w:right w:w="15" w:type="dxa"/>
            </w:tcMar>
            <w:vAlign w:val="bottom"/>
          </w:tcPr>
          <w:p w14:paraId="50079D65">
            <w:pPr>
              <w:pStyle w:val="34"/>
              <w:jc w:val="center"/>
              <w:rPr>
                <w:b/>
                <w:bCs/>
              </w:rPr>
            </w:pPr>
            <w:r>
              <w:rPr>
                <w:b/>
                <w:bCs/>
              </w:rPr>
              <w:t>站别</w:t>
            </w:r>
          </w:p>
        </w:tc>
        <w:tc>
          <w:tcPr>
            <w:tcW w:w="0" w:type="auto"/>
            <w:tcBorders>
              <w:right w:val="nil"/>
            </w:tcBorders>
            <w:shd w:val="clear" w:color="auto" w:fill="auto"/>
            <w:noWrap/>
            <w:tcMar>
              <w:top w:w="15" w:type="dxa"/>
              <w:left w:w="15" w:type="dxa"/>
              <w:right w:w="15" w:type="dxa"/>
            </w:tcMar>
            <w:vAlign w:val="bottom"/>
          </w:tcPr>
          <w:p w14:paraId="26577224">
            <w:pPr>
              <w:pStyle w:val="34"/>
              <w:jc w:val="center"/>
              <w:rPr>
                <w:b/>
                <w:bCs/>
              </w:rPr>
            </w:pPr>
            <w:r>
              <w:rPr>
                <w:b/>
                <w:bCs/>
              </w:rPr>
              <w:t>监测断面</w:t>
            </w:r>
          </w:p>
        </w:tc>
      </w:tr>
      <w:tr w14:paraId="06F78139">
        <w:tblPrEx>
          <w:tblBorders>
            <w:top w:val="single" w:color="auto" w:sz="4" w:space="0"/>
            <w:left w:val="none" w:color="auto" w:sz="4" w:space="0"/>
            <w:bottom w:val="single" w:color="auto" w:sz="4" w:space="0"/>
            <w:right w:val="non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0" w:type="auto"/>
            <w:tcBorders>
              <w:left w:val="nil"/>
            </w:tcBorders>
            <w:shd w:val="clear" w:color="auto" w:fill="auto"/>
            <w:noWrap/>
            <w:tcMar>
              <w:top w:w="15" w:type="dxa"/>
              <w:left w:w="15" w:type="dxa"/>
              <w:right w:w="15" w:type="dxa"/>
            </w:tcMar>
            <w:vAlign w:val="bottom"/>
          </w:tcPr>
          <w:p w14:paraId="6BDA1550">
            <w:pPr>
              <w:pStyle w:val="34"/>
            </w:pPr>
            <w:r>
              <w:t>北江</w:t>
            </w:r>
          </w:p>
        </w:tc>
        <w:tc>
          <w:tcPr>
            <w:tcW w:w="0" w:type="auto"/>
            <w:shd w:val="clear" w:color="auto" w:fill="auto"/>
            <w:noWrap/>
            <w:tcMar>
              <w:top w:w="15" w:type="dxa"/>
              <w:left w:w="15" w:type="dxa"/>
              <w:right w:w="15" w:type="dxa"/>
            </w:tcMar>
            <w:vAlign w:val="bottom"/>
          </w:tcPr>
          <w:p w14:paraId="77D62400">
            <w:pPr>
              <w:pStyle w:val="34"/>
            </w:pPr>
            <w:r>
              <w:t>浈江</w:t>
            </w:r>
          </w:p>
        </w:tc>
        <w:tc>
          <w:tcPr>
            <w:tcW w:w="0" w:type="auto"/>
            <w:shd w:val="clear" w:color="auto" w:fill="auto"/>
            <w:noWrap/>
            <w:tcMar>
              <w:top w:w="15" w:type="dxa"/>
              <w:left w:w="15" w:type="dxa"/>
              <w:right w:w="15" w:type="dxa"/>
            </w:tcMar>
            <w:vAlign w:val="bottom"/>
          </w:tcPr>
          <w:p w14:paraId="53A7BB1E">
            <w:pPr>
              <w:pStyle w:val="34"/>
            </w:pPr>
            <w:r>
              <w:t>珠江三角洲</w:t>
            </w:r>
          </w:p>
        </w:tc>
        <w:tc>
          <w:tcPr>
            <w:tcW w:w="0" w:type="auto"/>
            <w:shd w:val="clear" w:color="auto" w:fill="auto"/>
            <w:noWrap/>
            <w:tcMar>
              <w:top w:w="15" w:type="dxa"/>
              <w:left w:w="15" w:type="dxa"/>
              <w:right w:w="15" w:type="dxa"/>
            </w:tcMar>
            <w:vAlign w:val="bottom"/>
          </w:tcPr>
          <w:p w14:paraId="05A67E70">
            <w:pPr>
              <w:pStyle w:val="34"/>
            </w:pPr>
            <w:r>
              <w:t>界址镇、瀑布水库</w:t>
            </w:r>
          </w:p>
        </w:tc>
        <w:tc>
          <w:tcPr>
            <w:tcW w:w="0" w:type="auto"/>
            <w:shd w:val="clear" w:color="auto" w:fill="auto"/>
            <w:noWrap/>
            <w:tcMar>
              <w:top w:w="15" w:type="dxa"/>
              <w:left w:w="15" w:type="dxa"/>
              <w:right w:w="15" w:type="dxa"/>
            </w:tcMar>
            <w:vAlign w:val="bottom"/>
          </w:tcPr>
          <w:p w14:paraId="1E841A1C">
            <w:pPr>
              <w:pStyle w:val="34"/>
            </w:pPr>
            <w:r>
              <w:t>水质监测</w:t>
            </w:r>
          </w:p>
        </w:tc>
        <w:tc>
          <w:tcPr>
            <w:tcW w:w="0" w:type="auto"/>
            <w:tcBorders>
              <w:right w:val="nil"/>
            </w:tcBorders>
            <w:shd w:val="clear" w:color="auto" w:fill="auto"/>
            <w:noWrap/>
            <w:tcMar>
              <w:top w:w="15" w:type="dxa"/>
              <w:left w:w="15" w:type="dxa"/>
              <w:right w:w="15" w:type="dxa"/>
            </w:tcMar>
            <w:vAlign w:val="bottom"/>
          </w:tcPr>
          <w:p w14:paraId="0F04CCE8">
            <w:pPr>
              <w:pStyle w:val="34"/>
            </w:pPr>
            <w:r>
              <w:t>河坪、判官塘、河南桥、凌江口、修仁、古市墟</w:t>
            </w:r>
          </w:p>
        </w:tc>
      </w:tr>
    </w:tbl>
    <w:p w14:paraId="3C63F3D2">
      <w:pPr>
        <w:ind w:firstLine="420"/>
        <w:jc w:val="center"/>
      </w:pPr>
    </w:p>
    <w:p w14:paraId="61ADC4D2">
      <w:pPr>
        <w:ind w:firstLine="420"/>
        <w:jc w:val="right"/>
      </w:pPr>
      <w:r>
        <w:rPr>
          <w:rFonts w:hint="eastAsia"/>
        </w:rPr>
        <w:t>（张熙宁）</w:t>
      </w:r>
    </w:p>
    <w:p w14:paraId="7447DB16">
      <w:pPr>
        <w:ind w:firstLine="0" w:firstLineChars="0"/>
        <w:rPr>
          <w:b/>
          <w:bCs/>
        </w:rPr>
      </w:pPr>
      <w:r>
        <w:rPr>
          <w:rFonts w:hint="eastAsia"/>
          <w:b/>
          <w:bCs/>
        </w:rPr>
        <w:t>附：2011年市水利局领导班子成员名单：</w:t>
      </w:r>
    </w:p>
    <w:p w14:paraId="2F0351D4">
      <w:pPr>
        <w:ind w:firstLine="0" w:firstLineChars="0"/>
      </w:pPr>
      <w:r>
        <w:rPr>
          <w:rFonts w:hint="eastAsia"/>
        </w:rPr>
        <w:t>局  长：何启林</w:t>
      </w:r>
    </w:p>
    <w:p w14:paraId="08DBFE1B">
      <w:pPr>
        <w:ind w:firstLine="0" w:firstLineChars="0"/>
      </w:pPr>
      <w:r>
        <w:rPr>
          <w:rFonts w:hint="eastAsia"/>
        </w:rPr>
        <w:t>副局长：何金生 刘伟凡 阳良芯</w:t>
      </w:r>
    </w:p>
    <w:p w14:paraId="2BBEF4AD">
      <w:pPr>
        <w:ind w:firstLine="0" w:firstLineChars="0"/>
      </w:pPr>
      <w:r>
        <w:rPr>
          <w:rFonts w:hint="eastAsia"/>
        </w:rPr>
        <w:t>工会主席：董圣水</w:t>
      </w:r>
    </w:p>
    <w:p w14:paraId="5C29017C">
      <w:pPr>
        <w:ind w:firstLine="0" w:firstLineChars="0"/>
      </w:pPr>
      <w:r>
        <w:rPr>
          <w:rFonts w:hint="eastAsia"/>
        </w:rPr>
        <w:t>纪检组长：龚甫团</w:t>
      </w:r>
    </w:p>
    <w:p w14:paraId="1663CC39">
      <w:pPr>
        <w:pStyle w:val="3"/>
      </w:pPr>
      <w:r>
        <w:rPr>
          <w:rFonts w:hint="eastAsia"/>
        </w:rPr>
        <w:t>气象</w:t>
      </w:r>
    </w:p>
    <w:p w14:paraId="1EA4D915">
      <w:pPr>
        <w:pStyle w:val="4"/>
      </w:pPr>
      <w:r>
        <w:rPr>
          <w:rFonts w:hint="eastAsia"/>
        </w:rPr>
        <w:t>【概况】</w:t>
      </w:r>
    </w:p>
    <w:p w14:paraId="07F11F88">
      <w:pPr>
        <w:ind w:firstLine="420"/>
      </w:pPr>
      <w:r>
        <w:rPr>
          <w:rFonts w:hint="eastAsia"/>
        </w:rPr>
        <w:t>2011年平均气温19.8℃，与历年持平，最高气温37.7℃，最低-0.1℃，年降雨量1254.1mm，比历年偏少296.7mm，年日照时数1645.4小时，与历年持平，1月12日出现雨雪天气，对我市的黄烟、蔬莱等冬季农作物生长较为不利。12月11日20-23时出现月全食天气奇观。全年未出现明显气象灾害，基本上风调雨顺，属于比较好的年景。</w:t>
      </w:r>
    </w:p>
    <w:p w14:paraId="24E2682A">
      <w:pPr>
        <w:pStyle w:val="4"/>
      </w:pPr>
      <w:r>
        <w:rPr>
          <w:rFonts w:hint="eastAsia"/>
        </w:rPr>
        <w:t>【气象设施建设】</w:t>
      </w:r>
    </w:p>
    <w:p w14:paraId="116C9B7C">
      <w:pPr>
        <w:ind w:firstLine="420"/>
      </w:pPr>
    </w:p>
    <w:p w14:paraId="153B5144">
      <w:pPr>
        <w:ind w:firstLine="420"/>
      </w:pPr>
      <w:r>
        <w:rPr>
          <w:rFonts w:hint="eastAsia"/>
        </w:rPr>
        <w:t>2011年南雄市气象局安装一部土壤湿度自动观测仪和一部GPS水分观测仪，投入40万元进行基础设施和环境综合整治，装修单身宿舍，建好篮球场。</w:t>
      </w:r>
    </w:p>
    <w:p w14:paraId="61CC48C3">
      <w:pPr>
        <w:pStyle w:val="4"/>
      </w:pPr>
      <w:r>
        <w:rPr>
          <w:rFonts w:hint="eastAsia"/>
        </w:rPr>
        <w:t>【依法行政】</w:t>
      </w:r>
    </w:p>
    <w:p w14:paraId="45FF747A">
      <w:pPr>
        <w:ind w:firstLine="420"/>
      </w:pPr>
      <w:r>
        <w:rPr>
          <w:rFonts w:hint="eastAsia"/>
        </w:rPr>
        <w:t>落实行政执法责任制，规范气象行政许可和行政审批工作。南雄市气象局行政服务中心窗口被</w:t>
      </w:r>
      <w:r>
        <w:rPr>
          <w:rFonts w:hint="eastAsia"/>
          <w:lang w:eastAsia="zh-CN"/>
        </w:rPr>
        <w:t>市委市政府</w:t>
      </w:r>
      <w:r>
        <w:rPr>
          <w:rFonts w:hint="eastAsia"/>
        </w:rPr>
        <w:t>评为“优质服务窗口”。落实防雷定期检测制度，全年完成新旧建筑物检测和竣工验收284辖的降水量站点一览表测水质监测站点一览表监测断面河坪、判官塘、河南桥、凌江口、修仁、古市墟张熙宁）栋（新建筑物4栋，旧建筑物190栋），审核建筑施工防雷图纸36份。雷击风险评估单位5家。报建55宗（工业园30宗）。探测环境保护得到落实，为南雄市精细化工园区建设做好防雷安全工作。</w:t>
      </w:r>
    </w:p>
    <w:p w14:paraId="27B62944">
      <w:pPr>
        <w:pStyle w:val="4"/>
      </w:pPr>
      <w:r>
        <w:rPr>
          <w:rFonts w:hint="eastAsia"/>
        </w:rPr>
        <w:t>【精神文明建设】</w:t>
      </w:r>
    </w:p>
    <w:p w14:paraId="1C6852FF">
      <w:pPr>
        <w:ind w:firstLine="420"/>
      </w:pPr>
      <w:r>
        <w:rPr>
          <w:rFonts w:hint="eastAsia"/>
        </w:rPr>
        <w:t>按照市委部署，开展“深入学习实践科学发展观”活动以及“履行职责，加快发展年”活动，开展“纪律教育月”学习活动。党组织建设得到加强，陈建文参加入党积极分子培训学习，卓玉平、邬琰元向党组织递交入党申请书。党支部被评为农口系统“先进党支部”。单位、干部职工为扶贫济困日共捐款5900元，党员互助金捐款650元；做好“扶贫双到”工作。                                        （吴达鸿）</w:t>
      </w:r>
    </w:p>
    <w:p w14:paraId="6124EB52">
      <w:pPr>
        <w:ind w:firstLine="0" w:firstLineChars="0"/>
        <w:rPr>
          <w:b/>
          <w:bCs/>
        </w:rPr>
      </w:pPr>
      <w:r>
        <w:rPr>
          <w:rFonts w:hint="eastAsia"/>
          <w:b/>
          <w:bCs/>
        </w:rPr>
        <w:t>附：2010年市气象局领导班子成员名单</w:t>
      </w:r>
    </w:p>
    <w:p w14:paraId="3E780B8D">
      <w:pPr>
        <w:ind w:firstLine="0" w:firstLineChars="0"/>
      </w:pPr>
      <w:r>
        <w:rPr>
          <w:rFonts w:hint="eastAsia"/>
        </w:rPr>
        <w:t>局  长：朱祖明</w:t>
      </w:r>
    </w:p>
    <w:p w14:paraId="5AC2FCA9">
      <w:pPr>
        <w:ind w:firstLine="0" w:firstLineChars="0"/>
      </w:pPr>
      <w:r>
        <w:rPr>
          <w:rFonts w:hint="eastAsia"/>
        </w:rPr>
        <w:t>副局长：吴在全 李胜利</w:t>
      </w:r>
    </w:p>
    <w:p w14:paraId="59168405">
      <w:pPr>
        <w:pStyle w:val="3"/>
      </w:pPr>
      <w:r>
        <w:rPr>
          <w:rFonts w:hint="eastAsia"/>
        </w:rPr>
        <w:t>水土保持</w:t>
      </w:r>
    </w:p>
    <w:p w14:paraId="7EA21D22">
      <w:pPr>
        <w:pStyle w:val="4"/>
      </w:pPr>
      <w:r>
        <w:rPr>
          <w:rFonts w:hint="eastAsia"/>
        </w:rPr>
        <w:t>【概况】</w:t>
      </w:r>
    </w:p>
    <w:p w14:paraId="00285E68">
      <w:pPr>
        <w:ind w:firstLine="420"/>
      </w:pPr>
      <w:r>
        <w:rPr>
          <w:rFonts w:hint="eastAsia"/>
        </w:rPr>
        <w:t>南雄市水土保持委员会办公室（简称南雄市水保办），是市政府直属事业单位，正科级。赋予行政职能，参照《公务员法》管理。水保办事业编制15名，工勤编制1名。现有在职人员20名。内设机构有人保财会股、生产技术股、执法监督股。下属事业单位有：南雄市水土保持执法监督站（副科级）、南雄市水土保持站（股级）、南雄市水土保持监测站（股级）</w:t>
      </w:r>
    </w:p>
    <w:p w14:paraId="70BEBA36">
      <w:pPr>
        <w:pStyle w:val="4"/>
      </w:pPr>
      <w:r>
        <w:rPr>
          <w:rFonts w:hint="eastAsia"/>
        </w:rPr>
        <w:t>【人员变动】</w:t>
      </w:r>
    </w:p>
    <w:p w14:paraId="7DDD691F">
      <w:pPr>
        <w:ind w:firstLine="420"/>
      </w:pPr>
      <w:r>
        <w:rPr>
          <w:rFonts w:hint="eastAsia"/>
        </w:rPr>
        <w:t>2011年8月，通过自愿报名、公开考试、组织考核，经市人事主管部门批准从水保站调配15名职工到市林业局下属场、站事业单位，部份解决水保站长期以来劳力富余、经费困难的局面。</w:t>
      </w:r>
    </w:p>
    <w:p w14:paraId="0048EB5B">
      <w:pPr>
        <w:pStyle w:val="4"/>
      </w:pPr>
      <w:r>
        <w:rPr>
          <w:rFonts w:hint="eastAsia"/>
        </w:rPr>
        <w:t>【法律宣传】</w:t>
      </w:r>
    </w:p>
    <w:p w14:paraId="24EAEA15">
      <w:pPr>
        <w:ind w:firstLine="420"/>
      </w:pPr>
      <w:r>
        <w:rPr>
          <w:rFonts w:hint="eastAsia"/>
        </w:rPr>
        <w:t>在韶关市水务局的指导下，联合南雄市水务局于3月26日在市区三影搭广场举办“中国水周”暨新《水土保持法》颁布实施的大型文艺专题宣传活动。这次活动取得良好的社会效果。</w:t>
      </w:r>
    </w:p>
    <w:p w14:paraId="2B52CD29">
      <w:pPr>
        <w:pStyle w:val="4"/>
      </w:pPr>
      <w:r>
        <w:rPr>
          <w:rFonts w:hint="eastAsia"/>
        </w:rPr>
        <w:t>【执法监督】</w:t>
      </w:r>
    </w:p>
    <w:p w14:paraId="1F94C560">
      <w:pPr>
        <w:numPr>
          <w:ilvl w:val="0"/>
          <w:numId w:val="20"/>
        </w:numPr>
        <w:ind w:firstLine="420"/>
      </w:pPr>
      <w:r>
        <w:rPr>
          <w:rFonts w:hint="eastAsia"/>
        </w:rPr>
        <w:t>市政府办下文并于2011年10月1日开始实施，把水土保持方案的编制列为开发建设项目审批的前置条件，凡在南雄市进行的开发建设项目都必须编报水土保持方案报告和依法征缴水土保持补偿费。使工作重心由单纯治理转为综合管理，完成水保系统具有历史意义的转折。2、2011年依法开展水土保持执法监督，查处严重人为水土流失案件，检查生产建设项目35个，审批水土保持方案报告3份，监督开发建设单位投入3500万元，实施水土保持措施“三同时”。依法征收水土保持补偿费37万元。</w:t>
      </w:r>
    </w:p>
    <w:p w14:paraId="2D92EF3B">
      <w:pPr>
        <w:pStyle w:val="4"/>
      </w:pPr>
      <w:r>
        <w:rPr>
          <w:rFonts w:hint="eastAsia"/>
        </w:rPr>
        <w:t>【水土流失治理】</w:t>
      </w:r>
    </w:p>
    <w:p w14:paraId="341914D6">
      <w:pPr>
        <w:ind w:firstLine="420"/>
      </w:pPr>
      <w:r>
        <w:rPr>
          <w:rFonts w:hint="eastAsia"/>
        </w:rPr>
        <w:t>1、2011年编制完成《广东省南雄市崩岗治理工程可行睡研究报告》，并通过省厅技术评审。2、完成浈江河（江头段）小流域2010年度水土保持治理工程，治理面积2平方公里，修筑生物坝3.2千米，营造水保林45万株，完成工程投资62万元。主要工程地点在雄州街道荆江村。</w:t>
      </w:r>
    </w:p>
    <w:p w14:paraId="5E732396">
      <w:pPr>
        <w:pStyle w:val="4"/>
      </w:pPr>
      <w:r>
        <w:rPr>
          <w:rFonts w:hint="eastAsia"/>
        </w:rPr>
        <w:t>【水保科研】</w:t>
      </w:r>
    </w:p>
    <w:p w14:paraId="42B08BD7">
      <w:pPr>
        <w:ind w:firstLine="420"/>
      </w:pPr>
      <w:r>
        <w:rPr>
          <w:rFonts w:hint="eastAsia"/>
        </w:rPr>
        <w:t>2011年6月，市水保站取得国家水利部颁发的丙级《水土保持方案编制资格证书》，这在全省基层水保单位（非专业设计部门）是首例。10月，成立《水土保持技术中心》，证书的取得和技术中心的成立，有力地巩固我办的技术力量和提升技术层次，当年编制《水土保持方案报告书》4份。</w:t>
      </w:r>
    </w:p>
    <w:p w14:paraId="56F339D4">
      <w:pPr>
        <w:ind w:firstLine="420"/>
        <w:jc w:val="right"/>
      </w:pPr>
      <w:r>
        <w:rPr>
          <w:rFonts w:hint="eastAsia"/>
        </w:rPr>
        <w:t>（黄志雄）</w:t>
      </w:r>
    </w:p>
    <w:p w14:paraId="5F86E5CD">
      <w:pPr>
        <w:ind w:firstLine="0" w:firstLineChars="0"/>
        <w:rPr>
          <w:b/>
          <w:bCs/>
        </w:rPr>
      </w:pPr>
      <w:r>
        <w:rPr>
          <w:rFonts w:hint="eastAsia"/>
          <w:b/>
          <w:bCs/>
        </w:rPr>
        <w:t>附：2011年市水保办领导班子成员名单</w:t>
      </w:r>
    </w:p>
    <w:p w14:paraId="4E9C3A87">
      <w:pPr>
        <w:ind w:firstLine="0" w:firstLineChars="0"/>
      </w:pPr>
      <w:r>
        <w:rPr>
          <w:rFonts w:hint="eastAsia"/>
        </w:rPr>
        <w:t>主  任：肖清志</w:t>
      </w:r>
    </w:p>
    <w:p w14:paraId="2DF600FE">
      <w:pPr>
        <w:ind w:firstLine="0" w:firstLineChars="0"/>
      </w:pPr>
      <w:r>
        <w:rPr>
          <w:rFonts w:hint="eastAsia"/>
        </w:rPr>
        <w:t>副主任：张振刚 林运明</w:t>
      </w:r>
    </w:p>
    <w:p w14:paraId="037B572E">
      <w:pPr>
        <w:pStyle w:val="3"/>
      </w:pPr>
      <w:r>
        <w:rPr>
          <w:rFonts w:hint="eastAsia"/>
        </w:rPr>
        <w:t>黄烟</w:t>
      </w:r>
    </w:p>
    <w:p w14:paraId="459A04DC">
      <w:pPr>
        <w:pStyle w:val="4"/>
      </w:pPr>
      <w:r>
        <w:rPr>
          <w:rFonts w:hint="eastAsia"/>
        </w:rPr>
        <w:t>【概况】</w:t>
      </w:r>
    </w:p>
    <w:p w14:paraId="5105CB48">
      <w:pPr>
        <w:ind w:firstLine="420"/>
      </w:pPr>
      <w:r>
        <w:rPr>
          <w:rFonts w:hint="eastAsia"/>
        </w:rPr>
        <w:t>广东省南雄市烟草专卖局成立于1983年12月，受南雄市人民政府和广东省烟草专卖局双重领导，主要职能是行使全市烟草专卖行政管理权力和贯彻执行《中华人民共和国烟草专卖法》及上级主管部门制定的烟草政策、规章制度。南雄市烟草公司成立于1983年10月，1987年更名为广东省烟草公司南雄市公司，2000年12月改制组建广东烟草南雄市有限公司，下辖广东南雄烟叶复烤有限公司，代管省公司直属的广东省烟草南雄科学研究所。广东省南雄市烟草专卖局与广东烟草南雄市有限公司合署办公［简称南雄市烟草专卖局（公司）]，实行两块牌子、一套人马的管理体制，是南雄市对全市烟草市场实行专卖专营集中统一管理和卷烟经营、烟叶生产经营的机构，有员工601人（含广东南雄烟叶复烤有限公司）。2011年，实现税利1.87亿元，实现利润0.7亿元；销售卷烟7.19亿支，卷烟销售收入2.86亿元；完成烟叶购销合同27.9万担，烟叶销售收入4.89亿元。</w:t>
      </w:r>
    </w:p>
    <w:p w14:paraId="275E4CA7">
      <w:pPr>
        <w:pStyle w:val="4"/>
      </w:pPr>
      <w:r>
        <w:rPr>
          <w:rFonts w:hint="eastAsia"/>
        </w:rPr>
        <w:t>【黄烟生产管理】</w:t>
      </w:r>
    </w:p>
    <w:p w14:paraId="3B95851F">
      <w:pPr>
        <w:ind w:firstLine="420"/>
      </w:pPr>
      <w:r>
        <w:rPr>
          <w:rFonts w:hint="eastAsia"/>
        </w:rPr>
        <w:t>全市种植烟叶11.64万亩，种植品种粤烟97和K326，采用100%商品化育苗。全面覆盖烟叶标准化生产，推进黄坑基地单元和古市基地单元建设，工商研共同制定生产技术方案，落实“测土配方施肥、上部烟叶4</w:t>
      </w:r>
      <w:r>
        <w:t>-</w:t>
      </w:r>
      <w:r>
        <w:rPr>
          <w:rFonts w:hint="eastAsia"/>
        </w:rPr>
        <w:t xml:space="preserve"> 6片叶充分成熟一次性采烤”等适用技术推广，推进单元内规模化种植、集约化经营和专业化服务，提高机械化作业水平，加强综合服务专业合作社建设，实行专业化服务。继续推进特色优质烟叶开发点3个，即黄坑、水口、古市特色优质烟叶基地，分别对应广东中烟、川渝中烟、湖北中烟工业企业，规划种植面积5.1万亩，预计收购量15万担，承担国家局浓香型特色优质烟叶取样、特色烟开发等8大课题研究项目。完成烟叶基础设施建设项目1050个，总投资5206.48万元。建设沟渠54.59千米，水池2个，管网3.85千米，提灌站5座，塘坝15个，机耕路25.04千米，密集式烤房795座，育苗大棚4个，农用机械140台。烟水配套覆盖面积2.7万亩、机耕路覆盖面积1.43万亩。</w:t>
      </w:r>
    </w:p>
    <w:p w14:paraId="4E210504">
      <w:pPr>
        <w:pStyle w:val="4"/>
      </w:pPr>
      <w:r>
        <w:rPr>
          <w:rFonts w:hint="eastAsia"/>
        </w:rPr>
        <w:t>【烟叶购销】</w:t>
      </w:r>
    </w:p>
    <w:p w14:paraId="01CE0EFD">
      <w:pPr>
        <w:ind w:firstLine="420"/>
      </w:pPr>
      <w:r>
        <w:rPr>
          <w:rFonts w:hint="eastAsia"/>
        </w:rPr>
        <w:t>收购烟叶31.98万担，收购资金2.89亿元，收购价903.74元／担，完成烟叶购销合同27.9万担。</w:t>
      </w:r>
    </w:p>
    <w:p w14:paraId="654B6DE3">
      <w:pPr>
        <w:pStyle w:val="4"/>
      </w:pPr>
      <w:r>
        <w:rPr>
          <w:rFonts w:hint="eastAsia"/>
        </w:rPr>
        <w:t>【科技兴烟】</w:t>
      </w:r>
    </w:p>
    <w:p w14:paraId="2F9ED7C7">
      <w:pPr>
        <w:ind w:firstLine="420"/>
      </w:pPr>
      <w:r>
        <w:rPr>
          <w:rFonts w:hint="eastAsia"/>
        </w:rPr>
        <w:t>会同工业企业和科研单位共同商榷制定年度生产技术方案，覆盖烟叶生产全过程。对烟农加强备耕、育苗、移栽、平衡施肥、大田管理、病虫害综合防治、烟叶成熟采收、科学烘烤和分级等方面的技术指导，推广合理轮作、测土配方施肥、前膜后草、顶叶4～6片充分成熟一次性采收等技术。举办烟叶标准化生产培训班，提高烟叶技术管理员业务水平和烟农种烟技术，实现标准化烟叶生产100%覆盖。联合华南农业大学烟草研究室和广东省烟草南雄科学研究所，在湖口镇太和育苗工场开展育苗大棚闲置期综合利用项目研究，选择高端瓜果蔬菜类有机农产品为开发研究目标，探索以烟为主、多种经营、共同发展的运作模式，为全市烟农综合服务专业合作社发展提供新思路。</w:t>
      </w:r>
    </w:p>
    <w:p w14:paraId="138A1EEC">
      <w:pPr>
        <w:pStyle w:val="4"/>
      </w:pPr>
      <w:r>
        <w:rPr>
          <w:rFonts w:hint="eastAsia"/>
        </w:rPr>
        <w:t>【专卖管理】</w:t>
      </w:r>
    </w:p>
    <w:p w14:paraId="0C668466">
      <w:pPr>
        <w:ind w:firstLine="420"/>
      </w:pPr>
      <w:r>
        <w:rPr>
          <w:rFonts w:hint="eastAsia"/>
        </w:rPr>
        <w:t>内部专卖管理监督工作以全省内部专卖管理监督信息平台为依托，狠抓烟叶生产收购、烟叶经营和卷烟经营规范问题，促进企业自律。加强专卖管理，查处涉烟案件170宗，涉案金额73.44万元，查获涉案卷烟48.63万支，烟叶25149.5公斤，制假烟丝775公斤，滤嘴棒143.5万支。清理无证经营户82户，新办烟草专卖零售许可证211份，截至2011年底，有效持证户1510户。</w:t>
      </w:r>
    </w:p>
    <w:p w14:paraId="0FA109C2">
      <w:pPr>
        <w:pStyle w:val="4"/>
      </w:pPr>
      <w:r>
        <w:rPr>
          <w:rFonts w:hint="eastAsia"/>
        </w:rPr>
        <w:t>【卷烟经营】</w:t>
      </w:r>
    </w:p>
    <w:p w14:paraId="10C33BCB">
      <w:pPr>
        <w:ind w:firstLine="420"/>
      </w:pPr>
      <w:r>
        <w:rPr>
          <w:rFonts w:hint="eastAsia"/>
        </w:rPr>
        <w:t>围绕“卷烟上水平”目标任务，执行“按客户订单组织货源”工作要求，实现货源由信息系统自动分配，紧俏品牌根据实际货源情况合理限量供应，顺销品牌基本满足市场需求。全面提升网建管理水平，执行全市统一的客户服务项目、服务程序、服务标准、服务监督和服务评价体系，实现零售客户综合毛利率13.05%，零售客户满意度96.69%，零售客户投诉率为0。</w:t>
      </w:r>
    </w:p>
    <w:p w14:paraId="27F0B4B8">
      <w:pPr>
        <w:pStyle w:val="4"/>
      </w:pPr>
      <w:r>
        <w:rPr>
          <w:rFonts w:hint="eastAsia"/>
        </w:rPr>
        <w:t>【烟叶复烤】</w:t>
      </w:r>
    </w:p>
    <w:p w14:paraId="2D38D8C4">
      <w:pPr>
        <w:ind w:firstLine="420"/>
      </w:pPr>
      <w:r>
        <w:rPr>
          <w:rFonts w:hint="eastAsia"/>
        </w:rPr>
        <w:t>广东南雄烟叶复烤有限公司位于广东省南雄市，成立于1985年，2007年11月改制为有限公司，注册资本1970万元，隶属于广东烟草南雄市有限公司。截至2011年底，公司拥有总资产4460万元，占地面积14万平方米，有从业人员90人，其中聘用人员7人。公司拥有1条6000千克／小时打叶复烤线，年复烤加工能力2.0万吨（40万担）。2011年，复烤加工烟叶1.206万吨（24.12万担），产出片烟0.8万吨（16.0万担）。实现加工收入3164万元。实现税利860万元，其中利润278万元。2011年，重点进行三个项目的技术改造。一是改进打叶线的分器，通过改造底风的进风口，达到风分器输送网带网面以下全压为零，风分器输送网带网面以上则形成均匀负压，实现负压风进行叶梗分离，同时适当增加分离室高度，杜绝向上反弹的梗头进入风分器上体，有效的提高梗叶分离效率；二是重新设计，将振筛改进为外形尺寸LXBXH：6500x100x3000（B为振筛内宽），筛网为片装式，解决原生产线辊道筛沙机下振筛由原来的整张筛网、振动强度大、易损难修的问题；三是改善碎叶烘烤工艺，将原碎烟喂料机取消，复烤机及喂料振槽位置不变，改造落料器支架、料斗、入料风管，使落料器出口对接到滚筒式碎烟复烤机的喂料震槽，同时将碎烟滚筒式烘烤机蒸汽入口管路中的气动活塞角阀替换为气动薄膜阀，实现手动调节蒸汽供给量，提高烘烤效果。</w:t>
      </w:r>
    </w:p>
    <w:p w14:paraId="68099646">
      <w:pPr>
        <w:pStyle w:val="4"/>
      </w:pPr>
      <w:r>
        <w:rPr>
          <w:rFonts w:hint="eastAsia"/>
        </w:rPr>
        <w:t>【各烟站简介】</w:t>
      </w:r>
    </w:p>
    <w:p w14:paraId="4FC0AC8A">
      <w:pPr>
        <w:ind w:firstLine="420"/>
      </w:pPr>
      <w:r>
        <w:rPr>
          <w:rFonts w:hint="eastAsia"/>
        </w:rPr>
        <w:t>水口烟站位于南雄市至水口镇区县道旁，设水口总站和河坪、南亩两个分站，负责水口镇和南亩镇的烟叶种植、收购等业务，签订烟叶种植收购合同面积10500亩，合同约定收购量30500担，实际收购烟叶28977.13担，对口川渝中烟工业有限责任公司，对口卷烟品牌“娇子”。</w:t>
      </w:r>
    </w:p>
    <w:p w14:paraId="76AE95DC">
      <w:pPr>
        <w:ind w:firstLine="420"/>
      </w:pPr>
      <w:r>
        <w:rPr>
          <w:rFonts w:hint="eastAsia"/>
        </w:rPr>
        <w:t>湖口烟站位于南雄市湖口镇南雄至淜口镇区国道旁，设湖口总站和里和、长市两个分站，负责湖口镇的烟叶种植、收购等业务，签订烟叶种植收购合同面积17471亩，合同约定收购量50000担，实际收购烟叶47794.52担，对口深圳烟草工业有限责任公司，对口卷烟品牌“好日子”。</w:t>
      </w:r>
    </w:p>
    <w:p w14:paraId="493F33DC">
      <w:pPr>
        <w:ind w:firstLine="420"/>
      </w:pPr>
      <w:r>
        <w:rPr>
          <w:rFonts w:hint="eastAsia"/>
        </w:rPr>
        <w:t>黄坑烟站位于南雄市黄坑镇黄坑村委会上坑村，负责黄坑镇的烟叶生产和收购等业务，签订烟叶种植收购合同面积14351亩，合同约定收购量41000担，实际收购烟叶38965.36担，对口广东中烟工业有限责任公司，对口卷烟品牌“红双喜”。</w:t>
      </w:r>
    </w:p>
    <w:p w14:paraId="5396520E">
      <w:pPr>
        <w:ind w:firstLine="420"/>
      </w:pPr>
      <w:r>
        <w:rPr>
          <w:rFonts w:hint="eastAsia"/>
        </w:rPr>
        <w:t>古市烟站位于南雄市古市镇G323国道旁，设古市总站、丹布分站、小坑收购点，负责古市镇的烟叶生产和收购等业务，签订烟叶种植收购合同面积13480亩，合同约定收购量40000担，实际收购烟叶38415.65担，对口湖北中烟工业有限责任公司，对口卷烟品牌“黄鹤楼”。</w:t>
      </w:r>
    </w:p>
    <w:p w14:paraId="4310636B">
      <w:pPr>
        <w:ind w:firstLine="420"/>
      </w:pPr>
      <w:r>
        <w:rPr>
          <w:rFonts w:hint="eastAsia"/>
        </w:rPr>
        <w:t>乌迳烟站位于南雄市乌迳镇，处在广东与江西信丰交界地段，负责乌迳镇的黄烟种植和收购等业务，签订烟叶种植收购合同面积8000亩，合同约定收购量22420担，实际收购烟叶21491.61担。</w:t>
      </w:r>
    </w:p>
    <w:p w14:paraId="2AE26971">
      <w:pPr>
        <w:ind w:firstLine="420"/>
      </w:pPr>
      <w:r>
        <w:rPr>
          <w:rFonts w:hint="eastAsia"/>
        </w:rPr>
        <w:t>珠玑烟站位于南雄市雄东路雄信公路边，设珠玑总站和里东分站，负责珠玑镇和雄州街道铺背村的烟叶生产和收购等业务，签订烟叶种植收购合同面积9500亩，合同约定收购量26000担，实际收购烟叶24766.03担。</w:t>
      </w:r>
    </w:p>
    <w:p w14:paraId="1203184A">
      <w:pPr>
        <w:ind w:firstLine="420"/>
      </w:pPr>
      <w:r>
        <w:rPr>
          <w:rFonts w:hint="eastAsia"/>
        </w:rPr>
        <w:t>黎口烟站位于南雄市雄州镇雄东路，设黎口总站和帽子峰、江头收购点，负责雄州街道、江头镇、全安镇和帽子峰的烟叶生产和收购等业务，签订烟叶种植收购合同面积14498亩，合同约定收购量43380担，实际收购烟叶41600.92担。</w:t>
      </w:r>
    </w:p>
    <w:p w14:paraId="0DD2555A">
      <w:pPr>
        <w:ind w:firstLine="420"/>
      </w:pPr>
      <w:r>
        <w:rPr>
          <w:rFonts w:hint="eastAsia"/>
        </w:rPr>
        <w:t>主田烟站位于南雄市雄州镇雄中路，负责主田镇以及雄州街道河南村的烟叶生产和收购任务，签订烟叶种植收购合同面积10200亩，合同约定收购量30500担，实际收购烟叶29309.96担。</w:t>
      </w:r>
    </w:p>
    <w:p w14:paraId="5847F859">
      <w:pPr>
        <w:ind w:firstLine="420"/>
      </w:pPr>
      <w:r>
        <w:rPr>
          <w:rFonts w:hint="eastAsia"/>
        </w:rPr>
        <w:t>大塘烟站位于南雄市油山镇大塘墟，负责油山镇的烟叶生产和收购等业务，签订烟叶种植收购合同面积7700亩，合同约定收购量21000担，实际收购烟叶19953.29担。</w:t>
      </w:r>
    </w:p>
    <w:p w14:paraId="79146728">
      <w:pPr>
        <w:ind w:firstLine="420"/>
      </w:pPr>
      <w:r>
        <w:rPr>
          <w:rFonts w:hint="eastAsia"/>
        </w:rPr>
        <w:t>邓坊烟站位于南雄市邓坊镇新墟，负责邓坊镇的烟叶生产和收购等业务，签订烟叶种植收购合同面积5500亩，合同约定收购量15300担，实际收购烟叶14537.2担。</w:t>
      </w:r>
    </w:p>
    <w:p w14:paraId="3AD2D341">
      <w:pPr>
        <w:ind w:firstLine="420"/>
      </w:pPr>
      <w:r>
        <w:rPr>
          <w:rFonts w:hint="eastAsia"/>
        </w:rPr>
        <w:t>新龙烟站位于南雄市新龙镇老龙墟，负责坪田镇的烟叶生产和收购等业务，签订烟叶种植收购合同面积5200亩，合同约定收购量14500担，实际收购烟叶13985.91担。</w:t>
      </w:r>
    </w:p>
    <w:p w14:paraId="4A3B048E">
      <w:pPr>
        <w:pStyle w:val="4"/>
      </w:pPr>
      <w:r>
        <w:rPr>
          <w:rFonts w:hint="eastAsia"/>
        </w:rPr>
        <w:t>【企业内部管理】</w:t>
      </w:r>
    </w:p>
    <w:p w14:paraId="28FFF899">
      <w:pPr>
        <w:ind w:firstLine="420"/>
      </w:pPr>
      <w:r>
        <w:rPr>
          <w:rFonts w:hint="eastAsia"/>
        </w:rPr>
        <w:t>围绕提升内部效率和规范水平，实行办事公开民主管理，开展预算编制和审核工作，建立分级、分类、分项管理和控制运行体系；加强成本费用、资产和资金管理，实现管理日常化、程序化、制度化。扎实推进贯标、对标和基层创优工作，优秀县级卷烟营销部创建活动通过验收。认真开展接访工作，深入排查化解矛盾，积极办理信访案件，落实安全生产责任制，开展“安全生产月”活动，实现“六个为零”的安全管理目标，充实人才队伍，加强党风廉政建设。2011年，南雄烟草被评为“国家级烟叶标准化生产优秀示范区”“2010年度广东省烟叶工商交接等级质量监督检查先进集体”“2010年度韶关市企业安全生产工作先进单位”“南雄市2010年度社会治安综合治理先进单位”，获“广东省烟草专卖局2010年度烟叶工作目标考核结果一类一等奖”“广东省烟草专卖局（公司）2010年度直属单位领导工作业绩考核一等奖”“2011年全省烟草商业系统质量管理体系建设和应用知识竞赛三等奖”“全省烟草商业系统第二届‘创造杯’篮球赛优秀奖”。</w:t>
      </w:r>
    </w:p>
    <w:p w14:paraId="417568E2">
      <w:pPr>
        <w:pStyle w:val="4"/>
      </w:pPr>
      <w:r>
        <w:rPr>
          <w:rFonts w:hint="eastAsia"/>
        </w:rPr>
        <w:t>【企业改革】</w:t>
      </w:r>
    </w:p>
    <w:p w14:paraId="1E10A80C">
      <w:pPr>
        <w:ind w:firstLine="420"/>
      </w:pPr>
      <w:r>
        <w:rPr>
          <w:rFonts w:hint="eastAsia"/>
        </w:rPr>
        <w:t>8月3日，IS09000质量管理体系进入正式运行阶段，进一步理顺企业管理细则，健全和完善各项管理、技术、工作标准，形成有效的规章制度、清晰的岗位职责、健全的标准体系，促进企业管理上水平。烟叶标准化体系建设以科技创新为基础，依托国标、行标，持续改进《南雄“金雄鹰”烤烟综合标准体系》，制定烟叶产品安全标准10个，包含《烤烟原烟产品重金属、农药安全控制指标》《烤烟原料产品重金属超标、农药残留质量追踪管理办法》《烟叶田间安全生产管理规程》等。创新烟叶生产组织与专业化服务体系，坚持依法、自愿、有偿的原则，发展种植专业户、家庭农场、种植专业合作社等烟叶生产组织体系，在农村家庭承包经营的基础上，重点扶持发展以烟农为主体的互助型专业合作社。              （胡燕）</w:t>
      </w:r>
    </w:p>
    <w:p w14:paraId="11E6C108">
      <w:pPr>
        <w:ind w:firstLine="0" w:firstLineChars="0"/>
        <w:rPr>
          <w:b/>
          <w:bCs/>
        </w:rPr>
      </w:pPr>
      <w:r>
        <w:rPr>
          <w:rFonts w:hint="eastAsia"/>
          <w:b/>
          <w:bCs/>
        </w:rPr>
        <w:t>附：2011年市烟草专卖局（公司）领导班子成员名单</w:t>
      </w:r>
    </w:p>
    <w:p w14:paraId="52E02B25">
      <w:pPr>
        <w:ind w:firstLine="0" w:firstLineChars="0"/>
      </w:pPr>
      <w:r>
        <w:rPr>
          <w:rFonts w:hint="eastAsia"/>
        </w:rPr>
        <w:t>专卖局长、总经理：尹本良</w:t>
      </w:r>
    </w:p>
    <w:p w14:paraId="79243FA3">
      <w:pPr>
        <w:ind w:firstLine="0" w:firstLineChars="0"/>
      </w:pPr>
      <w:r>
        <w:rPr>
          <w:rFonts w:hint="eastAsia"/>
        </w:rPr>
        <w:t>专卖副局长、纪检书记：彭志忠</w:t>
      </w:r>
    </w:p>
    <w:p w14:paraId="161FC256">
      <w:pPr>
        <w:ind w:firstLine="0" w:firstLineChars="0"/>
      </w:pPr>
      <w:r>
        <w:rPr>
          <w:rFonts w:hint="eastAsia"/>
        </w:rPr>
        <w:t>副总经理、工会主席：柯油松</w:t>
      </w:r>
    </w:p>
    <w:p w14:paraId="5258A79C">
      <w:pPr>
        <w:ind w:firstLine="0" w:firstLineChars="0"/>
      </w:pPr>
      <w:r>
        <w:rPr>
          <w:rFonts w:hint="eastAsia"/>
        </w:rPr>
        <w:t>副总经理：肖国军</w:t>
      </w:r>
    </w:p>
    <w:p w14:paraId="490E5956">
      <w:pPr>
        <w:pStyle w:val="2"/>
      </w:pPr>
      <w:r>
        <w:rPr>
          <w:rFonts w:hint="eastAsia"/>
        </w:rPr>
        <w:t>交通·通信</w:t>
      </w:r>
    </w:p>
    <w:p w14:paraId="31BF7918">
      <w:pPr>
        <w:pStyle w:val="3"/>
      </w:pPr>
      <w:r>
        <w:rPr>
          <w:rFonts w:hint="eastAsia"/>
        </w:rPr>
        <w:t>交通运输</w:t>
      </w:r>
    </w:p>
    <w:p w14:paraId="2C9AA608">
      <w:pPr>
        <w:pStyle w:val="4"/>
      </w:pPr>
      <w:r>
        <w:rPr>
          <w:rFonts w:hint="eastAsia"/>
        </w:rPr>
        <w:t>【概况】</w:t>
      </w:r>
    </w:p>
    <w:p w14:paraId="39C20038">
      <w:pPr>
        <w:ind w:firstLine="420"/>
        <w:rPr>
          <w:rFonts w:ascii="宋体" w:hAnsi="宋体"/>
          <w:szCs w:val="21"/>
        </w:rPr>
      </w:pPr>
      <w:r>
        <w:rPr>
          <w:rFonts w:hint="eastAsia" w:ascii="宋体" w:hAnsi="宋体"/>
          <w:szCs w:val="21"/>
        </w:rPr>
        <w:t>南雄市交通运输局是负责全市（南雄）公路、水路和城市公共交通运输等交通运输行业工作的政府组成部门。内设5个科（股）室，分别是办公室、人事法制股、业务安全股、计财股、综合行政执法局（副科）。下属事业单位2家，分别是地方公路管理站、交通管理总站。下属企业单位3家，分别是水运公司、搬运公司、运通汽车检测站。2011年，从中央、省争取建设项目资金1.064亿元，其中到位资金7000多万元；完成市为民办的“九件实事”中的两件交通实事；实现农村客运服务均等化的3个100%。地方公路管理站被韶关市评为“地方公路管理先进站”、“工程管理先进单位”、“农村公路养护管理先进单位”等。至2011年底，全市公路通车里程2062.424公里，其中国道42.4公里、省道130.1公里、县道272.073公里、乡道777.397公里、村道840.454公里，每平方公里通车里程达0.887公里。韶赣高速公路建成通车，韶赣铁路建设顺利推进。</w:t>
      </w:r>
    </w:p>
    <w:p w14:paraId="58D15693">
      <w:pPr>
        <w:pStyle w:val="4"/>
      </w:pPr>
      <w:r>
        <w:rPr>
          <w:rFonts w:hint="eastAsia"/>
        </w:rPr>
        <w:t>【地方公路（桥梁）建设】</w:t>
      </w:r>
    </w:p>
    <w:p w14:paraId="791C7E05">
      <w:pPr>
        <w:ind w:firstLine="420"/>
        <w:rPr>
          <w:rFonts w:ascii="宋体" w:hAnsi="宋体"/>
          <w:szCs w:val="21"/>
        </w:rPr>
      </w:pPr>
      <w:r>
        <w:rPr>
          <w:rFonts w:hint="eastAsia" w:ascii="宋体" w:hAnsi="宋体"/>
          <w:szCs w:val="21"/>
        </w:rPr>
        <w:t>全力以赴，投入人力、物力、财力，做好2011年为民办的九件实事中的两件交通项目。一是借村至精细化工园区公路硬底化建设工程，这个项目我们积极跑部进厅争取到追加补助资金每公里30万元，达到每公里70万元，从根本上保证工程的顺利开展。二是60公里农村公路水泥硬底化建设项目，克服施工三大原材料提价、工人工资涨价等困难，全市自然村水泥硬底化建设工作全面进行，完成85公里，超额完成任务的42%；认真办理市长办公会议部署的工作。投资80多万元，以宽4米，厚0.2米的标准建设完成主田镇黄坪村至大甫前村3公里林区干线公路硬通信底化建设工作，5月底实现全线通车；积极做好招商引资及市重点项目建设工作。做好二期工业园区交通配套设施建设工作，通过多次跑部进厅争取项目和资金，现在河塘至东莞大岭山（南雄）产业转移工业园6公里公路建设项目已经下达计划，批复补助资金900万元。新建的东背岭大桥至龙华山温泉公路，以县道标准建设，投资达2940万元，属于积极争取到的计划外项目。现在工程已经完成土石方工程，正在进行5座中小桥梁的建设工作。瑶山坪至火车站公路现在也已经下达计划。另外，为配合做好我市旅游开发工作，新建帽子峰战备公路的各项申报工作也已经完成；积极做好县道和桥梁建设。2011年保质保量完成Y027小梅关至梅岭中学5公里路面改造工程；X339线河南至主田6.2公里路面大修工程。完成Y524线坪田至迳洞公路8公里、东厢铺至工业园区公路5.5公里、富俚至中里洞32公里、河塘至东莞大岭山（南雄）产业转移工业园公路6公里、瑶山坪至火车站3公里公路新建工程立项工作。完成苍石水库桥、枫树下桥工程、坪田坳背桥、湖口龙川水桥改（新）建工程。完成水口芦陂大桥、九头园、龙华山4桥等8座桥新（改）建工程的立项工作。另外，2011年完成31座县乡道路桥梁预防性维修。</w:t>
      </w:r>
    </w:p>
    <w:p w14:paraId="67D79A28">
      <w:pPr>
        <w:pStyle w:val="4"/>
      </w:pPr>
      <w:r>
        <w:rPr>
          <w:rFonts w:hint="eastAsia"/>
        </w:rPr>
        <w:t>【地方公路管理养护】</w:t>
      </w:r>
    </w:p>
    <w:p w14:paraId="27C1AA10">
      <w:pPr>
        <w:ind w:firstLine="420"/>
        <w:rPr>
          <w:rFonts w:ascii="宋体" w:hAnsi="宋体"/>
          <w:szCs w:val="21"/>
        </w:rPr>
      </w:pPr>
      <w:r>
        <w:rPr>
          <w:rFonts w:hint="eastAsia" w:ascii="宋体" w:hAnsi="宋体"/>
          <w:szCs w:val="21"/>
        </w:rPr>
        <w:t>在公路养护方面，认真贯彻落实“三十二”字方针，建立健全各项管理制度，开展创好创优竞赛活动，落实岗位和安全生产责任制。通过抓好制度的落实，确保公路养护质量得到进一步提升；加大地方公路水毁修复力度2011年的强降雨造成地方公路水毁严重，县、乡道公路的山区公路沿线出现严重的水毁坍塌方毁坏。据统计，县乡道22条线路边坡塌方，清理土石方78处19140立方米，需要修复的涵洞20座，路基下塌需重建挡土墙43处，约3551多立方米，造成经济损失290多万元；完善客运通班车安保设施。完成X337线等7条线路的标志、标牌约190多块、示警桩约550多条、急弯段、村庄路口增设划减速线3600多平方、翻新“示警桩”13000根，保证车辆的通行安全。同时，还完成补采GPS农村公路自然村通达线路乡村小路435条，新增里程260.073公里，新增桥梁6座；拟建道路27条，新增里程36.037公里，新增1座桥梁。另外，投资达600万元的国家安保工程“示范路”项目，现在也已经紧锣密鼓的进行之中。安保工程项目建设完成后，客运通班车的公路安全保障将得到进一步增强；加强路政管理，保障道路完好畅通。路政人员积极主动争取地方政府及有关部门的支持，加大管理力度，保障公路畅通。2011年，路政人员累计巡査公路59945.78公里，巡查4820人次，巡查天数1979天，处理公路赔（补）偿案件2宗，收取赔（补）偿费9045元。制止违章建筑5处。整治沙场、石场4处，清理路障86处，铲除路边堆积物796.8立方米，维护“绿化造林”公路280公里，收回被侵占公路265平方米。通过加强巡查执法，保障公路的安全畅通。</w:t>
      </w:r>
    </w:p>
    <w:p w14:paraId="1F04F504">
      <w:pPr>
        <w:pStyle w:val="4"/>
      </w:pPr>
      <w:r>
        <w:rPr>
          <w:rFonts w:hint="eastAsia"/>
        </w:rPr>
        <w:t>【依法行政】</w:t>
      </w:r>
    </w:p>
    <w:p w14:paraId="77A10769">
      <w:pPr>
        <w:ind w:firstLine="420"/>
        <w:rPr>
          <w:rFonts w:ascii="宋体" w:hAnsi="宋体"/>
          <w:szCs w:val="21"/>
        </w:rPr>
      </w:pPr>
      <w:r>
        <w:rPr>
          <w:rFonts w:hint="eastAsia" w:ascii="宋体" w:hAnsi="宋体"/>
          <w:szCs w:val="21"/>
        </w:rPr>
        <w:t>执法局加大执法的学习培训和宣传力度。2011年6月，组织所有执法人员参加韶关市的执法人员岗位培训学习以及抓好平时的业务案例学习。10月开展一次大规模的“打击非法运营、珍爱生命、从我做起”咨询宣传活动，现场发放宣传资料800多份，接受咨询600多人次，向机动车维修业主发放《机动车维修管理规定》摘录的经营违法行为和处罚依据宣传资料150份。同时还深入珠玑驾校、百顺驾校进行安全驾驶的宣传教育活动；积极开展大运安保工作。为认真贯彻落实国家有关深圳大运会安保工作的总部署，实行全日24小时执勤检查。整个安保期间检查车辆2477辆，查处违章车辆25辆（其中非法营运车辆7辆、改装车辆8辆、其它车辆10辆），出动执法人员465人次；加大打击非法经营行为力度。综合行政执法局7月份正式运作以来，加大对市区、北门街、南雄汽车站广场、新城客运站门口、电信局附近等常出现的非法经营车辆（蓝牌小轿车、面包车）的地方进行查处，通过跟踪拍照、向运输企业进行解取证，采取不定时不定点的突击方式进行查处，出动执法人员500多人次，查处非法经营蓝牌小轿车11辆，面包车38辆，维护市道路运输市场，确保道路的安全、有序、畅通；大力开展流动治超工作。按照国家、省、市《进一步加强车辆超限超载治理工作实施意见》要求，12月以来，开展流动治超工作。此项工作该局始终保持高压态势，査处超限超载车辆80多辆次，卸（驳）载货物1000多吨；全部实现运输企业车辆安装GPS卫星定位系统。客运班车、出租车、驾校教练车共240辆已经全部安装GPS卫星定位系统，加强运输车辆的安全管理工作。</w:t>
      </w:r>
    </w:p>
    <w:p w14:paraId="126EF21F">
      <w:pPr>
        <w:pStyle w:val="4"/>
      </w:pPr>
      <w:r>
        <w:rPr>
          <w:rFonts w:hint="eastAsia"/>
        </w:rPr>
        <w:t>【安全生产管理】</w:t>
      </w:r>
    </w:p>
    <w:p w14:paraId="29D9466A">
      <w:pPr>
        <w:ind w:firstLine="420"/>
        <w:rPr>
          <w:rFonts w:ascii="宋体" w:hAnsi="宋体"/>
          <w:szCs w:val="21"/>
        </w:rPr>
      </w:pPr>
      <w:r>
        <w:rPr>
          <w:rFonts w:hint="eastAsia" w:ascii="宋体" w:hAnsi="宋体"/>
          <w:szCs w:val="21"/>
        </w:rPr>
        <w:t>按照“安全第一，预防为主，综合治理”要求，落实安全生产监管主体责任，推行“一岗双责”责任制，主要有：一是落实安全责任制。与各基层单位签订《安全生产责任书》，将安全生产工作的责任分解到各个单位，落实到每一个人；二是节假日和大型活动期间组织专检人员深入渡口、施工工地等场所进行督促检查；三是经常深入南雄汽车站、珠玑出租公司，十几家汽车维修行业、2家汽车培训学校、2个渡口进行隐患查处，发现一案查处一案，确保运输安全。出动安全检查人员50多人次；四是“安全生产月”活动有效开展。发放宣传挂图27套162张、悬挂横额40多幅。同时，观看安全生产电教片等；五是加大渡改桥的力度，2011年已经将古市丰源、丹布渡口全部取消，渡船从此退出南雄历史的舞台，成为韶关市无渡船第一县；六是加强学习，提升业务管理水平。除定期和不定期组织安全生产专题学习外，派出2人前往省厅进行业务培训。</w:t>
      </w:r>
    </w:p>
    <w:p w14:paraId="42DD46A8">
      <w:pPr>
        <w:pStyle w:val="4"/>
      </w:pPr>
      <w:r>
        <w:rPr>
          <w:rFonts w:hint="eastAsia"/>
        </w:rPr>
        <w:t>【客运站亭建设】</w:t>
      </w:r>
    </w:p>
    <w:p w14:paraId="50F4741A">
      <w:pPr>
        <w:ind w:firstLine="420"/>
        <w:rPr>
          <w:rFonts w:ascii="宋体" w:hAnsi="宋体"/>
          <w:szCs w:val="21"/>
        </w:rPr>
      </w:pPr>
      <w:r>
        <w:rPr>
          <w:rFonts w:hint="eastAsia" w:ascii="宋体" w:hAnsi="宋体"/>
          <w:szCs w:val="21"/>
        </w:rPr>
        <w:t>根据省政府《印发广东省2011年度公共基础设施建设的工作任务和考核内容方案的通知》（粤办函[2011]372号）要求，至2011年底，全市四级客运站2个，其中珠玑客运站，占地面积5000平方米；水口客运站，占地面积1500平方米，简易站5个分别是：油山、湖口、帽子峰、南亩、全安；招呼站6个分别是：坪田、邓坊、百顺、澜河、古市；完成候车亭建设141个，具备通车条件的行政村全部通行班车。</w:t>
      </w:r>
    </w:p>
    <w:p w14:paraId="1ABD2198">
      <w:pPr>
        <w:pStyle w:val="4"/>
      </w:pPr>
      <w:r>
        <w:rPr>
          <w:rFonts w:hint="eastAsia"/>
        </w:rPr>
        <w:t>【旅客运输】</w:t>
      </w:r>
    </w:p>
    <w:p w14:paraId="6C19F759">
      <w:pPr>
        <w:ind w:firstLine="420"/>
        <w:rPr>
          <w:rFonts w:ascii="宋体" w:hAnsi="宋体"/>
          <w:szCs w:val="21"/>
        </w:rPr>
      </w:pPr>
      <w:r>
        <w:rPr>
          <w:rFonts w:hint="eastAsia" w:ascii="宋体" w:hAnsi="宋体"/>
          <w:szCs w:val="21"/>
        </w:rPr>
        <w:t>至2011年底，全市1有客运企业2家，省际客运班线2条，市际客运班线7条，县际客运班线1条，公交线农村客运班线12条，拥有客运车辆85辆，2518个座位，珠玑出租有限公司80辆。</w:t>
      </w:r>
    </w:p>
    <w:p w14:paraId="4242E0D4">
      <w:pPr>
        <w:pStyle w:val="4"/>
      </w:pPr>
      <w:r>
        <w:rPr>
          <w:rFonts w:hint="eastAsia"/>
        </w:rPr>
        <w:t>【货物运输】</w:t>
      </w:r>
    </w:p>
    <w:p w14:paraId="780B6A12">
      <w:pPr>
        <w:ind w:firstLine="420"/>
        <w:rPr>
          <w:rFonts w:ascii="宋体" w:hAnsi="宋体"/>
          <w:szCs w:val="21"/>
        </w:rPr>
      </w:pPr>
      <w:r>
        <w:rPr>
          <w:rFonts w:hint="eastAsia" w:ascii="宋体" w:hAnsi="宋体"/>
          <w:szCs w:val="21"/>
        </w:rPr>
        <w:t>至2011年底，全市有货物运输企业4家，其中个体运输户365户，有货物运输车辆429辆，总载重吨位1317吨。</w:t>
      </w:r>
    </w:p>
    <w:p w14:paraId="29FE3602">
      <w:pPr>
        <w:pStyle w:val="4"/>
      </w:pPr>
      <w:r>
        <w:rPr>
          <w:rFonts w:hint="eastAsia"/>
        </w:rPr>
        <w:t>【农村客运服务】</w:t>
      </w:r>
    </w:p>
    <w:p w14:paraId="7F2C894E">
      <w:pPr>
        <w:ind w:firstLine="420"/>
        <w:rPr>
          <w:rFonts w:ascii="宋体" w:hAnsi="宋体"/>
          <w:szCs w:val="21"/>
        </w:rPr>
      </w:pPr>
      <w:r>
        <w:rPr>
          <w:rFonts w:hint="eastAsia" w:ascii="宋体" w:hAnsi="宋体"/>
          <w:szCs w:val="21"/>
        </w:rPr>
        <w:t>年内，完成农村客运运行线路12条，投入36辆客车，772个座位，至2011年底，全市18个镇（街道区）全部通客车，乡镇客车通达率为100%，全市208个行政村已有136个行政表14南雄市农村村建有候车亭。逐步形成以一般干线和乡镇公路为依托，以班车客运为主导，以短途客运为主营方式的三级农村客运服务网络体系。</w:t>
      </w:r>
    </w:p>
    <w:p w14:paraId="67DD1EEA">
      <w:pPr>
        <w:pStyle w:val="4"/>
      </w:pPr>
      <w:r>
        <w:rPr>
          <w:rFonts w:hint="eastAsia"/>
        </w:rPr>
        <w:t>【其它】</w:t>
      </w:r>
    </w:p>
    <w:p w14:paraId="05D83001">
      <w:pPr>
        <w:ind w:firstLine="420"/>
        <w:rPr>
          <w:rFonts w:ascii="宋体" w:hAnsi="宋体"/>
          <w:szCs w:val="21"/>
        </w:rPr>
      </w:pPr>
      <w:r>
        <w:rPr>
          <w:rFonts w:hint="eastAsia" w:ascii="宋体" w:hAnsi="宋体"/>
          <w:szCs w:val="21"/>
        </w:rPr>
        <w:t>全市有普通机动车驾驶员培训机构2户，珠玑驾校教学车辆72辆，合格教练员62人，年培训人员约1600人次；百顺驾校，教学车辆41辆，合格教练员40人，年培训人员约1300人次；有机动车维修业户39户，其中一类机动车维修业户2户，二类机动车维修业户3户，三类机动车维修业户16户，摩托车维修业户18户；综合性能检测站1个，年完成检测量约910辆次。</w:t>
      </w:r>
    </w:p>
    <w:p w14:paraId="40B5EB60">
      <w:pPr>
        <w:ind w:firstLine="422"/>
        <w:jc w:val="center"/>
        <w:rPr>
          <w:rFonts w:ascii="宋体" w:hAnsi="宋体"/>
          <w:b/>
          <w:szCs w:val="21"/>
        </w:rPr>
      </w:pPr>
      <w:r>
        <w:rPr>
          <w:rFonts w:hint="eastAsia" w:ascii="宋体" w:hAnsi="宋体"/>
          <w:b/>
          <w:szCs w:val="21"/>
        </w:rPr>
        <w:t>表14 南雄市农村公交车运行线路表</w:t>
      </w:r>
    </w:p>
    <w:tbl>
      <w:tblPr>
        <w:tblStyle w:val="14"/>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709"/>
        <w:gridCol w:w="1233"/>
        <w:gridCol w:w="1518"/>
        <w:gridCol w:w="2158"/>
        <w:gridCol w:w="2313"/>
        <w:gridCol w:w="1031"/>
      </w:tblGrid>
      <w:tr w14:paraId="15890EC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858" w:type="pct"/>
            <w:shd w:val="clear" w:color="auto" w:fill="auto"/>
            <w:noWrap/>
            <w:vAlign w:val="center"/>
          </w:tcPr>
          <w:p w14:paraId="5957A3B2">
            <w:pPr>
              <w:pStyle w:val="23"/>
              <w:jc w:val="center"/>
              <w:rPr>
                <w:b/>
                <w:kern w:val="0"/>
              </w:rPr>
            </w:pPr>
            <w:r>
              <w:rPr>
                <w:b/>
                <w:kern w:val="0"/>
              </w:rPr>
              <w:t>起点站</w:t>
            </w:r>
          </w:p>
        </w:tc>
        <w:tc>
          <w:tcPr>
            <w:tcW w:w="619" w:type="pct"/>
            <w:shd w:val="clear" w:color="auto" w:fill="auto"/>
            <w:noWrap/>
            <w:vAlign w:val="center"/>
          </w:tcPr>
          <w:p w14:paraId="6EA4FB12">
            <w:pPr>
              <w:pStyle w:val="23"/>
              <w:jc w:val="center"/>
              <w:rPr>
                <w:b/>
                <w:kern w:val="0"/>
              </w:rPr>
            </w:pPr>
            <w:r>
              <w:rPr>
                <w:b/>
                <w:kern w:val="0"/>
              </w:rPr>
              <w:t>终点站</w:t>
            </w:r>
          </w:p>
        </w:tc>
        <w:tc>
          <w:tcPr>
            <w:tcW w:w="762" w:type="pct"/>
            <w:shd w:val="clear" w:color="auto" w:fill="auto"/>
            <w:noWrap/>
            <w:vAlign w:val="center"/>
          </w:tcPr>
          <w:p w14:paraId="26CA2317">
            <w:pPr>
              <w:pStyle w:val="23"/>
              <w:jc w:val="center"/>
              <w:rPr>
                <w:b/>
                <w:kern w:val="0"/>
              </w:rPr>
            </w:pPr>
            <w:r>
              <w:rPr>
                <w:b/>
                <w:kern w:val="0"/>
              </w:rPr>
              <w:t>路程(公里)</w:t>
            </w:r>
          </w:p>
        </w:tc>
        <w:tc>
          <w:tcPr>
            <w:tcW w:w="1083" w:type="pct"/>
            <w:shd w:val="clear" w:color="auto" w:fill="auto"/>
            <w:noWrap/>
            <w:vAlign w:val="center"/>
          </w:tcPr>
          <w:p w14:paraId="1C57B222">
            <w:pPr>
              <w:pStyle w:val="23"/>
              <w:jc w:val="center"/>
              <w:rPr>
                <w:b/>
                <w:kern w:val="0"/>
              </w:rPr>
            </w:pPr>
            <w:r>
              <w:rPr>
                <w:b/>
                <w:kern w:val="0"/>
              </w:rPr>
              <w:t>途经</w:t>
            </w:r>
          </w:p>
        </w:tc>
        <w:tc>
          <w:tcPr>
            <w:tcW w:w="1161" w:type="pct"/>
            <w:shd w:val="clear" w:color="auto" w:fill="auto"/>
            <w:noWrap/>
            <w:vAlign w:val="center"/>
          </w:tcPr>
          <w:p w14:paraId="32D892CA">
            <w:pPr>
              <w:pStyle w:val="23"/>
              <w:jc w:val="center"/>
              <w:rPr>
                <w:b/>
                <w:kern w:val="0"/>
              </w:rPr>
            </w:pPr>
            <w:r>
              <w:rPr>
                <w:b/>
                <w:kern w:val="0"/>
              </w:rPr>
              <w:t>班次</w:t>
            </w:r>
          </w:p>
        </w:tc>
        <w:tc>
          <w:tcPr>
            <w:tcW w:w="517" w:type="pct"/>
            <w:shd w:val="clear" w:color="auto" w:fill="auto"/>
            <w:noWrap/>
            <w:vAlign w:val="center"/>
          </w:tcPr>
          <w:p w14:paraId="1ABCCEE3">
            <w:pPr>
              <w:pStyle w:val="23"/>
              <w:jc w:val="center"/>
              <w:rPr>
                <w:b/>
                <w:kern w:val="0"/>
              </w:rPr>
            </w:pPr>
            <w:r>
              <w:rPr>
                <w:b/>
                <w:kern w:val="0"/>
              </w:rPr>
              <w:t>票价(元)</w:t>
            </w:r>
          </w:p>
        </w:tc>
      </w:tr>
      <w:tr w14:paraId="740EA27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858" w:type="pct"/>
            <w:shd w:val="clear" w:color="auto" w:fill="auto"/>
            <w:noWrap/>
            <w:vAlign w:val="center"/>
          </w:tcPr>
          <w:p w14:paraId="469B32D9">
            <w:pPr>
              <w:pStyle w:val="23"/>
              <w:jc w:val="center"/>
              <w:rPr>
                <w:kern w:val="0"/>
                <w:sz w:val="20"/>
                <w:szCs w:val="20"/>
              </w:rPr>
            </w:pPr>
            <w:r>
              <w:rPr>
                <w:kern w:val="0"/>
                <w:sz w:val="20"/>
                <w:szCs w:val="20"/>
              </w:rPr>
              <w:t>南雄汽车站</w:t>
            </w:r>
          </w:p>
        </w:tc>
        <w:tc>
          <w:tcPr>
            <w:tcW w:w="619" w:type="pct"/>
            <w:shd w:val="clear" w:color="auto" w:fill="auto"/>
            <w:noWrap/>
            <w:vAlign w:val="center"/>
          </w:tcPr>
          <w:p w14:paraId="60688107">
            <w:pPr>
              <w:pStyle w:val="23"/>
              <w:jc w:val="center"/>
              <w:rPr>
                <w:kern w:val="0"/>
                <w:sz w:val="20"/>
                <w:szCs w:val="20"/>
              </w:rPr>
            </w:pPr>
            <w:r>
              <w:rPr>
                <w:kern w:val="0"/>
                <w:sz w:val="20"/>
                <w:szCs w:val="20"/>
              </w:rPr>
              <w:t>百顺</w:t>
            </w:r>
          </w:p>
        </w:tc>
        <w:tc>
          <w:tcPr>
            <w:tcW w:w="762" w:type="pct"/>
            <w:shd w:val="clear" w:color="auto" w:fill="auto"/>
            <w:noWrap/>
            <w:vAlign w:val="center"/>
          </w:tcPr>
          <w:p w14:paraId="1AC360C8">
            <w:pPr>
              <w:pStyle w:val="23"/>
              <w:jc w:val="center"/>
              <w:rPr>
                <w:kern w:val="0"/>
              </w:rPr>
            </w:pPr>
            <w:r>
              <w:rPr>
                <w:kern w:val="0"/>
              </w:rPr>
              <w:t>58</w:t>
            </w:r>
          </w:p>
        </w:tc>
        <w:tc>
          <w:tcPr>
            <w:tcW w:w="1083" w:type="pct"/>
            <w:shd w:val="clear" w:color="auto" w:fill="auto"/>
            <w:noWrap/>
            <w:vAlign w:val="center"/>
          </w:tcPr>
          <w:p w14:paraId="57F19CC4">
            <w:pPr>
              <w:pStyle w:val="23"/>
              <w:jc w:val="center"/>
              <w:rPr>
                <w:kern w:val="0"/>
                <w:sz w:val="20"/>
                <w:szCs w:val="20"/>
              </w:rPr>
            </w:pPr>
            <w:r>
              <w:rPr>
                <w:kern w:val="0"/>
                <w:sz w:val="20"/>
                <w:szCs w:val="20"/>
              </w:rPr>
              <w:t>澜河镇、帽子峰镇</w:t>
            </w:r>
          </w:p>
        </w:tc>
        <w:tc>
          <w:tcPr>
            <w:tcW w:w="1161" w:type="pct"/>
            <w:shd w:val="clear" w:color="auto" w:fill="auto"/>
            <w:noWrap/>
            <w:vAlign w:val="center"/>
          </w:tcPr>
          <w:p w14:paraId="7AD59C2D">
            <w:pPr>
              <w:pStyle w:val="23"/>
              <w:jc w:val="center"/>
              <w:rPr>
                <w:kern w:val="0"/>
                <w:sz w:val="20"/>
                <w:szCs w:val="20"/>
              </w:rPr>
            </w:pPr>
            <w:r>
              <w:rPr>
                <w:kern w:val="0"/>
                <w:sz w:val="20"/>
                <w:szCs w:val="20"/>
              </w:rPr>
              <w:t>每天2班</w:t>
            </w:r>
          </w:p>
        </w:tc>
        <w:tc>
          <w:tcPr>
            <w:tcW w:w="517" w:type="pct"/>
            <w:shd w:val="clear" w:color="auto" w:fill="auto"/>
            <w:noWrap/>
            <w:vAlign w:val="center"/>
          </w:tcPr>
          <w:p w14:paraId="62AC4770">
            <w:pPr>
              <w:pStyle w:val="23"/>
              <w:jc w:val="center"/>
              <w:rPr>
                <w:kern w:val="0"/>
                <w:sz w:val="20"/>
                <w:szCs w:val="20"/>
              </w:rPr>
            </w:pPr>
            <w:r>
              <w:rPr>
                <w:kern w:val="0"/>
                <w:sz w:val="20"/>
                <w:szCs w:val="20"/>
              </w:rPr>
              <w:t>13</w:t>
            </w:r>
          </w:p>
        </w:tc>
      </w:tr>
      <w:tr w14:paraId="2347C94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858" w:type="pct"/>
            <w:shd w:val="clear" w:color="auto" w:fill="auto"/>
            <w:noWrap/>
            <w:vAlign w:val="center"/>
          </w:tcPr>
          <w:p w14:paraId="27505B4F">
            <w:pPr>
              <w:pStyle w:val="23"/>
              <w:jc w:val="center"/>
              <w:rPr>
                <w:kern w:val="0"/>
                <w:sz w:val="20"/>
                <w:szCs w:val="20"/>
              </w:rPr>
            </w:pPr>
            <w:r>
              <w:rPr>
                <w:kern w:val="0"/>
                <w:sz w:val="20"/>
                <w:szCs w:val="20"/>
              </w:rPr>
              <w:t>南雄汽车站</w:t>
            </w:r>
          </w:p>
        </w:tc>
        <w:tc>
          <w:tcPr>
            <w:tcW w:w="619" w:type="pct"/>
            <w:shd w:val="clear" w:color="auto" w:fill="auto"/>
            <w:noWrap/>
            <w:vAlign w:val="center"/>
          </w:tcPr>
          <w:p w14:paraId="5EE964AE">
            <w:pPr>
              <w:pStyle w:val="23"/>
              <w:jc w:val="center"/>
              <w:rPr>
                <w:kern w:val="0"/>
                <w:sz w:val="20"/>
                <w:szCs w:val="20"/>
              </w:rPr>
            </w:pPr>
            <w:r>
              <w:rPr>
                <w:kern w:val="0"/>
                <w:sz w:val="20"/>
                <w:szCs w:val="20"/>
              </w:rPr>
              <w:t>界址</w:t>
            </w:r>
          </w:p>
        </w:tc>
        <w:tc>
          <w:tcPr>
            <w:tcW w:w="762" w:type="pct"/>
            <w:shd w:val="clear" w:color="auto" w:fill="auto"/>
            <w:noWrap/>
            <w:vAlign w:val="center"/>
          </w:tcPr>
          <w:p w14:paraId="6AB0C8F3">
            <w:pPr>
              <w:pStyle w:val="23"/>
              <w:jc w:val="center"/>
              <w:rPr>
                <w:kern w:val="0"/>
              </w:rPr>
            </w:pPr>
            <w:r>
              <w:rPr>
                <w:kern w:val="0"/>
              </w:rPr>
              <w:t>58</w:t>
            </w:r>
          </w:p>
        </w:tc>
        <w:tc>
          <w:tcPr>
            <w:tcW w:w="1083" w:type="pct"/>
            <w:shd w:val="clear" w:color="auto" w:fill="auto"/>
            <w:noWrap/>
            <w:vAlign w:val="center"/>
          </w:tcPr>
          <w:p w14:paraId="2928C061">
            <w:pPr>
              <w:pStyle w:val="23"/>
              <w:jc w:val="center"/>
              <w:rPr>
                <w:kern w:val="0"/>
                <w:sz w:val="20"/>
                <w:szCs w:val="20"/>
              </w:rPr>
            </w:pPr>
            <w:r>
              <w:rPr>
                <w:kern w:val="0"/>
                <w:sz w:val="20"/>
                <w:szCs w:val="20"/>
              </w:rPr>
              <w:t>黄坑镇、新龙</w:t>
            </w:r>
          </w:p>
        </w:tc>
        <w:tc>
          <w:tcPr>
            <w:tcW w:w="1161" w:type="pct"/>
            <w:shd w:val="clear" w:color="auto" w:fill="auto"/>
            <w:noWrap/>
            <w:vAlign w:val="center"/>
          </w:tcPr>
          <w:p w14:paraId="320E3A1D">
            <w:pPr>
              <w:pStyle w:val="23"/>
              <w:jc w:val="center"/>
              <w:rPr>
                <w:kern w:val="0"/>
                <w:sz w:val="20"/>
                <w:szCs w:val="20"/>
              </w:rPr>
            </w:pPr>
            <w:r>
              <w:rPr>
                <w:kern w:val="0"/>
                <w:sz w:val="20"/>
                <w:szCs w:val="20"/>
              </w:rPr>
              <w:t>每天5班</w:t>
            </w:r>
          </w:p>
        </w:tc>
        <w:tc>
          <w:tcPr>
            <w:tcW w:w="517" w:type="pct"/>
            <w:shd w:val="clear" w:color="auto" w:fill="auto"/>
            <w:noWrap/>
            <w:vAlign w:val="center"/>
          </w:tcPr>
          <w:p w14:paraId="60CFDA1A">
            <w:pPr>
              <w:pStyle w:val="23"/>
              <w:jc w:val="center"/>
              <w:rPr>
                <w:kern w:val="0"/>
                <w:sz w:val="20"/>
                <w:szCs w:val="20"/>
              </w:rPr>
            </w:pPr>
            <w:r>
              <w:rPr>
                <w:kern w:val="0"/>
                <w:sz w:val="20"/>
                <w:szCs w:val="20"/>
              </w:rPr>
              <w:t>13</w:t>
            </w:r>
          </w:p>
        </w:tc>
      </w:tr>
      <w:tr w14:paraId="7871261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858" w:type="pct"/>
            <w:shd w:val="clear" w:color="auto" w:fill="auto"/>
            <w:noWrap/>
            <w:vAlign w:val="center"/>
          </w:tcPr>
          <w:p w14:paraId="29F0D3AF">
            <w:pPr>
              <w:pStyle w:val="23"/>
              <w:jc w:val="center"/>
              <w:rPr>
                <w:kern w:val="0"/>
                <w:sz w:val="20"/>
                <w:szCs w:val="20"/>
              </w:rPr>
            </w:pPr>
            <w:r>
              <w:rPr>
                <w:kern w:val="0"/>
                <w:sz w:val="20"/>
                <w:szCs w:val="20"/>
              </w:rPr>
              <w:t>南雄汽车站</w:t>
            </w:r>
          </w:p>
        </w:tc>
        <w:tc>
          <w:tcPr>
            <w:tcW w:w="619" w:type="pct"/>
            <w:shd w:val="clear" w:color="auto" w:fill="auto"/>
            <w:noWrap/>
            <w:vAlign w:val="center"/>
          </w:tcPr>
          <w:p w14:paraId="0FC89D78">
            <w:pPr>
              <w:pStyle w:val="23"/>
              <w:jc w:val="center"/>
              <w:rPr>
                <w:kern w:val="0"/>
                <w:sz w:val="20"/>
                <w:szCs w:val="20"/>
              </w:rPr>
            </w:pPr>
            <w:r>
              <w:rPr>
                <w:kern w:val="0"/>
                <w:sz w:val="20"/>
                <w:szCs w:val="20"/>
              </w:rPr>
              <w:t>坪田</w:t>
            </w:r>
          </w:p>
        </w:tc>
        <w:tc>
          <w:tcPr>
            <w:tcW w:w="762" w:type="pct"/>
            <w:shd w:val="clear" w:color="auto" w:fill="auto"/>
            <w:noWrap/>
            <w:vAlign w:val="center"/>
          </w:tcPr>
          <w:p w14:paraId="11AD813E">
            <w:pPr>
              <w:pStyle w:val="23"/>
              <w:jc w:val="center"/>
              <w:rPr>
                <w:kern w:val="0"/>
              </w:rPr>
            </w:pPr>
            <w:r>
              <w:rPr>
                <w:kern w:val="0"/>
              </w:rPr>
              <w:t>58</w:t>
            </w:r>
          </w:p>
        </w:tc>
        <w:tc>
          <w:tcPr>
            <w:tcW w:w="1083" w:type="pct"/>
            <w:shd w:val="clear" w:color="auto" w:fill="auto"/>
            <w:noWrap/>
            <w:vAlign w:val="center"/>
          </w:tcPr>
          <w:p w14:paraId="41FA242E">
            <w:pPr>
              <w:pStyle w:val="23"/>
              <w:jc w:val="center"/>
              <w:rPr>
                <w:kern w:val="0"/>
                <w:sz w:val="20"/>
                <w:szCs w:val="20"/>
              </w:rPr>
            </w:pPr>
            <w:r>
              <w:rPr>
                <w:kern w:val="0"/>
                <w:sz w:val="20"/>
                <w:szCs w:val="20"/>
              </w:rPr>
              <w:t>黄坑、老龙</w:t>
            </w:r>
          </w:p>
        </w:tc>
        <w:tc>
          <w:tcPr>
            <w:tcW w:w="1161" w:type="pct"/>
            <w:shd w:val="clear" w:color="auto" w:fill="auto"/>
            <w:noWrap/>
            <w:vAlign w:val="center"/>
          </w:tcPr>
          <w:p w14:paraId="0B073676">
            <w:pPr>
              <w:pStyle w:val="23"/>
              <w:jc w:val="center"/>
              <w:rPr>
                <w:kern w:val="0"/>
                <w:sz w:val="20"/>
                <w:szCs w:val="20"/>
              </w:rPr>
            </w:pPr>
            <w:r>
              <w:rPr>
                <w:kern w:val="0"/>
                <w:sz w:val="20"/>
                <w:szCs w:val="20"/>
              </w:rPr>
              <w:t>每天6班</w:t>
            </w:r>
          </w:p>
        </w:tc>
        <w:tc>
          <w:tcPr>
            <w:tcW w:w="517" w:type="pct"/>
            <w:shd w:val="clear" w:color="auto" w:fill="auto"/>
            <w:noWrap/>
            <w:vAlign w:val="center"/>
          </w:tcPr>
          <w:p w14:paraId="3C791FE9">
            <w:pPr>
              <w:pStyle w:val="23"/>
              <w:jc w:val="center"/>
              <w:rPr>
                <w:kern w:val="0"/>
                <w:sz w:val="20"/>
                <w:szCs w:val="20"/>
              </w:rPr>
            </w:pPr>
            <w:r>
              <w:rPr>
                <w:kern w:val="0"/>
                <w:sz w:val="20"/>
                <w:szCs w:val="20"/>
              </w:rPr>
              <w:t>13</w:t>
            </w:r>
          </w:p>
        </w:tc>
      </w:tr>
      <w:tr w14:paraId="6A62E94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858" w:type="pct"/>
            <w:shd w:val="clear" w:color="auto" w:fill="auto"/>
            <w:noWrap/>
            <w:vAlign w:val="center"/>
          </w:tcPr>
          <w:p w14:paraId="3AD9FDAA">
            <w:pPr>
              <w:pStyle w:val="23"/>
              <w:jc w:val="center"/>
              <w:rPr>
                <w:kern w:val="0"/>
                <w:sz w:val="20"/>
                <w:szCs w:val="20"/>
              </w:rPr>
            </w:pPr>
            <w:r>
              <w:rPr>
                <w:kern w:val="0"/>
                <w:sz w:val="20"/>
                <w:szCs w:val="20"/>
              </w:rPr>
              <w:t>南雄汽车站</w:t>
            </w:r>
          </w:p>
        </w:tc>
        <w:tc>
          <w:tcPr>
            <w:tcW w:w="619" w:type="pct"/>
            <w:shd w:val="clear" w:color="auto" w:fill="auto"/>
            <w:noWrap/>
            <w:vAlign w:val="center"/>
          </w:tcPr>
          <w:p w14:paraId="55043F14">
            <w:pPr>
              <w:pStyle w:val="23"/>
              <w:jc w:val="center"/>
              <w:rPr>
                <w:kern w:val="0"/>
                <w:sz w:val="20"/>
                <w:szCs w:val="20"/>
              </w:rPr>
            </w:pPr>
            <w:r>
              <w:rPr>
                <w:kern w:val="0"/>
                <w:sz w:val="20"/>
                <w:szCs w:val="20"/>
              </w:rPr>
              <w:t>大余</w:t>
            </w:r>
          </w:p>
        </w:tc>
        <w:tc>
          <w:tcPr>
            <w:tcW w:w="762" w:type="pct"/>
            <w:shd w:val="clear" w:color="auto" w:fill="auto"/>
            <w:noWrap/>
            <w:vAlign w:val="center"/>
          </w:tcPr>
          <w:p w14:paraId="0C312099">
            <w:pPr>
              <w:pStyle w:val="23"/>
              <w:jc w:val="center"/>
              <w:rPr>
                <w:kern w:val="0"/>
              </w:rPr>
            </w:pPr>
            <w:r>
              <w:rPr>
                <w:kern w:val="0"/>
              </w:rPr>
              <w:t>41</w:t>
            </w:r>
          </w:p>
        </w:tc>
        <w:tc>
          <w:tcPr>
            <w:tcW w:w="1083" w:type="pct"/>
            <w:shd w:val="clear" w:color="auto" w:fill="auto"/>
            <w:noWrap/>
            <w:vAlign w:val="center"/>
          </w:tcPr>
          <w:p w14:paraId="385BC885">
            <w:pPr>
              <w:pStyle w:val="23"/>
              <w:jc w:val="center"/>
              <w:rPr>
                <w:kern w:val="0"/>
                <w:sz w:val="20"/>
                <w:szCs w:val="20"/>
              </w:rPr>
            </w:pPr>
            <w:r>
              <w:rPr>
                <w:kern w:val="0"/>
                <w:sz w:val="20"/>
                <w:szCs w:val="20"/>
              </w:rPr>
              <w:t>珠玑镇、梅岭镇</w:t>
            </w:r>
          </w:p>
        </w:tc>
        <w:tc>
          <w:tcPr>
            <w:tcW w:w="1161" w:type="pct"/>
            <w:shd w:val="clear" w:color="auto" w:fill="auto"/>
            <w:noWrap/>
            <w:vAlign w:val="center"/>
          </w:tcPr>
          <w:p w14:paraId="064C7CBC">
            <w:pPr>
              <w:pStyle w:val="23"/>
              <w:jc w:val="center"/>
              <w:rPr>
                <w:kern w:val="0"/>
                <w:sz w:val="20"/>
                <w:szCs w:val="20"/>
              </w:rPr>
            </w:pPr>
            <w:r>
              <w:rPr>
                <w:kern w:val="0"/>
                <w:sz w:val="20"/>
                <w:szCs w:val="20"/>
              </w:rPr>
              <w:t>每隔25分钟一班</w:t>
            </w:r>
          </w:p>
        </w:tc>
        <w:tc>
          <w:tcPr>
            <w:tcW w:w="517" w:type="pct"/>
            <w:shd w:val="clear" w:color="auto" w:fill="auto"/>
            <w:noWrap/>
            <w:vAlign w:val="center"/>
          </w:tcPr>
          <w:p w14:paraId="51FFB981">
            <w:pPr>
              <w:pStyle w:val="23"/>
              <w:jc w:val="center"/>
              <w:rPr>
                <w:kern w:val="0"/>
                <w:sz w:val="20"/>
                <w:szCs w:val="20"/>
              </w:rPr>
            </w:pPr>
            <w:r>
              <w:rPr>
                <w:kern w:val="0"/>
                <w:sz w:val="20"/>
                <w:szCs w:val="20"/>
              </w:rPr>
              <w:t>13</w:t>
            </w:r>
          </w:p>
        </w:tc>
      </w:tr>
      <w:tr w14:paraId="5003569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858" w:type="pct"/>
            <w:shd w:val="clear" w:color="auto" w:fill="auto"/>
            <w:noWrap/>
            <w:vAlign w:val="center"/>
          </w:tcPr>
          <w:p w14:paraId="263CA01A">
            <w:pPr>
              <w:pStyle w:val="23"/>
              <w:jc w:val="center"/>
              <w:rPr>
                <w:kern w:val="0"/>
                <w:sz w:val="20"/>
                <w:szCs w:val="20"/>
              </w:rPr>
            </w:pPr>
            <w:r>
              <w:rPr>
                <w:kern w:val="0"/>
                <w:sz w:val="20"/>
                <w:szCs w:val="20"/>
              </w:rPr>
              <w:t>南雄汽车站</w:t>
            </w:r>
          </w:p>
        </w:tc>
        <w:tc>
          <w:tcPr>
            <w:tcW w:w="619" w:type="pct"/>
            <w:shd w:val="clear" w:color="auto" w:fill="auto"/>
            <w:noWrap/>
            <w:vAlign w:val="center"/>
          </w:tcPr>
          <w:p w14:paraId="2AF67405">
            <w:pPr>
              <w:pStyle w:val="23"/>
              <w:jc w:val="center"/>
              <w:rPr>
                <w:kern w:val="0"/>
                <w:sz w:val="20"/>
                <w:szCs w:val="20"/>
              </w:rPr>
            </w:pPr>
            <w:r>
              <w:rPr>
                <w:kern w:val="0"/>
                <w:sz w:val="20"/>
                <w:szCs w:val="20"/>
              </w:rPr>
              <w:t>乌迳</w:t>
            </w:r>
          </w:p>
        </w:tc>
        <w:tc>
          <w:tcPr>
            <w:tcW w:w="762" w:type="pct"/>
            <w:shd w:val="clear" w:color="auto" w:fill="auto"/>
            <w:noWrap/>
            <w:vAlign w:val="center"/>
          </w:tcPr>
          <w:p w14:paraId="6A47F39C">
            <w:pPr>
              <w:pStyle w:val="23"/>
              <w:jc w:val="center"/>
              <w:rPr>
                <w:kern w:val="0"/>
              </w:rPr>
            </w:pPr>
            <w:r>
              <w:rPr>
                <w:kern w:val="0"/>
              </w:rPr>
              <w:t>35</w:t>
            </w:r>
          </w:p>
        </w:tc>
        <w:tc>
          <w:tcPr>
            <w:tcW w:w="1083" w:type="pct"/>
            <w:shd w:val="clear" w:color="auto" w:fill="auto"/>
            <w:noWrap/>
            <w:vAlign w:val="center"/>
          </w:tcPr>
          <w:p w14:paraId="219D3F33">
            <w:pPr>
              <w:pStyle w:val="23"/>
              <w:jc w:val="center"/>
              <w:rPr>
                <w:kern w:val="0"/>
                <w:sz w:val="20"/>
                <w:szCs w:val="20"/>
              </w:rPr>
            </w:pPr>
            <w:r>
              <w:rPr>
                <w:kern w:val="0"/>
                <w:sz w:val="20"/>
                <w:szCs w:val="20"/>
              </w:rPr>
              <w:t>湖口、黄坑</w:t>
            </w:r>
          </w:p>
        </w:tc>
        <w:tc>
          <w:tcPr>
            <w:tcW w:w="1161" w:type="pct"/>
            <w:shd w:val="clear" w:color="auto" w:fill="auto"/>
            <w:noWrap/>
            <w:vAlign w:val="center"/>
          </w:tcPr>
          <w:p w14:paraId="0D912981">
            <w:pPr>
              <w:pStyle w:val="23"/>
              <w:jc w:val="center"/>
              <w:rPr>
                <w:kern w:val="0"/>
                <w:sz w:val="20"/>
                <w:szCs w:val="20"/>
              </w:rPr>
            </w:pPr>
            <w:r>
              <w:rPr>
                <w:kern w:val="0"/>
                <w:sz w:val="20"/>
                <w:szCs w:val="20"/>
              </w:rPr>
              <w:t>每隔10分钟一班</w:t>
            </w:r>
          </w:p>
        </w:tc>
        <w:tc>
          <w:tcPr>
            <w:tcW w:w="517" w:type="pct"/>
            <w:shd w:val="clear" w:color="auto" w:fill="auto"/>
            <w:noWrap/>
            <w:vAlign w:val="center"/>
          </w:tcPr>
          <w:p w14:paraId="7911B9B3">
            <w:pPr>
              <w:pStyle w:val="23"/>
              <w:jc w:val="center"/>
              <w:rPr>
                <w:kern w:val="0"/>
                <w:sz w:val="20"/>
                <w:szCs w:val="20"/>
              </w:rPr>
            </w:pPr>
            <w:r>
              <w:rPr>
                <w:kern w:val="0"/>
                <w:sz w:val="20"/>
                <w:szCs w:val="20"/>
              </w:rPr>
              <w:t>9</w:t>
            </w:r>
          </w:p>
        </w:tc>
      </w:tr>
      <w:tr w14:paraId="7724C8F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858" w:type="pct"/>
            <w:shd w:val="clear" w:color="auto" w:fill="auto"/>
            <w:noWrap/>
            <w:vAlign w:val="center"/>
          </w:tcPr>
          <w:p w14:paraId="007C494D">
            <w:pPr>
              <w:pStyle w:val="23"/>
              <w:jc w:val="center"/>
              <w:rPr>
                <w:kern w:val="0"/>
                <w:sz w:val="20"/>
                <w:szCs w:val="20"/>
              </w:rPr>
            </w:pPr>
            <w:r>
              <w:rPr>
                <w:kern w:val="0"/>
                <w:sz w:val="20"/>
                <w:szCs w:val="20"/>
              </w:rPr>
              <w:t>南雄汽车站</w:t>
            </w:r>
          </w:p>
        </w:tc>
        <w:tc>
          <w:tcPr>
            <w:tcW w:w="619" w:type="pct"/>
            <w:shd w:val="clear" w:color="auto" w:fill="auto"/>
            <w:noWrap/>
            <w:vAlign w:val="center"/>
          </w:tcPr>
          <w:p w14:paraId="3B9C2352">
            <w:pPr>
              <w:pStyle w:val="23"/>
              <w:jc w:val="center"/>
              <w:rPr>
                <w:kern w:val="0"/>
                <w:sz w:val="20"/>
                <w:szCs w:val="20"/>
              </w:rPr>
            </w:pPr>
            <w:r>
              <w:rPr>
                <w:kern w:val="0"/>
                <w:sz w:val="20"/>
                <w:szCs w:val="20"/>
              </w:rPr>
              <w:t>南亩</w:t>
            </w:r>
          </w:p>
        </w:tc>
        <w:tc>
          <w:tcPr>
            <w:tcW w:w="762" w:type="pct"/>
            <w:shd w:val="clear" w:color="auto" w:fill="auto"/>
            <w:noWrap/>
            <w:vAlign w:val="center"/>
          </w:tcPr>
          <w:p w14:paraId="1841D36A">
            <w:pPr>
              <w:pStyle w:val="23"/>
              <w:jc w:val="center"/>
              <w:rPr>
                <w:kern w:val="0"/>
              </w:rPr>
            </w:pPr>
            <w:r>
              <w:rPr>
                <w:kern w:val="0"/>
              </w:rPr>
              <w:t>30</w:t>
            </w:r>
          </w:p>
        </w:tc>
        <w:tc>
          <w:tcPr>
            <w:tcW w:w="1083" w:type="pct"/>
            <w:shd w:val="clear" w:color="auto" w:fill="auto"/>
            <w:noWrap/>
            <w:vAlign w:val="center"/>
          </w:tcPr>
          <w:p w14:paraId="1B476A09">
            <w:pPr>
              <w:pStyle w:val="23"/>
              <w:jc w:val="center"/>
              <w:rPr>
                <w:kern w:val="0"/>
                <w:sz w:val="20"/>
                <w:szCs w:val="20"/>
              </w:rPr>
            </w:pPr>
            <w:r>
              <w:rPr>
                <w:kern w:val="0"/>
                <w:sz w:val="20"/>
                <w:szCs w:val="20"/>
              </w:rPr>
              <w:t>湖口、水口</w:t>
            </w:r>
          </w:p>
        </w:tc>
        <w:tc>
          <w:tcPr>
            <w:tcW w:w="1161" w:type="pct"/>
            <w:shd w:val="clear" w:color="auto" w:fill="auto"/>
            <w:noWrap/>
            <w:vAlign w:val="center"/>
          </w:tcPr>
          <w:p w14:paraId="3F1835BF">
            <w:pPr>
              <w:pStyle w:val="23"/>
              <w:jc w:val="center"/>
              <w:rPr>
                <w:kern w:val="0"/>
                <w:sz w:val="20"/>
                <w:szCs w:val="20"/>
              </w:rPr>
            </w:pPr>
            <w:r>
              <w:rPr>
                <w:kern w:val="0"/>
                <w:sz w:val="20"/>
                <w:szCs w:val="20"/>
              </w:rPr>
              <w:t>每隔20分钟一班</w:t>
            </w:r>
          </w:p>
        </w:tc>
        <w:tc>
          <w:tcPr>
            <w:tcW w:w="517" w:type="pct"/>
            <w:shd w:val="clear" w:color="auto" w:fill="auto"/>
            <w:noWrap/>
            <w:vAlign w:val="center"/>
          </w:tcPr>
          <w:p w14:paraId="49968C7B">
            <w:pPr>
              <w:pStyle w:val="23"/>
              <w:jc w:val="center"/>
              <w:rPr>
                <w:kern w:val="0"/>
                <w:sz w:val="20"/>
                <w:szCs w:val="20"/>
              </w:rPr>
            </w:pPr>
            <w:r>
              <w:rPr>
                <w:kern w:val="0"/>
                <w:sz w:val="20"/>
                <w:szCs w:val="20"/>
              </w:rPr>
              <w:t>8</w:t>
            </w:r>
          </w:p>
        </w:tc>
      </w:tr>
      <w:tr w14:paraId="0946703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858" w:type="pct"/>
            <w:shd w:val="clear" w:color="auto" w:fill="auto"/>
            <w:noWrap/>
            <w:vAlign w:val="center"/>
          </w:tcPr>
          <w:p w14:paraId="1148999F">
            <w:pPr>
              <w:pStyle w:val="23"/>
              <w:jc w:val="center"/>
              <w:rPr>
                <w:kern w:val="0"/>
                <w:sz w:val="20"/>
                <w:szCs w:val="20"/>
              </w:rPr>
            </w:pPr>
            <w:r>
              <w:rPr>
                <w:kern w:val="0"/>
                <w:sz w:val="20"/>
                <w:szCs w:val="20"/>
              </w:rPr>
              <w:t>南雄汽车站</w:t>
            </w:r>
          </w:p>
        </w:tc>
        <w:tc>
          <w:tcPr>
            <w:tcW w:w="619" w:type="pct"/>
            <w:shd w:val="clear" w:color="auto" w:fill="auto"/>
            <w:noWrap/>
            <w:vAlign w:val="center"/>
          </w:tcPr>
          <w:p w14:paraId="162A5D4E">
            <w:pPr>
              <w:pStyle w:val="23"/>
              <w:jc w:val="center"/>
              <w:rPr>
                <w:kern w:val="0"/>
                <w:sz w:val="20"/>
                <w:szCs w:val="20"/>
              </w:rPr>
            </w:pPr>
            <w:r>
              <w:rPr>
                <w:kern w:val="0"/>
                <w:sz w:val="20"/>
                <w:szCs w:val="20"/>
              </w:rPr>
              <w:t>大塘</w:t>
            </w:r>
          </w:p>
        </w:tc>
        <w:tc>
          <w:tcPr>
            <w:tcW w:w="762" w:type="pct"/>
            <w:shd w:val="clear" w:color="auto" w:fill="auto"/>
            <w:noWrap/>
            <w:vAlign w:val="center"/>
          </w:tcPr>
          <w:p w14:paraId="58550AF6">
            <w:pPr>
              <w:pStyle w:val="23"/>
              <w:jc w:val="center"/>
              <w:rPr>
                <w:kern w:val="0"/>
              </w:rPr>
            </w:pPr>
            <w:r>
              <w:rPr>
                <w:kern w:val="0"/>
              </w:rPr>
              <w:t>30</w:t>
            </w:r>
          </w:p>
        </w:tc>
        <w:tc>
          <w:tcPr>
            <w:tcW w:w="1083" w:type="pct"/>
            <w:shd w:val="clear" w:color="auto" w:fill="auto"/>
            <w:noWrap/>
            <w:vAlign w:val="center"/>
          </w:tcPr>
          <w:p w14:paraId="051373FA">
            <w:pPr>
              <w:pStyle w:val="23"/>
              <w:jc w:val="center"/>
              <w:rPr>
                <w:kern w:val="0"/>
                <w:sz w:val="20"/>
                <w:szCs w:val="20"/>
              </w:rPr>
            </w:pPr>
            <w:r>
              <w:rPr>
                <w:kern w:val="0"/>
                <w:sz w:val="20"/>
                <w:szCs w:val="20"/>
              </w:rPr>
              <w:t>长市、白木、邓坊</w:t>
            </w:r>
          </w:p>
        </w:tc>
        <w:tc>
          <w:tcPr>
            <w:tcW w:w="1161" w:type="pct"/>
            <w:shd w:val="clear" w:color="auto" w:fill="auto"/>
            <w:noWrap/>
            <w:vAlign w:val="center"/>
          </w:tcPr>
          <w:p w14:paraId="3C8C85F2">
            <w:pPr>
              <w:pStyle w:val="23"/>
              <w:jc w:val="center"/>
              <w:rPr>
                <w:kern w:val="0"/>
                <w:sz w:val="20"/>
                <w:szCs w:val="20"/>
              </w:rPr>
            </w:pPr>
            <w:r>
              <w:rPr>
                <w:kern w:val="0"/>
                <w:sz w:val="20"/>
                <w:szCs w:val="20"/>
              </w:rPr>
              <w:t>每隔20分钟一班</w:t>
            </w:r>
          </w:p>
        </w:tc>
        <w:tc>
          <w:tcPr>
            <w:tcW w:w="517" w:type="pct"/>
            <w:shd w:val="clear" w:color="auto" w:fill="auto"/>
            <w:noWrap/>
            <w:vAlign w:val="center"/>
          </w:tcPr>
          <w:p w14:paraId="7F58C7BA">
            <w:pPr>
              <w:pStyle w:val="23"/>
              <w:jc w:val="center"/>
              <w:rPr>
                <w:kern w:val="0"/>
                <w:sz w:val="20"/>
                <w:szCs w:val="20"/>
              </w:rPr>
            </w:pPr>
            <w:r>
              <w:rPr>
                <w:kern w:val="0"/>
                <w:sz w:val="20"/>
                <w:szCs w:val="20"/>
              </w:rPr>
              <w:t>8</w:t>
            </w:r>
          </w:p>
        </w:tc>
      </w:tr>
      <w:tr w14:paraId="0A900D0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858" w:type="pct"/>
            <w:shd w:val="clear" w:color="auto" w:fill="auto"/>
            <w:noWrap/>
            <w:vAlign w:val="center"/>
          </w:tcPr>
          <w:p w14:paraId="6DF36A19">
            <w:pPr>
              <w:pStyle w:val="23"/>
              <w:jc w:val="center"/>
              <w:rPr>
                <w:kern w:val="0"/>
                <w:sz w:val="20"/>
                <w:szCs w:val="20"/>
              </w:rPr>
            </w:pPr>
            <w:r>
              <w:rPr>
                <w:kern w:val="0"/>
                <w:sz w:val="20"/>
                <w:szCs w:val="20"/>
              </w:rPr>
              <w:t>南雄汽车站</w:t>
            </w:r>
          </w:p>
        </w:tc>
        <w:tc>
          <w:tcPr>
            <w:tcW w:w="619" w:type="pct"/>
            <w:shd w:val="clear" w:color="auto" w:fill="auto"/>
            <w:noWrap/>
            <w:vAlign w:val="center"/>
          </w:tcPr>
          <w:p w14:paraId="42EA42B9">
            <w:pPr>
              <w:pStyle w:val="23"/>
              <w:jc w:val="center"/>
              <w:rPr>
                <w:kern w:val="0"/>
                <w:sz w:val="20"/>
                <w:szCs w:val="20"/>
              </w:rPr>
            </w:pPr>
            <w:r>
              <w:rPr>
                <w:kern w:val="0"/>
                <w:sz w:val="20"/>
                <w:szCs w:val="20"/>
              </w:rPr>
              <w:t>江头</w:t>
            </w:r>
          </w:p>
        </w:tc>
        <w:tc>
          <w:tcPr>
            <w:tcW w:w="762" w:type="pct"/>
            <w:shd w:val="clear" w:color="auto" w:fill="auto"/>
            <w:noWrap/>
            <w:vAlign w:val="center"/>
          </w:tcPr>
          <w:p w14:paraId="62A2AD3B">
            <w:pPr>
              <w:pStyle w:val="23"/>
              <w:jc w:val="center"/>
              <w:rPr>
                <w:kern w:val="0"/>
              </w:rPr>
            </w:pPr>
            <w:r>
              <w:rPr>
                <w:kern w:val="0"/>
              </w:rPr>
              <w:t>13</w:t>
            </w:r>
          </w:p>
        </w:tc>
        <w:tc>
          <w:tcPr>
            <w:tcW w:w="1083" w:type="pct"/>
            <w:shd w:val="clear" w:color="auto" w:fill="auto"/>
            <w:noWrap/>
            <w:vAlign w:val="center"/>
          </w:tcPr>
          <w:p w14:paraId="659D9DCC">
            <w:pPr>
              <w:pStyle w:val="23"/>
              <w:jc w:val="center"/>
              <w:rPr>
                <w:kern w:val="0"/>
                <w:sz w:val="20"/>
                <w:szCs w:val="20"/>
              </w:rPr>
            </w:pPr>
            <w:r>
              <w:rPr>
                <w:kern w:val="0"/>
                <w:sz w:val="20"/>
                <w:szCs w:val="20"/>
              </w:rPr>
              <w:t>平岗</w:t>
            </w:r>
          </w:p>
        </w:tc>
        <w:tc>
          <w:tcPr>
            <w:tcW w:w="1161" w:type="pct"/>
            <w:shd w:val="clear" w:color="auto" w:fill="auto"/>
            <w:noWrap/>
            <w:vAlign w:val="center"/>
          </w:tcPr>
          <w:p w14:paraId="0494D920">
            <w:pPr>
              <w:pStyle w:val="23"/>
              <w:jc w:val="center"/>
              <w:rPr>
                <w:kern w:val="0"/>
                <w:sz w:val="20"/>
                <w:szCs w:val="20"/>
              </w:rPr>
            </w:pPr>
            <w:r>
              <w:rPr>
                <w:kern w:val="0"/>
                <w:sz w:val="20"/>
                <w:szCs w:val="20"/>
              </w:rPr>
              <w:t>每隔30分钟一班</w:t>
            </w:r>
          </w:p>
        </w:tc>
        <w:tc>
          <w:tcPr>
            <w:tcW w:w="517" w:type="pct"/>
            <w:shd w:val="clear" w:color="auto" w:fill="auto"/>
            <w:noWrap/>
            <w:vAlign w:val="center"/>
          </w:tcPr>
          <w:p w14:paraId="594E5973">
            <w:pPr>
              <w:pStyle w:val="23"/>
              <w:jc w:val="center"/>
              <w:rPr>
                <w:kern w:val="0"/>
                <w:sz w:val="20"/>
                <w:szCs w:val="20"/>
              </w:rPr>
            </w:pPr>
            <w:r>
              <w:rPr>
                <w:kern w:val="0"/>
                <w:sz w:val="20"/>
                <w:szCs w:val="20"/>
              </w:rPr>
              <w:t>4</w:t>
            </w:r>
          </w:p>
        </w:tc>
      </w:tr>
      <w:tr w14:paraId="3D4F886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858" w:type="pct"/>
            <w:shd w:val="clear" w:color="auto" w:fill="auto"/>
            <w:noWrap/>
            <w:vAlign w:val="center"/>
          </w:tcPr>
          <w:p w14:paraId="687FB548">
            <w:pPr>
              <w:pStyle w:val="23"/>
              <w:jc w:val="center"/>
              <w:rPr>
                <w:kern w:val="0"/>
                <w:sz w:val="20"/>
                <w:szCs w:val="20"/>
              </w:rPr>
            </w:pPr>
            <w:r>
              <w:rPr>
                <w:kern w:val="0"/>
                <w:sz w:val="20"/>
                <w:szCs w:val="20"/>
              </w:rPr>
              <w:t>南雄汽车站</w:t>
            </w:r>
          </w:p>
        </w:tc>
        <w:tc>
          <w:tcPr>
            <w:tcW w:w="619" w:type="pct"/>
            <w:shd w:val="clear" w:color="auto" w:fill="auto"/>
            <w:noWrap/>
            <w:vAlign w:val="center"/>
          </w:tcPr>
          <w:p w14:paraId="759F4727">
            <w:pPr>
              <w:pStyle w:val="23"/>
              <w:jc w:val="center"/>
              <w:rPr>
                <w:kern w:val="0"/>
                <w:sz w:val="20"/>
                <w:szCs w:val="20"/>
              </w:rPr>
            </w:pPr>
            <w:r>
              <w:rPr>
                <w:kern w:val="0"/>
                <w:sz w:val="20"/>
                <w:szCs w:val="20"/>
              </w:rPr>
              <w:t>上龙</w:t>
            </w:r>
          </w:p>
        </w:tc>
        <w:tc>
          <w:tcPr>
            <w:tcW w:w="762" w:type="pct"/>
            <w:shd w:val="clear" w:color="auto" w:fill="auto"/>
            <w:noWrap/>
            <w:vAlign w:val="center"/>
          </w:tcPr>
          <w:p w14:paraId="2F7E6776">
            <w:pPr>
              <w:pStyle w:val="23"/>
              <w:jc w:val="center"/>
              <w:rPr>
                <w:kern w:val="0"/>
              </w:rPr>
            </w:pPr>
            <w:r>
              <w:rPr>
                <w:kern w:val="0"/>
              </w:rPr>
              <w:t>40</w:t>
            </w:r>
          </w:p>
        </w:tc>
        <w:tc>
          <w:tcPr>
            <w:tcW w:w="1083" w:type="pct"/>
            <w:shd w:val="clear" w:color="auto" w:fill="auto"/>
            <w:noWrap/>
            <w:vAlign w:val="center"/>
          </w:tcPr>
          <w:p w14:paraId="020E9709">
            <w:pPr>
              <w:pStyle w:val="23"/>
              <w:jc w:val="center"/>
              <w:rPr>
                <w:kern w:val="0"/>
                <w:sz w:val="20"/>
                <w:szCs w:val="20"/>
              </w:rPr>
            </w:pPr>
            <w:r>
              <w:rPr>
                <w:kern w:val="0"/>
                <w:sz w:val="20"/>
                <w:szCs w:val="20"/>
              </w:rPr>
              <w:t>付竹</w:t>
            </w:r>
          </w:p>
        </w:tc>
        <w:tc>
          <w:tcPr>
            <w:tcW w:w="1161" w:type="pct"/>
            <w:shd w:val="clear" w:color="auto" w:fill="auto"/>
            <w:noWrap/>
            <w:vAlign w:val="center"/>
          </w:tcPr>
          <w:p w14:paraId="18A38237">
            <w:pPr>
              <w:pStyle w:val="23"/>
              <w:jc w:val="center"/>
              <w:rPr>
                <w:kern w:val="0"/>
                <w:sz w:val="20"/>
                <w:szCs w:val="20"/>
              </w:rPr>
            </w:pPr>
            <w:r>
              <w:rPr>
                <w:kern w:val="0"/>
                <w:sz w:val="20"/>
                <w:szCs w:val="20"/>
              </w:rPr>
              <w:t>每天6班</w:t>
            </w:r>
          </w:p>
        </w:tc>
        <w:tc>
          <w:tcPr>
            <w:tcW w:w="517" w:type="pct"/>
            <w:shd w:val="clear" w:color="auto" w:fill="auto"/>
            <w:noWrap/>
            <w:vAlign w:val="center"/>
          </w:tcPr>
          <w:p w14:paraId="7254517A">
            <w:pPr>
              <w:pStyle w:val="23"/>
              <w:jc w:val="center"/>
              <w:rPr>
                <w:kern w:val="0"/>
                <w:sz w:val="20"/>
                <w:szCs w:val="20"/>
              </w:rPr>
            </w:pPr>
            <w:r>
              <w:rPr>
                <w:kern w:val="0"/>
                <w:sz w:val="20"/>
                <w:szCs w:val="20"/>
              </w:rPr>
              <w:t>7</w:t>
            </w:r>
          </w:p>
        </w:tc>
      </w:tr>
      <w:tr w14:paraId="4507775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858" w:type="pct"/>
            <w:shd w:val="clear" w:color="auto" w:fill="auto"/>
            <w:noWrap/>
            <w:vAlign w:val="center"/>
          </w:tcPr>
          <w:p w14:paraId="587D7296">
            <w:pPr>
              <w:pStyle w:val="23"/>
              <w:jc w:val="center"/>
              <w:rPr>
                <w:kern w:val="0"/>
                <w:sz w:val="20"/>
                <w:szCs w:val="20"/>
              </w:rPr>
            </w:pPr>
            <w:r>
              <w:rPr>
                <w:kern w:val="0"/>
                <w:sz w:val="20"/>
                <w:szCs w:val="20"/>
              </w:rPr>
              <w:t>南雄汽车站</w:t>
            </w:r>
          </w:p>
        </w:tc>
        <w:tc>
          <w:tcPr>
            <w:tcW w:w="619" w:type="pct"/>
            <w:shd w:val="clear" w:color="auto" w:fill="auto"/>
            <w:noWrap/>
            <w:vAlign w:val="center"/>
          </w:tcPr>
          <w:p w14:paraId="786ED642">
            <w:pPr>
              <w:pStyle w:val="23"/>
              <w:jc w:val="center"/>
              <w:rPr>
                <w:kern w:val="0"/>
                <w:sz w:val="20"/>
                <w:szCs w:val="20"/>
              </w:rPr>
            </w:pPr>
            <w:r>
              <w:rPr>
                <w:kern w:val="0"/>
                <w:sz w:val="20"/>
                <w:szCs w:val="20"/>
              </w:rPr>
              <w:t>坡头</w:t>
            </w:r>
          </w:p>
        </w:tc>
        <w:tc>
          <w:tcPr>
            <w:tcW w:w="762" w:type="pct"/>
            <w:shd w:val="clear" w:color="auto" w:fill="auto"/>
            <w:noWrap/>
            <w:vAlign w:val="center"/>
          </w:tcPr>
          <w:p w14:paraId="75FE534B">
            <w:pPr>
              <w:pStyle w:val="23"/>
              <w:jc w:val="center"/>
              <w:rPr>
                <w:kern w:val="0"/>
              </w:rPr>
            </w:pPr>
            <w:r>
              <w:rPr>
                <w:kern w:val="0"/>
              </w:rPr>
              <w:t>58</w:t>
            </w:r>
          </w:p>
        </w:tc>
        <w:tc>
          <w:tcPr>
            <w:tcW w:w="1083" w:type="pct"/>
            <w:shd w:val="clear" w:color="auto" w:fill="auto"/>
            <w:noWrap/>
            <w:vAlign w:val="center"/>
          </w:tcPr>
          <w:p w14:paraId="65A7BB7E">
            <w:pPr>
              <w:pStyle w:val="23"/>
              <w:jc w:val="center"/>
              <w:rPr>
                <w:kern w:val="0"/>
                <w:sz w:val="20"/>
                <w:szCs w:val="20"/>
              </w:rPr>
            </w:pPr>
            <w:r>
              <w:rPr>
                <w:kern w:val="0"/>
                <w:sz w:val="20"/>
                <w:szCs w:val="20"/>
              </w:rPr>
              <w:t>湖口、南亩</w:t>
            </w:r>
          </w:p>
        </w:tc>
        <w:tc>
          <w:tcPr>
            <w:tcW w:w="1161" w:type="pct"/>
            <w:shd w:val="clear" w:color="auto" w:fill="auto"/>
            <w:noWrap/>
            <w:vAlign w:val="center"/>
          </w:tcPr>
          <w:p w14:paraId="7ADC1986">
            <w:pPr>
              <w:pStyle w:val="23"/>
              <w:jc w:val="center"/>
              <w:rPr>
                <w:kern w:val="0"/>
                <w:sz w:val="20"/>
                <w:szCs w:val="20"/>
              </w:rPr>
            </w:pPr>
            <w:r>
              <w:rPr>
                <w:kern w:val="0"/>
                <w:sz w:val="20"/>
                <w:szCs w:val="20"/>
              </w:rPr>
              <w:t>每天3班</w:t>
            </w:r>
          </w:p>
        </w:tc>
        <w:tc>
          <w:tcPr>
            <w:tcW w:w="517" w:type="pct"/>
            <w:shd w:val="clear" w:color="auto" w:fill="auto"/>
            <w:noWrap/>
            <w:vAlign w:val="center"/>
          </w:tcPr>
          <w:p w14:paraId="6AA9C702">
            <w:pPr>
              <w:pStyle w:val="23"/>
              <w:jc w:val="center"/>
              <w:rPr>
                <w:kern w:val="0"/>
                <w:sz w:val="20"/>
                <w:szCs w:val="20"/>
              </w:rPr>
            </w:pPr>
            <w:r>
              <w:rPr>
                <w:kern w:val="0"/>
                <w:sz w:val="20"/>
                <w:szCs w:val="20"/>
              </w:rPr>
              <w:t>515</w:t>
            </w:r>
          </w:p>
        </w:tc>
      </w:tr>
      <w:tr w14:paraId="54D16CE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858" w:type="pct"/>
            <w:shd w:val="clear" w:color="auto" w:fill="auto"/>
            <w:noWrap/>
            <w:vAlign w:val="center"/>
          </w:tcPr>
          <w:p w14:paraId="5288E4D4">
            <w:pPr>
              <w:pStyle w:val="23"/>
              <w:jc w:val="center"/>
              <w:rPr>
                <w:kern w:val="0"/>
                <w:sz w:val="20"/>
                <w:szCs w:val="20"/>
              </w:rPr>
            </w:pPr>
            <w:r>
              <w:rPr>
                <w:kern w:val="0"/>
                <w:sz w:val="20"/>
                <w:szCs w:val="20"/>
              </w:rPr>
              <w:t>南雄汽车站</w:t>
            </w:r>
          </w:p>
        </w:tc>
        <w:tc>
          <w:tcPr>
            <w:tcW w:w="619" w:type="pct"/>
            <w:shd w:val="clear" w:color="auto" w:fill="auto"/>
            <w:noWrap/>
            <w:vAlign w:val="center"/>
          </w:tcPr>
          <w:p w14:paraId="178B2BCA">
            <w:pPr>
              <w:pStyle w:val="23"/>
              <w:jc w:val="center"/>
              <w:rPr>
                <w:kern w:val="0"/>
                <w:sz w:val="20"/>
                <w:szCs w:val="20"/>
              </w:rPr>
            </w:pPr>
            <w:r>
              <w:rPr>
                <w:kern w:val="0"/>
                <w:sz w:val="20"/>
                <w:szCs w:val="20"/>
              </w:rPr>
              <w:t>珠玑、湖口</w:t>
            </w:r>
          </w:p>
        </w:tc>
        <w:tc>
          <w:tcPr>
            <w:tcW w:w="762" w:type="pct"/>
            <w:shd w:val="clear" w:color="auto" w:fill="auto"/>
            <w:noWrap/>
            <w:vAlign w:val="center"/>
          </w:tcPr>
          <w:p w14:paraId="43DDFF76">
            <w:pPr>
              <w:pStyle w:val="23"/>
              <w:jc w:val="center"/>
              <w:rPr>
                <w:kern w:val="0"/>
              </w:rPr>
            </w:pPr>
            <w:r>
              <w:rPr>
                <w:kern w:val="0"/>
              </w:rPr>
              <w:t>11</w:t>
            </w:r>
          </w:p>
        </w:tc>
        <w:tc>
          <w:tcPr>
            <w:tcW w:w="1083" w:type="pct"/>
            <w:shd w:val="clear" w:color="auto" w:fill="auto"/>
            <w:noWrap/>
            <w:vAlign w:val="center"/>
          </w:tcPr>
          <w:p w14:paraId="371FECDF">
            <w:pPr>
              <w:pStyle w:val="23"/>
              <w:jc w:val="center"/>
              <w:rPr>
                <w:kern w:val="0"/>
                <w:sz w:val="20"/>
                <w:szCs w:val="20"/>
              </w:rPr>
            </w:pPr>
            <w:r>
              <w:rPr>
                <w:kern w:val="0"/>
                <w:sz w:val="20"/>
                <w:szCs w:val="20"/>
              </w:rPr>
              <w:t>珠玑古巷</w:t>
            </w:r>
          </w:p>
        </w:tc>
        <w:tc>
          <w:tcPr>
            <w:tcW w:w="1161" w:type="pct"/>
            <w:shd w:val="clear" w:color="auto" w:fill="auto"/>
            <w:noWrap/>
            <w:vAlign w:val="center"/>
          </w:tcPr>
          <w:p w14:paraId="26F7A3A7">
            <w:pPr>
              <w:pStyle w:val="23"/>
              <w:jc w:val="center"/>
              <w:rPr>
                <w:kern w:val="0"/>
                <w:sz w:val="20"/>
                <w:szCs w:val="20"/>
              </w:rPr>
            </w:pPr>
            <w:r>
              <w:rPr>
                <w:kern w:val="0"/>
                <w:sz w:val="20"/>
                <w:szCs w:val="20"/>
              </w:rPr>
              <w:t>每天13班</w:t>
            </w:r>
          </w:p>
        </w:tc>
        <w:tc>
          <w:tcPr>
            <w:tcW w:w="517" w:type="pct"/>
            <w:shd w:val="clear" w:color="auto" w:fill="auto"/>
            <w:noWrap/>
            <w:vAlign w:val="center"/>
          </w:tcPr>
          <w:p w14:paraId="40A9CC8B">
            <w:pPr>
              <w:pStyle w:val="23"/>
              <w:jc w:val="center"/>
              <w:rPr>
                <w:kern w:val="0"/>
                <w:sz w:val="20"/>
                <w:szCs w:val="20"/>
              </w:rPr>
            </w:pPr>
            <w:r>
              <w:rPr>
                <w:kern w:val="0"/>
                <w:sz w:val="20"/>
                <w:szCs w:val="20"/>
              </w:rPr>
              <w:t>3</w:t>
            </w:r>
          </w:p>
        </w:tc>
      </w:tr>
    </w:tbl>
    <w:p w14:paraId="4EA735D3">
      <w:pPr>
        <w:ind w:firstLine="0" w:firstLineChars="0"/>
        <w:jc w:val="right"/>
        <w:rPr>
          <w:rFonts w:ascii="宋体" w:hAnsi="宋体"/>
          <w:szCs w:val="21"/>
        </w:rPr>
      </w:pPr>
      <w:r>
        <w:rPr>
          <w:rFonts w:hint="eastAsia" w:ascii="宋体" w:hAnsi="宋体"/>
          <w:szCs w:val="21"/>
        </w:rPr>
        <w:t>（赖应光）</w:t>
      </w:r>
    </w:p>
    <w:p w14:paraId="179484D6">
      <w:pPr>
        <w:ind w:firstLine="0" w:firstLineChars="0"/>
        <w:rPr>
          <w:rFonts w:ascii="宋体" w:hAnsi="宋体"/>
          <w:szCs w:val="21"/>
        </w:rPr>
      </w:pPr>
      <w:r>
        <w:rPr>
          <w:rFonts w:hint="eastAsia" w:ascii="宋体" w:hAnsi="宋体"/>
          <w:b/>
          <w:szCs w:val="21"/>
        </w:rPr>
        <w:t>附：2011年市交通运输局领导班子成员名单</w:t>
      </w:r>
    </w:p>
    <w:p w14:paraId="6C422D01">
      <w:pPr>
        <w:ind w:firstLine="0" w:firstLineChars="0"/>
        <w:rPr>
          <w:rFonts w:ascii="宋体" w:hAnsi="宋体"/>
          <w:szCs w:val="21"/>
        </w:rPr>
      </w:pPr>
      <w:r>
        <w:rPr>
          <w:rFonts w:hint="eastAsia" w:ascii="宋体" w:hAnsi="宋体"/>
          <w:szCs w:val="21"/>
        </w:rPr>
        <w:t>局  长：林绍发</w:t>
      </w:r>
    </w:p>
    <w:p w14:paraId="17FDD400">
      <w:pPr>
        <w:ind w:firstLine="0" w:firstLineChars="0"/>
        <w:rPr>
          <w:rFonts w:ascii="宋体" w:hAnsi="宋体"/>
          <w:szCs w:val="21"/>
        </w:rPr>
      </w:pPr>
      <w:r>
        <w:rPr>
          <w:rFonts w:hint="eastAsia" w:ascii="宋体" w:hAnsi="宋体"/>
          <w:szCs w:val="21"/>
        </w:rPr>
        <w:t>党组书记：何哲瑜</w:t>
      </w:r>
    </w:p>
    <w:p w14:paraId="55C83E4B">
      <w:pPr>
        <w:ind w:firstLine="0" w:firstLineChars="0"/>
        <w:rPr>
          <w:rFonts w:ascii="宋体" w:hAnsi="宋体"/>
          <w:szCs w:val="21"/>
        </w:rPr>
      </w:pPr>
      <w:r>
        <w:rPr>
          <w:rFonts w:hint="eastAsia" w:ascii="宋体" w:hAnsi="宋体"/>
          <w:szCs w:val="21"/>
        </w:rPr>
        <w:t>副局长：肖水石  邱万雄  沈  辉</w:t>
      </w:r>
    </w:p>
    <w:p w14:paraId="66791AD3">
      <w:pPr>
        <w:ind w:firstLine="0" w:firstLineChars="0"/>
        <w:rPr>
          <w:rFonts w:ascii="宋体" w:hAnsi="宋体"/>
          <w:szCs w:val="21"/>
        </w:rPr>
      </w:pPr>
      <w:r>
        <w:rPr>
          <w:rFonts w:hint="eastAsia" w:ascii="宋体" w:hAnsi="宋体"/>
          <w:szCs w:val="21"/>
        </w:rPr>
        <w:t>纪检组长：谢加华</w:t>
      </w:r>
    </w:p>
    <w:p w14:paraId="53152EF5">
      <w:pPr>
        <w:ind w:firstLine="0" w:firstLineChars="0"/>
        <w:rPr>
          <w:rFonts w:ascii="宋体" w:hAnsi="宋体"/>
          <w:szCs w:val="21"/>
        </w:rPr>
      </w:pPr>
      <w:r>
        <w:rPr>
          <w:rFonts w:hint="eastAsia" w:ascii="宋体" w:hAnsi="宋体"/>
          <w:szCs w:val="21"/>
        </w:rPr>
        <w:t>工会主席：刘发军</w:t>
      </w:r>
    </w:p>
    <w:p w14:paraId="4ED721E5">
      <w:pPr>
        <w:ind w:firstLine="0" w:firstLineChars="0"/>
        <w:rPr>
          <w:rFonts w:ascii="宋体" w:hAnsi="宋体"/>
          <w:szCs w:val="21"/>
        </w:rPr>
      </w:pPr>
      <w:r>
        <w:rPr>
          <w:rFonts w:hint="eastAsia" w:ascii="宋体" w:hAnsi="宋体"/>
          <w:szCs w:val="21"/>
        </w:rPr>
        <w:t>执法局局长：陈  洁</w:t>
      </w:r>
    </w:p>
    <w:p w14:paraId="594AEF64">
      <w:pPr>
        <w:pStyle w:val="3"/>
      </w:pPr>
      <w:r>
        <w:rPr>
          <w:rFonts w:hint="eastAsia"/>
        </w:rPr>
        <w:t>国省道建设和管理</w:t>
      </w:r>
    </w:p>
    <w:p w14:paraId="347DB77D">
      <w:pPr>
        <w:pStyle w:val="4"/>
      </w:pPr>
      <w:r>
        <w:rPr>
          <w:rFonts w:hint="eastAsia"/>
        </w:rPr>
        <w:t>【概况】</w:t>
      </w:r>
    </w:p>
    <w:p w14:paraId="5A25526F">
      <w:pPr>
        <w:ind w:firstLine="420"/>
        <w:rPr>
          <w:rFonts w:ascii="宋体" w:hAnsi="宋体"/>
          <w:szCs w:val="21"/>
        </w:rPr>
      </w:pPr>
      <w:r>
        <w:rPr>
          <w:rFonts w:hint="eastAsia" w:ascii="宋体" w:hAnsi="宋体"/>
          <w:szCs w:val="21"/>
        </w:rPr>
        <w:t>根据韶关市公路局《转发市编委〈关于县级公路局更名的批复〉》韶市人字[2009]29号文件精神，南雄市公路局更名为韶关市南雄公路局，韶关市南雄公路局为韶关市公路局垂直管理的正科级事业单位，机关内设七个正股级机构，分别为办公室、生产技术股、人事监察股、路政管理所、收费管理所、财务股、安全生产股。下辖：珠玑养护中心、湖口养护中心、澜河养护中心。韶关市南雄公路局依据《中华人民共和国公路法》、《东省公路管理条例》负责南雄市境内国道、省道共172.63公里、36座桥梁的管理、养护，其中G323线起讫桩号K239+000~K281+127，S244线起讫桩号K0+000~K11+952，S342线起讫桩号K0+000~K118+551，大桥2座，中桥10座，小桥24座。</w:t>
      </w:r>
    </w:p>
    <w:p w14:paraId="3436C7CF">
      <w:pPr>
        <w:pStyle w:val="4"/>
      </w:pPr>
      <w:r>
        <w:rPr>
          <w:rFonts w:hint="eastAsia"/>
        </w:rPr>
        <w:t>【协助市政工程建设】</w:t>
      </w:r>
    </w:p>
    <w:p w14:paraId="20F21C7C">
      <w:pPr>
        <w:ind w:firstLine="420"/>
        <w:rPr>
          <w:rFonts w:ascii="宋体" w:hAnsi="宋体"/>
          <w:szCs w:val="21"/>
        </w:rPr>
      </w:pPr>
      <w:r>
        <w:rPr>
          <w:rFonts w:hint="eastAsia" w:ascii="宋体" w:hAnsi="宋体"/>
          <w:szCs w:val="21"/>
        </w:rPr>
        <w:t>2011年协助抓好市政府重点工程，派出8人全力抓好韶关市曲江至南雄公路珠玑高速公路连接线延长线工程项目建设，该工程总长1.3公里。</w:t>
      </w:r>
    </w:p>
    <w:p w14:paraId="15373E4D">
      <w:pPr>
        <w:pStyle w:val="4"/>
      </w:pPr>
      <w:r>
        <w:rPr>
          <w:rFonts w:hint="eastAsia"/>
        </w:rPr>
        <w:t>【公路养护管理】</w:t>
      </w:r>
    </w:p>
    <w:p w14:paraId="4CAF0899">
      <w:pPr>
        <w:ind w:firstLine="420"/>
        <w:rPr>
          <w:rFonts w:ascii="宋体" w:hAnsi="宋体"/>
          <w:szCs w:val="21"/>
        </w:rPr>
      </w:pPr>
      <w:r>
        <w:rPr>
          <w:rFonts w:hint="eastAsia" w:ascii="宋体" w:hAnsi="宋体"/>
          <w:szCs w:val="21"/>
        </w:rPr>
        <w:t>2011年，较好完成韶关市公路局下达的路况指标任务，管养路段年平均好路率年末好路率、优等路里程都超额完成。</w:t>
      </w:r>
    </w:p>
    <w:p w14:paraId="69184CE7">
      <w:pPr>
        <w:ind w:firstLine="420"/>
        <w:rPr>
          <w:rFonts w:ascii="宋体" w:hAnsi="宋体"/>
          <w:szCs w:val="21"/>
        </w:rPr>
      </w:pPr>
      <w:r>
        <w:rPr>
          <w:rFonts w:hint="eastAsia" w:ascii="宋体" w:hAnsi="宋体"/>
          <w:szCs w:val="21"/>
        </w:rPr>
        <w:t>1、加强日常养护管理，按照韶关市局小修保养考核实施细则，全面落实经常性、及时性和周期性养护措施，全面提升管养路段路容、路貌并进一步完善排水设施、沿线设施等，全年浆刷硬边线345公里、油路树345公里、翻新示警桩12600条（国检、年终各一次），完成S342线安保工程（钢筋混凝土防撞栏）9200米。</w:t>
      </w:r>
    </w:p>
    <w:p w14:paraId="655D7744">
      <w:pPr>
        <w:ind w:firstLine="420"/>
        <w:rPr>
          <w:rFonts w:ascii="宋体" w:hAnsi="宋体"/>
          <w:szCs w:val="21"/>
        </w:rPr>
      </w:pPr>
      <w:r>
        <w:rPr>
          <w:rFonts w:hint="eastAsia" w:ascii="宋体" w:hAnsi="宋体"/>
          <w:szCs w:val="21"/>
        </w:rPr>
        <w:t>2、高度重视水毁预防和抢修复工作，坚持以“预防为主，防治结合”的方针，成立专门领导机构，制定了水毁预防应急预案和抢修复措施，保质保量按时完成水毁工程。全年清理塌方4800立方米/43处；修复防撞栏12米；浆砌挡土墙843.46立方米/11处；修复钢筋砼圆涵一座；修复破损路面117平方米/3处；浆砌水沟186米；修补水沟106立方米/22处；修补破损硬边线26.3公里。</w:t>
      </w:r>
    </w:p>
    <w:p w14:paraId="78861983">
      <w:pPr>
        <w:ind w:firstLine="420"/>
        <w:rPr>
          <w:rFonts w:ascii="宋体" w:hAnsi="宋体"/>
          <w:szCs w:val="21"/>
        </w:rPr>
      </w:pPr>
      <w:r>
        <w:rPr>
          <w:rFonts w:hint="eastAsia" w:ascii="宋体" w:hAnsi="宋体"/>
          <w:szCs w:val="21"/>
        </w:rPr>
        <w:t>3、切实加强桥梁养护管理，对管养范围内的桥梁进行以桥梁结构安全为中心，以承重部件为重点全面检查，及时发现桥梁重要、明显的病害，特别是对桥涵基础进行彻底的检查，对发现存在安全隐患古录桥、三枫小桥、富竹桥及时上报韶关市局并加强对桥梁监控。</w:t>
      </w:r>
    </w:p>
    <w:p w14:paraId="5CF45DBD">
      <w:pPr>
        <w:ind w:firstLine="420"/>
        <w:rPr>
          <w:rFonts w:ascii="宋体" w:hAnsi="宋体"/>
          <w:szCs w:val="21"/>
        </w:rPr>
      </w:pPr>
      <w:r>
        <w:rPr>
          <w:rFonts w:hint="eastAsia" w:ascii="宋体" w:hAnsi="宋体"/>
          <w:szCs w:val="21"/>
        </w:rPr>
        <w:t>4、重大活动彰显养路工本色，在全国干线公路养护管理检查中取得较好成绩，迎国检路段G323线42.4公里、S342线50公里顺利通过国检。</w:t>
      </w:r>
    </w:p>
    <w:p w14:paraId="70B124AE">
      <w:pPr>
        <w:pStyle w:val="4"/>
      </w:pPr>
      <w:r>
        <w:rPr>
          <w:rFonts w:hint="eastAsia"/>
        </w:rPr>
        <w:t>【路政管理】</w:t>
      </w:r>
    </w:p>
    <w:p w14:paraId="68E78C14">
      <w:pPr>
        <w:ind w:firstLine="420"/>
        <w:rPr>
          <w:rFonts w:ascii="宋体" w:hAnsi="宋体"/>
          <w:szCs w:val="21"/>
        </w:rPr>
      </w:pPr>
      <w:r>
        <w:rPr>
          <w:rFonts w:hint="eastAsia" w:ascii="宋体" w:hAnsi="宋体"/>
          <w:szCs w:val="21"/>
        </w:rPr>
        <w:t>路政管理工作以提高路政执法队伍素质为根本，以保护路产、维护路权、保障畅通安全为中心，牢固树立路政执法为社会公众服务的理念，落实“以人为本、以车为本、以路为本”的要求，以文明执法、优质服务为保障，狠抓行业管理不放松，推动路政工作向法制化、信息化、标准化、规范化、现代化、人文化、素质化的“六化”目标迈进。按照南雄市政府整治查处违章建筑专项工作要求，支持配合国土部门做好国省道两旁的村镇房屋建设登记、清查工作，严格执行公路建筑控制区管理。继续推进路政规范化建设进程，进一步完善规范化建设的内容，细化目标责任和考核办法，着力规范行政许可审批、路产档案管理等基础性工作。</w:t>
      </w:r>
    </w:p>
    <w:p w14:paraId="6DABDEE2">
      <w:pPr>
        <w:ind w:firstLine="420"/>
        <w:rPr>
          <w:rFonts w:ascii="宋体" w:hAnsi="宋体"/>
          <w:szCs w:val="21"/>
        </w:rPr>
      </w:pPr>
      <w:r>
        <w:rPr>
          <w:rFonts w:hint="eastAsia" w:ascii="宋体" w:hAnsi="宋体"/>
          <w:szCs w:val="21"/>
        </w:rPr>
        <w:t>全年路政人员上路巡查次数超过1500人次、巡查里程达13200公里，拆除非公路用标志牌132块，清理公路垃圾约258吨，查处损坏路产案件累计43起，案件查处率、结案率、索赔率均达到100%，执法过错率保持为零。</w:t>
      </w:r>
    </w:p>
    <w:p w14:paraId="3F9BBAFC">
      <w:pPr>
        <w:pStyle w:val="4"/>
      </w:pPr>
      <w:r>
        <w:rPr>
          <w:rFonts w:hint="eastAsia"/>
        </w:rPr>
        <w:t>【构建安全生产长效机制】</w:t>
      </w:r>
    </w:p>
    <w:p w14:paraId="3F8DFD08">
      <w:pPr>
        <w:ind w:firstLine="420"/>
        <w:rPr>
          <w:rFonts w:ascii="宋体" w:hAnsi="宋体"/>
          <w:szCs w:val="21"/>
        </w:rPr>
      </w:pPr>
      <w:r>
        <w:rPr>
          <w:rFonts w:hint="eastAsia" w:ascii="宋体" w:hAnsi="宋体"/>
          <w:szCs w:val="21"/>
        </w:rPr>
        <w:t>坚持“安全第一、预防为主、综合治理”的安全生产方针，树立“以人为本、关爱生命、关注安全”的理念，建立健全安全生产工作领导机构，严格落实“一岗双责”，落实安全生产责任制，深化专项整治活动和安全生产隐患排查整治专项行动，增强安全生产主体责任意识，确保该局安全生产形势持续稳定。通过抓教育组织干部职工学习</w:t>
      </w:r>
      <w:r>
        <w:rPr>
          <w:rFonts w:hint="eastAsia" w:ascii="宋体" w:hAnsi="宋体"/>
          <w:szCs w:val="21"/>
          <w:lang w:eastAsia="zh-CN"/>
        </w:rPr>
        <w:t>《中华人民共和国安全生产法》</w:t>
      </w:r>
      <w:r>
        <w:rPr>
          <w:rFonts w:hint="eastAsia" w:ascii="宋体" w:hAnsi="宋体"/>
          <w:szCs w:val="21"/>
        </w:rPr>
        <w:t>等文件精神，举办安全培训班，邀请韶关市安监局、南雄市交警大队等专家讲课，开展“安全生产月”和安全生产应急演练活动；层层签订安全生产责任书，注重事故预案编制工作，制定《韶关市南雄公路局突发事件应急救援预案》，成立应急指挥中心和应急抢险小组。全年在机关办公楼安装视频监控，为养护中心添置购买了30块施工牌、100只塑胶筒、80只灭火器、90件安全雨衣及制作一批路口安全标志牌，对2处事故易发路段设置了减速带、反光导钉及标志。</w:t>
      </w:r>
    </w:p>
    <w:p w14:paraId="1AA35CD9">
      <w:pPr>
        <w:ind w:firstLine="0" w:firstLineChars="0"/>
        <w:jc w:val="right"/>
        <w:rPr>
          <w:rFonts w:ascii="宋体" w:hAnsi="宋体"/>
          <w:szCs w:val="21"/>
        </w:rPr>
      </w:pPr>
      <w:r>
        <w:rPr>
          <w:rFonts w:hint="eastAsia" w:ascii="宋体" w:hAnsi="宋体"/>
          <w:szCs w:val="21"/>
        </w:rPr>
        <w:t>（卢隆平  骆颖晓）</w:t>
      </w:r>
    </w:p>
    <w:p w14:paraId="6F92C71B">
      <w:pPr>
        <w:ind w:firstLine="0" w:firstLineChars="0"/>
        <w:rPr>
          <w:rFonts w:ascii="宋体" w:hAnsi="宋体"/>
          <w:szCs w:val="21"/>
        </w:rPr>
      </w:pPr>
      <w:r>
        <w:rPr>
          <w:rFonts w:hint="eastAsia" w:ascii="宋体" w:hAnsi="宋体"/>
          <w:b/>
          <w:szCs w:val="21"/>
        </w:rPr>
        <w:t>附：2011年市公路局领导班子组成人员名单</w:t>
      </w:r>
    </w:p>
    <w:p w14:paraId="7C431CDD">
      <w:pPr>
        <w:ind w:firstLine="0" w:firstLineChars="0"/>
        <w:rPr>
          <w:rFonts w:ascii="宋体" w:hAnsi="宋体"/>
          <w:szCs w:val="21"/>
        </w:rPr>
      </w:pPr>
      <w:r>
        <w:rPr>
          <w:rFonts w:hint="eastAsia" w:ascii="宋体" w:hAnsi="宋体"/>
          <w:szCs w:val="21"/>
        </w:rPr>
        <w:t>局长：黄天佑</w:t>
      </w:r>
    </w:p>
    <w:p w14:paraId="7F1EE1E1">
      <w:pPr>
        <w:ind w:firstLine="0" w:firstLineChars="0"/>
        <w:rPr>
          <w:rFonts w:ascii="宋体" w:hAnsi="宋体"/>
          <w:szCs w:val="21"/>
        </w:rPr>
      </w:pPr>
      <w:r>
        <w:rPr>
          <w:rFonts w:hint="eastAsia" w:ascii="宋体" w:hAnsi="宋体"/>
          <w:szCs w:val="21"/>
        </w:rPr>
        <w:t>副局长：邹国山  徐先昌  陈宇君</w:t>
      </w:r>
    </w:p>
    <w:p w14:paraId="72E3AF7C">
      <w:pPr>
        <w:pStyle w:val="3"/>
      </w:pPr>
      <w:r>
        <w:rPr>
          <w:rFonts w:hint="eastAsia"/>
        </w:rPr>
        <w:t>邮政</w:t>
      </w:r>
    </w:p>
    <w:p w14:paraId="78928D29">
      <w:pPr>
        <w:pStyle w:val="4"/>
      </w:pPr>
      <w:r>
        <w:rPr>
          <w:rFonts w:hint="eastAsia"/>
        </w:rPr>
        <w:t>【概况】</w:t>
      </w:r>
    </w:p>
    <w:p w14:paraId="2947A597">
      <w:pPr>
        <w:ind w:firstLine="420"/>
        <w:rPr>
          <w:rFonts w:ascii="宋体" w:hAnsi="宋体"/>
          <w:szCs w:val="21"/>
        </w:rPr>
      </w:pPr>
      <w:r>
        <w:rPr>
          <w:rFonts w:hint="eastAsia" w:ascii="宋体" w:hAnsi="宋体"/>
          <w:szCs w:val="21"/>
        </w:rPr>
        <w:t>南雄市邮政局位于南雄市雄州大道中460号，是一家肩负着全市18个乡镇邮政通信、报刊发行、邮政储蓄、速递物流、机要通信等重要服务职能的国有公用型企业，下辖邮政储蓄银行南雄市支行、速递物流南雄分公司，新城、湖口、珠玑、梅岭、黄坑、乌迳、江头、水口、澜河、百顺10个邮政支局及古市、大塘、邓坊、坪田、新龙、帽子峰、南亩、界址8个邮政所，综合办公室、金融业务部、市场经营部3个职能部室，以及报投中心、函集中心、经警班、司机班。2011年末，全局邮政员工212人。</w:t>
      </w:r>
    </w:p>
    <w:p w14:paraId="2D104C96">
      <w:pPr>
        <w:pStyle w:val="4"/>
      </w:pPr>
      <w:r>
        <w:rPr>
          <w:rFonts w:hint="eastAsia"/>
        </w:rPr>
        <w:t>【邮政设施】</w:t>
      </w:r>
    </w:p>
    <w:p w14:paraId="30D61EC4">
      <w:pPr>
        <w:ind w:firstLine="420"/>
        <w:rPr>
          <w:rFonts w:ascii="宋体" w:hAnsi="宋体"/>
          <w:szCs w:val="21"/>
        </w:rPr>
      </w:pPr>
      <w:r>
        <w:rPr>
          <w:rFonts w:hint="eastAsia" w:ascii="宋体" w:hAnsi="宋体"/>
          <w:szCs w:val="21"/>
        </w:rPr>
        <w:t>南雄市邮政局在全市设有支局（所）网点20个，其中农村网点18个，占网点总数的90%，有全国联网的电子化支局11个，ATM机11台，存取款一体机3台，自助终端2台；建有投递站点31个，投递段道39条，投递员39名；运邮汽车9辆，摩托车25辆，全市汽车邮路（单程）255公里，投递邮路（单程）2240公里。邮政服务网络覆盖全市，邮路通达全市各个行政村。争取省公司、市局支持，投入资金搬迁装修新城、黄坑支局2个网点营业厅，完成水口、百顺、江头3个网点营业厅整治，帽子峰空白金融网点建设。2011年共计投入商易通、POS机等自助消费终端34台，便民取款服务站2个。</w:t>
      </w:r>
    </w:p>
    <w:p w14:paraId="0C177F07">
      <w:pPr>
        <w:pStyle w:val="4"/>
      </w:pPr>
      <w:r>
        <w:rPr>
          <w:rFonts w:hint="eastAsia"/>
        </w:rPr>
        <w:t>【邮政储蓄】</w:t>
      </w:r>
    </w:p>
    <w:p w14:paraId="333EB243">
      <w:pPr>
        <w:ind w:firstLine="420"/>
        <w:rPr>
          <w:rFonts w:ascii="宋体" w:hAnsi="宋体"/>
          <w:szCs w:val="21"/>
        </w:rPr>
      </w:pPr>
      <w:r>
        <w:rPr>
          <w:rFonts w:hint="eastAsia" w:ascii="宋体" w:hAnsi="宋体"/>
          <w:szCs w:val="21"/>
        </w:rPr>
        <w:t>2011年末，余额达13.92亿元，年净增余额达1.89亿元；累计新增保费5135.86万元，较2010年增长212.67%；总放款额13682万元。</w:t>
      </w:r>
    </w:p>
    <w:p w14:paraId="681504C7">
      <w:pPr>
        <w:pStyle w:val="4"/>
      </w:pPr>
      <w:r>
        <w:rPr>
          <w:rFonts w:hint="eastAsia"/>
        </w:rPr>
        <w:t>【邮政业务】</w:t>
      </w:r>
    </w:p>
    <w:p w14:paraId="111431E3">
      <w:pPr>
        <w:ind w:firstLine="420"/>
        <w:rPr>
          <w:rFonts w:ascii="宋体" w:hAnsi="宋体"/>
          <w:szCs w:val="21"/>
        </w:rPr>
      </w:pPr>
      <w:r>
        <w:rPr>
          <w:rFonts w:hint="eastAsia" w:ascii="宋体" w:hAnsi="宋体"/>
          <w:szCs w:val="21"/>
        </w:rPr>
        <w:t>南雄邮政立足南雄经济建设，围绕邮务、金融和速递物流三大板块，开办邮政储蓄，EMS邮政速递，邮政商函，邮送广告，农资配送，集邮，自邮一族，11185电子票务等业务，报刊发行、机要通信，代发工资（退休金），小额贷款，商易通等业务。2011年，全市累计实现整体收入3685万元（邮银合计），其中，企业完成收入2238.62万元，同比增长12.85%，全年收支差完成670.36万元。邮务类业务整体超额完成韶关市邮政局下达的收入计划，同比增长25.74%。速递物流业务同比增长10.25%，代理金融业务同比增长10.92%。新型农村社会养老保险方面，2011年收集参保资料125240份，开办存折107525张，完成代发（或扣款）82773人，合计完成进度100%。在全市建设3家邮政农资连锁配送店，2011年，累计分销配送农药300箱，化肥30吨。建立便民服务站点48个，开办有邮政汇款、卡类充值等服务。</w:t>
      </w:r>
    </w:p>
    <w:p w14:paraId="72495380">
      <w:pPr>
        <w:pStyle w:val="4"/>
      </w:pPr>
      <w:r>
        <w:rPr>
          <w:rFonts w:hint="eastAsia"/>
        </w:rPr>
        <w:t>【行业管理】</w:t>
      </w:r>
    </w:p>
    <w:p w14:paraId="5BAB7C73">
      <w:pPr>
        <w:ind w:firstLine="420"/>
        <w:rPr>
          <w:rFonts w:ascii="宋体" w:hAnsi="宋体"/>
          <w:szCs w:val="21"/>
        </w:rPr>
      </w:pPr>
      <w:r>
        <w:rPr>
          <w:rFonts w:hint="eastAsia" w:ascii="宋体" w:hAnsi="宋体"/>
          <w:szCs w:val="21"/>
        </w:rPr>
        <w:t>南雄市邮政局荣获“全国国防邮电产业模范职工之家”。南雄邮政“以经营效益与社会效益为主，坚持以质量为中心，着力推进企业的全面转型发展”为目标，优化资源配置，切实加强成本管理，深化“三算”改革，提升资产效能，通过成本的结构调整，使成本着力支撑业务发展，推进了企业的转型发展，全面提升了企业效益。同时，注重三大板块（邮务、金融、速递物流）业务联动发展，企业转型发展持续、稳健。                                                                               （蒋春艳）</w:t>
      </w:r>
    </w:p>
    <w:p w14:paraId="4552998C">
      <w:pPr>
        <w:ind w:firstLine="0" w:firstLineChars="0"/>
        <w:rPr>
          <w:rFonts w:ascii="宋体" w:hAnsi="宋体"/>
          <w:b/>
          <w:szCs w:val="21"/>
        </w:rPr>
      </w:pPr>
      <w:r>
        <w:rPr>
          <w:rFonts w:hint="eastAsia" w:ascii="宋体" w:hAnsi="宋体"/>
          <w:b/>
          <w:szCs w:val="21"/>
        </w:rPr>
        <w:t>附：2011年市邮政局领导班子成员名单</w:t>
      </w:r>
    </w:p>
    <w:p w14:paraId="1B680206">
      <w:pPr>
        <w:ind w:firstLine="0" w:firstLineChars="0"/>
        <w:rPr>
          <w:rFonts w:ascii="宋体" w:hAnsi="宋体"/>
          <w:szCs w:val="21"/>
        </w:rPr>
      </w:pPr>
      <w:r>
        <w:rPr>
          <w:rFonts w:hint="eastAsia" w:ascii="宋体" w:hAnsi="宋体"/>
          <w:szCs w:val="21"/>
        </w:rPr>
        <w:t>局长：罗顺林</w:t>
      </w:r>
    </w:p>
    <w:p w14:paraId="3553E91C">
      <w:pPr>
        <w:ind w:firstLine="0" w:firstLineChars="0"/>
        <w:rPr>
          <w:rFonts w:ascii="宋体" w:hAnsi="宋体"/>
          <w:szCs w:val="21"/>
        </w:rPr>
      </w:pPr>
      <w:r>
        <w:rPr>
          <w:rFonts w:hint="eastAsia" w:ascii="宋体" w:hAnsi="宋体"/>
          <w:szCs w:val="21"/>
        </w:rPr>
        <w:t>邮储银行南雄市支行行长：刘开春</w:t>
      </w:r>
    </w:p>
    <w:p w14:paraId="07552FF6">
      <w:pPr>
        <w:ind w:firstLine="0" w:firstLineChars="0"/>
        <w:rPr>
          <w:rFonts w:ascii="宋体" w:hAnsi="宋体"/>
          <w:szCs w:val="21"/>
        </w:rPr>
      </w:pPr>
      <w:r>
        <w:rPr>
          <w:rFonts w:hint="eastAsia" w:ascii="宋体" w:hAnsi="宋体"/>
          <w:szCs w:val="21"/>
        </w:rPr>
        <w:t>副局长、工会主席：张朝阳</w:t>
      </w:r>
    </w:p>
    <w:p w14:paraId="4DCF7F58">
      <w:pPr>
        <w:pStyle w:val="3"/>
      </w:pPr>
      <w:r>
        <w:rPr>
          <w:rFonts w:hint="eastAsia"/>
        </w:rPr>
        <w:t>电信</w:t>
      </w:r>
    </w:p>
    <w:p w14:paraId="1ACBFE90">
      <w:pPr>
        <w:pStyle w:val="4"/>
      </w:pPr>
      <w:r>
        <w:rPr>
          <w:rFonts w:hint="eastAsia"/>
        </w:rPr>
        <w:t>【概况】</w:t>
      </w:r>
    </w:p>
    <w:p w14:paraId="6CDAE58D">
      <w:pPr>
        <w:ind w:firstLine="420"/>
        <w:rPr>
          <w:rFonts w:ascii="宋体" w:hAnsi="宋体"/>
          <w:szCs w:val="21"/>
        </w:rPr>
      </w:pPr>
      <w:r>
        <w:rPr>
          <w:rFonts w:hint="eastAsia" w:ascii="宋体" w:hAnsi="宋体"/>
          <w:szCs w:val="21"/>
        </w:rPr>
        <w:t>2011年，中国电信股份有限公司南雄分公司认真贯彻执行省、市公司的决策和部署，围绕“求变创新，走出一条可持续发展的新路”的指导思路，带领全体员工以移动3G、宽带、行业应用和存量保有“四大主线”为抓手，做好各项工作的落地和执行。全业务总收入累计完成4325万元，完成94.95%，同比增率0.51%。移动业务净增9438户，宽带净增3946户，互联网视听业务净增1708户</w:t>
      </w:r>
    </w:p>
    <w:p w14:paraId="5399DF6B">
      <w:pPr>
        <w:pStyle w:val="4"/>
      </w:pPr>
      <w:r>
        <w:rPr>
          <w:rFonts w:hint="eastAsia"/>
        </w:rPr>
        <w:t>【通信能力】</w:t>
      </w:r>
    </w:p>
    <w:p w14:paraId="5037614D">
      <w:pPr>
        <w:ind w:firstLine="420"/>
        <w:rPr>
          <w:rFonts w:ascii="宋体" w:hAnsi="宋体"/>
          <w:szCs w:val="21"/>
        </w:rPr>
      </w:pPr>
      <w:r>
        <w:rPr>
          <w:rFonts w:hint="eastAsia" w:ascii="宋体" w:hAnsi="宋体"/>
          <w:szCs w:val="21"/>
        </w:rPr>
        <w:t>2011年，程建设方面投资338万元立项建设C网基站（光缆、机站）30个，完成136个ONU设备开通，107套EPON设备光缆、电缆配套设施建设。配合市重点项目工程建设，完成珠玑工业园等9个EPON设备点的开通，金叶大道、珠玑两个髙速路口的通信管线搬迁工作以及环城西路人民医院至南雄中学路段的通信管线搬迁。</w:t>
      </w:r>
    </w:p>
    <w:p w14:paraId="02F88B9B">
      <w:pPr>
        <w:pStyle w:val="4"/>
      </w:pPr>
      <w:r>
        <w:rPr>
          <w:rFonts w:hint="eastAsia"/>
        </w:rPr>
        <w:t>【市场拓展】</w:t>
      </w:r>
    </w:p>
    <w:p w14:paraId="49C835B8">
      <w:pPr>
        <w:ind w:firstLine="420"/>
        <w:rPr>
          <w:rFonts w:ascii="宋体" w:hAnsi="宋体"/>
          <w:szCs w:val="21"/>
        </w:rPr>
      </w:pPr>
      <w:r>
        <w:rPr>
          <w:rFonts w:hint="eastAsia" w:ascii="宋体" w:hAnsi="宋体"/>
          <w:szCs w:val="21"/>
        </w:rPr>
        <w:t>2011年以来，坚持固移融合，推进3G发展。改变以往单兵作战，组建专业化销售团队开展四大营销活动。一是岁末年初营销，共销售天翼华夏风易通卡1311张，实现预付费放号净增967户。二是翼动全城营销，发展E9及手机加装包420户、E6-11用户630户；借广电推广数字电视时机，以“电视新看法，用电话线看电视”为主题，在城区开展互联视听业务宣传促销活动，实现互联视听新增1637户。三是营业厅拦截营销，共发展手机加装包业务1289户，E9用户397户。四是农村“比一比算一算”整村推进行动，发动员工回农村家乡协助公关，以每个自然村委为单位开展“茶话会式”的整村营销模式，灵活地推荐适合客户需求的融合或单产品业务，全年建成12个“天翼村”，占比为5.7%，新增后付费4000户、预付费5600户，宽带681户。实现家校通、翼税通等行业应用新的突破，签下南亩镇5家家校通业务。</w:t>
      </w:r>
    </w:p>
    <w:p w14:paraId="24AF906E">
      <w:pPr>
        <w:pStyle w:val="4"/>
      </w:pPr>
      <w:r>
        <w:rPr>
          <w:rFonts w:hint="eastAsia"/>
        </w:rPr>
        <w:t>【维护管理】</w:t>
      </w:r>
    </w:p>
    <w:p w14:paraId="67A651C1">
      <w:pPr>
        <w:ind w:firstLine="420"/>
        <w:rPr>
          <w:rFonts w:ascii="宋体" w:hAnsi="宋体"/>
          <w:szCs w:val="21"/>
        </w:rPr>
      </w:pPr>
      <w:r>
        <w:rPr>
          <w:rFonts w:hint="eastAsia" w:ascii="宋体" w:hAnsi="宋体"/>
          <w:szCs w:val="21"/>
        </w:rPr>
        <w:t>盘活网络资源，完成交换设备缩容6248线，下电3个机架共11个机框。设备更新改造完成了倍增器换AG工程的换装和割接和铜退AG工程。网络接通率每月均能达标；故障处理及时率（剔除不可抗因素）均达到100%。优化宽带网络，对IP网络进行了出口中继带宽增加、根据各链路的带宽利用率进行负载调整、网元的出口带宽增加等优化措施，确保出口畅通不拥塞。盘活宽带资源240线，盘活宽带设备端口1902个。完成管线维护，查修各中心坏线对电缆及宽带线路专项整治工作；完成8宗山火受灾电缆的应急抢修及12宗其它应急抢修工作，梅岭等地村道改造、城乡建设的配套设施项目搬迁，MDF架8座、交接箱10座和120个分线盒的整治。资源动态管理，对管线资源资料、IBSS系统中号码资料与实物不相符存在问题进行整治，保证资源系统信息的完整性、准确性和实时性。重点管控装维质量，制定奖勤罚懒的激励机制，每周对装维服务工作通报，设立专席管控提醒社区经理的装移维工作情况，改约率、挂单率、装维各项指标服务质量达标。一年来主要采取“五个举措”重点管控运维指标：一是定期召开周例会。每周通过金视通定期召开营销服务中心运维工作双向沟通会，及时解决存在问题；二是专人负责工单管控。安排专人对装维工单和投诉工单进行管控，采取工单升级管控制度，确保工单的闭环管理；三是及时通报和考核。装维工作实施每日管控、每周简报、每月通报，通报结果列入绩效考核；四是注重人员素质提升。加强服务意识和技能提升培训，有效提升装维人员队伍综合素质；五是开展装维劳动竞赛。组织“装移维”劳动竞赛活动，完善装维人员激励机制，提高后台员工积极性。、</w:t>
      </w:r>
    </w:p>
    <w:p w14:paraId="3AFE5548">
      <w:pPr>
        <w:pStyle w:val="4"/>
      </w:pPr>
      <w:r>
        <w:rPr>
          <w:rFonts w:hint="eastAsia"/>
        </w:rPr>
        <w:t>【综合管理】</w:t>
      </w:r>
    </w:p>
    <w:p w14:paraId="468E6C7D">
      <w:pPr>
        <w:ind w:firstLine="420"/>
        <w:rPr>
          <w:rFonts w:ascii="宋体" w:hAnsi="宋体"/>
          <w:szCs w:val="21"/>
        </w:rPr>
      </w:pPr>
      <w:r>
        <w:rPr>
          <w:rFonts w:hint="eastAsia" w:ascii="宋体" w:hAnsi="宋体"/>
          <w:szCs w:val="21"/>
        </w:rPr>
        <w:t>完善各项制度建设，制定《用户中途终端因故障更换管理办法》、《退费、代金券、终端、营收款管理办法》；修改《员工交通费方案》；开展财务、资产清查盘点，小金库专项治理，营收款自查及营收管理效能监察，能耗电表接入点基础数据清查，完善组织绩效考核制度，开展营销服务中心基础管理、绩效考核优化，梳理各专业部门工作职责，确保各项工作责任到人。加强队伍建设，开展争创四强争做四优、“履行职责活动，进一步提高工作效率，提升执行力；完善党组织建设，发展新党员2名，确定入党积极分子1名；开展党务、企务公开工作，实施阳光工程、党员亮牌活动，学习《优秀党员具体标准》；实施业务外包工作健康发展，解决24人混岗问题；开展3次竞争上岗和1次考核上岗共11人，整合调配员工46人次；办理6名员工协商解除劳动合同或辞职；组织员工开展业务发展和装维劳动竞赛活动。落实安全后勤保障，落实安全生产应急预案，加强检查、督促整改，落实责任；开展节能减排工作；与公安机关协作，打击盗窃、破坏通信设施的违法犯罪行为，抓获1名嫌疑人。完成第二期30个C网基站勘点、建设和第三期6个站址勘点，完成分公司会议室、饭堂装修和车辆GPS系统安装、基层中心“四小”家具配送工作，支撑服务运营工作。</w:t>
      </w:r>
    </w:p>
    <w:p w14:paraId="51D86D87">
      <w:pPr>
        <w:ind w:firstLine="420"/>
        <w:rPr>
          <w:rFonts w:ascii="宋体" w:hAnsi="宋体"/>
          <w:szCs w:val="21"/>
        </w:rPr>
      </w:pPr>
      <w:r>
        <w:rPr>
          <w:rFonts w:hint="eastAsia" w:ascii="宋体" w:hAnsi="宋体"/>
          <w:szCs w:val="21"/>
        </w:rPr>
        <w:t>2011年，南雄分公司党支部分获得省、市电信先进基层党组织称号；南雄分公司获韶关电信县级分公司先进单位三等奖，5个中心分获集团、省、市电信先进单位，18名员工获韶关电信先进个人。 （曾志春）</w:t>
      </w:r>
      <w:r>
        <w:rPr>
          <w:rFonts w:hint="eastAsia" w:ascii="宋体" w:hAnsi="宋体"/>
          <w:b/>
          <w:szCs w:val="21"/>
        </w:rPr>
        <w:t>附2011年电信南雄分公司领导班子成员名单</w:t>
      </w:r>
    </w:p>
    <w:p w14:paraId="10BAA4A6">
      <w:pPr>
        <w:ind w:firstLine="0" w:firstLineChars="0"/>
        <w:rPr>
          <w:rFonts w:ascii="宋体" w:hAnsi="宋体"/>
          <w:szCs w:val="21"/>
        </w:rPr>
      </w:pPr>
      <w:r>
        <w:rPr>
          <w:rFonts w:hint="eastAsia" w:ascii="宋体" w:hAnsi="宋体"/>
          <w:szCs w:val="21"/>
        </w:rPr>
        <w:t>总经理：丁卫中副</w:t>
      </w:r>
    </w:p>
    <w:p w14:paraId="3CDC0856">
      <w:pPr>
        <w:ind w:firstLine="0" w:firstLineChars="0"/>
        <w:rPr>
          <w:rFonts w:ascii="宋体" w:hAnsi="宋体"/>
          <w:szCs w:val="21"/>
        </w:rPr>
      </w:pPr>
      <w:r>
        <w:rPr>
          <w:rFonts w:hint="eastAsia" w:ascii="宋体" w:hAnsi="宋体"/>
          <w:szCs w:val="21"/>
        </w:rPr>
        <w:t>总经理：刘经宏副总经理：黄春海</w:t>
      </w:r>
    </w:p>
    <w:p w14:paraId="5FC35933">
      <w:pPr>
        <w:pStyle w:val="3"/>
      </w:pPr>
      <w:r>
        <w:rPr>
          <w:rFonts w:hint="eastAsia"/>
        </w:rPr>
        <w:t>移动通信</w:t>
      </w:r>
    </w:p>
    <w:p w14:paraId="692013FB">
      <w:pPr>
        <w:pStyle w:val="4"/>
      </w:pPr>
      <w:r>
        <w:rPr>
          <w:rFonts w:hint="eastAsia"/>
        </w:rPr>
        <w:t>【概况】</w:t>
      </w:r>
    </w:p>
    <w:p w14:paraId="6507208E">
      <w:pPr>
        <w:ind w:firstLine="420"/>
        <w:rPr>
          <w:rFonts w:ascii="宋体" w:hAnsi="宋体"/>
          <w:szCs w:val="21"/>
        </w:rPr>
      </w:pPr>
      <w:r>
        <w:rPr>
          <w:rFonts w:hint="eastAsia" w:ascii="宋体" w:hAnsi="宋体"/>
          <w:szCs w:val="21"/>
        </w:rPr>
        <w:t>中国移动通信集团广东有限公司南雄分公司成立于1999年，目前公司位于韶关市南雄市青云西路银兴花园二区21栋，现有员工51名，大专以上学历占89.1%，党员比例达29.4%，平均年龄28.6岁。</w:t>
      </w:r>
    </w:p>
    <w:p w14:paraId="69BA7FC3">
      <w:pPr>
        <w:ind w:firstLine="420"/>
        <w:rPr>
          <w:rFonts w:ascii="宋体" w:hAnsi="宋体"/>
          <w:szCs w:val="21"/>
        </w:rPr>
      </w:pPr>
      <w:r>
        <w:rPr>
          <w:rFonts w:hint="eastAsia" w:ascii="宋体" w:hAnsi="宋体"/>
          <w:szCs w:val="21"/>
        </w:rPr>
        <w:t>2011年，南雄移动紧密围绕“新八大工程”提升目标，着力做好“促新增、固存量、拓集团、优网络、强班组”，各方面取得不俗的成绩。市场方面，南雄移动采取多举措并举巩固既有优势，加速拓展个人、家庭、集团三大市场，深化信息化服务能力。网络方面，南雄移动创新运营思维，加快工程建设步伐，持续完善卓越网络，实现城区网络覆盖达99.92%。企业管理方面，南雄移动筑好“生产安全网”、“廉政安全网”、“信息安全网”这三张“安全网”，为企业发展保驾护航，同时深化员工关怀，增强团队凝聚力，积极开展班组争先创优活动，打造明星活力班组。</w:t>
      </w:r>
    </w:p>
    <w:p w14:paraId="319B9F75">
      <w:pPr>
        <w:pStyle w:val="4"/>
      </w:pPr>
      <w:r>
        <w:rPr>
          <w:rFonts w:hint="eastAsia"/>
        </w:rPr>
        <w:t>【一镇一网】</w:t>
      </w:r>
    </w:p>
    <w:p w14:paraId="6F7BAE1F">
      <w:pPr>
        <w:ind w:firstLine="420"/>
        <w:rPr>
          <w:rFonts w:ascii="宋体" w:hAnsi="宋体"/>
          <w:szCs w:val="21"/>
        </w:rPr>
      </w:pPr>
      <w:r>
        <w:rPr>
          <w:rFonts w:hint="eastAsia" w:ascii="宋体" w:hAnsi="宋体"/>
          <w:szCs w:val="21"/>
        </w:rPr>
        <w:t>2011年，南雄移动紧密围绕“服务农村、服务农民”等策略不断深耕农村市场，与南雄市邓坊镇政府在邓坊联合举办一镇一网即“邓坊网”开通仪式，这是南雄地区第一个开通的第“镇一网”，这意味着南雄农村地区信息化建设进入新的时代。</w:t>
      </w:r>
    </w:p>
    <w:p w14:paraId="0151A8D3">
      <w:pPr>
        <w:pStyle w:val="4"/>
      </w:pPr>
      <w:r>
        <w:rPr>
          <w:rFonts w:hint="eastAsia"/>
        </w:rPr>
        <w:t>【制定防汛预案】</w:t>
      </w:r>
    </w:p>
    <w:p w14:paraId="4CB6ADC9">
      <w:pPr>
        <w:ind w:firstLine="420"/>
        <w:rPr>
          <w:rFonts w:ascii="宋体" w:hAnsi="宋体"/>
          <w:szCs w:val="21"/>
        </w:rPr>
      </w:pPr>
      <w:r>
        <w:rPr>
          <w:rFonts w:hint="eastAsia" w:ascii="宋体" w:hAnsi="宋体"/>
          <w:szCs w:val="21"/>
        </w:rPr>
        <w:t>根据韶关防洪Ⅳ级应急响应启动及南雄雷雨天气情况，制定2011年防汛通信保障补充预案。根据预案要求，分公司成立2011年防汛领导小组，给各部门防汛工作相关职责进行了明确界定，同时还委派了各部门的义务安全防汛员。                                                                 （甘露丝）</w:t>
      </w:r>
    </w:p>
    <w:p w14:paraId="69571B51">
      <w:pPr>
        <w:ind w:firstLine="0" w:firstLineChars="0"/>
        <w:rPr>
          <w:rFonts w:ascii="宋体" w:hAnsi="宋体"/>
          <w:szCs w:val="21"/>
        </w:rPr>
      </w:pPr>
      <w:r>
        <w:rPr>
          <w:rFonts w:hint="eastAsia" w:ascii="宋体" w:hAnsi="宋体"/>
          <w:b/>
          <w:szCs w:val="21"/>
        </w:rPr>
        <w:t>附：2011年移动通信南雄分公司领导班子成员名单</w:t>
      </w:r>
    </w:p>
    <w:p w14:paraId="2EC90AF9">
      <w:pPr>
        <w:ind w:firstLine="0" w:firstLineChars="0"/>
        <w:rPr>
          <w:rFonts w:ascii="宋体" w:hAnsi="宋体"/>
          <w:szCs w:val="21"/>
        </w:rPr>
      </w:pPr>
      <w:r>
        <w:rPr>
          <w:rFonts w:hint="eastAsia" w:ascii="宋体" w:hAnsi="宋体"/>
          <w:szCs w:val="21"/>
        </w:rPr>
        <w:t>总经理：贺美田</w:t>
      </w:r>
    </w:p>
    <w:p w14:paraId="23BFE984">
      <w:pPr>
        <w:ind w:firstLine="0" w:firstLineChars="0"/>
        <w:rPr>
          <w:rFonts w:ascii="宋体" w:hAnsi="宋体"/>
          <w:szCs w:val="21"/>
        </w:rPr>
      </w:pPr>
      <w:r>
        <w:rPr>
          <w:rFonts w:hint="eastAsia" w:ascii="宋体" w:hAnsi="宋体"/>
          <w:szCs w:val="21"/>
        </w:rPr>
        <w:t>副总经理：张世杰</w:t>
      </w:r>
    </w:p>
    <w:p w14:paraId="04227892">
      <w:pPr>
        <w:pStyle w:val="3"/>
      </w:pPr>
      <w:r>
        <w:rPr>
          <w:rFonts w:hint="eastAsia"/>
        </w:rPr>
        <w:t>联通通信</w:t>
      </w:r>
    </w:p>
    <w:p w14:paraId="6EE355EE">
      <w:pPr>
        <w:pStyle w:val="4"/>
      </w:pPr>
      <w:r>
        <w:rPr>
          <w:rFonts w:hint="eastAsia"/>
        </w:rPr>
        <w:t>【概况】</w:t>
      </w:r>
    </w:p>
    <w:p w14:paraId="185DE79E">
      <w:pPr>
        <w:ind w:firstLine="420"/>
        <w:rPr>
          <w:rFonts w:ascii="宋体" w:hAnsi="宋体"/>
          <w:szCs w:val="21"/>
        </w:rPr>
      </w:pPr>
      <w:r>
        <w:rPr>
          <w:rFonts w:hint="eastAsia" w:ascii="宋体" w:hAnsi="宋体"/>
          <w:szCs w:val="21"/>
        </w:rPr>
        <w:t>中国联合网络通信有限公司南雄分公司于2000年1月19日正式挂牌成立，隶属中国联合网络通信有限公司韶关分公司，下设经营支撑室、市场销售室、营业客服室及集团客户室4个室，共有员工22人。2011年，公司通信服务收入同比增长19.62%。</w:t>
      </w:r>
    </w:p>
    <w:p w14:paraId="5AB41FB5">
      <w:pPr>
        <w:pStyle w:val="4"/>
      </w:pPr>
      <w:r>
        <w:rPr>
          <w:rFonts w:hint="eastAsia"/>
        </w:rPr>
        <w:t>【业务发展】</w:t>
      </w:r>
    </w:p>
    <w:p w14:paraId="2283C7C3">
      <w:pPr>
        <w:ind w:firstLine="420"/>
        <w:rPr>
          <w:rFonts w:ascii="宋体" w:hAnsi="宋体"/>
          <w:szCs w:val="21"/>
        </w:rPr>
      </w:pPr>
      <w:r>
        <w:rPr>
          <w:rFonts w:hint="eastAsia" w:ascii="宋体" w:hAnsi="宋体"/>
          <w:szCs w:val="21"/>
        </w:rPr>
        <w:t>2011年，2G业务实现稳步增长，2G业务发展有效性不断提升，老用户收入保有率全市排名靠前。在3G业务创新发展方面，自10月1日3G正式商用后，在严格执行总部原则及省公司3G业务管理规范的基础上，积极创新体验营销、文化营销、异业合作模式，通过3G渠道建设、价值链合作，向用户提供无线上网卡、手机音乐、手机电视、手机上网、可视电话等3G优势业务，打造高素质3G专属服务团队，建立一对一的服务体系，促进了3G业务的快速发展和3G品牌的传播。</w:t>
      </w:r>
    </w:p>
    <w:p w14:paraId="6F85A27A">
      <w:pPr>
        <w:pStyle w:val="4"/>
      </w:pPr>
      <w:r>
        <w:rPr>
          <w:rFonts w:hint="eastAsia"/>
        </w:rPr>
        <w:t>【服务和维系】</w:t>
      </w:r>
    </w:p>
    <w:p w14:paraId="37520E96">
      <w:pPr>
        <w:ind w:firstLine="420"/>
        <w:rPr>
          <w:rFonts w:ascii="宋体" w:hAnsi="宋体"/>
          <w:szCs w:val="21"/>
        </w:rPr>
      </w:pPr>
      <w:r>
        <w:rPr>
          <w:rFonts w:hint="eastAsia" w:ascii="宋体" w:hAnsi="宋体"/>
          <w:szCs w:val="21"/>
        </w:rPr>
        <w:t>2011年，在客户服务方面，重点推进落实转型、分级服务，通过改进服务短板，降低投诉，基本实现提升客户满意度、降低客户投诉率和高端客户离网率的工作目标。特别是在客户维系方面，重点加强预付费的二充维系工作，通过制定统一回访口径，完善回访模板，调整考核机制以及本地二充维系系统的上线应用，维系成效明显。在3G用户方面，积极细化落实“保姆式服务”工作要求，针对营业厅发展环节、新入网回访环节、服务经理维系环节设计了标准化的流程及脚本，得到了省公司的认可，并在全省推广。</w:t>
      </w:r>
    </w:p>
    <w:p w14:paraId="38E16E46">
      <w:pPr>
        <w:pStyle w:val="4"/>
      </w:pPr>
      <w:r>
        <w:rPr>
          <w:rFonts w:hint="eastAsia"/>
        </w:rPr>
        <w:t>【网络质量】</w:t>
      </w:r>
    </w:p>
    <w:p w14:paraId="00F34105">
      <w:pPr>
        <w:ind w:firstLine="420"/>
        <w:rPr>
          <w:rFonts w:ascii="宋体" w:hAnsi="宋体"/>
          <w:szCs w:val="21"/>
        </w:rPr>
      </w:pPr>
      <w:r>
        <w:rPr>
          <w:rFonts w:hint="eastAsia" w:ascii="宋体" w:hAnsi="宋体"/>
          <w:szCs w:val="21"/>
        </w:rPr>
        <w:t>2011年，南雄联通致力于网络的建设与优化，让所有客户都能体验到连通四海、沟通在世界的每个角落皆触手可及的便利。韶关联通集中开展2G网络优化劳动竞赛、3G网络830专项优化、2G/3G“百日会战”协同优化等一系列专题优化行动，有效改善了网络质量。其中2G网络MR质量优良率从93.85%提升至98.82%，全面实现高接通率、低掉线率、通话清晰的通信服务，网络质量得到明显改善，3G网络指标全面达到总部商用标准。</w:t>
      </w:r>
    </w:p>
    <w:p w14:paraId="617B8A49">
      <w:pPr>
        <w:pStyle w:val="4"/>
      </w:pPr>
      <w:r>
        <w:rPr>
          <w:rFonts w:hint="eastAsia"/>
        </w:rPr>
        <w:t>【队伍建设】</w:t>
      </w:r>
    </w:p>
    <w:p w14:paraId="20216CEE">
      <w:pPr>
        <w:ind w:firstLine="420"/>
        <w:rPr>
          <w:rFonts w:ascii="宋体" w:hAnsi="宋体"/>
          <w:szCs w:val="21"/>
        </w:rPr>
      </w:pPr>
      <w:r>
        <w:rPr>
          <w:rFonts w:hint="eastAsia" w:ascii="宋体" w:hAnsi="宋体"/>
          <w:szCs w:val="21"/>
        </w:rPr>
        <w:t>坚持以员工成长为魄，重点落实推进员工“职位体系、激励体系、晋升体系、培训体系”四个体系的建设工作，强化各级管理团队和员工队伍建设。一是围绕“员工成长”和“提高人均效能”的核心目标，做好员工职业生涯发展规划和人员结构性优化配置，尽快建设一支适应新形势、新环境的员工队伍，提高工作效能；二是2011年的绩效激励体系要转变为注重突出员工KPI与员工薪酬直接挂钩，让员工关注KPI，充分发挥KPI对员工考核的导向作用，从而调动员工的工作积极性、主动性。三是打造学习型组织，营造良好的学习氛围，把员工学习制度化、体系化，让员工在学习中成长。在管理干部队伍建设方面，牢固树立“有为才能有位，有位必须有为”的意识，一切靠业绩说话，靠发展赢得尊重和地位。要求干部队伍必须具备追求卓越的精神，敢于自省的勇气，实事求是的态度和敢作敢为的承担。</w:t>
      </w:r>
    </w:p>
    <w:p w14:paraId="23CB99FC">
      <w:pPr>
        <w:pStyle w:val="4"/>
      </w:pPr>
      <w:r>
        <w:rPr>
          <w:rFonts w:hint="eastAsia"/>
        </w:rPr>
        <w:t>【企业管理】</w:t>
      </w:r>
    </w:p>
    <w:p w14:paraId="7F9B4745">
      <w:pPr>
        <w:ind w:firstLine="420"/>
        <w:rPr>
          <w:rFonts w:ascii="宋体" w:hAnsi="宋体"/>
          <w:szCs w:val="21"/>
        </w:rPr>
      </w:pPr>
      <w:r>
        <w:rPr>
          <w:rFonts w:hint="eastAsia" w:ascii="宋体" w:hAnsi="宋体"/>
          <w:szCs w:val="21"/>
        </w:rPr>
        <w:t>2011年，南雄联通积极响应政府建设社会主义新农村号召，大力推进“村通工程”建设和农村信息化建设，加大对边远山区的网络投资，努力解决农村信息来源和信息传输的“最后一公里”两大农业信息化难题，启动“村村通”金农项目和“家电下乡”项目，拓宽了农民农业信息渠道，推动南雄农村信息化建设，促进农村经济发展。</w:t>
      </w:r>
    </w:p>
    <w:p w14:paraId="4BB4FC7B">
      <w:pPr>
        <w:ind w:firstLine="420"/>
        <w:rPr>
          <w:rFonts w:ascii="宋体" w:hAnsi="宋体"/>
          <w:szCs w:val="21"/>
        </w:rPr>
      </w:pPr>
      <w:r>
        <w:rPr>
          <w:rFonts w:hint="eastAsia" w:ascii="宋体" w:hAnsi="宋体"/>
          <w:szCs w:val="21"/>
        </w:rPr>
        <w:t>南雄联通在企业发展的同时，积极支持参与政府开展的精神文明建设活动。与市委团委共同举办了“沃·3G”快乐新星歌手大赛活动；积极参与市扶贫捐赠日活动，帮助弱势群体，开展了扶贫助困、奉献爱心等活动。                                                                           （张虹）</w:t>
      </w:r>
    </w:p>
    <w:p w14:paraId="7D2AA109">
      <w:pPr>
        <w:ind w:firstLine="0" w:firstLineChars="0"/>
        <w:rPr>
          <w:rFonts w:ascii="宋体" w:hAnsi="宋体"/>
          <w:szCs w:val="21"/>
        </w:rPr>
      </w:pPr>
      <w:r>
        <w:rPr>
          <w:rFonts w:hint="eastAsia" w:ascii="宋体" w:hAnsi="宋体"/>
          <w:b/>
          <w:szCs w:val="21"/>
        </w:rPr>
        <w:t>附：2011年中国联通南雄分公司领导班子成员名单</w:t>
      </w:r>
    </w:p>
    <w:p w14:paraId="2E9BB026">
      <w:pPr>
        <w:ind w:firstLine="0" w:firstLineChars="0"/>
        <w:rPr>
          <w:rFonts w:ascii="宋体" w:hAnsi="宋体"/>
          <w:szCs w:val="21"/>
        </w:rPr>
      </w:pPr>
      <w:r>
        <w:rPr>
          <w:rFonts w:hint="eastAsia" w:ascii="宋体" w:hAnsi="宋体"/>
          <w:szCs w:val="21"/>
        </w:rPr>
        <w:t>总经理：黄履英</w:t>
      </w:r>
    </w:p>
    <w:p w14:paraId="32770CE8">
      <w:pPr>
        <w:ind w:firstLine="0" w:firstLineChars="0"/>
        <w:rPr>
          <w:rFonts w:ascii="宋体" w:hAnsi="宋体"/>
          <w:szCs w:val="21"/>
        </w:rPr>
      </w:pPr>
      <w:r>
        <w:rPr>
          <w:rFonts w:hint="eastAsia" w:ascii="宋体" w:hAnsi="宋体"/>
          <w:szCs w:val="21"/>
        </w:rPr>
        <w:t>总经理助理：朱伟苑</w:t>
      </w:r>
    </w:p>
    <w:tbl>
      <w:tblPr>
        <w:tblStyle w:val="15"/>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0E80C54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71FAE09B">
            <w:pPr>
              <w:ind w:firstLine="0" w:firstLineChars="0"/>
              <w:rPr>
                <w:rFonts w:ascii="宋体" w:hAnsi="宋体"/>
                <w:szCs w:val="21"/>
              </w:rPr>
            </w:pPr>
            <w:r>
              <w:rPr>
                <w:rFonts w:ascii="宋体" w:hAnsi="宋体"/>
                <w:szCs w:val="21"/>
              </w:rPr>
              <w:pict>
                <v:shape id="_x0000_i1025" o:spt="75" type="#_x0000_t75" style="height:230.25pt;width:486.75pt;" filled="f" o:preferrelative="t" stroked="f" coordsize="21600,21600">
                  <v:path/>
                  <v:fill on="f" focussize="0,0"/>
                  <v:stroke on="f" joinstyle="miter"/>
                  <v:imagedata r:id="rId96" o:title="南雄年鉴2012-43"/>
                  <o:lock v:ext="edit" aspectratio="t"/>
                  <w10:wrap type="none"/>
                  <w10:anchorlock/>
                </v:shape>
              </w:pict>
            </w:r>
          </w:p>
        </w:tc>
      </w:tr>
    </w:tbl>
    <w:p w14:paraId="138C1B08">
      <w:pPr>
        <w:pStyle w:val="2"/>
      </w:pPr>
      <w:r>
        <w:rPr>
          <w:rFonts w:hint="eastAsia"/>
        </w:rPr>
        <w:t>城建·环保</w:t>
      </w:r>
    </w:p>
    <w:p w14:paraId="4F75F45F">
      <w:pPr>
        <w:pStyle w:val="3"/>
      </w:pPr>
      <w:r>
        <w:rPr>
          <w:rFonts w:hint="eastAsia"/>
        </w:rPr>
        <w:t>城乡规划</w:t>
      </w:r>
    </w:p>
    <w:p w14:paraId="5DAB984C">
      <w:pPr>
        <w:pStyle w:val="4"/>
      </w:pPr>
      <w:r>
        <w:rPr>
          <w:rFonts w:hint="eastAsia"/>
        </w:rPr>
        <w:t>【概况】</w:t>
      </w:r>
    </w:p>
    <w:p w14:paraId="7FD85E5B">
      <w:pPr>
        <w:ind w:firstLine="420"/>
        <w:rPr>
          <w:rFonts w:ascii="宋体" w:hAnsi="宋体"/>
          <w:szCs w:val="21"/>
        </w:rPr>
      </w:pPr>
      <w:r>
        <w:rPr>
          <w:rFonts w:hint="eastAsia" w:ascii="宋体" w:hAnsi="宋体"/>
          <w:szCs w:val="21"/>
        </w:rPr>
        <w:t>继续以学习宣传和贯彻落实《中华人民共和国城乡规划法》为主线，落实科学发展观要求，围绕建设宜居宜业粤北门户城市的总体目标，完善城乡规划科学民主决策机制，加快城乡规划编制步伐，强化城乡规划管理与服务，为加快城市建设步伐，营造生态宜居环境，推进城乡区域统筹协调发展，发挥较好的规划引领作用。</w:t>
      </w:r>
    </w:p>
    <w:p w14:paraId="144C9B9B">
      <w:pPr>
        <w:pStyle w:val="4"/>
      </w:pPr>
      <w:r>
        <w:rPr>
          <w:rFonts w:hint="eastAsia"/>
        </w:rPr>
        <w:t>【城乡规划编制】</w:t>
      </w:r>
    </w:p>
    <w:p w14:paraId="5129BAFC">
      <w:pPr>
        <w:ind w:firstLine="420"/>
        <w:rPr>
          <w:rFonts w:ascii="宋体" w:hAnsi="宋体"/>
          <w:szCs w:val="21"/>
        </w:rPr>
      </w:pPr>
      <w:r>
        <w:rPr>
          <w:rFonts w:hint="eastAsia" w:ascii="宋体" w:hAnsi="宋体"/>
          <w:szCs w:val="21"/>
        </w:rPr>
        <w:t>根据城乡规划全覆盖的要求，相继开展城区总体规划、镇村布局规划的修编调整工作，开展城区规划范围内的各类控规、详规、专项规划、城市设计及村庄规划等规划编制工作。</w:t>
      </w:r>
    </w:p>
    <w:p w14:paraId="41901E02">
      <w:pPr>
        <w:ind w:firstLine="420"/>
        <w:rPr>
          <w:rFonts w:ascii="宋体" w:hAnsi="宋体"/>
          <w:szCs w:val="21"/>
        </w:rPr>
      </w:pPr>
      <w:r>
        <w:rPr>
          <w:rFonts w:hint="eastAsia" w:ascii="宋体" w:hAnsi="宋体"/>
          <w:szCs w:val="21"/>
        </w:rPr>
        <w:t>继续做好中心城区总体规划（2000-2015年）的修编工作，已和广东省城乡规划设计院一所签订设计合同，已完成总体规划修编实施评估报告和通过省住建厅组织的报告评审和省政府的批准，目前设计单位正组织技术人员进行规划纲要设计编制工作。</w:t>
      </w:r>
    </w:p>
    <w:p w14:paraId="6508FF9C">
      <w:pPr>
        <w:pStyle w:val="4"/>
      </w:pPr>
      <w:r>
        <w:rPr>
          <w:rFonts w:hint="eastAsia"/>
        </w:rPr>
        <w:t>【城市规划管理】</w:t>
      </w:r>
    </w:p>
    <w:p w14:paraId="080AA3F0">
      <w:pPr>
        <w:ind w:firstLine="420"/>
        <w:rPr>
          <w:rFonts w:ascii="宋体" w:hAnsi="宋体"/>
          <w:szCs w:val="21"/>
        </w:rPr>
      </w:pPr>
      <w:r>
        <w:rPr>
          <w:rFonts w:hint="eastAsia" w:ascii="宋体" w:hAnsi="宋体"/>
          <w:szCs w:val="21"/>
        </w:rPr>
        <w:t>在《城区总体规划》的统揽下，始终坚持将规划工作摆到突出的位置上来抓，精心编制城市规划，指导城市建设，依法审批“书两证”，并做好市政设施施工图设计和测量放线工作。2011年，中心城区共办理工程报建43项，建筑面积51.55万平方米，总投资金额约21437万元，其中工业项目22项，面积26.07万平方米；房建项目15项，面积25.22万平方米；市政建设项目4项，管线长4925米；临时建设项目1项，面积481平方米；其他工程6项。</w:t>
      </w:r>
    </w:p>
    <w:p w14:paraId="53FE6558">
      <w:pPr>
        <w:pStyle w:val="4"/>
      </w:pPr>
      <w:r>
        <w:rPr>
          <w:rFonts w:hint="eastAsia"/>
        </w:rPr>
        <w:t>【城市测绘】</w:t>
      </w:r>
    </w:p>
    <w:p w14:paraId="6DDBDA7A">
      <w:pPr>
        <w:ind w:firstLine="420"/>
        <w:rPr>
          <w:rFonts w:ascii="宋体" w:hAnsi="宋体"/>
          <w:szCs w:val="21"/>
        </w:rPr>
      </w:pPr>
      <w:r>
        <w:rPr>
          <w:rFonts w:hint="eastAsia" w:ascii="宋体" w:hAnsi="宋体"/>
          <w:szCs w:val="21"/>
        </w:rPr>
        <w:t>目前市城市测绘技术力量仍很薄弱，环保住建局主要是开展一些简单的建筑施工测量放线等工作，涉及到土地测量技术工作由南雄市国土资源局负责，较大面积地形测量还需要聘请专业测绘技术力量强的队伍帮助完成。</w:t>
      </w:r>
    </w:p>
    <w:p w14:paraId="615BE3D0">
      <w:pPr>
        <w:pStyle w:val="4"/>
      </w:pPr>
      <w:r>
        <w:rPr>
          <w:rFonts w:hint="eastAsia"/>
        </w:rPr>
        <w:t>【重点项目规划工作】</w:t>
      </w:r>
    </w:p>
    <w:p w14:paraId="2FAA359A">
      <w:pPr>
        <w:ind w:firstLine="420"/>
        <w:rPr>
          <w:rFonts w:ascii="宋体" w:hAnsi="宋体"/>
          <w:szCs w:val="21"/>
        </w:rPr>
      </w:pPr>
      <w:r>
        <w:rPr>
          <w:rFonts w:hint="eastAsia" w:ascii="宋体" w:hAnsi="宋体"/>
          <w:szCs w:val="21"/>
        </w:rPr>
        <w:t>2011年，按照</w:t>
      </w:r>
      <w:r>
        <w:rPr>
          <w:rFonts w:hint="eastAsia" w:ascii="宋体" w:hAnsi="宋体"/>
          <w:szCs w:val="21"/>
          <w:lang w:eastAsia="zh-CN"/>
        </w:rPr>
        <w:t>市委市政府</w:t>
      </w:r>
      <w:r>
        <w:rPr>
          <w:rFonts w:hint="eastAsia" w:ascii="宋体" w:hAnsi="宋体"/>
          <w:szCs w:val="21"/>
        </w:rPr>
        <w:t>关于重点项目建设的任务目标及进度要求，认真做好项目规划、选址等工作，推动重点项目的顺利建设。主要做好二期工业园区用地的规划及道路、市政管线的工程规划设计，园区用地平整测量及土石方量计算、复核等工作；完成水西小岛1200亩控制性详细规划以及东北片区260亩、金刚小区530亩、珠玑镇旅游大道和两侧320亩的用地规划设计工作；抓好新八一小学规划设计，用地面积74.5亩；做好南雄城市综合体用地规划设计，用地面积100亩；做好了新城影剧院广场的规划设计；做好全安乐华陶瓷厂南侧道路长180多米的护坡加固工程规划设计和施工图设计、工程预算等工作；协助华电做好选址初步审查意见，已按程序上报到韶关市、省进行审批；协助佛燃公司做好LNG储配站用地选址规划工作。</w:t>
      </w:r>
    </w:p>
    <w:p w14:paraId="2D6F1070">
      <w:pPr>
        <w:pStyle w:val="4"/>
      </w:pPr>
      <w:r>
        <w:rPr>
          <w:rFonts w:hint="eastAsia"/>
        </w:rPr>
        <w:t>【村镇规划管理】</w:t>
      </w:r>
    </w:p>
    <w:p w14:paraId="5FDB4AF5">
      <w:pPr>
        <w:ind w:firstLine="420"/>
        <w:rPr>
          <w:rFonts w:ascii="宋体" w:hAnsi="宋体"/>
          <w:szCs w:val="21"/>
        </w:rPr>
      </w:pPr>
      <w:r>
        <w:rPr>
          <w:rFonts w:hint="eastAsia" w:ascii="宋体" w:hAnsi="宋体"/>
          <w:szCs w:val="21"/>
        </w:rPr>
        <w:t>积极协助全安、古市、主田、湖口、江头、帽子峰、坪田等7个镇启动乡镇总体规划编制工作，规范和指导好全市的乡镇规划建设管理，同时还做了大量协调的工作争取上级规划部门对人力、财力上的大力支持，使乡镇规划建设步入一个良性、有序、科学的发展轨道。</w:t>
      </w:r>
    </w:p>
    <w:p w14:paraId="38363445">
      <w:pPr>
        <w:ind w:firstLine="420"/>
        <w:rPr>
          <w:rFonts w:ascii="宋体" w:hAnsi="宋体"/>
          <w:szCs w:val="21"/>
        </w:rPr>
      </w:pPr>
      <w:r>
        <w:rPr>
          <w:rFonts w:hint="eastAsia" w:ascii="宋体" w:hAnsi="宋体"/>
          <w:szCs w:val="21"/>
        </w:rPr>
        <w:t>根据工作职能，加强对乡镇规划建设的指导，做好2010年城市建设和乡镇建设统计报表的资料收集、填报，并及时向上级部门报送；抓好界址、乌迳、珠玑、黄坑等镇因转制的用地规划控制设计，用地面积21000多平方米，及时移交给市国资办；协助完成全安镇大坪苏屋村规划改造规划设计工作和施工图设计工作，用地面积8000平方米，共43户。</w:t>
      </w:r>
    </w:p>
    <w:p w14:paraId="4E9DD71F">
      <w:pPr>
        <w:pStyle w:val="3"/>
      </w:pPr>
      <w:r>
        <w:rPr>
          <w:rFonts w:hint="eastAsia"/>
        </w:rPr>
        <w:t>城乡建设</w:t>
      </w:r>
    </w:p>
    <w:p w14:paraId="152FD18F">
      <w:pPr>
        <w:pStyle w:val="4"/>
      </w:pPr>
      <w:r>
        <w:rPr>
          <w:rFonts w:hint="eastAsia"/>
        </w:rPr>
        <w:t>【概况】</w:t>
      </w:r>
    </w:p>
    <w:p w14:paraId="46615A69">
      <w:pPr>
        <w:ind w:firstLine="420"/>
        <w:rPr>
          <w:rFonts w:ascii="宋体" w:hAnsi="宋体"/>
          <w:szCs w:val="21"/>
        </w:rPr>
      </w:pPr>
      <w:r>
        <w:rPr>
          <w:rFonts w:hint="eastAsia" w:ascii="宋体" w:hAnsi="宋体"/>
          <w:szCs w:val="21"/>
        </w:rPr>
        <w:t>该市依托省际节点的区位优势和悠久历史文化积淀优势，围绕建设“粤北门户城市”目标，坚持以人为本，高起点规划、高标准建设、大手笔投入、大气魄推进的工作思路，确立了“拉大城市框架、突出城市特色、搞活城市经营”的城市发展目标，以“政府引导、市场运作、企业经营、社会参与”的运作模式，大手笔投入推进“北移东扩、西建南绿”工程，力推北城区开发，加快城市建设进程，市城乡建设工作取得了较大成就，城镇化水平显著提高。</w:t>
      </w:r>
    </w:p>
    <w:p w14:paraId="2A55D84E">
      <w:pPr>
        <w:pStyle w:val="4"/>
      </w:pPr>
      <w:r>
        <w:rPr>
          <w:rFonts w:hint="eastAsia"/>
        </w:rPr>
        <w:t>【保障性住房建设】</w:t>
      </w:r>
    </w:p>
    <w:p w14:paraId="251CBF34">
      <w:pPr>
        <w:ind w:firstLine="420"/>
        <w:rPr>
          <w:rFonts w:ascii="宋体" w:hAnsi="宋体"/>
          <w:szCs w:val="21"/>
        </w:rPr>
      </w:pPr>
      <w:r>
        <w:rPr>
          <w:rFonts w:hint="eastAsia" w:ascii="宋体" w:hAnsi="宋体"/>
          <w:szCs w:val="21"/>
        </w:rPr>
        <w:t>为加强和完善住房保障管理工作，市成立南雄市住房保障中心，配备与工作相适应的专职管理人员，落实工作责任，为各项工作顺利开展提供有力的组织保障。</w:t>
      </w:r>
    </w:p>
    <w:p w14:paraId="10F89995">
      <w:pPr>
        <w:ind w:firstLine="420"/>
        <w:rPr>
          <w:rFonts w:ascii="宋体" w:hAnsi="宋体"/>
          <w:szCs w:val="21"/>
        </w:rPr>
      </w:pPr>
      <w:r>
        <w:rPr>
          <w:rFonts w:hint="eastAsia" w:ascii="宋体" w:hAnsi="宋体"/>
          <w:szCs w:val="21"/>
        </w:rPr>
        <w:t>2011年，开工建设100套廉租房，座落在陵园路17号，建设用地1615平方米，项目估算总投资约为866万元，现累计筹集保障资金366万元，已完成基础施工。32套经济适用房，座落在水南邓公园，总投资600万元，本年度完成投资550万元，建设资金已经落实，已完成竣工验收，并组织雄州街道办、社区等部门的工作人员对206户申购家庭住房进行审核。72套公共租赁住房，座落在教育南路，计划总投资411万元，本年度完成投资410万元，建设资金已经落实，已完成主体工程，进入室外配套工程建设。</w:t>
      </w:r>
    </w:p>
    <w:p w14:paraId="7909B389">
      <w:pPr>
        <w:ind w:firstLine="420"/>
        <w:rPr>
          <w:rFonts w:ascii="宋体" w:hAnsi="宋体"/>
          <w:szCs w:val="21"/>
        </w:rPr>
      </w:pPr>
      <w:r>
        <w:rPr>
          <w:rFonts w:hint="eastAsia" w:ascii="宋体" w:hAnsi="宋体"/>
          <w:szCs w:val="21"/>
        </w:rPr>
        <w:t>原计划196套城市危旧房改造，现已建设217套，座落在市区居仁街、龙勾巷、罗汉井等地段，改造工程总拆迁面积约15600平方米，总投资4920万元（资金来源由各开发企业自筹），本年度完成投资3960万元，现已竣工验收。</w:t>
      </w:r>
    </w:p>
    <w:p w14:paraId="166A83C8">
      <w:pPr>
        <w:pStyle w:val="4"/>
      </w:pPr>
      <w:r>
        <w:rPr>
          <w:rFonts w:hint="eastAsia"/>
        </w:rPr>
        <w:t>【建筑工程质量管理】</w:t>
      </w:r>
    </w:p>
    <w:p w14:paraId="41E37A3C">
      <w:pPr>
        <w:ind w:firstLine="420"/>
        <w:rPr>
          <w:rFonts w:ascii="宋体" w:hAnsi="宋体"/>
          <w:szCs w:val="21"/>
        </w:rPr>
      </w:pPr>
      <w:r>
        <w:rPr>
          <w:rFonts w:hint="eastAsia" w:ascii="宋体" w:hAnsi="宋体"/>
          <w:szCs w:val="21"/>
        </w:rPr>
        <w:t>加强建筑工程质量安全监督管理，建立建设工程监督巡查和督查制度，加大对工程巡查和抽查的密度和频率，规范监督行为，强化和丰富了监督手段，优化了工程质量监督程序，使质量管理处于受控状态。全年共办理监督工程项目45项、建筑面积21.34万平方米、工程造价22337万元；竣工验收工程38项、面积17.12万平方米、投资10835万元，工程合格率为100%。</w:t>
      </w:r>
    </w:p>
    <w:p w14:paraId="167397AA">
      <w:pPr>
        <w:pStyle w:val="4"/>
      </w:pPr>
      <w:r>
        <w:rPr>
          <w:rFonts w:hint="eastAsia"/>
        </w:rPr>
        <w:t>【建筑工程安全监管】</w:t>
      </w:r>
    </w:p>
    <w:p w14:paraId="2BCDA57C">
      <w:pPr>
        <w:ind w:firstLine="420"/>
        <w:rPr>
          <w:rFonts w:ascii="宋体" w:hAnsi="宋体"/>
          <w:szCs w:val="21"/>
        </w:rPr>
      </w:pPr>
      <w:r>
        <w:rPr>
          <w:rFonts w:hint="eastAsia" w:ascii="宋体" w:hAnsi="宋体"/>
          <w:szCs w:val="21"/>
        </w:rPr>
        <w:t>认真开展好全年质量、安全和文明施工大检查，不断规范并完善各责任主体质量行为，要求施工企业严格执行建设工程强制性标准及施工质量验收规范，使质量管理处于受控状态。对违章指挥、违规操作和不具备基本安全生产条例的施工现场和企业，坚决责令整改，共下发安全整改通知书11份、扣分通知书19份，有效保证安全生产的有序进行，全年在建工地未发生等级安全事故。</w:t>
      </w:r>
    </w:p>
    <w:p w14:paraId="54933926">
      <w:pPr>
        <w:pStyle w:val="4"/>
      </w:pPr>
      <w:r>
        <w:rPr>
          <w:rFonts w:hint="eastAsia"/>
        </w:rPr>
        <w:t>【工程招投标管理】</w:t>
      </w:r>
    </w:p>
    <w:p w14:paraId="635FD87C">
      <w:pPr>
        <w:ind w:firstLine="420"/>
        <w:rPr>
          <w:rFonts w:ascii="宋体" w:hAnsi="宋体"/>
          <w:szCs w:val="21"/>
        </w:rPr>
      </w:pPr>
      <w:r>
        <w:rPr>
          <w:rFonts w:hint="eastAsia" w:ascii="宋体" w:hAnsi="宋体"/>
          <w:szCs w:val="21"/>
        </w:rPr>
        <w:t>加强建设工程交易市场监管，按照“充分调研、对症下药、总结完善、稳妥推进”的方针，通过明确投标条件、推行资格后审、加强投标人信息保密、增加评委、引入阳光使者等工作，深化招标程序改革，限制和规范权力运行，遏制围标串标行为，营造信息公开、过程透明、结果公正的交易环境。全年进行公开招投标的工程（含道路交通工程）48宗，中标价16393.64万元，下浮率7.38%。</w:t>
      </w:r>
    </w:p>
    <w:p w14:paraId="48369C18">
      <w:pPr>
        <w:pStyle w:val="4"/>
      </w:pPr>
      <w:r>
        <w:rPr>
          <w:rFonts w:hint="eastAsia"/>
        </w:rPr>
        <w:t>【推广建筑节能】</w:t>
      </w:r>
    </w:p>
    <w:p w14:paraId="12403421">
      <w:pPr>
        <w:ind w:firstLine="420"/>
        <w:rPr>
          <w:rFonts w:ascii="宋体" w:hAnsi="宋体"/>
          <w:szCs w:val="21"/>
        </w:rPr>
      </w:pPr>
      <w:r>
        <w:rPr>
          <w:rFonts w:hint="eastAsia" w:ascii="宋体" w:hAnsi="宋体"/>
          <w:szCs w:val="21"/>
        </w:rPr>
        <w:t>加大建筑节能推广力度，严格实施建筑节能标准，加强工程建设全过程的节能监管。强化新建建筑的设计审查、施工许可、质量监督、验收备案等过程监管，加强大型公共建筑节能的图纸设计审查，逐步建立并完善大型公共建筑节能运行监管体系，严格执行建筑节能设计标准和施工验收标准，确保新建建筑达到节能目标。我市有新型墙材企业6家，应用新型墙材比例达100%，基本实现禁实目标；有现预拌混凝土搅拌企业1家，全市19个工地都使用商品混凝土，混凝土使用量为21.3万立方米，有效地推进建筑节能减排工作。</w:t>
      </w:r>
    </w:p>
    <w:p w14:paraId="2957F707">
      <w:pPr>
        <w:pStyle w:val="4"/>
      </w:pPr>
      <w:r>
        <w:rPr>
          <w:rFonts w:hint="eastAsia"/>
        </w:rPr>
        <w:t>【违法违章用地处理】</w:t>
      </w:r>
    </w:p>
    <w:p w14:paraId="6B0BB874">
      <w:pPr>
        <w:ind w:firstLine="420"/>
        <w:rPr>
          <w:rFonts w:ascii="宋体" w:hAnsi="宋体"/>
          <w:szCs w:val="21"/>
        </w:rPr>
      </w:pPr>
      <w:r>
        <w:rPr>
          <w:rFonts w:hint="eastAsia" w:ascii="宋体" w:hAnsi="宋体"/>
          <w:szCs w:val="21"/>
        </w:rPr>
        <w:t>为加强村镇建房用地的管理，引导村镇科学、合理建房用地，节约和保护土地，改善村镇与人居环境，切实维护好规划的严肃性、统一性，市下发了《关于进一步加强村镇建房用地管理的意见》（雄府〔2011〕57号）文件。该局联合有关部门积极开展好处违的调查、取证、认定工作，已制定处违的相关程序、表格、需提交的相关材料并下放到各镇。同时加快处理国有土地上违法违章建筑与用地的进度，选择珠玑镇作为试点，取得经验后对各镇负责此项工作的人员进行专门培训，再向全市各镇全面铺开。珠玑镇已经报送了17栋处违建筑的资料（建筑面积4.8万平方米），国土、住建、地税、消防等部门已经对国有土地上的13栋违章建筑（3.92万平方米）进行前期的核实、摸底、检查、鉴定工作。</w:t>
      </w:r>
    </w:p>
    <w:p w14:paraId="4501CE23">
      <w:pPr>
        <w:pStyle w:val="4"/>
      </w:pPr>
      <w:r>
        <w:rPr>
          <w:rFonts w:hint="eastAsia"/>
        </w:rPr>
        <w:t>【重点项目建设】</w:t>
      </w:r>
    </w:p>
    <w:p w14:paraId="76E9C057">
      <w:pPr>
        <w:ind w:firstLine="420"/>
        <w:rPr>
          <w:rFonts w:ascii="宋体" w:hAnsi="宋体"/>
          <w:szCs w:val="21"/>
        </w:rPr>
      </w:pPr>
      <w:r>
        <w:rPr>
          <w:rFonts w:hint="eastAsia" w:ascii="宋体" w:hAnsi="宋体"/>
          <w:szCs w:val="21"/>
        </w:rPr>
        <w:t>金叶大道段、迎宾大道段、教育路段、黎灿学校段等路段的道路改造、绿化美化、管网下地、路灯安装等工作已全面完成；协助做好雄州公园规划设计和用地调查、测量工作，用地规划面积400多亩，联系韶关市规划设计院完成公园初步规划设计方案和相关的新村用地规划；抓好疾控中心大楼、国际会展中心、中科院广化所一期、新八一路小学、社会福利中心、绿洲公司扩产建设等项目的用地规划和设计工作，协助做好城区路牌门牌标识工程。</w:t>
      </w:r>
    </w:p>
    <w:p w14:paraId="38827875">
      <w:pPr>
        <w:pStyle w:val="3"/>
      </w:pPr>
      <w:r>
        <w:rPr>
          <w:rFonts w:hint="eastAsia"/>
        </w:rPr>
        <w:t>建筑业</w:t>
      </w:r>
    </w:p>
    <w:p w14:paraId="59D900F7">
      <w:pPr>
        <w:pStyle w:val="4"/>
      </w:pPr>
      <w:r>
        <w:rPr>
          <w:rFonts w:hint="eastAsia"/>
        </w:rPr>
        <w:t>【概况】</w:t>
      </w:r>
    </w:p>
    <w:p w14:paraId="3C87A2A9">
      <w:pPr>
        <w:ind w:firstLine="420"/>
        <w:rPr>
          <w:rFonts w:ascii="宋体" w:hAnsi="宋体"/>
          <w:szCs w:val="21"/>
        </w:rPr>
      </w:pPr>
      <w:r>
        <w:rPr>
          <w:rFonts w:hint="eastAsia" w:ascii="宋体" w:hAnsi="宋体"/>
          <w:szCs w:val="21"/>
        </w:rPr>
        <w:t>2011年，严格审查责任主体以及从业人员的市场准入条件，通过与各有关部门签定的建设工程质量、安全生产、文明施工责任书，狠抓责任落实，完善相关制度，积极加强对工程质量、安全生产和文明施工的监管，认真推行建筑节能工作，确保工程实体质量和安全生产工作稳步推进，建筑行业的发展又向前迈出坚实的步伐。全年，建筑业完成增加值6.85亿元，其中资质以内建筑业企业完成总产值11.83亿元，实现增加值3.78亿元。全年房屋建筑施工面积132.56万平方米，其中本年新开工面积68.73万平方米；房屋建筑竣工面积64.28万平方米，竣工房屋价值4.99亿元。全市资质建筑企业上交税金5944万元，实现利润7580万元。</w:t>
      </w:r>
    </w:p>
    <w:p w14:paraId="7BE470FA">
      <w:pPr>
        <w:pStyle w:val="4"/>
      </w:pPr>
      <w:r>
        <w:rPr>
          <w:rFonts w:hint="eastAsia"/>
        </w:rPr>
        <w:t>【建筑管理】</w:t>
      </w:r>
    </w:p>
    <w:p w14:paraId="571BAB18">
      <w:pPr>
        <w:ind w:firstLine="420"/>
        <w:rPr>
          <w:rFonts w:ascii="宋体" w:hAnsi="宋体"/>
          <w:szCs w:val="21"/>
        </w:rPr>
      </w:pPr>
      <w:r>
        <w:rPr>
          <w:rFonts w:hint="eastAsia" w:ascii="宋体" w:hAnsi="宋体"/>
          <w:szCs w:val="21"/>
        </w:rPr>
        <w:t>认真开展各项综合和专项检查，全面、认真细致地排查整治施工现场、重点部位的火灾隐患，严查无资质、超资质、挂靠、转包或违法分包施工、监理业务的建筑施工安全生产非法违法行为；对违章指挥、违规操作和不具备基本安全生产条例的施工现场和企业，进行严肃处理，全年共下发安全整改通知书11份，对检查中发现的安全隐患及时跟踪排除，确保建筑施工安全生产工作。</w:t>
      </w:r>
    </w:p>
    <w:p w14:paraId="7CCFA093">
      <w:pPr>
        <w:ind w:firstLine="420"/>
        <w:rPr>
          <w:rFonts w:ascii="宋体" w:hAnsi="宋体"/>
          <w:szCs w:val="21"/>
        </w:rPr>
      </w:pPr>
      <w:r>
        <w:rPr>
          <w:rFonts w:hint="eastAsia" w:ascii="宋体" w:hAnsi="宋体"/>
          <w:szCs w:val="21"/>
        </w:rPr>
        <w:t>施工管理。一是抓好建筑企业资质管理。认真执行《建筑业企业资质管理规定》，对本市企业资质就位管理和外地进南建筑业企业管理进行严格把关、有效协调、对号入座。二是抓好建设工程报建程序管理和文明施工安全措施费的统一管理。三是抓好工程验收备案管理。</w:t>
      </w:r>
    </w:p>
    <w:p w14:paraId="1DFB5B38">
      <w:pPr>
        <w:ind w:firstLine="420"/>
        <w:rPr>
          <w:rFonts w:ascii="宋体" w:hAnsi="宋体"/>
          <w:szCs w:val="21"/>
        </w:rPr>
      </w:pPr>
      <w:r>
        <w:rPr>
          <w:rFonts w:hint="eastAsia" w:ascii="宋体" w:hAnsi="宋体"/>
          <w:szCs w:val="21"/>
        </w:rPr>
        <w:t>工程质量管理。加大质量监管力度，加强对施工现场质保体系的检查，规范完善各责任主体质量行为，严格执行建设工程强制性标准和施工质量验收规范，确保质量管理处于受控状态，工程主体质量稳中有升。</w:t>
      </w:r>
    </w:p>
    <w:p w14:paraId="2B5AA06D">
      <w:pPr>
        <w:ind w:firstLine="420"/>
        <w:rPr>
          <w:rFonts w:ascii="宋体" w:hAnsi="宋体"/>
          <w:szCs w:val="21"/>
        </w:rPr>
      </w:pPr>
      <w:r>
        <w:rPr>
          <w:rFonts w:hint="eastAsia" w:ascii="宋体" w:hAnsi="宋体"/>
          <w:szCs w:val="21"/>
        </w:rPr>
        <w:t>安全生产管理。认真落实安全生产责任制，与工程项目管理人负责签定安全生产责任书，严格执行建筑施工企业安全生产许可准入制度，抓好施工企业“三类”人员及施工现场管理人员到位情况的落实，要求施工企业“三类人员”必须取得安全考核合格证，执行《广东省建设厅建筑工程安全生产动态管理办法》，对不良安全行为进行记录及动态量化扣分管理，共计下发扣分通知书19份，（其中项目经理7份，安全员10份，总监理工程师1份，专业监理工程师1份）。</w:t>
      </w:r>
    </w:p>
    <w:p w14:paraId="7546C06C">
      <w:pPr>
        <w:pStyle w:val="4"/>
      </w:pPr>
      <w:r>
        <w:rPr>
          <w:rFonts w:hint="eastAsia"/>
        </w:rPr>
        <w:t>【建筑设计】</w:t>
      </w:r>
    </w:p>
    <w:p w14:paraId="4F851B58">
      <w:pPr>
        <w:ind w:firstLine="420"/>
        <w:rPr>
          <w:rFonts w:ascii="宋体" w:hAnsi="宋体"/>
          <w:szCs w:val="21"/>
        </w:rPr>
      </w:pPr>
      <w:r>
        <w:rPr>
          <w:rFonts w:hint="eastAsia" w:ascii="宋体" w:hAnsi="宋体"/>
          <w:szCs w:val="21"/>
        </w:rPr>
        <w:t>2011年，南雄市建筑设计院有专业技术人员23人，其中高级工程师4人，中级工程师15人，助理工程师4人，技术人员3人；一级注册结构师1人，二级注册建筑师5人，二级注册结构师2人。完成工程勘探设计项目共211个，其中设计项目完成109个，钻探项目完成49个，地质钻探深度完成9626.45米，桩基动测1083根，抽芯完成660.75米。</w:t>
      </w:r>
    </w:p>
    <w:p w14:paraId="40E9B04F">
      <w:pPr>
        <w:pStyle w:val="4"/>
      </w:pPr>
      <w:r>
        <w:rPr>
          <w:rFonts w:hint="eastAsia"/>
        </w:rPr>
        <w:t>【建筑企业】</w:t>
      </w:r>
    </w:p>
    <w:p w14:paraId="43AC3CBA">
      <w:pPr>
        <w:ind w:firstLine="420"/>
        <w:rPr>
          <w:rFonts w:ascii="宋体" w:hAnsi="宋体"/>
          <w:szCs w:val="21"/>
        </w:rPr>
      </w:pPr>
      <w:r>
        <w:rPr>
          <w:rFonts w:hint="eastAsia" w:ascii="宋体" w:hAnsi="宋体"/>
          <w:szCs w:val="21"/>
        </w:rPr>
        <w:t>2011年，全市施工企业资质中，房屋建筑工程施工总承包二级企业1家，为南雄市市政工程公司；房屋建筑工程施工总承包二级企业3家，为南雄市建筑安装工程公司，南雄市雄州建筑公司，南雄市乐达建筑工程有限公司。外地入雄备案企业共24家，其中：特级建筑施工企业1家，一级建筑施工企业5家，建筑设计企业甲级1家，监理企业甲级3家。</w:t>
      </w:r>
    </w:p>
    <w:p w14:paraId="4A5520C3">
      <w:pPr>
        <w:pStyle w:val="3"/>
      </w:pPr>
      <w:r>
        <w:rPr>
          <w:rFonts w:hint="eastAsia"/>
        </w:rPr>
        <w:t>房地产管理</w:t>
      </w:r>
    </w:p>
    <w:p w14:paraId="3F6A2482">
      <w:pPr>
        <w:pStyle w:val="4"/>
      </w:pPr>
      <w:r>
        <w:rPr>
          <w:rFonts w:hint="eastAsia"/>
        </w:rPr>
        <w:t>【概况】</w:t>
      </w:r>
    </w:p>
    <w:p w14:paraId="7C83A222">
      <w:pPr>
        <w:ind w:firstLine="420"/>
        <w:rPr>
          <w:rFonts w:ascii="宋体" w:hAnsi="宋体"/>
          <w:szCs w:val="21"/>
        </w:rPr>
      </w:pPr>
      <w:r>
        <w:rPr>
          <w:rFonts w:hint="eastAsia" w:ascii="宋体" w:hAnsi="宋体"/>
          <w:szCs w:val="21"/>
        </w:rPr>
        <w:t>2011年，住建局加大工作力度，严把商品房预、现售关口，增加开发商销售的透明度，保障市场健康发展，全年核发预售许可证、现售备案证14项，面积5.06万平方米；并完成16家房地产开发企业的资质年检，做好7家新成立房地产开发企业的资质等级评定工作；全市房地产开发投资市场发展平稳，房地产开发投资完成4.13亿元，商品房销售面积22.49万平方米、交易金额4.05亿元。</w:t>
      </w:r>
    </w:p>
    <w:p w14:paraId="3DB0D1D2">
      <w:pPr>
        <w:pStyle w:val="4"/>
      </w:pPr>
      <w:r>
        <w:rPr>
          <w:rFonts w:hint="eastAsia"/>
        </w:rPr>
        <w:t>【房屋登记】</w:t>
      </w:r>
    </w:p>
    <w:p w14:paraId="5205FD14">
      <w:pPr>
        <w:ind w:firstLine="420"/>
        <w:rPr>
          <w:rFonts w:ascii="宋体" w:hAnsi="宋体"/>
          <w:szCs w:val="21"/>
        </w:rPr>
      </w:pPr>
      <w:r>
        <w:rPr>
          <w:rFonts w:hint="eastAsia" w:ascii="宋体" w:hAnsi="宋体"/>
          <w:szCs w:val="21"/>
        </w:rPr>
        <w:t>认真贯彻执行国家、省、市房地产的有关政策、法律法规，严格执行《房屋登记办法》，及时修订完善房地产交易和权属登记程序业务操作规程，具体明确各类登记发证业务类型特别是新增类型的办理程序、必收要件、办理时限、证书填写规范等。为规范房地产交易与权属登记程序，简化手续，方便群众，逐步实现一个窗口收件、一个窗口发证、一次性收取税费的交易与权属登记一体化、一条龙办公、一站式服务。2011年共办理房地产权登记发证4528宗，面积56.84万平方米。其中商品房住宅2614宗、非住宅1186宗、单位新建102宗、个人新建24宗、登记114宗、二手房交易449宗、办理按揭820宗、抵押884宗，代国家征收契税1242.79万元。</w:t>
      </w:r>
    </w:p>
    <w:p w14:paraId="43F50579">
      <w:pPr>
        <w:pStyle w:val="4"/>
      </w:pPr>
      <w:r>
        <w:rPr>
          <w:rFonts w:hint="eastAsia"/>
        </w:rPr>
        <w:t>【公房管理】</w:t>
      </w:r>
    </w:p>
    <w:p w14:paraId="2308EE3A">
      <w:pPr>
        <w:ind w:firstLine="420"/>
        <w:rPr>
          <w:rFonts w:ascii="宋体" w:hAnsi="宋体"/>
          <w:szCs w:val="21"/>
        </w:rPr>
      </w:pPr>
      <w:r>
        <w:rPr>
          <w:rFonts w:hint="eastAsia" w:ascii="宋体" w:hAnsi="宋体"/>
          <w:szCs w:val="21"/>
        </w:rPr>
        <w:t>按照有关规定，认真实施直管公有住房的建设、申请、审批、分配安置、维护、租金收缴等工作。建设具备房屋管理、租赁管理、租金管理、资产管理等多项功能于一体的公房管理信息系统，将全部在管公房建立电子档案，方便房管人员对公房档案的查找和管理，减少工作错漏的发生，使公房管理工作效率得到有效提高，实现了公房管理电子化、信息化、规范化。加强对所管辖公房的安全检查工作，在雨季及时通知住户做好安全防范措施，并针对可能出现危险的住房及时进行维修或提出具体处理意见。2011年管理直管公房927套，面积973.56平方米，共投入维修资金9.14万元。</w:t>
      </w:r>
    </w:p>
    <w:p w14:paraId="010AF779">
      <w:pPr>
        <w:pStyle w:val="4"/>
      </w:pPr>
      <w:r>
        <w:rPr>
          <w:rFonts w:hint="eastAsia"/>
        </w:rPr>
        <w:t>【房产测绘】</w:t>
      </w:r>
    </w:p>
    <w:p w14:paraId="3A69B285">
      <w:pPr>
        <w:ind w:firstLine="420"/>
        <w:rPr>
          <w:rFonts w:ascii="宋体" w:hAnsi="宋体"/>
          <w:szCs w:val="21"/>
        </w:rPr>
      </w:pPr>
      <w:r>
        <w:rPr>
          <w:rFonts w:hint="eastAsia" w:ascii="宋体" w:hAnsi="宋体"/>
          <w:szCs w:val="21"/>
        </w:rPr>
        <w:t>完成商品房抵押登记测绘884宗，面积55.63万平方米；。完成单位新建测绘102宗，面积20.83万平方米；完成个人新建测绘24宗，面积3764平方米。</w:t>
      </w:r>
    </w:p>
    <w:p w14:paraId="32013D6C">
      <w:pPr>
        <w:pStyle w:val="4"/>
      </w:pPr>
      <w:r>
        <w:rPr>
          <w:rFonts w:hint="eastAsia"/>
        </w:rPr>
        <w:t>【白蚊防治】</w:t>
      </w:r>
    </w:p>
    <w:p w14:paraId="03C92FA4">
      <w:pPr>
        <w:ind w:firstLine="420"/>
        <w:rPr>
          <w:rFonts w:ascii="宋体" w:hAnsi="宋体"/>
          <w:szCs w:val="21"/>
        </w:rPr>
      </w:pPr>
      <w:r>
        <w:rPr>
          <w:rFonts w:hint="eastAsia" w:ascii="宋体" w:hAnsi="宋体"/>
          <w:szCs w:val="21"/>
        </w:rPr>
        <w:t>白蚁防治业务得到不断拓宽，全年完成白蚁防治面积16万平方米。                      （李赣龙）</w:t>
      </w:r>
    </w:p>
    <w:p w14:paraId="3EC2B801">
      <w:pPr>
        <w:ind w:firstLine="422"/>
        <w:rPr>
          <w:rFonts w:ascii="宋体" w:hAnsi="宋体"/>
          <w:b/>
          <w:szCs w:val="21"/>
        </w:rPr>
      </w:pPr>
      <w:r>
        <w:rPr>
          <w:rFonts w:hint="eastAsia" w:ascii="宋体" w:hAnsi="宋体"/>
          <w:b/>
          <w:szCs w:val="21"/>
        </w:rPr>
        <w:t>附：2011年住建局领导班子组成人员名单</w:t>
      </w:r>
    </w:p>
    <w:p w14:paraId="259E30C3">
      <w:pPr>
        <w:ind w:firstLine="420"/>
        <w:rPr>
          <w:rFonts w:ascii="宋体" w:hAnsi="宋体"/>
          <w:szCs w:val="21"/>
        </w:rPr>
      </w:pPr>
      <w:r>
        <w:rPr>
          <w:rFonts w:hint="eastAsia" w:ascii="宋体" w:hAnsi="宋体"/>
          <w:szCs w:val="21"/>
        </w:rPr>
        <w:t>局长：李传忠</w:t>
      </w:r>
    </w:p>
    <w:p w14:paraId="3C9B6D50">
      <w:pPr>
        <w:ind w:firstLine="420"/>
        <w:rPr>
          <w:rFonts w:ascii="宋体" w:hAnsi="宋体"/>
          <w:szCs w:val="21"/>
        </w:rPr>
      </w:pPr>
      <w:r>
        <w:rPr>
          <w:rFonts w:hint="eastAsia" w:ascii="宋体" w:hAnsi="宋体"/>
          <w:szCs w:val="21"/>
        </w:rPr>
        <w:t>副局长：刘志军  黄长江  赖书琳</w:t>
      </w:r>
    </w:p>
    <w:p w14:paraId="3601559B">
      <w:pPr>
        <w:ind w:firstLine="420"/>
        <w:rPr>
          <w:rFonts w:ascii="宋体" w:hAnsi="宋体"/>
          <w:szCs w:val="21"/>
        </w:rPr>
      </w:pPr>
      <w:r>
        <w:rPr>
          <w:rFonts w:hint="eastAsia" w:ascii="宋体" w:hAnsi="宋体"/>
          <w:szCs w:val="21"/>
        </w:rPr>
        <w:t>纪检组长：梁东宁</w:t>
      </w:r>
    </w:p>
    <w:p w14:paraId="5EA1823A">
      <w:pPr>
        <w:ind w:firstLine="420"/>
        <w:rPr>
          <w:rFonts w:ascii="宋体" w:hAnsi="宋体"/>
          <w:szCs w:val="21"/>
        </w:rPr>
      </w:pPr>
      <w:r>
        <w:rPr>
          <w:rFonts w:hint="eastAsia" w:ascii="宋体" w:hAnsi="宋体"/>
          <w:szCs w:val="21"/>
        </w:rPr>
        <w:t>工会主席：张  明</w:t>
      </w:r>
    </w:p>
    <w:p w14:paraId="1A97CE03">
      <w:pPr>
        <w:pStyle w:val="3"/>
      </w:pPr>
      <w:r>
        <w:rPr>
          <w:rFonts w:hint="eastAsia"/>
        </w:rPr>
        <w:t>城市管理</w:t>
      </w:r>
    </w:p>
    <w:p w14:paraId="329D8BDD">
      <w:pPr>
        <w:pStyle w:val="4"/>
      </w:pPr>
      <w:r>
        <w:rPr>
          <w:rFonts w:hint="eastAsia"/>
        </w:rPr>
        <w:t>【概况】</w:t>
      </w:r>
    </w:p>
    <w:p w14:paraId="0A8AA5A5">
      <w:pPr>
        <w:ind w:firstLine="420"/>
        <w:rPr>
          <w:rFonts w:ascii="宋体" w:hAnsi="宋体"/>
          <w:szCs w:val="21"/>
        </w:rPr>
      </w:pPr>
      <w:r>
        <w:rPr>
          <w:rFonts w:hint="eastAsia" w:ascii="宋体" w:hAnsi="宋体"/>
          <w:szCs w:val="21"/>
        </w:rPr>
        <w:t>南雄市城市综合管理局2011年1月26日正式挂牌，是人民政府的一个工作部门，行使的职能包括：贯彻执行国家和省有关城市管理方面的方针政策和法律法规，拟订城市市政设施、园林绿化、房屋拆迁、市容和环境卫生、管道燃气等有关城市管理方面的规范性文件；组织编制市政基础设施维护和城市绿化发展中长期规划的年度建设、维护计划，并监督实施；负责市政设施维护的监督管理，参与城市基础设施维护项目的规划、设计和竣工验收；负责城市绿化的监督管理工作。参与编制城市绿化规划，组织实施城市园林绿化、园林设施的维护和改造，负责城市新建、扩建、改建工程项目配套绿地建设的审核及竣工验收，参与“园林式”单位的评审；负责城市户外广告、占用和开挖城市道路、建筑垃圾和渣土运输以及城区机动车辆冲洗和入城车辆等管理；负责城市规划区内违法、违规建筑物和构筑物的监察及查处；负责城市房屋拆迁的管理工作；拟定城市市容和环境卫生发展规划并组织实施，负责市区重点市容和环境卫生基础设施的建设和管理，指导和监督市区市容和环境卫生工作；负责市区城市管道燃气行业的监督管理，会同有关部门编制城市管道燃气发展规划，并监督实施；监管市区管道燃气安全；负责城市住宅小区的物业日常管理活动；负责城市管理行政执法工作，组织、指导、协调城市综合治理和专项治理活动；负责城管领域新技术新材料的推广应用，组织开展城市管理方面的宣传教育工作；承办市委、市政府交办的其他事项。2011年，围绕构建和谐社会、创建省文明城市，着力抓好班子建设、制度建设、环卫体制改革和城市管理改革。以“受了表扬，我们怎么办”、“一诺千斤为发展”为重要内容纪律教育，认真开展好“履行职责，加快发展年”活动。</w:t>
      </w:r>
    </w:p>
    <w:p w14:paraId="638D4DD1">
      <w:pPr>
        <w:pStyle w:val="4"/>
      </w:pPr>
      <w:r>
        <w:rPr>
          <w:rFonts w:hint="eastAsia"/>
        </w:rPr>
        <w:t>【通过“省卫生城市”复检】</w:t>
      </w:r>
    </w:p>
    <w:p w14:paraId="08E16989">
      <w:pPr>
        <w:ind w:firstLine="420"/>
        <w:rPr>
          <w:rFonts w:ascii="宋体" w:hAnsi="宋体"/>
          <w:szCs w:val="21"/>
        </w:rPr>
      </w:pPr>
      <w:r>
        <w:rPr>
          <w:rFonts w:hint="eastAsia" w:ascii="宋体" w:hAnsi="宋体"/>
          <w:szCs w:val="21"/>
        </w:rPr>
        <w:t>1月5日，广东省级卫生城市检查验收组对巩固“省卫生城市”称号进行复核检查。检查验收组复查后对南雄市的绿化、美化、亮化水平和卫生管理给予充分的肯定，是南雄市自2000年8月获得“省卫生城市”称号后，连续五次以高分通过省卫生城市检查复核。</w:t>
      </w:r>
    </w:p>
    <w:p w14:paraId="03DC5448">
      <w:pPr>
        <w:pStyle w:val="4"/>
      </w:pPr>
      <w:r>
        <w:rPr>
          <w:rFonts w:hint="eastAsia"/>
        </w:rPr>
        <w:t>【环境卫生】</w:t>
      </w:r>
    </w:p>
    <w:p w14:paraId="5435C076">
      <w:pPr>
        <w:ind w:firstLine="420"/>
        <w:rPr>
          <w:rFonts w:ascii="宋体" w:hAnsi="宋体"/>
          <w:szCs w:val="21"/>
        </w:rPr>
      </w:pPr>
      <w:r>
        <w:rPr>
          <w:rFonts w:hint="eastAsia" w:ascii="宋体" w:hAnsi="宋体"/>
          <w:szCs w:val="21"/>
        </w:rPr>
        <w:t>继续探索和改革环卫作业方式，一是将街道清扫保洁工作实行定岗、定人、定经费，按“四无一洁”标准实行单位内部招标承包；二是成立应急突出队，清理城区卫生死角、装修垃圾和城乡结合部生活垃圾；三是实行车组内部承包，确保垃圾转运日产日清。1月通过政府采购，投资35.92万元购置两辆自卸垃圾车，8月投资41.88万多元购置一辆压缩垃圾车。9月通过政府采购，投资2.99万元采购一批环卫工作服和政府拨款200多万元一次性为环卫临时工补缴社会养老保险金。11月，通过政府采购，投资4.35万元添置100只果皮箱。</w:t>
      </w:r>
    </w:p>
    <w:p w14:paraId="7E01AE88">
      <w:pPr>
        <w:pStyle w:val="4"/>
      </w:pPr>
      <w:r>
        <w:rPr>
          <w:rFonts w:hint="eastAsia"/>
        </w:rPr>
        <w:t>【城市监察管理】</w:t>
      </w:r>
    </w:p>
    <w:p w14:paraId="0CE0C2AA">
      <w:pPr>
        <w:ind w:firstLine="420"/>
        <w:rPr>
          <w:rFonts w:ascii="宋体" w:hAnsi="宋体"/>
          <w:szCs w:val="21"/>
        </w:rPr>
      </w:pPr>
      <w:r>
        <w:rPr>
          <w:rFonts w:hint="eastAsia" w:ascii="宋体" w:hAnsi="宋体"/>
          <w:szCs w:val="21"/>
        </w:rPr>
        <w:t>市政府拨款25万元购置两台执法用车，调配一台价值9万元执法用车。根据三定方案设定岗位，首次采用竞争上岗方式产生中层干部。开展市容专项整治，出动队员800多人次，执法车20辆次，规范商家经营行为，要求商家经营活动一律入室；8月10日起，根据《关于整治市区户外广告（招牌）的通告》的规定，对市区内尚未自行拆除的侧立面户外广告（招牌）实施强拆。此次强拆整治行动历时1个多月，并动用2台大型起重机械，拆除违章广告（招牌）1200多块；以强化队员自身素质，树立队伍良好形象为目的，城市建设管理监察大队开展为期一个半月集法律知识、军事训练为一体的集中训练，对队员进行政治思想、作风纪律、仪容仪表、规范执法和体能等科目培训；协同市整治违法建筑（用地）工作组对借村3栋违章建筑，依法进行强制拆除，出动工作人员300多人，拆除违章建筑面积约5400平方米。</w:t>
      </w:r>
    </w:p>
    <w:p w14:paraId="0CCC62B6">
      <w:pPr>
        <w:pStyle w:val="4"/>
      </w:pPr>
      <w:r>
        <w:rPr>
          <w:rFonts w:hint="eastAsia"/>
        </w:rPr>
        <w:t>【园林绿化】</w:t>
      </w:r>
    </w:p>
    <w:p w14:paraId="0135545D">
      <w:pPr>
        <w:ind w:firstLine="420"/>
        <w:rPr>
          <w:rFonts w:ascii="宋体" w:hAnsi="宋体"/>
          <w:szCs w:val="21"/>
        </w:rPr>
      </w:pPr>
      <w:r>
        <w:rPr>
          <w:rFonts w:hint="eastAsia" w:ascii="宋体" w:hAnsi="宋体"/>
          <w:szCs w:val="21"/>
        </w:rPr>
        <w:t>以打造“绿色南雄”为主题，全年投资近160万元进行城区绿化建设。对市区迎宾大道、金叶大道至教育路全长1608.9米道路进行绿化建设，新增绿化面积3422.58平方米。首次引种桂花、罗汉松、樱花三种名贵树木。完成教育路、金叶大桥两端、青云桥头南段交通花池绿化。</w:t>
      </w:r>
    </w:p>
    <w:p w14:paraId="79A97345">
      <w:pPr>
        <w:pStyle w:val="4"/>
      </w:pPr>
      <w:r>
        <w:rPr>
          <w:rFonts w:hint="eastAsia"/>
        </w:rPr>
        <w:t>【螺丝钢瓶停止使用】</w:t>
      </w:r>
    </w:p>
    <w:p w14:paraId="04DD1EE9">
      <w:pPr>
        <w:ind w:firstLine="420"/>
        <w:rPr>
          <w:rFonts w:ascii="宋体" w:hAnsi="宋体"/>
          <w:szCs w:val="21"/>
        </w:rPr>
      </w:pPr>
      <w:r>
        <w:rPr>
          <w:rFonts w:hint="eastAsia" w:ascii="宋体" w:hAnsi="宋体"/>
          <w:szCs w:val="21"/>
        </w:rPr>
        <w:t>为认真贯彻执行韶关市政府《关于报废螺丝钢瓶的决定》，10月1日开始，对到期螺丝钢瓶一律按规定停止使用。</w:t>
      </w:r>
    </w:p>
    <w:p w14:paraId="31CC5182">
      <w:pPr>
        <w:pStyle w:val="4"/>
      </w:pPr>
      <w:r>
        <w:rPr>
          <w:rFonts w:hint="eastAsia"/>
        </w:rPr>
        <w:t>【环城东路垃圾压缩中转站立项通过】</w:t>
      </w:r>
    </w:p>
    <w:p w14:paraId="603C99CE">
      <w:pPr>
        <w:ind w:firstLine="420"/>
        <w:rPr>
          <w:rFonts w:ascii="宋体" w:hAnsi="宋体"/>
          <w:szCs w:val="21"/>
        </w:rPr>
      </w:pPr>
      <w:r>
        <w:rPr>
          <w:rFonts w:hint="eastAsia" w:ascii="宋体" w:hAnsi="宋体"/>
          <w:szCs w:val="21"/>
        </w:rPr>
        <w:t>项目总建设面积303.6平方米，估算总投资为210.78万元。资金来源除省治污保洁专项资金外，其余由市财政统筹解决。</w:t>
      </w:r>
    </w:p>
    <w:p w14:paraId="6FD239FE">
      <w:pPr>
        <w:pStyle w:val="4"/>
      </w:pPr>
      <w:r>
        <w:rPr>
          <w:rFonts w:hint="eastAsia"/>
        </w:rPr>
        <w:t>【垃圾填埋场建设项目立项通过】</w:t>
      </w:r>
    </w:p>
    <w:p w14:paraId="00381ECC">
      <w:pPr>
        <w:ind w:firstLine="420"/>
        <w:rPr>
          <w:rFonts w:ascii="宋体" w:hAnsi="宋体"/>
          <w:szCs w:val="21"/>
        </w:rPr>
      </w:pPr>
      <w:r>
        <w:rPr>
          <w:rFonts w:hint="eastAsia" w:ascii="宋体" w:hAnsi="宋体"/>
          <w:szCs w:val="21"/>
        </w:rPr>
        <w:t>项目建设地址在南雄市全安镇西南方向800米山坳，用地面积300亩，总库容250万立方米，建成后日处理垃圾量305吨。总投资为8070万元，项目资金来源；中央预算内投资资金1800万元，剩余部分由南雄市本级财政筹措解决。                                                     （李  吉  赵春辉）</w:t>
      </w:r>
    </w:p>
    <w:p w14:paraId="48CC22C8">
      <w:pPr>
        <w:ind w:firstLine="0" w:firstLineChars="0"/>
        <w:rPr>
          <w:rFonts w:ascii="宋体" w:hAnsi="宋体"/>
          <w:b/>
          <w:szCs w:val="21"/>
        </w:rPr>
      </w:pPr>
      <w:r>
        <w:rPr>
          <w:rFonts w:hint="eastAsia" w:ascii="宋体" w:hAnsi="宋体"/>
          <w:b/>
          <w:szCs w:val="21"/>
        </w:rPr>
        <w:t>附：2011年市城管局领导班子成员名单</w:t>
      </w:r>
    </w:p>
    <w:p w14:paraId="0B03D80D">
      <w:pPr>
        <w:ind w:firstLine="0" w:firstLineChars="0"/>
        <w:rPr>
          <w:rFonts w:ascii="宋体" w:hAnsi="宋体"/>
          <w:szCs w:val="21"/>
        </w:rPr>
      </w:pPr>
      <w:r>
        <w:rPr>
          <w:rFonts w:hint="eastAsia" w:ascii="宋体" w:hAnsi="宋体"/>
          <w:szCs w:val="21"/>
        </w:rPr>
        <w:t>局    长：蓝达财</w:t>
      </w:r>
    </w:p>
    <w:p w14:paraId="6E8FAE7D">
      <w:pPr>
        <w:ind w:firstLine="0" w:firstLineChars="0"/>
        <w:rPr>
          <w:rFonts w:ascii="宋体" w:hAnsi="宋体"/>
          <w:szCs w:val="21"/>
        </w:rPr>
      </w:pPr>
      <w:r>
        <w:rPr>
          <w:rFonts w:hint="eastAsia" w:ascii="宋体" w:hAnsi="宋体"/>
          <w:szCs w:val="21"/>
        </w:rPr>
        <w:t>党组书记：李新仁</w:t>
      </w:r>
    </w:p>
    <w:p w14:paraId="4CF95607">
      <w:pPr>
        <w:ind w:firstLine="0" w:firstLineChars="0"/>
        <w:rPr>
          <w:rFonts w:ascii="宋体" w:hAnsi="宋体"/>
          <w:szCs w:val="21"/>
        </w:rPr>
      </w:pPr>
      <w:r>
        <w:rPr>
          <w:rFonts w:hint="eastAsia" w:ascii="宋体" w:hAnsi="宋体"/>
          <w:szCs w:val="21"/>
        </w:rPr>
        <w:t>副 局 长：黄守强</w:t>
      </w:r>
    </w:p>
    <w:p w14:paraId="2E114ED5">
      <w:pPr>
        <w:ind w:firstLine="0" w:firstLineChars="0"/>
        <w:rPr>
          <w:rFonts w:ascii="宋体" w:hAnsi="宋体"/>
          <w:szCs w:val="21"/>
        </w:rPr>
      </w:pPr>
      <w:r>
        <w:rPr>
          <w:rFonts w:hint="eastAsia" w:ascii="宋体" w:hAnsi="宋体"/>
          <w:szCs w:val="21"/>
        </w:rPr>
        <w:t>副局长兼城监大队长：郭盛斌</w:t>
      </w:r>
    </w:p>
    <w:p w14:paraId="51165BD2">
      <w:pPr>
        <w:pStyle w:val="3"/>
      </w:pPr>
      <w:r>
        <w:rPr>
          <w:rFonts w:hint="eastAsia"/>
        </w:rPr>
        <w:t>燃气安全管理</w:t>
      </w:r>
    </w:p>
    <w:p w14:paraId="3B889EAD">
      <w:pPr>
        <w:pStyle w:val="4"/>
      </w:pPr>
      <w:r>
        <w:rPr>
          <w:rFonts w:hint="eastAsia"/>
        </w:rPr>
        <w:t>【概况】</w:t>
      </w:r>
    </w:p>
    <w:p w14:paraId="6F4E73BC">
      <w:pPr>
        <w:ind w:firstLine="420"/>
        <w:rPr>
          <w:rFonts w:ascii="宋体" w:hAnsi="宋体"/>
          <w:szCs w:val="21"/>
        </w:rPr>
      </w:pPr>
      <w:r>
        <w:rPr>
          <w:rFonts w:hint="eastAsia" w:ascii="宋体" w:hAnsi="宋体"/>
          <w:szCs w:val="21"/>
        </w:rPr>
        <w:t>2011年，坚持牢固树立“责任重于泰山”的意识，针对薄弱环节和突出问题，研究和制定行之有效的措施，加强对各燃气企业、气站巡查检查工作，与各燃气企业的负责人签订《燃气安全生产责任书》，切实抓好燃气安全管理。</w:t>
      </w:r>
    </w:p>
    <w:p w14:paraId="0AA49BC2">
      <w:pPr>
        <w:pStyle w:val="4"/>
      </w:pPr>
      <w:r>
        <w:rPr>
          <w:rFonts w:hint="eastAsia"/>
        </w:rPr>
        <w:t>【加强宣传】</w:t>
      </w:r>
    </w:p>
    <w:p w14:paraId="0F1E7133">
      <w:pPr>
        <w:ind w:firstLine="420"/>
        <w:rPr>
          <w:rFonts w:ascii="宋体" w:hAnsi="宋体"/>
          <w:szCs w:val="21"/>
        </w:rPr>
      </w:pPr>
      <w:r>
        <w:rPr>
          <w:rFonts w:hint="eastAsia" w:ascii="宋体" w:hAnsi="宋体"/>
          <w:szCs w:val="21"/>
        </w:rPr>
        <w:t>加强燃气安全知识宣传工作，针对燃气事故的多发期，采取电视宣传、上街设点咨询、派发宣传资料等形式做好宣传教育，组织了燃气企业开展燃气安全知识咨询宣传活动，派发《瓶装液化石油气安全知识用户手册》800份。</w:t>
      </w:r>
    </w:p>
    <w:p w14:paraId="74841BE6">
      <w:pPr>
        <w:pStyle w:val="4"/>
      </w:pPr>
      <w:r>
        <w:rPr>
          <w:rFonts w:hint="eastAsia"/>
        </w:rPr>
        <w:t>【加强检查】</w:t>
      </w:r>
    </w:p>
    <w:p w14:paraId="4590AB10">
      <w:pPr>
        <w:ind w:firstLine="420"/>
        <w:rPr>
          <w:rFonts w:ascii="宋体" w:hAnsi="宋体"/>
          <w:szCs w:val="21"/>
        </w:rPr>
      </w:pPr>
      <w:r>
        <w:rPr>
          <w:rFonts w:hint="eastAsia" w:ascii="宋体" w:hAnsi="宋体"/>
          <w:szCs w:val="21"/>
        </w:rPr>
        <w:t>开展例行检查20次，节假日检查4次，专项检查6次，有效地堵塞安全事故漏洞，确保全市燃气行业继续保持零伤亡事故的成绩。                                                           （李赣龙）</w:t>
      </w:r>
    </w:p>
    <w:p w14:paraId="6DF4F0C5">
      <w:pPr>
        <w:pStyle w:val="3"/>
      </w:pPr>
      <w:r>
        <w:rPr>
          <w:rFonts w:hint="eastAsia"/>
        </w:rPr>
        <w:t>环境保护</w:t>
      </w:r>
    </w:p>
    <w:p w14:paraId="21145F27">
      <w:pPr>
        <w:pStyle w:val="4"/>
      </w:pPr>
      <w:r>
        <w:rPr>
          <w:rFonts w:hint="eastAsia"/>
        </w:rPr>
        <w:t>【概况】</w:t>
      </w:r>
    </w:p>
    <w:p w14:paraId="067B46D6">
      <w:pPr>
        <w:ind w:firstLine="420"/>
        <w:rPr>
          <w:rFonts w:ascii="宋体" w:hAnsi="宋体"/>
          <w:szCs w:val="21"/>
        </w:rPr>
      </w:pPr>
      <w:r>
        <w:rPr>
          <w:rFonts w:hint="eastAsia" w:ascii="宋体" w:hAnsi="宋体"/>
          <w:szCs w:val="21"/>
        </w:rPr>
        <w:t>2011年，南雄市环保局围绕全市中心工作，坚持环境保护始终服务招商引资和重点项目建设，服务群众身心健康的宗旨，认真履行职责，促进经济建设，推进污染防治和生态保护工作，取得明显成效。全市环境质量总体呈良好态势；农村环境保护工作得到加强，畜禽养殖行业环境污染得到有效控制，乡村“清洁美”工程由点转面已全面辅开，农村环境状况有了明显改善；环保宣传教育得到加强，宣传手段和内容不断创新，群众环保意识明显提高；机关队伍思想、组织、作风、业务、制度建设不断加强，干部队伍依法行政能力、勤政廉政意识、机关效能得到有效提升。</w:t>
      </w:r>
    </w:p>
    <w:p w14:paraId="7C611AB0">
      <w:pPr>
        <w:pStyle w:val="4"/>
      </w:pPr>
      <w:r>
        <w:rPr>
          <w:rFonts w:hint="eastAsia"/>
        </w:rPr>
        <w:t>【环境管理】</w:t>
      </w:r>
    </w:p>
    <w:p w14:paraId="5740718B">
      <w:pPr>
        <w:ind w:firstLine="420"/>
        <w:rPr>
          <w:rFonts w:ascii="宋体" w:hAnsi="宋体"/>
          <w:szCs w:val="21"/>
        </w:rPr>
      </w:pPr>
      <w:r>
        <w:rPr>
          <w:rFonts w:hint="eastAsia" w:ascii="宋体" w:hAnsi="宋体"/>
          <w:szCs w:val="21"/>
        </w:rPr>
        <w:t>严格执行国家、省《建设项目环境保护管理条例》，严把项目审批关，全年通过环评审批的项目35个，已办理试生产（运行）及竣工验收项目6个。简化办事程序、提高办事效率，充分发挥自身优势，积极服务市招商引资和重点项目建设，主要体现在：一是对符合审批的建设项目，搞好后续跟踪管理，主动参与到项目环评和设计施工中，指导企业开展污染治理、落实“三同时”制度。二是跟踪服务重点项目建设，积极协助华电热电冷联供、水泥厂技改扩建、奥威斯温泉酒店开发、箭牌陶瓷厂和化工园区扩园项目开展好项目环评工作。三是园区日处理能力2000吨的污水处理厂已建成并投入试运行，积极协助园区不断完善园区内雨污分流和事故应急池等环保配套基础设施建设。</w:t>
      </w:r>
    </w:p>
    <w:p w14:paraId="67553827">
      <w:pPr>
        <w:pStyle w:val="4"/>
      </w:pPr>
      <w:r>
        <w:rPr>
          <w:rFonts w:hint="eastAsia"/>
        </w:rPr>
        <w:t>【污染防治】</w:t>
      </w:r>
    </w:p>
    <w:p w14:paraId="6BAA81E6">
      <w:pPr>
        <w:ind w:firstLine="420"/>
        <w:rPr>
          <w:rFonts w:ascii="宋体" w:hAnsi="宋体"/>
          <w:szCs w:val="21"/>
        </w:rPr>
      </w:pPr>
      <w:r>
        <w:rPr>
          <w:rFonts w:hint="eastAsia" w:ascii="宋体" w:hAnsi="宋体"/>
          <w:szCs w:val="21"/>
        </w:rPr>
        <w:t>加强对占全市污染负荷70%以上的国控重点排污企业珠玑纸业、城市污水处理厂的监督管理，要求珠玑纸业继续加大污染治理工作力度，加强在线监控设施的管理和维护，确保外排污染物达标排放。2011年，督促其投入400多万元用于废臭气治理，从而有效减小其外排废臭气对城区的影响。抓好污染减排工作，贯彻落实年度污染减排工作方案，通过抓结构、工程、监督等减排，2011年全年减少化学需氧量排放量2315吨，大大减轻珠江流域浈江河段的污染负荷。</w:t>
      </w:r>
    </w:p>
    <w:p w14:paraId="685D6653">
      <w:pPr>
        <w:ind w:firstLine="420"/>
        <w:rPr>
          <w:rFonts w:ascii="宋体" w:hAnsi="宋体"/>
          <w:szCs w:val="21"/>
        </w:rPr>
      </w:pPr>
      <w:r>
        <w:rPr>
          <w:rFonts w:hint="eastAsia" w:ascii="宋体" w:hAnsi="宋体"/>
          <w:szCs w:val="21"/>
        </w:rPr>
        <w:t>加强环保执法监管。加大对重点流域、区域、行业和排污企业的隐患排查力度，加强“两会”期间环境应急专项检查和饮用水源保护区污染源、危险化学品、重金属与放射性安全隐患以及污染防治设施的重点检查，强化产业园区企业环保措施落实情况的日常检查和现场监管，建立每月定期监察和监测制度，完善一企一档台帐资料。全年检查企业247家次，出动执法人数528人次，下达整改要求的企业26家，关闭落后小型造纸企业3家，对饮用水源保护区日常巡查22次。加强对已被取缔的稀土矿点的后督查工作，防止其死灰复燃。加强产业园区、企业危险废物的日常监管，建立健全医疗废物、企业危险废物管理档案，执行危险废物转移联单制度，做到集中无害化处置。加强环境辐射管理，定期检查有使用放射源的珠玑纸业、彤置富水泥厂的管理情况，督促涉源单位建立健全放射源档案、日常管理以及事故应急管理制度，做到专人负责保管，确保安全。</w:t>
      </w:r>
    </w:p>
    <w:p w14:paraId="074EF31D">
      <w:pPr>
        <w:pStyle w:val="4"/>
      </w:pPr>
      <w:r>
        <w:rPr>
          <w:rFonts w:hint="eastAsia"/>
        </w:rPr>
        <w:t>【环境信访维稳】</w:t>
      </w:r>
    </w:p>
    <w:p w14:paraId="4FF745EE">
      <w:pPr>
        <w:ind w:firstLine="420"/>
        <w:rPr>
          <w:rFonts w:ascii="宋体" w:hAnsi="宋体"/>
          <w:szCs w:val="21"/>
        </w:rPr>
      </w:pPr>
      <w:r>
        <w:rPr>
          <w:rFonts w:hint="eastAsia" w:ascii="宋体" w:hAnsi="宋体"/>
          <w:szCs w:val="21"/>
        </w:rPr>
        <w:t>加强环境信访维稳工作，切实解决群众所关心的环保热点和难点问题，2011年，接访的96件（含政协提案4件、突发环境应急案件4宗）环保投诉案件全部处理，办结率100%。</w:t>
      </w:r>
    </w:p>
    <w:p w14:paraId="0EFBB8C0">
      <w:pPr>
        <w:pStyle w:val="4"/>
      </w:pPr>
      <w:r>
        <w:rPr>
          <w:rFonts w:hint="eastAsia"/>
        </w:rPr>
        <w:t>【加强城乡环境综合整治】</w:t>
      </w:r>
    </w:p>
    <w:p w14:paraId="0C4DC2D3">
      <w:pPr>
        <w:ind w:firstLine="420"/>
        <w:rPr>
          <w:rFonts w:ascii="宋体" w:hAnsi="宋体"/>
          <w:szCs w:val="21"/>
        </w:rPr>
      </w:pPr>
      <w:r>
        <w:rPr>
          <w:rFonts w:hint="eastAsia" w:ascii="宋体" w:hAnsi="宋体"/>
          <w:szCs w:val="21"/>
        </w:rPr>
        <w:t>一是珠江流域环境综合整治进展顺利，完成投资150万元对南雄浈江流域黎口河段的水土流失治理工作，完成污水处理厂中央、省专项资金1300万元配套管网工程建设任务，进一步提高城市污水处理厂对污水的收集率和处理率。二是实施乡村“清洁美”工程，开展农村生态示范村镇建设，完成帽子峰、主田两镇的生态示范村镇创建工作，投入资金10多万元用于完善镇村环境基础设施建设，通过开展“我是清洁守护神”系列宣传活动，提高中小学生和乡村干部群众的生态环保意识，使试点镇“脏乱差”现象得到改观，并顺利通过韶关市生态办的检查验收。</w:t>
      </w:r>
    </w:p>
    <w:p w14:paraId="125BFFC4">
      <w:pPr>
        <w:pStyle w:val="4"/>
      </w:pPr>
      <w:r>
        <w:rPr>
          <w:rFonts w:hint="eastAsia"/>
        </w:rPr>
        <w:t>【环境监测】</w:t>
      </w:r>
    </w:p>
    <w:p w14:paraId="5CA78B94">
      <w:pPr>
        <w:ind w:firstLine="420"/>
        <w:rPr>
          <w:rFonts w:ascii="宋体" w:hAnsi="宋体"/>
          <w:szCs w:val="21"/>
        </w:rPr>
      </w:pPr>
      <w:r>
        <w:rPr>
          <w:rFonts w:hint="eastAsia" w:ascii="宋体" w:hAnsi="宋体"/>
          <w:szCs w:val="21"/>
        </w:rPr>
        <w:t>充分环境监测“耳目”和“哨兵”的作用，为环保决策和环境监管提供科学依据。监测站全体人员充分履职，全年完成辖区饮用水源、浈凌江河断面、与省交界断面（昆仑水站）的常规监测，完成大气中自然降尘量的每月监测、逢雨必测的酸雨项目监测，完成排污企业的监督性监测，完成彤置富水泥厂、生活垃圾填埋场、乐华陶瓷厂周边环境的评价监测和温氏集团养猪场项目的验收监测。2011年，建成一套大气环境空气质量自动监测系统和一幢占地270平方米、投资250万元的监测大楼，添置和更新一批实验仪器设备，实验用房1355平方米，达到省规定的县级站1000平方米实验用房标准，并顺利通过实验室计量认证。</w:t>
      </w:r>
    </w:p>
    <w:p w14:paraId="4A139824">
      <w:pPr>
        <w:pStyle w:val="3"/>
      </w:pPr>
      <w:r>
        <w:rPr>
          <w:rFonts w:hint="eastAsia"/>
        </w:rPr>
        <w:t>环境质量</w:t>
      </w:r>
    </w:p>
    <w:p w14:paraId="26D5B923">
      <w:pPr>
        <w:pStyle w:val="4"/>
      </w:pPr>
      <w:r>
        <w:rPr>
          <w:rFonts w:hint="eastAsia"/>
        </w:rPr>
        <w:t>【概况】</w:t>
      </w:r>
    </w:p>
    <w:p w14:paraId="6D7357BF">
      <w:pPr>
        <w:ind w:firstLine="420"/>
        <w:rPr>
          <w:rFonts w:ascii="宋体" w:hAnsi="宋体"/>
          <w:szCs w:val="21"/>
        </w:rPr>
      </w:pPr>
      <w:r>
        <w:rPr>
          <w:rFonts w:hint="eastAsia" w:ascii="宋体" w:hAnsi="宋体"/>
          <w:szCs w:val="21"/>
        </w:rPr>
        <w:t>2011年全市环境质量总体良好，呈现经济建设与环境保护协调发展势头。全年达到空气质量优、良等级的天数比例为100%，饮用水源水质达标率100%，河流水质达标率100%，城市区域环境噪声与交通干线噪声平均值达标率100%。2011年城市环境综合整治定量考核得分87.03分，考核等级为合格。</w:t>
      </w:r>
    </w:p>
    <w:p w14:paraId="4E6DA372">
      <w:pPr>
        <w:pStyle w:val="4"/>
      </w:pPr>
      <w:r>
        <w:rPr>
          <w:rFonts w:hint="eastAsia"/>
        </w:rPr>
        <w:t>【水环境质量】</w:t>
      </w:r>
    </w:p>
    <w:p w14:paraId="50492EAE">
      <w:pPr>
        <w:ind w:firstLine="420"/>
        <w:rPr>
          <w:rFonts w:ascii="宋体" w:hAnsi="宋体"/>
          <w:szCs w:val="21"/>
        </w:rPr>
      </w:pPr>
      <w:r>
        <w:rPr>
          <w:rFonts w:hint="eastAsia" w:ascii="宋体" w:hAnsi="宋体"/>
          <w:szCs w:val="21"/>
        </w:rPr>
        <w:t>1、饮用水源情况2011年环保局监测站对饮用水源瀑布水库库坝、塘坪两个断面进行常规监测，监测统计结果表明，两个断面所检测指标年均值均符合《地表水环境质量标准》（GB3838-2002）Ⅱ类标准，见表2。</w:t>
      </w:r>
    </w:p>
    <w:p w14:paraId="797DB919">
      <w:pPr>
        <w:ind w:firstLine="420"/>
        <w:rPr>
          <w:rFonts w:ascii="宋体" w:hAnsi="宋体"/>
          <w:szCs w:val="21"/>
        </w:rPr>
      </w:pPr>
      <w:r>
        <w:rPr>
          <w:rFonts w:hint="eastAsia" w:ascii="宋体" w:hAnsi="宋体"/>
          <w:szCs w:val="21"/>
        </w:rPr>
        <w:t>2、河流水质情况2011年对市区浈江河段4个常规监测断面（河坪、判官塘、河南桥、古市）和凌江河凌江口断面进行监测，监测统计结果表明，5个常规监测断面所检测指标年均值均符合《地表水环境质量标准》（GB3838-2002）Ⅲ类标准，见表3—A、B、C。</w:t>
      </w:r>
    </w:p>
    <w:p w14:paraId="0B1276BC">
      <w:pPr>
        <w:pStyle w:val="4"/>
      </w:pPr>
      <w:r>
        <w:rPr>
          <w:rFonts w:hint="eastAsia"/>
        </w:rPr>
        <w:t>【声环境质量】</w:t>
      </w:r>
    </w:p>
    <w:p w14:paraId="34A7D7A7">
      <w:pPr>
        <w:ind w:firstLine="420"/>
        <w:rPr>
          <w:rFonts w:ascii="宋体" w:hAnsi="宋体"/>
          <w:szCs w:val="21"/>
        </w:rPr>
      </w:pPr>
      <w:r>
        <w:rPr>
          <w:rFonts w:hint="eastAsia" w:ascii="宋体" w:hAnsi="宋体"/>
          <w:szCs w:val="21"/>
        </w:rPr>
        <w:t>1、城区道路交通噪声情况2011年环保局监测站昼间对城区主次路段10个监测点位进行监测，监测统计结果表明，市主次道路交通噪声昼间平均等效声级为65.8dB（A），符合市声环境功能区划标准，见表1-A。</w:t>
      </w:r>
    </w:p>
    <w:p w14:paraId="6CC0AFD6">
      <w:pPr>
        <w:ind w:firstLine="420"/>
        <w:rPr>
          <w:rFonts w:ascii="宋体" w:hAnsi="宋体"/>
          <w:szCs w:val="21"/>
        </w:rPr>
      </w:pPr>
      <w:r>
        <w:rPr>
          <w:rFonts w:hint="eastAsia" w:ascii="宋体" w:hAnsi="宋体"/>
          <w:szCs w:val="21"/>
        </w:rPr>
        <w:t>2、城市区域环境噪声情况2011年昼间对城区105个监测点位进行了监测，监测统计结果表明，城区环境噪声昼间平均等效声级为52.4dB（A），符合《声环境质量标准》（GB3096-2008）I类标准，见表1-B。</w:t>
      </w:r>
    </w:p>
    <w:p w14:paraId="537C6933">
      <w:pPr>
        <w:pStyle w:val="4"/>
      </w:pPr>
      <w:r>
        <w:rPr>
          <w:rFonts w:hint="eastAsia"/>
        </w:rPr>
        <w:t>【大气环境质量】</w:t>
      </w:r>
    </w:p>
    <w:p w14:paraId="7CB2E04E">
      <w:pPr>
        <w:ind w:firstLine="420"/>
        <w:rPr>
          <w:rFonts w:ascii="宋体" w:hAnsi="宋体"/>
          <w:szCs w:val="21"/>
        </w:rPr>
      </w:pPr>
      <w:r>
        <w:rPr>
          <w:rFonts w:hint="eastAsia" w:ascii="宋体" w:hAnsi="宋体"/>
          <w:szCs w:val="21"/>
        </w:rPr>
        <w:t>1、环境空气质量状况2011年南雄市区环境空气质量继续保持良好，SO</w:t>
      </w:r>
      <w:r>
        <w:rPr>
          <w:rFonts w:ascii="宋体" w:hAnsi="宋体"/>
          <w:szCs w:val="21"/>
          <w:vertAlign w:val="superscript"/>
        </w:rPr>
        <w:t>2</w:t>
      </w:r>
      <w:r>
        <w:rPr>
          <w:rFonts w:hint="eastAsia" w:ascii="宋体" w:hAnsi="宋体"/>
          <w:szCs w:val="21"/>
        </w:rPr>
        <w:t>年均值0.024mg/m</w:t>
      </w:r>
      <w:r>
        <w:rPr>
          <w:rFonts w:ascii="宋体" w:hAnsi="宋体"/>
          <w:szCs w:val="21"/>
          <w:vertAlign w:val="superscript"/>
        </w:rPr>
        <w:t>3</w:t>
      </w:r>
      <w:r>
        <w:rPr>
          <w:rFonts w:hint="eastAsia" w:ascii="宋体" w:hAnsi="宋体"/>
          <w:szCs w:val="21"/>
        </w:rPr>
        <w:t>，NO</w:t>
      </w:r>
      <w:r>
        <w:rPr>
          <w:rFonts w:ascii="宋体" w:hAnsi="宋体"/>
          <w:szCs w:val="21"/>
          <w:vertAlign w:val="superscript"/>
        </w:rPr>
        <w:t>2</w:t>
      </w:r>
      <w:r>
        <w:rPr>
          <w:rFonts w:hint="eastAsia" w:ascii="宋体" w:hAnsi="宋体"/>
          <w:szCs w:val="21"/>
        </w:rPr>
        <w:t>年均值0.021mg/m</w:t>
      </w:r>
      <w:r>
        <w:rPr>
          <w:rFonts w:ascii="宋体" w:hAnsi="宋体"/>
          <w:szCs w:val="21"/>
          <w:vertAlign w:val="superscript"/>
        </w:rPr>
        <w:t>3</w:t>
      </w:r>
      <w:r>
        <w:rPr>
          <w:rFonts w:hint="eastAsia" w:ascii="宋体" w:hAnsi="宋体"/>
          <w:szCs w:val="21"/>
        </w:rPr>
        <w:t>，可吸入颗粒物年均值0.042mg/m</w:t>
      </w:r>
      <w:r>
        <w:rPr>
          <w:rFonts w:ascii="宋体" w:hAnsi="宋体"/>
          <w:szCs w:val="21"/>
          <w:vertAlign w:val="superscript"/>
        </w:rPr>
        <w:t>3</w:t>
      </w:r>
      <w:r>
        <w:rPr>
          <w:rFonts w:hint="eastAsia" w:ascii="宋体" w:hAnsi="宋体"/>
          <w:szCs w:val="21"/>
        </w:rPr>
        <w:t>，均优于国家环境空气质量Ⅱ级标准，见表4—A、B、C。</w:t>
      </w:r>
    </w:p>
    <w:p w14:paraId="201FC9F3">
      <w:pPr>
        <w:ind w:firstLine="420"/>
        <w:rPr>
          <w:rFonts w:ascii="宋体" w:hAnsi="宋体"/>
          <w:szCs w:val="21"/>
        </w:rPr>
      </w:pPr>
      <w:r>
        <w:rPr>
          <w:rFonts w:hint="eastAsia" w:ascii="宋体" w:hAnsi="宋体"/>
          <w:szCs w:val="21"/>
        </w:rPr>
        <w:t>2、市区降水水质状况全年总降雨量为1467.5毫米，降雨的pH值结果在4.68~5.60之间，据统计分析，降雨pH值年均值为4.88，酸雨频率为98.0%，见表5。</w:t>
      </w:r>
    </w:p>
    <w:p w14:paraId="559506F8">
      <w:pPr>
        <w:pStyle w:val="4"/>
      </w:pPr>
      <w:r>
        <w:rPr>
          <w:rFonts w:hint="eastAsia"/>
        </w:rPr>
        <w:t>【辐射环境质量】</w:t>
      </w:r>
    </w:p>
    <w:p w14:paraId="4080F671">
      <w:pPr>
        <w:ind w:firstLine="420"/>
        <w:rPr>
          <w:rFonts w:ascii="宋体" w:hAnsi="宋体"/>
          <w:szCs w:val="21"/>
        </w:rPr>
      </w:pPr>
      <w:r>
        <w:rPr>
          <w:rFonts w:hint="eastAsia" w:ascii="宋体" w:hAnsi="宋体"/>
          <w:szCs w:val="21"/>
        </w:rPr>
        <w:t>2011年全市辐射环境状况正常，没有发生涉核放射性环境污染事故。涉源单位其中珠玑纸业所使用的4枚放射源、彤置富水泥厂所使用的2枚放射源，均能按国家《放射性污染防治法》规定建立放射源档案，签定辐射安全责任书，做到专人保管，备案使用和定期检查。医院等使用含有放射源设备的行业在使用过程中均能按防辐射管理有关规定制定了防辐射、防泄漏安全制度，落实防护隔离措施。           （何高）</w:t>
      </w:r>
    </w:p>
    <w:p w14:paraId="26B74CE5">
      <w:pPr>
        <w:autoSpaceDE w:val="0"/>
        <w:autoSpaceDN w:val="0"/>
        <w:adjustRightInd w:val="0"/>
        <w:ind w:firstLine="0" w:firstLineChars="0"/>
        <w:rPr>
          <w:rFonts w:ascii="宋体" w:hAnsi="宋体" w:cs="HiddenHorzOCR"/>
          <w:b/>
          <w:color w:val="111112"/>
          <w:kern w:val="0"/>
          <w:szCs w:val="21"/>
        </w:rPr>
      </w:pPr>
      <w:r>
        <w:rPr>
          <w:rFonts w:hint="eastAsia" w:ascii="宋体" w:hAnsi="宋体" w:cs="HiddenHorzOCR"/>
          <w:b/>
          <w:color w:val="111112"/>
          <w:kern w:val="0"/>
          <w:szCs w:val="21"/>
        </w:rPr>
        <w:t>附：</w:t>
      </w:r>
      <w:r>
        <w:rPr>
          <w:rFonts w:ascii="宋体" w:hAnsi="宋体" w:cs="HiddenHorzOCR"/>
          <w:b/>
          <w:color w:val="111112"/>
          <w:kern w:val="0"/>
          <w:szCs w:val="21"/>
        </w:rPr>
        <w:t>2011</w:t>
      </w:r>
      <w:r>
        <w:rPr>
          <w:rFonts w:hint="eastAsia" w:ascii="宋体" w:hAnsi="宋体" w:cs="HiddenHorzOCR"/>
          <w:b/>
          <w:color w:val="111112"/>
          <w:kern w:val="0"/>
          <w:szCs w:val="21"/>
        </w:rPr>
        <w:t>年市</w:t>
      </w:r>
      <w:r>
        <w:rPr>
          <w:rFonts w:hint="eastAsia" w:ascii="宋体" w:hAnsi="宋体" w:cs="宋体"/>
          <w:b/>
          <w:color w:val="111112"/>
          <w:kern w:val="0"/>
          <w:szCs w:val="21"/>
        </w:rPr>
        <w:t>环</w:t>
      </w:r>
      <w:r>
        <w:rPr>
          <w:rFonts w:hint="eastAsia" w:ascii="宋体" w:hAnsi="宋体" w:cs="MS Gothic"/>
          <w:b/>
          <w:color w:val="111112"/>
          <w:kern w:val="0"/>
          <w:szCs w:val="21"/>
        </w:rPr>
        <w:t>保局</w:t>
      </w:r>
      <w:r>
        <w:rPr>
          <w:rFonts w:hint="eastAsia" w:ascii="宋体" w:hAnsi="宋体" w:cs="宋体"/>
          <w:b/>
          <w:color w:val="111112"/>
          <w:kern w:val="0"/>
          <w:szCs w:val="21"/>
        </w:rPr>
        <w:t>领导</w:t>
      </w:r>
      <w:r>
        <w:rPr>
          <w:rFonts w:hint="eastAsia" w:ascii="宋体" w:hAnsi="宋体" w:cs="MS Gothic"/>
          <w:b/>
          <w:color w:val="111112"/>
          <w:kern w:val="0"/>
          <w:szCs w:val="21"/>
        </w:rPr>
        <w:t>班子成</w:t>
      </w:r>
      <w:r>
        <w:rPr>
          <w:rFonts w:hint="eastAsia" w:ascii="宋体" w:hAnsi="宋体" w:cs="宋体"/>
          <w:b/>
          <w:color w:val="111112"/>
          <w:kern w:val="0"/>
          <w:szCs w:val="21"/>
        </w:rPr>
        <w:t>员</w:t>
      </w:r>
      <w:r>
        <w:rPr>
          <w:rFonts w:hint="eastAsia" w:ascii="宋体" w:hAnsi="宋体" w:cs="MS Gothic"/>
          <w:b/>
          <w:color w:val="111112"/>
          <w:kern w:val="0"/>
          <w:szCs w:val="21"/>
        </w:rPr>
        <w:t>名</w:t>
      </w:r>
      <w:r>
        <w:rPr>
          <w:rFonts w:hint="eastAsia" w:ascii="宋体" w:hAnsi="宋体" w:cs="宋体"/>
          <w:b/>
          <w:color w:val="111112"/>
          <w:kern w:val="0"/>
          <w:szCs w:val="21"/>
        </w:rPr>
        <w:t>单</w:t>
      </w:r>
    </w:p>
    <w:p w14:paraId="46FAD861">
      <w:pPr>
        <w:autoSpaceDE w:val="0"/>
        <w:autoSpaceDN w:val="0"/>
        <w:adjustRightInd w:val="0"/>
        <w:ind w:firstLine="0" w:firstLineChars="0"/>
        <w:rPr>
          <w:rFonts w:ascii="宋体" w:hAnsi="宋体" w:cs="HiddenHorzOCR"/>
          <w:color w:val="363636"/>
          <w:kern w:val="0"/>
          <w:szCs w:val="21"/>
        </w:rPr>
      </w:pPr>
      <w:r>
        <w:rPr>
          <w:rFonts w:hint="eastAsia" w:ascii="宋体" w:hAnsi="宋体" w:cs="HiddenHorzOCR"/>
          <w:color w:val="363636"/>
          <w:kern w:val="0"/>
          <w:szCs w:val="21"/>
        </w:rPr>
        <w:t>局党</w:t>
      </w:r>
      <w:r>
        <w:rPr>
          <w:rFonts w:hint="eastAsia" w:ascii="宋体" w:hAnsi="宋体" w:cs="宋体"/>
          <w:color w:val="363636"/>
          <w:kern w:val="0"/>
          <w:szCs w:val="21"/>
        </w:rPr>
        <w:t>组书记</w:t>
      </w:r>
      <w:r>
        <w:rPr>
          <w:rFonts w:hint="eastAsia" w:ascii="宋体" w:hAnsi="宋体" w:cs="MS Gothic"/>
          <w:color w:val="363636"/>
          <w:kern w:val="0"/>
          <w:szCs w:val="21"/>
        </w:rPr>
        <w:t>、局</w:t>
      </w:r>
      <w:r>
        <w:rPr>
          <w:rFonts w:hint="eastAsia" w:ascii="宋体" w:hAnsi="宋体" w:cs="宋体"/>
          <w:color w:val="363636"/>
          <w:kern w:val="0"/>
          <w:szCs w:val="21"/>
        </w:rPr>
        <w:t>长</w:t>
      </w:r>
      <w:r>
        <w:rPr>
          <w:rFonts w:hint="eastAsia" w:ascii="宋体" w:hAnsi="宋体" w:cs="MS Gothic"/>
          <w:color w:val="363636"/>
          <w:kern w:val="0"/>
          <w:szCs w:val="21"/>
        </w:rPr>
        <w:t>：沈步亮</w:t>
      </w:r>
    </w:p>
    <w:p w14:paraId="0B4B843B">
      <w:pPr>
        <w:autoSpaceDE w:val="0"/>
        <w:autoSpaceDN w:val="0"/>
        <w:adjustRightInd w:val="0"/>
        <w:ind w:firstLine="0" w:firstLineChars="0"/>
        <w:rPr>
          <w:rFonts w:ascii="宋体" w:hAnsi="宋体" w:cs="HiddenHorzOCR"/>
          <w:color w:val="363636"/>
          <w:kern w:val="0"/>
          <w:szCs w:val="21"/>
        </w:rPr>
      </w:pPr>
      <w:r>
        <w:rPr>
          <w:rFonts w:hint="eastAsia" w:ascii="宋体" w:hAnsi="宋体" w:cs="HiddenHorzOCR"/>
          <w:color w:val="363636"/>
          <w:kern w:val="0"/>
          <w:szCs w:val="21"/>
        </w:rPr>
        <w:t>副局</w:t>
      </w:r>
      <w:r>
        <w:rPr>
          <w:rFonts w:hint="eastAsia" w:ascii="宋体" w:hAnsi="宋体" w:cs="宋体"/>
          <w:color w:val="363636"/>
          <w:kern w:val="0"/>
          <w:szCs w:val="21"/>
        </w:rPr>
        <w:t>长</w:t>
      </w:r>
      <w:r>
        <w:rPr>
          <w:rFonts w:hint="eastAsia" w:ascii="宋体" w:hAnsi="宋体" w:cs="MS Gothic"/>
          <w:color w:val="363636"/>
          <w:kern w:val="0"/>
          <w:szCs w:val="21"/>
        </w:rPr>
        <w:t>：叶</w:t>
      </w:r>
      <w:r>
        <w:rPr>
          <w:rFonts w:hint="eastAsia" w:ascii="宋体" w:hAnsi="宋体" w:cs="宋体"/>
          <w:color w:val="363636"/>
          <w:kern w:val="0"/>
          <w:szCs w:val="21"/>
        </w:rPr>
        <w:t xml:space="preserve">贤银  </w:t>
      </w:r>
      <w:r>
        <w:rPr>
          <w:rFonts w:hint="eastAsia" w:ascii="宋体" w:hAnsi="宋体" w:cs="MS Gothic"/>
          <w:color w:val="363636"/>
          <w:kern w:val="0"/>
          <w:szCs w:val="21"/>
        </w:rPr>
        <w:t>王槐</w:t>
      </w:r>
      <w:r>
        <w:rPr>
          <w:rFonts w:hint="eastAsia" w:ascii="宋体" w:hAnsi="宋体" w:cs="宋体"/>
          <w:color w:val="363636"/>
          <w:kern w:val="0"/>
          <w:szCs w:val="21"/>
        </w:rPr>
        <w:t xml:space="preserve">兰  </w:t>
      </w:r>
      <w:r>
        <w:rPr>
          <w:rFonts w:hint="eastAsia" w:ascii="宋体" w:hAnsi="宋体" w:cs="MS Gothic"/>
          <w:color w:val="363636"/>
          <w:kern w:val="0"/>
          <w:szCs w:val="21"/>
        </w:rPr>
        <w:t>王全生</w:t>
      </w:r>
    </w:p>
    <w:p w14:paraId="4285E82D">
      <w:pPr>
        <w:autoSpaceDE w:val="0"/>
        <w:autoSpaceDN w:val="0"/>
        <w:adjustRightInd w:val="0"/>
        <w:ind w:firstLine="0" w:firstLineChars="0"/>
        <w:rPr>
          <w:rFonts w:ascii="宋体" w:hAnsi="宋体" w:cs="HiddenHorzOCR"/>
          <w:color w:val="363636"/>
          <w:kern w:val="0"/>
          <w:szCs w:val="21"/>
        </w:rPr>
      </w:pPr>
      <w:r>
        <w:rPr>
          <w:rFonts w:hint="eastAsia" w:ascii="宋体" w:hAnsi="宋体" w:cs="宋体"/>
          <w:color w:val="363636"/>
          <w:kern w:val="0"/>
          <w:szCs w:val="21"/>
        </w:rPr>
        <w:t>纪检组长</w:t>
      </w:r>
      <w:r>
        <w:rPr>
          <w:rFonts w:hint="eastAsia" w:ascii="宋体" w:hAnsi="宋体" w:cs="MS Gothic"/>
          <w:color w:val="363636"/>
          <w:kern w:val="0"/>
          <w:szCs w:val="21"/>
        </w:rPr>
        <w:t>：</w:t>
      </w:r>
      <w:r>
        <w:rPr>
          <w:rFonts w:hint="eastAsia" w:ascii="宋体" w:hAnsi="宋体" w:cs="宋体"/>
          <w:color w:val="363636"/>
          <w:kern w:val="0"/>
          <w:szCs w:val="21"/>
        </w:rPr>
        <w:t>张</w:t>
      </w:r>
      <w:r>
        <w:rPr>
          <w:rFonts w:hint="eastAsia" w:ascii="宋体" w:hAnsi="宋体" w:cs="MS Gothic"/>
          <w:color w:val="363636"/>
          <w:kern w:val="0"/>
          <w:szCs w:val="21"/>
        </w:rPr>
        <w:t>宗正</w:t>
      </w:r>
    </w:p>
    <w:p w14:paraId="7E7DC89C">
      <w:pPr>
        <w:autoSpaceDE w:val="0"/>
        <w:autoSpaceDN w:val="0"/>
        <w:adjustRightInd w:val="0"/>
        <w:ind w:firstLine="0" w:firstLineChars="0"/>
        <w:rPr>
          <w:rFonts w:ascii="宋体" w:hAnsi="宋体" w:cs="HiddenHorzOCR"/>
          <w:color w:val="222223"/>
          <w:kern w:val="0"/>
          <w:szCs w:val="21"/>
        </w:rPr>
      </w:pPr>
      <w:r>
        <w:rPr>
          <w:rFonts w:hint="eastAsia" w:ascii="宋体" w:hAnsi="宋体" w:cs="HiddenHorzOCR"/>
          <w:color w:val="222223"/>
          <w:kern w:val="0"/>
          <w:szCs w:val="21"/>
        </w:rPr>
        <w:t>工会主席：刘</w:t>
      </w:r>
      <w:r>
        <w:rPr>
          <w:rFonts w:hint="eastAsia" w:ascii="宋体" w:hAnsi="宋体" w:cs="宋体"/>
          <w:color w:val="222223"/>
          <w:kern w:val="0"/>
          <w:szCs w:val="21"/>
        </w:rPr>
        <w:t>剑锐</w:t>
      </w:r>
    </w:p>
    <w:p w14:paraId="11883EC4">
      <w:pPr>
        <w:ind w:firstLine="0" w:firstLineChars="0"/>
        <w:rPr>
          <w:rFonts w:ascii="宋体" w:hAnsi="宋体"/>
          <w:szCs w:val="21"/>
        </w:rPr>
      </w:pPr>
      <w:r>
        <w:rPr>
          <w:rFonts w:hint="eastAsia" w:ascii="宋体" w:hAnsi="宋体" w:cs="宋体"/>
          <w:color w:val="222223"/>
          <w:kern w:val="0"/>
          <w:szCs w:val="21"/>
        </w:rPr>
        <w:t>监</w:t>
      </w:r>
      <w:r>
        <w:rPr>
          <w:rFonts w:hint="eastAsia" w:ascii="宋体" w:hAnsi="宋体" w:cs="MS Gothic"/>
          <w:color w:val="222223"/>
          <w:kern w:val="0"/>
          <w:szCs w:val="21"/>
        </w:rPr>
        <w:t>察分局局</w:t>
      </w:r>
      <w:r>
        <w:rPr>
          <w:rFonts w:hint="eastAsia" w:ascii="宋体" w:hAnsi="宋体" w:cs="宋体"/>
          <w:color w:val="222223"/>
          <w:kern w:val="0"/>
          <w:szCs w:val="21"/>
        </w:rPr>
        <w:t>长</w:t>
      </w:r>
      <w:r>
        <w:rPr>
          <w:rFonts w:hint="eastAsia" w:ascii="宋体" w:hAnsi="宋体" w:cs="MS Gothic"/>
          <w:color w:val="222223"/>
          <w:kern w:val="0"/>
          <w:szCs w:val="21"/>
        </w:rPr>
        <w:t>：黄海</w:t>
      </w:r>
      <w:r>
        <w:rPr>
          <w:rFonts w:hint="eastAsia" w:ascii="宋体" w:hAnsi="宋体" w:cs="宋体"/>
          <w:color w:val="222223"/>
          <w:kern w:val="0"/>
          <w:szCs w:val="21"/>
        </w:rPr>
        <w:t>辉</w:t>
      </w:r>
    </w:p>
    <w:p w14:paraId="7C6B725B">
      <w:pPr>
        <w:ind w:firstLine="422"/>
        <w:jc w:val="center"/>
        <w:rPr>
          <w:rFonts w:ascii="宋体" w:hAnsi="宋体"/>
          <w:b/>
          <w:szCs w:val="21"/>
        </w:rPr>
      </w:pPr>
      <w:r>
        <w:rPr>
          <w:rFonts w:hint="eastAsia" w:ascii="宋体" w:hAnsi="宋体"/>
          <w:b/>
          <w:szCs w:val="21"/>
        </w:rPr>
        <w:t>表15 2011年南雄市城区道路交通噪声（昼间）检测结果统计表</w:t>
      </w:r>
    </w:p>
    <w:tbl>
      <w:tblPr>
        <w:tblStyle w:val="14"/>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32"/>
        <w:gridCol w:w="2666"/>
        <w:gridCol w:w="1638"/>
        <w:gridCol w:w="1199"/>
        <w:gridCol w:w="2130"/>
        <w:gridCol w:w="1197"/>
      </w:tblGrid>
      <w:tr w14:paraId="2013F0B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3" w:hRule="atLeast"/>
          <w:jc w:val="center"/>
        </w:trPr>
        <w:tc>
          <w:tcPr>
            <w:tcW w:w="630" w:type="pct"/>
            <w:vMerge w:val="restart"/>
            <w:shd w:val="clear" w:color="auto" w:fill="auto"/>
            <w:noWrap/>
            <w:vAlign w:val="center"/>
          </w:tcPr>
          <w:p w14:paraId="0E9A41A7">
            <w:pPr>
              <w:pStyle w:val="23"/>
              <w:jc w:val="center"/>
              <w:rPr>
                <w:b/>
                <w:kern w:val="0"/>
              </w:rPr>
            </w:pPr>
            <w:r>
              <w:rPr>
                <w:b/>
                <w:kern w:val="0"/>
              </w:rPr>
              <w:t>序号</w:t>
            </w:r>
          </w:p>
        </w:tc>
        <w:tc>
          <w:tcPr>
            <w:tcW w:w="1400" w:type="pct"/>
            <w:vMerge w:val="restart"/>
            <w:shd w:val="clear" w:color="auto" w:fill="auto"/>
            <w:noWrap/>
            <w:vAlign w:val="center"/>
          </w:tcPr>
          <w:p w14:paraId="4FD65A94">
            <w:pPr>
              <w:pStyle w:val="23"/>
              <w:jc w:val="center"/>
              <w:rPr>
                <w:b/>
                <w:kern w:val="0"/>
              </w:rPr>
            </w:pPr>
            <w:r>
              <w:rPr>
                <w:b/>
                <w:kern w:val="0"/>
              </w:rPr>
              <w:t>路段名称</w:t>
            </w:r>
          </w:p>
        </w:tc>
        <w:tc>
          <w:tcPr>
            <w:tcW w:w="884" w:type="pct"/>
            <w:vMerge w:val="restart"/>
            <w:shd w:val="clear" w:color="auto" w:fill="auto"/>
            <w:noWrap/>
            <w:vAlign w:val="center"/>
          </w:tcPr>
          <w:p w14:paraId="267F08E0">
            <w:pPr>
              <w:pStyle w:val="23"/>
              <w:jc w:val="center"/>
              <w:rPr>
                <w:b/>
                <w:kern w:val="0"/>
              </w:rPr>
            </w:pPr>
            <w:r>
              <w:rPr>
                <w:b/>
                <w:kern w:val="0"/>
              </w:rPr>
              <w:t>路段长度(m)</w:t>
            </w:r>
          </w:p>
        </w:tc>
        <w:tc>
          <w:tcPr>
            <w:tcW w:w="663" w:type="pct"/>
            <w:vMerge w:val="restart"/>
            <w:shd w:val="clear" w:color="auto" w:fill="auto"/>
            <w:noWrap/>
            <w:vAlign w:val="center"/>
          </w:tcPr>
          <w:p w14:paraId="0B37A9A8">
            <w:pPr>
              <w:pStyle w:val="23"/>
              <w:jc w:val="center"/>
              <w:rPr>
                <w:b/>
                <w:kern w:val="0"/>
              </w:rPr>
            </w:pPr>
            <w:r>
              <w:rPr>
                <w:b/>
                <w:kern w:val="0"/>
              </w:rPr>
              <w:t>路段宽度</w:t>
            </w:r>
          </w:p>
        </w:tc>
        <w:tc>
          <w:tcPr>
            <w:tcW w:w="761" w:type="pct"/>
            <w:vMerge w:val="restart"/>
            <w:shd w:val="clear" w:color="auto" w:fill="auto"/>
            <w:noWrap/>
            <w:vAlign w:val="center"/>
          </w:tcPr>
          <w:p w14:paraId="45FF22A4">
            <w:pPr>
              <w:pStyle w:val="23"/>
              <w:jc w:val="center"/>
              <w:rPr>
                <w:b/>
                <w:kern w:val="0"/>
              </w:rPr>
            </w:pPr>
            <w:r>
              <w:rPr>
                <w:b/>
                <w:kern w:val="0"/>
              </w:rPr>
              <w:t>平均车流量(辆/小时)</w:t>
            </w:r>
          </w:p>
        </w:tc>
        <w:tc>
          <w:tcPr>
            <w:tcW w:w="662" w:type="pct"/>
            <w:shd w:val="clear" w:color="auto" w:fill="auto"/>
            <w:vAlign w:val="center"/>
          </w:tcPr>
          <w:p w14:paraId="279E937D">
            <w:pPr>
              <w:pStyle w:val="23"/>
              <w:jc w:val="center"/>
              <w:rPr>
                <w:b/>
                <w:kern w:val="0"/>
              </w:rPr>
            </w:pPr>
            <w:r>
              <w:rPr>
                <w:b/>
                <w:kern w:val="0"/>
              </w:rPr>
              <w:t>等效声级</w:t>
            </w:r>
          </w:p>
        </w:tc>
      </w:tr>
      <w:tr w14:paraId="1FCD6F9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3" w:hRule="atLeast"/>
          <w:jc w:val="center"/>
        </w:trPr>
        <w:tc>
          <w:tcPr>
            <w:tcW w:w="630" w:type="pct"/>
            <w:vMerge w:val="continue"/>
            <w:shd w:val="clear" w:color="auto" w:fill="auto"/>
            <w:noWrap/>
            <w:vAlign w:val="center"/>
          </w:tcPr>
          <w:p w14:paraId="4F2C9FD5">
            <w:pPr>
              <w:pStyle w:val="23"/>
              <w:jc w:val="center"/>
              <w:rPr>
                <w:kern w:val="0"/>
              </w:rPr>
            </w:pPr>
          </w:p>
        </w:tc>
        <w:tc>
          <w:tcPr>
            <w:tcW w:w="1400" w:type="pct"/>
            <w:vMerge w:val="continue"/>
            <w:shd w:val="clear" w:color="auto" w:fill="auto"/>
            <w:noWrap/>
            <w:vAlign w:val="center"/>
          </w:tcPr>
          <w:p w14:paraId="1CF211EC">
            <w:pPr>
              <w:pStyle w:val="23"/>
              <w:jc w:val="center"/>
              <w:rPr>
                <w:kern w:val="0"/>
              </w:rPr>
            </w:pPr>
          </w:p>
        </w:tc>
        <w:tc>
          <w:tcPr>
            <w:tcW w:w="884" w:type="pct"/>
            <w:vMerge w:val="continue"/>
            <w:shd w:val="clear" w:color="auto" w:fill="auto"/>
            <w:noWrap/>
            <w:vAlign w:val="center"/>
          </w:tcPr>
          <w:p w14:paraId="3E83D4D8">
            <w:pPr>
              <w:pStyle w:val="23"/>
              <w:jc w:val="center"/>
              <w:rPr>
                <w:kern w:val="0"/>
              </w:rPr>
            </w:pPr>
          </w:p>
        </w:tc>
        <w:tc>
          <w:tcPr>
            <w:tcW w:w="663" w:type="pct"/>
            <w:vMerge w:val="continue"/>
            <w:shd w:val="clear" w:color="auto" w:fill="auto"/>
            <w:noWrap/>
            <w:vAlign w:val="center"/>
          </w:tcPr>
          <w:p w14:paraId="43CE620E">
            <w:pPr>
              <w:pStyle w:val="23"/>
              <w:jc w:val="center"/>
              <w:rPr>
                <w:kern w:val="0"/>
              </w:rPr>
            </w:pPr>
          </w:p>
        </w:tc>
        <w:tc>
          <w:tcPr>
            <w:tcW w:w="761" w:type="pct"/>
            <w:vMerge w:val="continue"/>
            <w:shd w:val="clear" w:color="auto" w:fill="auto"/>
            <w:noWrap/>
            <w:vAlign w:val="center"/>
          </w:tcPr>
          <w:p w14:paraId="29F1142F">
            <w:pPr>
              <w:pStyle w:val="23"/>
              <w:jc w:val="center"/>
              <w:rPr>
                <w:kern w:val="0"/>
              </w:rPr>
            </w:pPr>
          </w:p>
        </w:tc>
        <w:tc>
          <w:tcPr>
            <w:tcW w:w="662" w:type="pct"/>
            <w:shd w:val="clear" w:color="auto" w:fill="auto"/>
            <w:vAlign w:val="center"/>
          </w:tcPr>
          <w:p w14:paraId="5508A02F">
            <w:pPr>
              <w:pStyle w:val="23"/>
              <w:jc w:val="center"/>
              <w:rPr>
                <w:kern w:val="0"/>
              </w:rPr>
            </w:pPr>
            <w:r>
              <w:rPr>
                <w:rFonts w:hint="eastAsia"/>
                <w:kern w:val="0"/>
              </w:rPr>
              <w:t>[dB（A）]</w:t>
            </w:r>
          </w:p>
        </w:tc>
      </w:tr>
      <w:tr w14:paraId="2641B67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630" w:type="pct"/>
            <w:shd w:val="clear" w:color="auto" w:fill="auto"/>
            <w:noWrap/>
            <w:vAlign w:val="center"/>
          </w:tcPr>
          <w:p w14:paraId="681759C6">
            <w:pPr>
              <w:pStyle w:val="23"/>
              <w:jc w:val="center"/>
              <w:rPr>
                <w:kern w:val="0"/>
              </w:rPr>
            </w:pPr>
            <w:r>
              <w:rPr>
                <w:kern w:val="0"/>
              </w:rPr>
              <w:t>1</w:t>
            </w:r>
          </w:p>
        </w:tc>
        <w:tc>
          <w:tcPr>
            <w:tcW w:w="1400" w:type="pct"/>
            <w:shd w:val="clear" w:color="auto" w:fill="auto"/>
            <w:noWrap/>
            <w:vAlign w:val="center"/>
          </w:tcPr>
          <w:p w14:paraId="39BC0310">
            <w:pPr>
              <w:pStyle w:val="23"/>
              <w:jc w:val="center"/>
              <w:rPr>
                <w:kern w:val="0"/>
              </w:rPr>
            </w:pPr>
            <w:r>
              <w:rPr>
                <w:kern w:val="0"/>
              </w:rPr>
              <w:t>雄东路(主)</w:t>
            </w:r>
          </w:p>
        </w:tc>
        <w:tc>
          <w:tcPr>
            <w:tcW w:w="884" w:type="pct"/>
            <w:shd w:val="clear" w:color="auto" w:fill="auto"/>
            <w:noWrap/>
            <w:vAlign w:val="center"/>
          </w:tcPr>
          <w:p w14:paraId="5C274468">
            <w:pPr>
              <w:pStyle w:val="23"/>
              <w:jc w:val="center"/>
              <w:rPr>
                <w:kern w:val="0"/>
              </w:rPr>
            </w:pPr>
            <w:r>
              <w:rPr>
                <w:kern w:val="0"/>
              </w:rPr>
              <w:t>2300</w:t>
            </w:r>
          </w:p>
        </w:tc>
        <w:tc>
          <w:tcPr>
            <w:tcW w:w="663" w:type="pct"/>
            <w:shd w:val="clear" w:color="auto" w:fill="auto"/>
            <w:noWrap/>
            <w:vAlign w:val="center"/>
          </w:tcPr>
          <w:p w14:paraId="721FE74E">
            <w:pPr>
              <w:pStyle w:val="23"/>
              <w:jc w:val="center"/>
              <w:rPr>
                <w:kern w:val="0"/>
              </w:rPr>
            </w:pPr>
            <w:r>
              <w:rPr>
                <w:kern w:val="0"/>
              </w:rPr>
              <w:t>25</w:t>
            </w:r>
          </w:p>
        </w:tc>
        <w:tc>
          <w:tcPr>
            <w:tcW w:w="761" w:type="pct"/>
            <w:shd w:val="clear" w:color="auto" w:fill="auto"/>
            <w:noWrap/>
            <w:vAlign w:val="center"/>
          </w:tcPr>
          <w:p w14:paraId="6AF99E9C">
            <w:pPr>
              <w:pStyle w:val="23"/>
              <w:jc w:val="center"/>
              <w:rPr>
                <w:kern w:val="0"/>
              </w:rPr>
            </w:pPr>
            <w:r>
              <w:rPr>
                <w:kern w:val="0"/>
              </w:rPr>
              <w:t>390</w:t>
            </w:r>
          </w:p>
        </w:tc>
        <w:tc>
          <w:tcPr>
            <w:tcW w:w="662" w:type="pct"/>
            <w:shd w:val="clear" w:color="auto" w:fill="auto"/>
            <w:noWrap/>
            <w:vAlign w:val="center"/>
          </w:tcPr>
          <w:p w14:paraId="3AB86A6C">
            <w:pPr>
              <w:pStyle w:val="23"/>
              <w:jc w:val="center"/>
              <w:rPr>
                <w:kern w:val="0"/>
              </w:rPr>
            </w:pPr>
            <w:r>
              <w:rPr>
                <w:rFonts w:hint="eastAsia"/>
                <w:kern w:val="0"/>
              </w:rPr>
              <w:t>64.2</w:t>
            </w:r>
          </w:p>
        </w:tc>
      </w:tr>
      <w:tr w14:paraId="0461241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630" w:type="pct"/>
            <w:shd w:val="clear" w:color="auto" w:fill="auto"/>
            <w:noWrap/>
            <w:vAlign w:val="center"/>
          </w:tcPr>
          <w:p w14:paraId="2ACCDA2C">
            <w:pPr>
              <w:pStyle w:val="23"/>
              <w:jc w:val="center"/>
              <w:rPr>
                <w:kern w:val="0"/>
              </w:rPr>
            </w:pPr>
            <w:r>
              <w:rPr>
                <w:kern w:val="0"/>
              </w:rPr>
              <w:t>2</w:t>
            </w:r>
          </w:p>
        </w:tc>
        <w:tc>
          <w:tcPr>
            <w:tcW w:w="1400" w:type="pct"/>
            <w:shd w:val="clear" w:color="auto" w:fill="auto"/>
            <w:noWrap/>
            <w:vAlign w:val="center"/>
          </w:tcPr>
          <w:p w14:paraId="7D58A255">
            <w:pPr>
              <w:pStyle w:val="23"/>
              <w:jc w:val="center"/>
              <w:rPr>
                <w:kern w:val="0"/>
              </w:rPr>
            </w:pPr>
            <w:r>
              <w:rPr>
                <w:kern w:val="0"/>
              </w:rPr>
              <w:t>雄中路东段(主)</w:t>
            </w:r>
          </w:p>
        </w:tc>
        <w:tc>
          <w:tcPr>
            <w:tcW w:w="884" w:type="pct"/>
            <w:shd w:val="clear" w:color="auto" w:fill="auto"/>
            <w:noWrap/>
            <w:vAlign w:val="center"/>
          </w:tcPr>
          <w:p w14:paraId="34389E57">
            <w:pPr>
              <w:pStyle w:val="23"/>
              <w:jc w:val="center"/>
              <w:rPr>
                <w:kern w:val="0"/>
              </w:rPr>
            </w:pPr>
            <w:r>
              <w:rPr>
                <w:kern w:val="0"/>
              </w:rPr>
              <w:t>2000</w:t>
            </w:r>
          </w:p>
        </w:tc>
        <w:tc>
          <w:tcPr>
            <w:tcW w:w="663" w:type="pct"/>
            <w:shd w:val="clear" w:color="auto" w:fill="auto"/>
            <w:noWrap/>
            <w:vAlign w:val="center"/>
          </w:tcPr>
          <w:p w14:paraId="2A2A99F8">
            <w:pPr>
              <w:pStyle w:val="23"/>
              <w:jc w:val="center"/>
              <w:rPr>
                <w:kern w:val="0"/>
              </w:rPr>
            </w:pPr>
            <w:r>
              <w:rPr>
                <w:kern w:val="0"/>
              </w:rPr>
              <w:t>25</w:t>
            </w:r>
          </w:p>
        </w:tc>
        <w:tc>
          <w:tcPr>
            <w:tcW w:w="761" w:type="pct"/>
            <w:shd w:val="clear" w:color="auto" w:fill="auto"/>
            <w:noWrap/>
            <w:vAlign w:val="center"/>
          </w:tcPr>
          <w:p w14:paraId="4C685EC0">
            <w:pPr>
              <w:pStyle w:val="23"/>
              <w:jc w:val="center"/>
              <w:rPr>
                <w:kern w:val="0"/>
              </w:rPr>
            </w:pPr>
            <w:r>
              <w:rPr>
                <w:kern w:val="0"/>
              </w:rPr>
              <w:t>289</w:t>
            </w:r>
          </w:p>
        </w:tc>
        <w:tc>
          <w:tcPr>
            <w:tcW w:w="662" w:type="pct"/>
            <w:shd w:val="clear" w:color="auto" w:fill="auto"/>
            <w:noWrap/>
            <w:vAlign w:val="center"/>
          </w:tcPr>
          <w:p w14:paraId="6B4E3AA1">
            <w:pPr>
              <w:pStyle w:val="23"/>
              <w:jc w:val="center"/>
              <w:rPr>
                <w:kern w:val="0"/>
              </w:rPr>
            </w:pPr>
            <w:r>
              <w:rPr>
                <w:rFonts w:hint="eastAsia"/>
                <w:kern w:val="0"/>
              </w:rPr>
              <w:t>65.2</w:t>
            </w:r>
          </w:p>
        </w:tc>
      </w:tr>
      <w:tr w14:paraId="5C8F34A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630" w:type="pct"/>
            <w:shd w:val="clear" w:color="auto" w:fill="auto"/>
            <w:noWrap/>
            <w:vAlign w:val="center"/>
          </w:tcPr>
          <w:p w14:paraId="58537FB3">
            <w:pPr>
              <w:pStyle w:val="23"/>
              <w:jc w:val="center"/>
              <w:rPr>
                <w:kern w:val="0"/>
              </w:rPr>
            </w:pPr>
            <w:r>
              <w:rPr>
                <w:kern w:val="0"/>
              </w:rPr>
              <w:t>3</w:t>
            </w:r>
          </w:p>
        </w:tc>
        <w:tc>
          <w:tcPr>
            <w:tcW w:w="1400" w:type="pct"/>
            <w:shd w:val="clear" w:color="auto" w:fill="auto"/>
            <w:noWrap/>
            <w:vAlign w:val="center"/>
          </w:tcPr>
          <w:p w14:paraId="3748465E">
            <w:pPr>
              <w:pStyle w:val="23"/>
              <w:jc w:val="center"/>
              <w:rPr>
                <w:kern w:val="0"/>
              </w:rPr>
            </w:pPr>
            <w:r>
              <w:rPr>
                <w:kern w:val="0"/>
              </w:rPr>
              <w:t>雄中路西段(主)</w:t>
            </w:r>
          </w:p>
        </w:tc>
        <w:tc>
          <w:tcPr>
            <w:tcW w:w="884" w:type="pct"/>
            <w:shd w:val="clear" w:color="auto" w:fill="auto"/>
            <w:noWrap/>
            <w:vAlign w:val="center"/>
          </w:tcPr>
          <w:p w14:paraId="36E23922">
            <w:pPr>
              <w:pStyle w:val="23"/>
              <w:jc w:val="center"/>
              <w:rPr>
                <w:kern w:val="0"/>
              </w:rPr>
            </w:pPr>
            <w:r>
              <w:rPr>
                <w:kern w:val="0"/>
              </w:rPr>
              <w:t>1300</w:t>
            </w:r>
          </w:p>
        </w:tc>
        <w:tc>
          <w:tcPr>
            <w:tcW w:w="663" w:type="pct"/>
            <w:shd w:val="clear" w:color="auto" w:fill="auto"/>
            <w:noWrap/>
            <w:vAlign w:val="center"/>
          </w:tcPr>
          <w:p w14:paraId="726E4E3A">
            <w:pPr>
              <w:pStyle w:val="23"/>
              <w:jc w:val="center"/>
              <w:rPr>
                <w:kern w:val="0"/>
              </w:rPr>
            </w:pPr>
            <w:r>
              <w:rPr>
                <w:kern w:val="0"/>
              </w:rPr>
              <w:t>25</w:t>
            </w:r>
          </w:p>
        </w:tc>
        <w:tc>
          <w:tcPr>
            <w:tcW w:w="761" w:type="pct"/>
            <w:shd w:val="clear" w:color="auto" w:fill="auto"/>
            <w:noWrap/>
            <w:vAlign w:val="center"/>
          </w:tcPr>
          <w:p w14:paraId="00217058">
            <w:pPr>
              <w:pStyle w:val="23"/>
              <w:jc w:val="center"/>
              <w:rPr>
                <w:kern w:val="0"/>
              </w:rPr>
            </w:pPr>
            <w:r>
              <w:rPr>
                <w:kern w:val="0"/>
              </w:rPr>
              <w:t>295</w:t>
            </w:r>
          </w:p>
        </w:tc>
        <w:tc>
          <w:tcPr>
            <w:tcW w:w="662" w:type="pct"/>
            <w:shd w:val="clear" w:color="auto" w:fill="auto"/>
            <w:noWrap/>
            <w:vAlign w:val="center"/>
          </w:tcPr>
          <w:p w14:paraId="18611D9A">
            <w:pPr>
              <w:pStyle w:val="23"/>
              <w:jc w:val="center"/>
              <w:rPr>
                <w:kern w:val="0"/>
              </w:rPr>
            </w:pPr>
            <w:r>
              <w:rPr>
                <w:rFonts w:hint="eastAsia"/>
                <w:kern w:val="0"/>
              </w:rPr>
              <w:t>68.6</w:t>
            </w:r>
          </w:p>
        </w:tc>
      </w:tr>
      <w:tr w14:paraId="58A52B9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630" w:type="pct"/>
            <w:shd w:val="clear" w:color="auto" w:fill="auto"/>
            <w:noWrap/>
            <w:vAlign w:val="center"/>
          </w:tcPr>
          <w:p w14:paraId="604261C8">
            <w:pPr>
              <w:pStyle w:val="23"/>
              <w:jc w:val="center"/>
              <w:rPr>
                <w:kern w:val="0"/>
              </w:rPr>
            </w:pPr>
            <w:r>
              <w:rPr>
                <w:kern w:val="0"/>
              </w:rPr>
              <w:t>4</w:t>
            </w:r>
          </w:p>
        </w:tc>
        <w:tc>
          <w:tcPr>
            <w:tcW w:w="1400" w:type="pct"/>
            <w:shd w:val="clear" w:color="auto" w:fill="auto"/>
            <w:noWrap/>
            <w:vAlign w:val="center"/>
          </w:tcPr>
          <w:p w14:paraId="4219BE3F">
            <w:pPr>
              <w:pStyle w:val="23"/>
              <w:jc w:val="center"/>
              <w:rPr>
                <w:kern w:val="0"/>
              </w:rPr>
            </w:pPr>
            <w:r>
              <w:rPr>
                <w:kern w:val="0"/>
              </w:rPr>
              <w:t>雄南路(主)</w:t>
            </w:r>
          </w:p>
        </w:tc>
        <w:tc>
          <w:tcPr>
            <w:tcW w:w="884" w:type="pct"/>
            <w:shd w:val="clear" w:color="auto" w:fill="auto"/>
            <w:noWrap/>
            <w:vAlign w:val="center"/>
          </w:tcPr>
          <w:p w14:paraId="0AB048D9">
            <w:pPr>
              <w:pStyle w:val="23"/>
              <w:jc w:val="center"/>
              <w:rPr>
                <w:kern w:val="0"/>
              </w:rPr>
            </w:pPr>
            <w:r>
              <w:rPr>
                <w:kern w:val="0"/>
              </w:rPr>
              <w:t>3600</w:t>
            </w:r>
          </w:p>
        </w:tc>
        <w:tc>
          <w:tcPr>
            <w:tcW w:w="663" w:type="pct"/>
            <w:shd w:val="clear" w:color="auto" w:fill="auto"/>
            <w:noWrap/>
            <w:vAlign w:val="center"/>
          </w:tcPr>
          <w:p w14:paraId="1ED18822">
            <w:pPr>
              <w:pStyle w:val="23"/>
              <w:jc w:val="center"/>
              <w:rPr>
                <w:kern w:val="0"/>
              </w:rPr>
            </w:pPr>
            <w:r>
              <w:rPr>
                <w:kern w:val="0"/>
              </w:rPr>
              <w:t>25</w:t>
            </w:r>
          </w:p>
        </w:tc>
        <w:tc>
          <w:tcPr>
            <w:tcW w:w="761" w:type="pct"/>
            <w:shd w:val="clear" w:color="auto" w:fill="auto"/>
            <w:noWrap/>
            <w:vAlign w:val="center"/>
          </w:tcPr>
          <w:p w14:paraId="3D7AD6AF">
            <w:pPr>
              <w:pStyle w:val="23"/>
              <w:jc w:val="center"/>
              <w:rPr>
                <w:kern w:val="0"/>
              </w:rPr>
            </w:pPr>
            <w:r>
              <w:rPr>
                <w:kern w:val="0"/>
              </w:rPr>
              <w:t>308</w:t>
            </w:r>
          </w:p>
        </w:tc>
        <w:tc>
          <w:tcPr>
            <w:tcW w:w="662" w:type="pct"/>
            <w:shd w:val="clear" w:color="auto" w:fill="auto"/>
            <w:noWrap/>
            <w:vAlign w:val="center"/>
          </w:tcPr>
          <w:p w14:paraId="773DF314">
            <w:pPr>
              <w:pStyle w:val="23"/>
              <w:jc w:val="center"/>
              <w:rPr>
                <w:kern w:val="0"/>
              </w:rPr>
            </w:pPr>
            <w:r>
              <w:rPr>
                <w:rFonts w:hint="eastAsia"/>
                <w:kern w:val="0"/>
              </w:rPr>
              <w:t>68.1</w:t>
            </w:r>
          </w:p>
        </w:tc>
      </w:tr>
      <w:tr w14:paraId="06E4F6B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630" w:type="pct"/>
            <w:shd w:val="clear" w:color="auto" w:fill="auto"/>
            <w:noWrap/>
            <w:vAlign w:val="center"/>
          </w:tcPr>
          <w:p w14:paraId="51507C04">
            <w:pPr>
              <w:pStyle w:val="23"/>
              <w:jc w:val="center"/>
              <w:rPr>
                <w:kern w:val="0"/>
              </w:rPr>
            </w:pPr>
            <w:r>
              <w:rPr>
                <w:kern w:val="0"/>
              </w:rPr>
              <w:t>5</w:t>
            </w:r>
          </w:p>
        </w:tc>
        <w:tc>
          <w:tcPr>
            <w:tcW w:w="1400" w:type="pct"/>
            <w:shd w:val="clear" w:color="auto" w:fill="auto"/>
            <w:noWrap/>
            <w:vAlign w:val="center"/>
          </w:tcPr>
          <w:p w14:paraId="7B9D036F">
            <w:pPr>
              <w:pStyle w:val="23"/>
              <w:jc w:val="center"/>
              <w:rPr>
                <w:kern w:val="0"/>
              </w:rPr>
            </w:pPr>
            <w:r>
              <w:rPr>
                <w:kern w:val="0"/>
              </w:rPr>
              <w:t>光明路(次)</w:t>
            </w:r>
          </w:p>
        </w:tc>
        <w:tc>
          <w:tcPr>
            <w:tcW w:w="884" w:type="pct"/>
            <w:shd w:val="clear" w:color="auto" w:fill="auto"/>
            <w:noWrap/>
            <w:vAlign w:val="center"/>
          </w:tcPr>
          <w:p w14:paraId="2AB583B4">
            <w:pPr>
              <w:pStyle w:val="23"/>
              <w:jc w:val="center"/>
              <w:rPr>
                <w:kern w:val="0"/>
              </w:rPr>
            </w:pPr>
            <w:r>
              <w:rPr>
                <w:kern w:val="0"/>
              </w:rPr>
              <w:t>1430</w:t>
            </w:r>
          </w:p>
        </w:tc>
        <w:tc>
          <w:tcPr>
            <w:tcW w:w="663" w:type="pct"/>
            <w:shd w:val="clear" w:color="auto" w:fill="auto"/>
            <w:noWrap/>
            <w:vAlign w:val="center"/>
          </w:tcPr>
          <w:p w14:paraId="41D284D1">
            <w:pPr>
              <w:pStyle w:val="23"/>
              <w:jc w:val="center"/>
              <w:rPr>
                <w:kern w:val="0"/>
              </w:rPr>
            </w:pPr>
            <w:r>
              <w:rPr>
                <w:kern w:val="0"/>
              </w:rPr>
              <w:t>19</w:t>
            </w:r>
          </w:p>
        </w:tc>
        <w:tc>
          <w:tcPr>
            <w:tcW w:w="761" w:type="pct"/>
            <w:shd w:val="clear" w:color="auto" w:fill="auto"/>
            <w:noWrap/>
            <w:vAlign w:val="center"/>
          </w:tcPr>
          <w:p w14:paraId="6D90EF21">
            <w:pPr>
              <w:pStyle w:val="23"/>
              <w:jc w:val="center"/>
              <w:rPr>
                <w:kern w:val="0"/>
              </w:rPr>
            </w:pPr>
            <w:r>
              <w:rPr>
                <w:kern w:val="0"/>
              </w:rPr>
              <w:t>375</w:t>
            </w:r>
          </w:p>
        </w:tc>
        <w:tc>
          <w:tcPr>
            <w:tcW w:w="662" w:type="pct"/>
            <w:shd w:val="clear" w:color="auto" w:fill="auto"/>
            <w:noWrap/>
            <w:vAlign w:val="center"/>
          </w:tcPr>
          <w:p w14:paraId="3CEBD3AD">
            <w:pPr>
              <w:pStyle w:val="23"/>
              <w:jc w:val="center"/>
              <w:rPr>
                <w:kern w:val="0"/>
              </w:rPr>
            </w:pPr>
            <w:r>
              <w:rPr>
                <w:rFonts w:hint="eastAsia"/>
                <w:kern w:val="0"/>
              </w:rPr>
              <w:t>69.2</w:t>
            </w:r>
          </w:p>
        </w:tc>
      </w:tr>
      <w:tr w14:paraId="3E82168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630" w:type="pct"/>
            <w:shd w:val="clear" w:color="auto" w:fill="auto"/>
            <w:noWrap/>
            <w:vAlign w:val="center"/>
          </w:tcPr>
          <w:p w14:paraId="69E3732A">
            <w:pPr>
              <w:pStyle w:val="23"/>
              <w:jc w:val="center"/>
              <w:rPr>
                <w:kern w:val="0"/>
              </w:rPr>
            </w:pPr>
            <w:r>
              <w:rPr>
                <w:kern w:val="0"/>
              </w:rPr>
              <w:t>6</w:t>
            </w:r>
          </w:p>
        </w:tc>
        <w:tc>
          <w:tcPr>
            <w:tcW w:w="1400" w:type="pct"/>
            <w:shd w:val="clear" w:color="auto" w:fill="auto"/>
            <w:noWrap/>
            <w:vAlign w:val="center"/>
          </w:tcPr>
          <w:p w14:paraId="21CDED99">
            <w:pPr>
              <w:pStyle w:val="23"/>
              <w:jc w:val="center"/>
              <w:rPr>
                <w:kern w:val="0"/>
              </w:rPr>
            </w:pPr>
            <w:r>
              <w:rPr>
                <w:kern w:val="0"/>
              </w:rPr>
              <w:t>环城路(次)</w:t>
            </w:r>
          </w:p>
        </w:tc>
        <w:tc>
          <w:tcPr>
            <w:tcW w:w="884" w:type="pct"/>
            <w:shd w:val="clear" w:color="auto" w:fill="auto"/>
            <w:noWrap/>
            <w:vAlign w:val="center"/>
          </w:tcPr>
          <w:p w14:paraId="42B88A93">
            <w:pPr>
              <w:pStyle w:val="23"/>
              <w:jc w:val="center"/>
              <w:rPr>
                <w:kern w:val="0"/>
              </w:rPr>
            </w:pPr>
            <w:r>
              <w:rPr>
                <w:kern w:val="0"/>
              </w:rPr>
              <w:t>2500</w:t>
            </w:r>
          </w:p>
        </w:tc>
        <w:tc>
          <w:tcPr>
            <w:tcW w:w="663" w:type="pct"/>
            <w:shd w:val="clear" w:color="auto" w:fill="auto"/>
            <w:noWrap/>
            <w:vAlign w:val="center"/>
          </w:tcPr>
          <w:p w14:paraId="50A0E692">
            <w:pPr>
              <w:pStyle w:val="23"/>
              <w:jc w:val="center"/>
              <w:rPr>
                <w:kern w:val="0"/>
              </w:rPr>
            </w:pPr>
            <w:r>
              <w:rPr>
                <w:kern w:val="0"/>
              </w:rPr>
              <w:t>20</w:t>
            </w:r>
          </w:p>
        </w:tc>
        <w:tc>
          <w:tcPr>
            <w:tcW w:w="761" w:type="pct"/>
            <w:shd w:val="clear" w:color="auto" w:fill="auto"/>
            <w:noWrap/>
            <w:vAlign w:val="center"/>
          </w:tcPr>
          <w:p w14:paraId="46733BA3">
            <w:pPr>
              <w:pStyle w:val="23"/>
              <w:jc w:val="center"/>
              <w:rPr>
                <w:kern w:val="0"/>
              </w:rPr>
            </w:pPr>
            <w:r>
              <w:rPr>
                <w:kern w:val="0"/>
              </w:rPr>
              <w:t>325</w:t>
            </w:r>
          </w:p>
        </w:tc>
        <w:tc>
          <w:tcPr>
            <w:tcW w:w="662" w:type="pct"/>
            <w:shd w:val="clear" w:color="auto" w:fill="auto"/>
            <w:noWrap/>
            <w:vAlign w:val="center"/>
          </w:tcPr>
          <w:p w14:paraId="50DD5FB5">
            <w:pPr>
              <w:pStyle w:val="23"/>
              <w:jc w:val="center"/>
              <w:rPr>
                <w:kern w:val="0"/>
              </w:rPr>
            </w:pPr>
            <w:r>
              <w:rPr>
                <w:rFonts w:hint="eastAsia"/>
                <w:kern w:val="0"/>
              </w:rPr>
              <w:t>64.3</w:t>
            </w:r>
          </w:p>
        </w:tc>
      </w:tr>
      <w:tr w14:paraId="0295065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630" w:type="pct"/>
            <w:shd w:val="clear" w:color="auto" w:fill="auto"/>
            <w:noWrap/>
            <w:vAlign w:val="center"/>
          </w:tcPr>
          <w:p w14:paraId="4E2630D4">
            <w:pPr>
              <w:pStyle w:val="23"/>
              <w:jc w:val="center"/>
              <w:rPr>
                <w:kern w:val="0"/>
              </w:rPr>
            </w:pPr>
            <w:r>
              <w:rPr>
                <w:kern w:val="0"/>
              </w:rPr>
              <w:t>7</w:t>
            </w:r>
          </w:p>
        </w:tc>
        <w:tc>
          <w:tcPr>
            <w:tcW w:w="1400" w:type="pct"/>
            <w:shd w:val="clear" w:color="auto" w:fill="auto"/>
            <w:noWrap/>
            <w:vAlign w:val="center"/>
          </w:tcPr>
          <w:p w14:paraId="209B0F5F">
            <w:pPr>
              <w:pStyle w:val="23"/>
              <w:jc w:val="center"/>
              <w:rPr>
                <w:kern w:val="0"/>
              </w:rPr>
            </w:pPr>
            <w:r>
              <w:rPr>
                <w:kern w:val="0"/>
              </w:rPr>
              <w:t>繁荣路(次)</w:t>
            </w:r>
          </w:p>
        </w:tc>
        <w:tc>
          <w:tcPr>
            <w:tcW w:w="884" w:type="pct"/>
            <w:shd w:val="clear" w:color="auto" w:fill="auto"/>
            <w:noWrap/>
            <w:vAlign w:val="center"/>
          </w:tcPr>
          <w:p w14:paraId="1B374BB7">
            <w:pPr>
              <w:pStyle w:val="23"/>
              <w:jc w:val="center"/>
              <w:rPr>
                <w:kern w:val="0"/>
              </w:rPr>
            </w:pPr>
            <w:r>
              <w:rPr>
                <w:kern w:val="0"/>
              </w:rPr>
              <w:t>950</w:t>
            </w:r>
          </w:p>
        </w:tc>
        <w:tc>
          <w:tcPr>
            <w:tcW w:w="663" w:type="pct"/>
            <w:shd w:val="clear" w:color="auto" w:fill="auto"/>
            <w:noWrap/>
            <w:vAlign w:val="center"/>
          </w:tcPr>
          <w:p w14:paraId="663AECEC">
            <w:pPr>
              <w:pStyle w:val="23"/>
              <w:jc w:val="center"/>
              <w:rPr>
                <w:kern w:val="0"/>
              </w:rPr>
            </w:pPr>
            <w:r>
              <w:rPr>
                <w:kern w:val="0"/>
              </w:rPr>
              <w:t>19</w:t>
            </w:r>
          </w:p>
        </w:tc>
        <w:tc>
          <w:tcPr>
            <w:tcW w:w="761" w:type="pct"/>
            <w:shd w:val="clear" w:color="auto" w:fill="auto"/>
            <w:noWrap/>
            <w:vAlign w:val="center"/>
          </w:tcPr>
          <w:p w14:paraId="4F3500AB">
            <w:pPr>
              <w:pStyle w:val="23"/>
              <w:jc w:val="center"/>
              <w:rPr>
                <w:kern w:val="0"/>
              </w:rPr>
            </w:pPr>
            <w:r>
              <w:rPr>
                <w:kern w:val="0"/>
              </w:rPr>
              <w:t>348</w:t>
            </w:r>
          </w:p>
        </w:tc>
        <w:tc>
          <w:tcPr>
            <w:tcW w:w="662" w:type="pct"/>
            <w:shd w:val="clear" w:color="auto" w:fill="auto"/>
            <w:noWrap/>
            <w:vAlign w:val="center"/>
          </w:tcPr>
          <w:p w14:paraId="1BDBF8D2">
            <w:pPr>
              <w:pStyle w:val="23"/>
              <w:jc w:val="center"/>
              <w:rPr>
                <w:kern w:val="0"/>
              </w:rPr>
            </w:pPr>
            <w:r>
              <w:rPr>
                <w:rFonts w:hint="eastAsia"/>
                <w:kern w:val="0"/>
              </w:rPr>
              <w:t>68</w:t>
            </w:r>
          </w:p>
        </w:tc>
      </w:tr>
      <w:tr w14:paraId="1333E0D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630" w:type="pct"/>
            <w:shd w:val="clear" w:color="auto" w:fill="auto"/>
            <w:noWrap/>
            <w:vAlign w:val="center"/>
          </w:tcPr>
          <w:p w14:paraId="160CA457">
            <w:pPr>
              <w:pStyle w:val="23"/>
              <w:jc w:val="center"/>
              <w:rPr>
                <w:kern w:val="0"/>
              </w:rPr>
            </w:pPr>
            <w:r>
              <w:rPr>
                <w:kern w:val="0"/>
              </w:rPr>
              <w:t>8</w:t>
            </w:r>
          </w:p>
        </w:tc>
        <w:tc>
          <w:tcPr>
            <w:tcW w:w="1400" w:type="pct"/>
            <w:shd w:val="clear" w:color="auto" w:fill="auto"/>
            <w:noWrap/>
            <w:vAlign w:val="center"/>
          </w:tcPr>
          <w:p w14:paraId="03481031">
            <w:pPr>
              <w:pStyle w:val="23"/>
              <w:jc w:val="center"/>
              <w:rPr>
                <w:kern w:val="0"/>
              </w:rPr>
            </w:pPr>
            <w:r>
              <w:rPr>
                <w:kern w:val="0"/>
              </w:rPr>
              <w:t>浈江大道(次)</w:t>
            </w:r>
          </w:p>
        </w:tc>
        <w:tc>
          <w:tcPr>
            <w:tcW w:w="884" w:type="pct"/>
            <w:shd w:val="clear" w:color="auto" w:fill="auto"/>
            <w:noWrap/>
            <w:vAlign w:val="center"/>
          </w:tcPr>
          <w:p w14:paraId="6623E05E">
            <w:pPr>
              <w:pStyle w:val="23"/>
              <w:jc w:val="center"/>
              <w:rPr>
                <w:kern w:val="0"/>
              </w:rPr>
            </w:pPr>
            <w:r>
              <w:rPr>
                <w:kern w:val="0"/>
              </w:rPr>
              <w:t>800</w:t>
            </w:r>
          </w:p>
        </w:tc>
        <w:tc>
          <w:tcPr>
            <w:tcW w:w="663" w:type="pct"/>
            <w:shd w:val="clear" w:color="auto" w:fill="auto"/>
            <w:noWrap/>
            <w:vAlign w:val="center"/>
          </w:tcPr>
          <w:p w14:paraId="11238F7C">
            <w:pPr>
              <w:pStyle w:val="23"/>
              <w:jc w:val="center"/>
              <w:rPr>
                <w:kern w:val="0"/>
              </w:rPr>
            </w:pPr>
            <w:r>
              <w:rPr>
                <w:kern w:val="0"/>
              </w:rPr>
              <w:t>42</w:t>
            </w:r>
          </w:p>
        </w:tc>
        <w:tc>
          <w:tcPr>
            <w:tcW w:w="761" w:type="pct"/>
            <w:shd w:val="clear" w:color="auto" w:fill="auto"/>
            <w:noWrap/>
            <w:vAlign w:val="center"/>
          </w:tcPr>
          <w:p w14:paraId="15AD6071">
            <w:pPr>
              <w:pStyle w:val="23"/>
              <w:jc w:val="center"/>
              <w:rPr>
                <w:kern w:val="0"/>
              </w:rPr>
            </w:pPr>
            <w:r>
              <w:rPr>
                <w:kern w:val="0"/>
              </w:rPr>
              <w:t>412</w:t>
            </w:r>
          </w:p>
        </w:tc>
        <w:tc>
          <w:tcPr>
            <w:tcW w:w="662" w:type="pct"/>
            <w:shd w:val="clear" w:color="auto" w:fill="auto"/>
            <w:noWrap/>
            <w:vAlign w:val="center"/>
          </w:tcPr>
          <w:p w14:paraId="3761693C">
            <w:pPr>
              <w:pStyle w:val="23"/>
              <w:jc w:val="center"/>
              <w:rPr>
                <w:kern w:val="0"/>
              </w:rPr>
            </w:pPr>
            <w:r>
              <w:rPr>
                <w:rFonts w:hint="eastAsia"/>
                <w:kern w:val="0"/>
              </w:rPr>
              <w:t>68.3</w:t>
            </w:r>
          </w:p>
        </w:tc>
      </w:tr>
      <w:tr w14:paraId="23DF046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630" w:type="pct"/>
            <w:shd w:val="clear" w:color="auto" w:fill="auto"/>
            <w:noWrap/>
            <w:vAlign w:val="center"/>
          </w:tcPr>
          <w:p w14:paraId="4CB695B7">
            <w:pPr>
              <w:pStyle w:val="23"/>
              <w:jc w:val="center"/>
              <w:rPr>
                <w:kern w:val="0"/>
              </w:rPr>
            </w:pPr>
            <w:r>
              <w:rPr>
                <w:kern w:val="0"/>
              </w:rPr>
              <w:t>9</w:t>
            </w:r>
          </w:p>
        </w:tc>
        <w:tc>
          <w:tcPr>
            <w:tcW w:w="1400" w:type="pct"/>
            <w:shd w:val="clear" w:color="auto" w:fill="auto"/>
            <w:noWrap/>
            <w:vAlign w:val="center"/>
          </w:tcPr>
          <w:p w14:paraId="3ABBD46F">
            <w:pPr>
              <w:pStyle w:val="23"/>
              <w:jc w:val="center"/>
              <w:rPr>
                <w:kern w:val="0"/>
              </w:rPr>
            </w:pPr>
            <w:r>
              <w:rPr>
                <w:kern w:val="0"/>
              </w:rPr>
              <w:t>河南街(次)</w:t>
            </w:r>
          </w:p>
        </w:tc>
        <w:tc>
          <w:tcPr>
            <w:tcW w:w="884" w:type="pct"/>
            <w:shd w:val="clear" w:color="auto" w:fill="auto"/>
            <w:noWrap/>
            <w:vAlign w:val="center"/>
          </w:tcPr>
          <w:p w14:paraId="00C2DED1">
            <w:pPr>
              <w:pStyle w:val="23"/>
              <w:jc w:val="center"/>
              <w:rPr>
                <w:kern w:val="0"/>
              </w:rPr>
            </w:pPr>
            <w:r>
              <w:rPr>
                <w:kern w:val="0"/>
              </w:rPr>
              <w:t>500</w:t>
            </w:r>
          </w:p>
        </w:tc>
        <w:tc>
          <w:tcPr>
            <w:tcW w:w="663" w:type="pct"/>
            <w:shd w:val="clear" w:color="auto" w:fill="auto"/>
            <w:noWrap/>
            <w:vAlign w:val="center"/>
          </w:tcPr>
          <w:p w14:paraId="0FFAB4A3">
            <w:pPr>
              <w:pStyle w:val="23"/>
              <w:jc w:val="center"/>
              <w:rPr>
                <w:kern w:val="0"/>
              </w:rPr>
            </w:pPr>
            <w:r>
              <w:rPr>
                <w:kern w:val="0"/>
              </w:rPr>
              <w:t>15</w:t>
            </w:r>
          </w:p>
        </w:tc>
        <w:tc>
          <w:tcPr>
            <w:tcW w:w="761" w:type="pct"/>
            <w:shd w:val="clear" w:color="auto" w:fill="auto"/>
            <w:noWrap/>
            <w:vAlign w:val="center"/>
          </w:tcPr>
          <w:p w14:paraId="3D422DF3">
            <w:pPr>
              <w:pStyle w:val="23"/>
              <w:jc w:val="center"/>
              <w:rPr>
                <w:kern w:val="0"/>
              </w:rPr>
            </w:pPr>
            <w:r>
              <w:rPr>
                <w:kern w:val="0"/>
              </w:rPr>
              <w:t>242</w:t>
            </w:r>
          </w:p>
        </w:tc>
        <w:tc>
          <w:tcPr>
            <w:tcW w:w="662" w:type="pct"/>
            <w:shd w:val="clear" w:color="auto" w:fill="auto"/>
            <w:noWrap/>
            <w:vAlign w:val="center"/>
          </w:tcPr>
          <w:p w14:paraId="08124F0F">
            <w:pPr>
              <w:pStyle w:val="23"/>
              <w:jc w:val="center"/>
              <w:rPr>
                <w:kern w:val="0"/>
              </w:rPr>
            </w:pPr>
            <w:r>
              <w:rPr>
                <w:rFonts w:hint="eastAsia"/>
                <w:kern w:val="0"/>
              </w:rPr>
              <w:t>61.5</w:t>
            </w:r>
          </w:p>
        </w:tc>
      </w:tr>
      <w:tr w14:paraId="631CF14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630" w:type="pct"/>
            <w:shd w:val="clear" w:color="auto" w:fill="auto"/>
            <w:noWrap/>
            <w:vAlign w:val="center"/>
          </w:tcPr>
          <w:p w14:paraId="2E859AB5">
            <w:pPr>
              <w:pStyle w:val="23"/>
              <w:jc w:val="center"/>
              <w:rPr>
                <w:kern w:val="0"/>
              </w:rPr>
            </w:pPr>
            <w:r>
              <w:rPr>
                <w:kern w:val="0"/>
              </w:rPr>
              <w:t>10</w:t>
            </w:r>
          </w:p>
        </w:tc>
        <w:tc>
          <w:tcPr>
            <w:tcW w:w="1400" w:type="pct"/>
            <w:shd w:val="clear" w:color="auto" w:fill="auto"/>
            <w:noWrap/>
            <w:vAlign w:val="center"/>
          </w:tcPr>
          <w:p w14:paraId="574A8C2F">
            <w:pPr>
              <w:pStyle w:val="23"/>
              <w:jc w:val="center"/>
              <w:rPr>
                <w:kern w:val="0"/>
              </w:rPr>
            </w:pPr>
            <w:r>
              <w:rPr>
                <w:kern w:val="0"/>
              </w:rPr>
              <w:t>八一路(次)</w:t>
            </w:r>
          </w:p>
        </w:tc>
        <w:tc>
          <w:tcPr>
            <w:tcW w:w="884" w:type="pct"/>
            <w:shd w:val="clear" w:color="auto" w:fill="auto"/>
            <w:noWrap/>
            <w:vAlign w:val="center"/>
          </w:tcPr>
          <w:p w14:paraId="6BDAF131">
            <w:pPr>
              <w:pStyle w:val="23"/>
              <w:jc w:val="center"/>
              <w:rPr>
                <w:kern w:val="0"/>
              </w:rPr>
            </w:pPr>
            <w:r>
              <w:rPr>
                <w:kern w:val="0"/>
              </w:rPr>
              <w:t>180</w:t>
            </w:r>
          </w:p>
        </w:tc>
        <w:tc>
          <w:tcPr>
            <w:tcW w:w="663" w:type="pct"/>
            <w:shd w:val="clear" w:color="auto" w:fill="auto"/>
            <w:noWrap/>
            <w:vAlign w:val="center"/>
          </w:tcPr>
          <w:p w14:paraId="7C52505B">
            <w:pPr>
              <w:pStyle w:val="23"/>
              <w:jc w:val="center"/>
              <w:rPr>
                <w:kern w:val="0"/>
              </w:rPr>
            </w:pPr>
            <w:r>
              <w:rPr>
                <w:kern w:val="0"/>
              </w:rPr>
              <w:t>20</w:t>
            </w:r>
          </w:p>
        </w:tc>
        <w:tc>
          <w:tcPr>
            <w:tcW w:w="761" w:type="pct"/>
            <w:shd w:val="clear" w:color="auto" w:fill="auto"/>
            <w:noWrap/>
            <w:vAlign w:val="center"/>
          </w:tcPr>
          <w:p w14:paraId="11ABF5E3">
            <w:pPr>
              <w:pStyle w:val="23"/>
              <w:jc w:val="center"/>
              <w:rPr>
                <w:kern w:val="0"/>
              </w:rPr>
            </w:pPr>
            <w:r>
              <w:rPr>
                <w:kern w:val="0"/>
              </w:rPr>
              <w:t>278</w:t>
            </w:r>
          </w:p>
        </w:tc>
        <w:tc>
          <w:tcPr>
            <w:tcW w:w="662" w:type="pct"/>
            <w:shd w:val="clear" w:color="auto" w:fill="auto"/>
            <w:noWrap/>
            <w:vAlign w:val="center"/>
          </w:tcPr>
          <w:p w14:paraId="70382E14">
            <w:pPr>
              <w:pStyle w:val="23"/>
              <w:jc w:val="center"/>
              <w:rPr>
                <w:kern w:val="0"/>
              </w:rPr>
            </w:pPr>
            <w:r>
              <w:rPr>
                <w:rFonts w:hint="eastAsia"/>
                <w:kern w:val="0"/>
              </w:rPr>
              <w:t>60.3</w:t>
            </w:r>
          </w:p>
        </w:tc>
      </w:tr>
    </w:tbl>
    <w:p w14:paraId="72DADFC2">
      <w:pPr>
        <w:ind w:firstLine="420"/>
        <w:rPr>
          <w:rFonts w:ascii="宋体" w:hAnsi="宋体"/>
          <w:szCs w:val="21"/>
        </w:rPr>
      </w:pPr>
      <w:r>
        <w:rPr>
          <w:rFonts w:hint="eastAsia" w:ascii="宋体" w:hAnsi="宋体"/>
          <w:szCs w:val="21"/>
        </w:rPr>
        <w:t>2011年度城区道路交通噪声监测日期在11月份，监测结果统计表监测结果见表4-1-1，结果表明：全区10条主要道路噪声平均等级声效65.8dB（A），道路交通噪声质量等级属较好。</w:t>
      </w:r>
    </w:p>
    <w:p w14:paraId="3F6D6DD9">
      <w:pPr>
        <w:ind w:firstLine="422"/>
        <w:jc w:val="center"/>
        <w:rPr>
          <w:rFonts w:ascii="宋体" w:hAnsi="宋体"/>
          <w:b/>
          <w:szCs w:val="21"/>
        </w:rPr>
      </w:pPr>
      <w:r>
        <w:rPr>
          <w:rFonts w:hint="eastAsia" w:ascii="宋体" w:hAnsi="宋体"/>
          <w:b/>
          <w:szCs w:val="21"/>
        </w:rPr>
        <w:t>表16 2011年南雄市区域环境噪声监测统计结果</w:t>
      </w:r>
    </w:p>
    <w:tbl>
      <w:tblPr>
        <w:tblStyle w:val="14"/>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24"/>
        <w:gridCol w:w="1588"/>
        <w:gridCol w:w="2152"/>
        <w:gridCol w:w="1576"/>
        <w:gridCol w:w="3222"/>
      </w:tblGrid>
      <w:tr w14:paraId="06708D7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715" w:type="pct"/>
            <w:shd w:val="clear" w:color="auto" w:fill="auto"/>
            <w:noWrap/>
            <w:vAlign w:val="center"/>
          </w:tcPr>
          <w:p w14:paraId="000AC508">
            <w:pPr>
              <w:pStyle w:val="23"/>
              <w:jc w:val="center"/>
              <w:rPr>
                <w:b/>
                <w:kern w:val="0"/>
              </w:rPr>
            </w:pPr>
            <w:r>
              <w:rPr>
                <w:b/>
                <w:kern w:val="0"/>
              </w:rPr>
              <w:t>年度</w:t>
            </w:r>
          </w:p>
        </w:tc>
        <w:tc>
          <w:tcPr>
            <w:tcW w:w="797" w:type="pct"/>
            <w:shd w:val="clear" w:color="auto" w:fill="auto"/>
            <w:noWrap/>
            <w:vAlign w:val="center"/>
          </w:tcPr>
          <w:p w14:paraId="2902491B">
            <w:pPr>
              <w:pStyle w:val="23"/>
              <w:jc w:val="center"/>
              <w:rPr>
                <w:b/>
                <w:kern w:val="0"/>
              </w:rPr>
            </w:pPr>
            <w:r>
              <w:rPr>
                <w:b/>
                <w:kern w:val="0"/>
              </w:rPr>
              <w:t>网格大小</w:t>
            </w:r>
          </w:p>
        </w:tc>
        <w:tc>
          <w:tcPr>
            <w:tcW w:w="1080" w:type="pct"/>
            <w:shd w:val="clear" w:color="auto" w:fill="auto"/>
            <w:noWrap/>
            <w:vAlign w:val="center"/>
          </w:tcPr>
          <w:p w14:paraId="126A0369">
            <w:pPr>
              <w:pStyle w:val="23"/>
              <w:jc w:val="center"/>
              <w:rPr>
                <w:b/>
                <w:kern w:val="0"/>
              </w:rPr>
            </w:pPr>
            <w:r>
              <w:rPr>
                <w:b/>
                <w:kern w:val="0"/>
              </w:rPr>
              <w:t>覆盖面积(平方公里)</w:t>
            </w:r>
          </w:p>
        </w:tc>
        <w:tc>
          <w:tcPr>
            <w:tcW w:w="791" w:type="pct"/>
            <w:shd w:val="clear" w:color="auto" w:fill="auto"/>
            <w:noWrap/>
            <w:vAlign w:val="center"/>
          </w:tcPr>
          <w:p w14:paraId="66661273">
            <w:pPr>
              <w:pStyle w:val="23"/>
              <w:jc w:val="center"/>
              <w:rPr>
                <w:b/>
                <w:kern w:val="0"/>
              </w:rPr>
            </w:pPr>
            <w:r>
              <w:rPr>
                <w:b/>
                <w:kern w:val="0"/>
              </w:rPr>
              <w:t>测点总数(个)</w:t>
            </w:r>
          </w:p>
        </w:tc>
        <w:tc>
          <w:tcPr>
            <w:tcW w:w="1617" w:type="pct"/>
            <w:shd w:val="clear" w:color="auto" w:fill="auto"/>
            <w:noWrap/>
            <w:vAlign w:val="center"/>
          </w:tcPr>
          <w:p w14:paraId="7B61BD1F">
            <w:pPr>
              <w:pStyle w:val="23"/>
              <w:jc w:val="center"/>
              <w:rPr>
                <w:kern w:val="0"/>
              </w:rPr>
            </w:pPr>
            <w:r>
              <w:rPr>
                <w:kern w:val="0"/>
              </w:rPr>
              <w:t>Leq</w:t>
            </w:r>
          </w:p>
          <w:p w14:paraId="4ADA7661">
            <w:pPr>
              <w:pStyle w:val="23"/>
              <w:jc w:val="center"/>
              <w:rPr>
                <w:kern w:val="0"/>
              </w:rPr>
            </w:pPr>
            <w:r>
              <w:rPr>
                <w:rFonts w:hint="eastAsia"/>
                <w:kern w:val="0"/>
              </w:rPr>
              <w:t>[dB（A）]</w:t>
            </w:r>
          </w:p>
        </w:tc>
      </w:tr>
      <w:tr w14:paraId="12C0E62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715" w:type="pct"/>
            <w:shd w:val="clear" w:color="auto" w:fill="auto"/>
            <w:noWrap/>
            <w:vAlign w:val="center"/>
          </w:tcPr>
          <w:p w14:paraId="5791754E">
            <w:pPr>
              <w:pStyle w:val="23"/>
              <w:jc w:val="center"/>
              <w:rPr>
                <w:kern w:val="0"/>
              </w:rPr>
            </w:pPr>
            <w:r>
              <w:rPr>
                <w:kern w:val="0"/>
              </w:rPr>
              <w:t>2011</w:t>
            </w:r>
          </w:p>
        </w:tc>
        <w:tc>
          <w:tcPr>
            <w:tcW w:w="797" w:type="pct"/>
            <w:shd w:val="clear" w:color="auto" w:fill="auto"/>
            <w:noWrap/>
            <w:vAlign w:val="center"/>
          </w:tcPr>
          <w:p w14:paraId="37AFDF79">
            <w:pPr>
              <w:pStyle w:val="23"/>
              <w:jc w:val="center"/>
              <w:rPr>
                <w:kern w:val="0"/>
              </w:rPr>
            </w:pPr>
            <w:r>
              <w:rPr>
                <w:kern w:val="0"/>
              </w:rPr>
              <w:t>250×250</w:t>
            </w:r>
          </w:p>
        </w:tc>
        <w:tc>
          <w:tcPr>
            <w:tcW w:w="1080" w:type="pct"/>
            <w:shd w:val="clear" w:color="auto" w:fill="auto"/>
            <w:noWrap/>
            <w:vAlign w:val="center"/>
          </w:tcPr>
          <w:p w14:paraId="63C725B6">
            <w:pPr>
              <w:pStyle w:val="23"/>
              <w:jc w:val="center"/>
              <w:rPr>
                <w:kern w:val="0"/>
              </w:rPr>
            </w:pPr>
            <w:r>
              <w:rPr>
                <w:kern w:val="0"/>
              </w:rPr>
              <w:t>8.4</w:t>
            </w:r>
          </w:p>
        </w:tc>
        <w:tc>
          <w:tcPr>
            <w:tcW w:w="791" w:type="pct"/>
            <w:shd w:val="clear" w:color="auto" w:fill="auto"/>
            <w:noWrap/>
            <w:vAlign w:val="center"/>
          </w:tcPr>
          <w:p w14:paraId="13EBC367">
            <w:pPr>
              <w:pStyle w:val="23"/>
              <w:jc w:val="center"/>
              <w:rPr>
                <w:kern w:val="0"/>
              </w:rPr>
            </w:pPr>
            <w:r>
              <w:rPr>
                <w:kern w:val="0"/>
              </w:rPr>
              <w:t>105</w:t>
            </w:r>
          </w:p>
        </w:tc>
        <w:tc>
          <w:tcPr>
            <w:tcW w:w="1617" w:type="pct"/>
            <w:shd w:val="clear" w:color="auto" w:fill="auto"/>
            <w:noWrap/>
            <w:vAlign w:val="center"/>
          </w:tcPr>
          <w:p w14:paraId="41AA1446">
            <w:pPr>
              <w:pStyle w:val="23"/>
              <w:jc w:val="center"/>
              <w:rPr>
                <w:kern w:val="0"/>
              </w:rPr>
            </w:pPr>
            <w:r>
              <w:rPr>
                <w:kern w:val="0"/>
              </w:rPr>
              <w:t>52.4</w:t>
            </w:r>
          </w:p>
        </w:tc>
      </w:tr>
    </w:tbl>
    <w:p w14:paraId="7ECC8F92">
      <w:pPr>
        <w:ind w:firstLine="420"/>
        <w:rPr>
          <w:rFonts w:ascii="宋体" w:hAnsi="宋体"/>
          <w:szCs w:val="21"/>
        </w:rPr>
      </w:pPr>
      <w:r>
        <w:rPr>
          <w:rFonts w:hint="eastAsia" w:ascii="宋体" w:hAnsi="宋体"/>
          <w:szCs w:val="21"/>
        </w:rPr>
        <w:t>城市区域环境噪声平均等效声级为52.4dB（A），低于1类区55dB（A）的标准，2011年区域环境噪声质量等级属较好。</w:t>
      </w:r>
    </w:p>
    <w:p w14:paraId="6E357490">
      <w:pPr>
        <w:ind w:firstLine="422"/>
        <w:jc w:val="center"/>
        <w:rPr>
          <w:rFonts w:ascii="宋体" w:hAnsi="宋体"/>
          <w:b/>
          <w:szCs w:val="21"/>
        </w:rPr>
      </w:pPr>
      <w:r>
        <w:rPr>
          <w:rFonts w:hint="eastAsia" w:ascii="宋体" w:hAnsi="宋体"/>
          <w:b/>
          <w:szCs w:val="21"/>
        </w:rPr>
        <w:t>表17 2011年饮用水源水质监测结果统计表</w:t>
      </w:r>
    </w:p>
    <w:p w14:paraId="76AEFA8E">
      <w:pPr>
        <w:ind w:firstLine="422"/>
        <w:jc w:val="right"/>
        <w:rPr>
          <w:rFonts w:ascii="宋体" w:hAnsi="宋体"/>
          <w:b/>
          <w:szCs w:val="21"/>
        </w:rPr>
      </w:pPr>
      <w:r>
        <w:rPr>
          <w:rFonts w:hint="eastAsia" w:ascii="宋体" w:hAnsi="宋体"/>
          <w:b/>
          <w:szCs w:val="21"/>
        </w:rPr>
        <w:t>单位：mg/L（pH值：无量纲）</w:t>
      </w:r>
    </w:p>
    <w:tbl>
      <w:tblPr>
        <w:tblStyle w:val="14"/>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79"/>
        <w:gridCol w:w="638"/>
        <w:gridCol w:w="428"/>
        <w:gridCol w:w="499"/>
        <w:gridCol w:w="781"/>
        <w:gridCol w:w="876"/>
        <w:gridCol w:w="451"/>
        <w:gridCol w:w="544"/>
        <w:gridCol w:w="591"/>
        <w:gridCol w:w="591"/>
        <w:gridCol w:w="544"/>
        <w:gridCol w:w="685"/>
        <w:gridCol w:w="685"/>
        <w:gridCol w:w="686"/>
        <w:gridCol w:w="592"/>
        <w:gridCol w:w="592"/>
      </w:tblGrid>
      <w:tr w14:paraId="6877CD4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00" w:type="pct"/>
            <w:shd w:val="clear" w:color="auto" w:fill="auto"/>
            <w:noWrap/>
            <w:vAlign w:val="center"/>
          </w:tcPr>
          <w:p w14:paraId="0C3A0107">
            <w:pPr>
              <w:widowControl/>
              <w:spacing w:line="240" w:lineRule="auto"/>
              <w:ind w:firstLine="0" w:firstLineChars="0"/>
              <w:jc w:val="center"/>
              <w:rPr>
                <w:rFonts w:ascii="宋体" w:hAnsi="宋体" w:cs="Arial"/>
                <w:b/>
                <w:kern w:val="0"/>
                <w:sz w:val="16"/>
                <w:szCs w:val="20"/>
              </w:rPr>
            </w:pPr>
            <w:r>
              <w:rPr>
                <w:rFonts w:ascii="宋体" w:hAnsi="宋体" w:cs="Arial"/>
                <w:b/>
                <w:kern w:val="0"/>
                <w:sz w:val="16"/>
                <w:szCs w:val="20"/>
              </w:rPr>
              <w:t>水源地名称</w:t>
            </w:r>
          </w:p>
        </w:tc>
        <w:tc>
          <w:tcPr>
            <w:tcW w:w="235" w:type="pct"/>
            <w:shd w:val="clear" w:color="auto" w:fill="auto"/>
            <w:noWrap/>
            <w:vAlign w:val="center"/>
          </w:tcPr>
          <w:p w14:paraId="4BCC7B30">
            <w:pPr>
              <w:widowControl/>
              <w:spacing w:line="240" w:lineRule="auto"/>
              <w:ind w:firstLine="0" w:firstLineChars="0"/>
              <w:jc w:val="center"/>
              <w:rPr>
                <w:rFonts w:ascii="宋体" w:hAnsi="宋体" w:cs="Arial"/>
                <w:b/>
                <w:kern w:val="0"/>
                <w:sz w:val="16"/>
                <w:szCs w:val="20"/>
              </w:rPr>
            </w:pPr>
            <w:r>
              <w:rPr>
                <w:rFonts w:ascii="宋体" w:hAnsi="宋体" w:cs="Arial"/>
                <w:b/>
                <w:kern w:val="0"/>
                <w:sz w:val="16"/>
                <w:szCs w:val="20"/>
              </w:rPr>
              <w:t>指标</w:t>
            </w:r>
          </w:p>
        </w:tc>
        <w:tc>
          <w:tcPr>
            <w:tcW w:w="195" w:type="pct"/>
            <w:shd w:val="clear" w:color="auto" w:fill="auto"/>
            <w:noWrap/>
            <w:vAlign w:val="center"/>
          </w:tcPr>
          <w:p w14:paraId="5ACD4413">
            <w:pPr>
              <w:widowControl/>
              <w:spacing w:line="240" w:lineRule="auto"/>
              <w:ind w:firstLine="0" w:firstLineChars="0"/>
              <w:jc w:val="center"/>
              <w:rPr>
                <w:rFonts w:ascii="宋体" w:hAnsi="宋体" w:cs="Arial"/>
                <w:b/>
                <w:kern w:val="0"/>
                <w:sz w:val="16"/>
                <w:szCs w:val="20"/>
              </w:rPr>
            </w:pPr>
            <w:r>
              <w:rPr>
                <w:rFonts w:hint="eastAsia" w:ascii="宋体" w:hAnsi="宋体" w:cs="Arial"/>
                <w:b/>
                <w:kern w:val="0"/>
                <w:sz w:val="16"/>
                <w:szCs w:val="20"/>
              </w:rPr>
              <w:t>p</w:t>
            </w:r>
            <w:r>
              <w:rPr>
                <w:rFonts w:ascii="宋体" w:hAnsi="宋体" w:cs="Arial"/>
                <w:b/>
                <w:kern w:val="0"/>
                <w:sz w:val="16"/>
                <w:szCs w:val="20"/>
              </w:rPr>
              <w:t>H值</w:t>
            </w:r>
          </w:p>
        </w:tc>
        <w:tc>
          <w:tcPr>
            <w:tcW w:w="196" w:type="pct"/>
            <w:shd w:val="clear" w:color="auto" w:fill="auto"/>
            <w:noWrap/>
            <w:vAlign w:val="center"/>
          </w:tcPr>
          <w:p w14:paraId="3939EBB8">
            <w:pPr>
              <w:widowControl/>
              <w:spacing w:line="240" w:lineRule="auto"/>
              <w:ind w:firstLine="0" w:firstLineChars="0"/>
              <w:jc w:val="center"/>
              <w:rPr>
                <w:rFonts w:ascii="宋体" w:hAnsi="宋体" w:cs="Arial"/>
                <w:b/>
                <w:kern w:val="0"/>
                <w:sz w:val="16"/>
                <w:szCs w:val="20"/>
              </w:rPr>
            </w:pPr>
            <w:r>
              <w:rPr>
                <w:rFonts w:ascii="宋体" w:hAnsi="宋体" w:cs="Arial"/>
                <w:b/>
                <w:kern w:val="0"/>
                <w:sz w:val="16"/>
                <w:szCs w:val="20"/>
              </w:rPr>
              <w:t>溶解氧</w:t>
            </w:r>
          </w:p>
        </w:tc>
        <w:tc>
          <w:tcPr>
            <w:tcW w:w="170" w:type="pct"/>
            <w:shd w:val="clear" w:color="auto" w:fill="auto"/>
            <w:noWrap/>
            <w:vAlign w:val="center"/>
          </w:tcPr>
          <w:p w14:paraId="1371F258">
            <w:pPr>
              <w:widowControl/>
              <w:spacing w:line="240" w:lineRule="auto"/>
              <w:ind w:firstLine="0" w:firstLineChars="0"/>
              <w:jc w:val="center"/>
              <w:rPr>
                <w:rFonts w:ascii="宋体" w:hAnsi="宋体" w:cs="Arial"/>
                <w:b/>
                <w:kern w:val="0"/>
                <w:sz w:val="16"/>
                <w:szCs w:val="20"/>
              </w:rPr>
            </w:pPr>
            <w:r>
              <w:rPr>
                <w:rFonts w:ascii="宋体" w:hAnsi="宋体" w:cs="Arial"/>
                <w:b/>
                <w:kern w:val="0"/>
                <w:sz w:val="16"/>
                <w:szCs w:val="20"/>
              </w:rPr>
              <w:t>高锰酸盐指数</w:t>
            </w:r>
          </w:p>
        </w:tc>
        <w:tc>
          <w:tcPr>
            <w:tcW w:w="182" w:type="pct"/>
            <w:shd w:val="clear" w:color="auto" w:fill="auto"/>
            <w:noWrap/>
            <w:vAlign w:val="center"/>
          </w:tcPr>
          <w:p w14:paraId="4A60BE05">
            <w:pPr>
              <w:widowControl/>
              <w:spacing w:line="240" w:lineRule="auto"/>
              <w:ind w:firstLine="0" w:firstLineChars="0"/>
              <w:jc w:val="center"/>
              <w:rPr>
                <w:rFonts w:ascii="宋体" w:hAnsi="宋体" w:cs="Arial"/>
                <w:b/>
                <w:kern w:val="0"/>
                <w:sz w:val="16"/>
                <w:szCs w:val="20"/>
              </w:rPr>
            </w:pPr>
            <w:r>
              <w:rPr>
                <w:rFonts w:ascii="宋体" w:hAnsi="宋体" w:cs="Arial"/>
                <w:b/>
                <w:kern w:val="0"/>
                <w:sz w:val="16"/>
                <w:szCs w:val="20"/>
              </w:rPr>
              <w:t>五日生化需氧量</w:t>
            </w:r>
          </w:p>
        </w:tc>
        <w:tc>
          <w:tcPr>
            <w:tcW w:w="308" w:type="pct"/>
            <w:shd w:val="clear" w:color="auto" w:fill="auto"/>
            <w:noWrap/>
            <w:vAlign w:val="center"/>
          </w:tcPr>
          <w:p w14:paraId="03D8E711">
            <w:pPr>
              <w:widowControl/>
              <w:spacing w:line="240" w:lineRule="auto"/>
              <w:ind w:firstLine="0" w:firstLineChars="0"/>
              <w:jc w:val="center"/>
              <w:rPr>
                <w:rFonts w:ascii="宋体" w:hAnsi="宋体" w:cs="Arial"/>
                <w:b/>
                <w:kern w:val="0"/>
                <w:sz w:val="16"/>
                <w:szCs w:val="20"/>
              </w:rPr>
            </w:pPr>
            <w:r>
              <w:rPr>
                <w:rFonts w:ascii="宋体" w:hAnsi="宋体" w:cs="Arial"/>
                <w:b/>
                <w:kern w:val="0"/>
                <w:sz w:val="16"/>
                <w:szCs w:val="20"/>
              </w:rPr>
              <w:t>氨氮</w:t>
            </w:r>
          </w:p>
        </w:tc>
        <w:tc>
          <w:tcPr>
            <w:tcW w:w="253" w:type="pct"/>
            <w:shd w:val="clear" w:color="auto" w:fill="auto"/>
            <w:noWrap/>
            <w:vAlign w:val="center"/>
          </w:tcPr>
          <w:p w14:paraId="499144C9">
            <w:pPr>
              <w:widowControl/>
              <w:spacing w:line="240" w:lineRule="auto"/>
              <w:ind w:firstLine="0" w:firstLineChars="0"/>
              <w:jc w:val="center"/>
              <w:rPr>
                <w:rFonts w:ascii="宋体" w:hAnsi="宋体" w:cs="Arial"/>
                <w:b/>
                <w:kern w:val="0"/>
                <w:sz w:val="16"/>
                <w:szCs w:val="20"/>
              </w:rPr>
            </w:pPr>
            <w:r>
              <w:rPr>
                <w:rFonts w:ascii="宋体" w:hAnsi="宋体" w:cs="Arial"/>
                <w:b/>
                <w:kern w:val="0"/>
                <w:sz w:val="16"/>
                <w:szCs w:val="20"/>
              </w:rPr>
              <w:t>总磷</w:t>
            </w:r>
          </w:p>
        </w:tc>
        <w:tc>
          <w:tcPr>
            <w:tcW w:w="280" w:type="pct"/>
            <w:shd w:val="clear" w:color="auto" w:fill="auto"/>
            <w:noWrap/>
            <w:vAlign w:val="center"/>
          </w:tcPr>
          <w:p w14:paraId="3EAD63B4">
            <w:pPr>
              <w:widowControl/>
              <w:spacing w:line="240" w:lineRule="auto"/>
              <w:ind w:firstLine="0" w:firstLineChars="0"/>
              <w:jc w:val="center"/>
              <w:rPr>
                <w:rFonts w:ascii="宋体" w:hAnsi="宋体" w:cs="Arial"/>
                <w:b/>
                <w:kern w:val="0"/>
                <w:sz w:val="16"/>
                <w:szCs w:val="20"/>
              </w:rPr>
            </w:pPr>
            <w:r>
              <w:rPr>
                <w:rFonts w:ascii="宋体" w:hAnsi="宋体" w:cs="Arial"/>
                <w:b/>
                <w:kern w:val="0"/>
                <w:sz w:val="16"/>
                <w:szCs w:val="20"/>
              </w:rPr>
              <w:t>铜</w:t>
            </w:r>
          </w:p>
        </w:tc>
        <w:tc>
          <w:tcPr>
            <w:tcW w:w="1148" w:type="pct"/>
            <w:shd w:val="clear" w:color="auto" w:fill="auto"/>
            <w:noWrap/>
            <w:vAlign w:val="center"/>
          </w:tcPr>
          <w:p w14:paraId="7C98FB18">
            <w:pPr>
              <w:widowControl/>
              <w:spacing w:line="240" w:lineRule="auto"/>
              <w:ind w:firstLine="0" w:firstLineChars="0"/>
              <w:jc w:val="center"/>
              <w:rPr>
                <w:rFonts w:ascii="宋体" w:hAnsi="宋体" w:cs="Arial"/>
                <w:b/>
                <w:kern w:val="0"/>
                <w:sz w:val="16"/>
                <w:szCs w:val="20"/>
              </w:rPr>
            </w:pPr>
            <w:r>
              <w:rPr>
                <w:rFonts w:ascii="宋体" w:hAnsi="宋体" w:cs="Arial"/>
                <w:b/>
                <w:kern w:val="0"/>
                <w:sz w:val="16"/>
                <w:szCs w:val="20"/>
              </w:rPr>
              <w:t>锌</w:t>
            </w:r>
          </w:p>
        </w:tc>
        <w:tc>
          <w:tcPr>
            <w:tcW w:w="265" w:type="pct"/>
            <w:shd w:val="clear" w:color="auto" w:fill="auto"/>
            <w:noWrap/>
            <w:vAlign w:val="center"/>
          </w:tcPr>
          <w:p w14:paraId="1E63826D">
            <w:pPr>
              <w:widowControl/>
              <w:spacing w:line="240" w:lineRule="auto"/>
              <w:ind w:firstLine="0" w:firstLineChars="0"/>
              <w:jc w:val="center"/>
              <w:rPr>
                <w:rFonts w:ascii="宋体" w:hAnsi="宋体" w:cs="Arial"/>
                <w:b/>
                <w:kern w:val="0"/>
                <w:sz w:val="16"/>
                <w:szCs w:val="20"/>
              </w:rPr>
            </w:pPr>
            <w:r>
              <w:rPr>
                <w:rFonts w:ascii="宋体" w:hAnsi="宋体" w:cs="Arial"/>
                <w:b/>
                <w:kern w:val="0"/>
                <w:sz w:val="16"/>
                <w:szCs w:val="20"/>
              </w:rPr>
              <w:t>氟化物</w:t>
            </w:r>
          </w:p>
        </w:tc>
        <w:tc>
          <w:tcPr>
            <w:tcW w:w="336" w:type="pct"/>
            <w:shd w:val="clear" w:color="auto" w:fill="auto"/>
            <w:noWrap/>
            <w:vAlign w:val="center"/>
          </w:tcPr>
          <w:p w14:paraId="29F29914">
            <w:pPr>
              <w:widowControl/>
              <w:spacing w:line="240" w:lineRule="auto"/>
              <w:ind w:firstLine="0" w:firstLineChars="0"/>
              <w:jc w:val="center"/>
              <w:rPr>
                <w:rFonts w:ascii="宋体" w:hAnsi="宋体" w:cs="Arial"/>
                <w:b/>
                <w:kern w:val="0"/>
                <w:sz w:val="16"/>
                <w:szCs w:val="20"/>
              </w:rPr>
            </w:pPr>
            <w:r>
              <w:rPr>
                <w:rFonts w:ascii="宋体" w:hAnsi="宋体" w:cs="Arial"/>
                <w:b/>
                <w:kern w:val="0"/>
                <w:sz w:val="16"/>
                <w:szCs w:val="20"/>
              </w:rPr>
              <w:t>硒</w:t>
            </w:r>
          </w:p>
        </w:tc>
        <w:tc>
          <w:tcPr>
            <w:tcW w:w="336" w:type="pct"/>
            <w:shd w:val="clear" w:color="auto" w:fill="auto"/>
            <w:noWrap/>
            <w:vAlign w:val="center"/>
          </w:tcPr>
          <w:p w14:paraId="651D166F">
            <w:pPr>
              <w:widowControl/>
              <w:spacing w:line="240" w:lineRule="auto"/>
              <w:ind w:firstLine="0" w:firstLineChars="0"/>
              <w:jc w:val="center"/>
              <w:rPr>
                <w:rFonts w:ascii="宋体" w:hAnsi="宋体" w:cs="Arial"/>
                <w:b/>
                <w:kern w:val="0"/>
                <w:sz w:val="16"/>
                <w:szCs w:val="20"/>
              </w:rPr>
            </w:pPr>
            <w:r>
              <w:rPr>
                <w:rFonts w:ascii="宋体" w:hAnsi="宋体" w:cs="Arial"/>
                <w:b/>
                <w:kern w:val="0"/>
                <w:sz w:val="16"/>
                <w:szCs w:val="20"/>
              </w:rPr>
              <w:t>砷</w:t>
            </w:r>
          </w:p>
        </w:tc>
        <w:tc>
          <w:tcPr>
            <w:tcW w:w="336" w:type="pct"/>
            <w:shd w:val="clear" w:color="auto" w:fill="auto"/>
            <w:noWrap/>
            <w:vAlign w:val="center"/>
          </w:tcPr>
          <w:p w14:paraId="68554847">
            <w:pPr>
              <w:widowControl/>
              <w:spacing w:line="240" w:lineRule="auto"/>
              <w:ind w:firstLine="0" w:firstLineChars="0"/>
              <w:jc w:val="center"/>
              <w:rPr>
                <w:rFonts w:ascii="宋体" w:hAnsi="宋体" w:cs="Arial"/>
                <w:b/>
                <w:kern w:val="0"/>
                <w:sz w:val="16"/>
                <w:szCs w:val="20"/>
              </w:rPr>
            </w:pPr>
            <w:r>
              <w:rPr>
                <w:rFonts w:ascii="宋体" w:hAnsi="宋体" w:cs="Arial"/>
                <w:b/>
                <w:kern w:val="0"/>
                <w:sz w:val="16"/>
                <w:szCs w:val="20"/>
              </w:rPr>
              <w:t>汞</w:t>
            </w:r>
          </w:p>
        </w:tc>
        <w:tc>
          <w:tcPr>
            <w:tcW w:w="280" w:type="pct"/>
            <w:shd w:val="clear" w:color="auto" w:fill="auto"/>
            <w:noWrap/>
            <w:vAlign w:val="center"/>
          </w:tcPr>
          <w:p w14:paraId="0638938D">
            <w:pPr>
              <w:widowControl/>
              <w:spacing w:line="240" w:lineRule="auto"/>
              <w:ind w:firstLine="0" w:firstLineChars="0"/>
              <w:jc w:val="center"/>
              <w:rPr>
                <w:rFonts w:ascii="宋体" w:hAnsi="宋体" w:cs="Arial"/>
                <w:b/>
                <w:kern w:val="0"/>
                <w:sz w:val="16"/>
                <w:szCs w:val="20"/>
              </w:rPr>
            </w:pPr>
            <w:r>
              <w:rPr>
                <w:rFonts w:ascii="宋体" w:hAnsi="宋体" w:cs="Arial"/>
                <w:b/>
                <w:kern w:val="0"/>
                <w:sz w:val="16"/>
                <w:szCs w:val="20"/>
              </w:rPr>
              <w:t>镉</w:t>
            </w:r>
          </w:p>
        </w:tc>
        <w:tc>
          <w:tcPr>
            <w:tcW w:w="280" w:type="pct"/>
            <w:shd w:val="clear" w:color="auto" w:fill="auto"/>
            <w:noWrap/>
            <w:vAlign w:val="center"/>
          </w:tcPr>
          <w:p w14:paraId="0DFAD094">
            <w:pPr>
              <w:widowControl/>
              <w:spacing w:line="240" w:lineRule="auto"/>
              <w:ind w:firstLine="0" w:firstLineChars="0"/>
              <w:jc w:val="center"/>
              <w:rPr>
                <w:rFonts w:ascii="宋体" w:hAnsi="宋体" w:cs="Arial"/>
                <w:b/>
                <w:kern w:val="0"/>
                <w:sz w:val="16"/>
                <w:szCs w:val="20"/>
              </w:rPr>
            </w:pPr>
            <w:r>
              <w:rPr>
                <w:rFonts w:ascii="宋体" w:hAnsi="宋体" w:cs="Arial"/>
                <w:b/>
                <w:kern w:val="0"/>
                <w:sz w:val="16"/>
                <w:szCs w:val="20"/>
              </w:rPr>
              <w:t>六价铬</w:t>
            </w:r>
          </w:p>
        </w:tc>
      </w:tr>
      <w:tr w14:paraId="7F4B208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00" w:type="pct"/>
            <w:vMerge w:val="restart"/>
            <w:shd w:val="clear" w:color="auto" w:fill="auto"/>
            <w:noWrap/>
            <w:vAlign w:val="center"/>
          </w:tcPr>
          <w:p w14:paraId="2E6F7F1C">
            <w:pPr>
              <w:widowControl/>
              <w:spacing w:line="240" w:lineRule="auto"/>
              <w:ind w:firstLine="0" w:firstLineChars="0"/>
              <w:jc w:val="center"/>
              <w:rPr>
                <w:rFonts w:ascii="宋体" w:hAnsi="宋体" w:cs="Arial"/>
                <w:kern w:val="0"/>
                <w:sz w:val="16"/>
                <w:szCs w:val="20"/>
              </w:rPr>
            </w:pPr>
            <w:r>
              <w:rPr>
                <w:rFonts w:ascii="宋体" w:hAnsi="宋体" w:cs="Arial"/>
                <w:kern w:val="0"/>
                <w:sz w:val="16"/>
                <w:szCs w:val="20"/>
              </w:rPr>
              <w:t>瀑布水库塘坪</w:t>
            </w:r>
          </w:p>
        </w:tc>
        <w:tc>
          <w:tcPr>
            <w:tcW w:w="235" w:type="pct"/>
            <w:shd w:val="clear" w:color="auto" w:fill="auto"/>
            <w:noWrap/>
            <w:vAlign w:val="center"/>
          </w:tcPr>
          <w:p w14:paraId="795DAB70">
            <w:pPr>
              <w:widowControl/>
              <w:spacing w:line="240" w:lineRule="auto"/>
              <w:ind w:firstLine="0" w:firstLineChars="0"/>
              <w:jc w:val="center"/>
              <w:rPr>
                <w:rFonts w:ascii="宋体" w:hAnsi="宋体" w:cs="Arial"/>
                <w:kern w:val="0"/>
                <w:sz w:val="16"/>
                <w:szCs w:val="20"/>
              </w:rPr>
            </w:pPr>
            <w:r>
              <w:rPr>
                <w:rFonts w:ascii="宋体" w:hAnsi="宋体" w:cs="Arial"/>
                <w:kern w:val="0"/>
                <w:sz w:val="16"/>
                <w:szCs w:val="20"/>
              </w:rPr>
              <w:t>样品数</w:t>
            </w:r>
          </w:p>
        </w:tc>
        <w:tc>
          <w:tcPr>
            <w:tcW w:w="195" w:type="pct"/>
            <w:shd w:val="clear" w:color="auto" w:fill="auto"/>
            <w:noWrap/>
            <w:vAlign w:val="center"/>
          </w:tcPr>
          <w:p w14:paraId="7532A7EB">
            <w:pPr>
              <w:widowControl/>
              <w:spacing w:line="240" w:lineRule="auto"/>
              <w:ind w:firstLine="0" w:firstLineChars="0"/>
              <w:jc w:val="center"/>
              <w:rPr>
                <w:rFonts w:ascii="宋体" w:hAnsi="宋体" w:cs="Arial"/>
                <w:kern w:val="0"/>
                <w:sz w:val="16"/>
                <w:szCs w:val="20"/>
              </w:rPr>
            </w:pPr>
            <w:r>
              <w:rPr>
                <w:rFonts w:hint="eastAsia" w:ascii="宋体" w:hAnsi="宋体" w:cs="Arial"/>
                <w:kern w:val="0"/>
                <w:sz w:val="16"/>
                <w:szCs w:val="20"/>
              </w:rPr>
              <w:t>12</w:t>
            </w:r>
          </w:p>
        </w:tc>
        <w:tc>
          <w:tcPr>
            <w:tcW w:w="196" w:type="pct"/>
            <w:shd w:val="clear" w:color="auto" w:fill="auto"/>
            <w:noWrap/>
            <w:vAlign w:val="center"/>
          </w:tcPr>
          <w:p w14:paraId="29214DBB">
            <w:pPr>
              <w:widowControl/>
              <w:spacing w:line="240" w:lineRule="auto"/>
              <w:ind w:firstLine="0" w:firstLineChars="0"/>
              <w:jc w:val="center"/>
              <w:rPr>
                <w:rFonts w:ascii="宋体" w:hAnsi="宋体" w:cs="Arial"/>
                <w:kern w:val="0"/>
                <w:sz w:val="16"/>
                <w:szCs w:val="20"/>
              </w:rPr>
            </w:pPr>
            <w:r>
              <w:rPr>
                <w:rFonts w:hint="eastAsia" w:ascii="宋体" w:hAnsi="宋体" w:cs="Arial"/>
                <w:kern w:val="0"/>
                <w:sz w:val="16"/>
                <w:szCs w:val="20"/>
              </w:rPr>
              <w:t>12</w:t>
            </w:r>
          </w:p>
        </w:tc>
        <w:tc>
          <w:tcPr>
            <w:tcW w:w="170" w:type="pct"/>
            <w:shd w:val="clear" w:color="auto" w:fill="auto"/>
            <w:noWrap/>
            <w:vAlign w:val="center"/>
          </w:tcPr>
          <w:p w14:paraId="51351213">
            <w:pPr>
              <w:widowControl/>
              <w:spacing w:line="240" w:lineRule="auto"/>
              <w:ind w:firstLine="0" w:firstLineChars="0"/>
              <w:jc w:val="center"/>
              <w:rPr>
                <w:rFonts w:ascii="宋体" w:hAnsi="宋体" w:cs="Arial"/>
                <w:kern w:val="0"/>
                <w:sz w:val="16"/>
                <w:szCs w:val="20"/>
              </w:rPr>
            </w:pPr>
            <w:r>
              <w:rPr>
                <w:rFonts w:hint="eastAsia" w:ascii="宋体" w:hAnsi="宋体" w:cs="Arial"/>
                <w:kern w:val="0"/>
                <w:sz w:val="16"/>
                <w:szCs w:val="20"/>
              </w:rPr>
              <w:t>12</w:t>
            </w:r>
          </w:p>
        </w:tc>
        <w:tc>
          <w:tcPr>
            <w:tcW w:w="182" w:type="pct"/>
            <w:shd w:val="clear" w:color="auto" w:fill="auto"/>
            <w:noWrap/>
            <w:vAlign w:val="center"/>
          </w:tcPr>
          <w:p w14:paraId="45735600">
            <w:pPr>
              <w:widowControl/>
              <w:spacing w:line="240" w:lineRule="auto"/>
              <w:ind w:firstLine="0" w:firstLineChars="0"/>
              <w:jc w:val="center"/>
              <w:rPr>
                <w:rFonts w:ascii="宋体" w:hAnsi="宋体" w:cs="Arial"/>
                <w:kern w:val="0"/>
                <w:sz w:val="16"/>
                <w:szCs w:val="20"/>
              </w:rPr>
            </w:pPr>
            <w:r>
              <w:rPr>
                <w:rFonts w:hint="eastAsia" w:ascii="宋体" w:hAnsi="宋体" w:cs="Arial"/>
                <w:kern w:val="0"/>
                <w:sz w:val="16"/>
                <w:szCs w:val="20"/>
              </w:rPr>
              <w:t>2</w:t>
            </w:r>
          </w:p>
        </w:tc>
        <w:tc>
          <w:tcPr>
            <w:tcW w:w="308" w:type="pct"/>
            <w:shd w:val="clear" w:color="auto" w:fill="auto"/>
            <w:noWrap/>
            <w:vAlign w:val="center"/>
          </w:tcPr>
          <w:p w14:paraId="3EE75D35">
            <w:pPr>
              <w:widowControl/>
              <w:spacing w:line="240" w:lineRule="auto"/>
              <w:ind w:firstLine="0" w:firstLineChars="0"/>
              <w:jc w:val="center"/>
              <w:rPr>
                <w:rFonts w:ascii="宋体" w:hAnsi="宋体" w:cs="Arial"/>
                <w:kern w:val="0"/>
                <w:sz w:val="16"/>
                <w:szCs w:val="20"/>
              </w:rPr>
            </w:pPr>
            <w:r>
              <w:rPr>
                <w:rFonts w:hint="eastAsia" w:ascii="宋体" w:hAnsi="宋体" w:cs="Arial"/>
                <w:kern w:val="0"/>
                <w:sz w:val="16"/>
                <w:szCs w:val="20"/>
              </w:rPr>
              <w:t>12</w:t>
            </w:r>
          </w:p>
        </w:tc>
        <w:tc>
          <w:tcPr>
            <w:tcW w:w="253" w:type="pct"/>
            <w:shd w:val="clear" w:color="auto" w:fill="auto"/>
            <w:noWrap/>
            <w:vAlign w:val="center"/>
          </w:tcPr>
          <w:p w14:paraId="6E5A5D11">
            <w:pPr>
              <w:widowControl/>
              <w:spacing w:line="240" w:lineRule="auto"/>
              <w:ind w:firstLine="0" w:firstLineChars="0"/>
              <w:jc w:val="center"/>
              <w:rPr>
                <w:rFonts w:ascii="宋体" w:hAnsi="宋体" w:cs="Arial"/>
                <w:kern w:val="0"/>
                <w:sz w:val="16"/>
                <w:szCs w:val="20"/>
              </w:rPr>
            </w:pPr>
            <w:r>
              <w:rPr>
                <w:rFonts w:hint="eastAsia" w:ascii="宋体" w:hAnsi="宋体" w:cs="Arial"/>
                <w:kern w:val="0"/>
                <w:sz w:val="16"/>
                <w:szCs w:val="20"/>
              </w:rPr>
              <w:t>12</w:t>
            </w:r>
          </w:p>
        </w:tc>
        <w:tc>
          <w:tcPr>
            <w:tcW w:w="280" w:type="pct"/>
            <w:shd w:val="clear" w:color="auto" w:fill="auto"/>
            <w:noWrap/>
            <w:vAlign w:val="center"/>
          </w:tcPr>
          <w:p w14:paraId="27BB20AA">
            <w:pPr>
              <w:widowControl/>
              <w:spacing w:line="240" w:lineRule="auto"/>
              <w:ind w:firstLine="0" w:firstLineChars="0"/>
              <w:jc w:val="center"/>
              <w:rPr>
                <w:rFonts w:ascii="宋体" w:hAnsi="宋体" w:cs="Arial"/>
                <w:kern w:val="0"/>
                <w:sz w:val="16"/>
                <w:szCs w:val="20"/>
              </w:rPr>
            </w:pPr>
            <w:r>
              <w:rPr>
                <w:rFonts w:hint="eastAsia" w:ascii="宋体" w:hAnsi="宋体" w:cs="Arial"/>
                <w:kern w:val="0"/>
                <w:sz w:val="16"/>
                <w:szCs w:val="20"/>
              </w:rPr>
              <w:t>2</w:t>
            </w:r>
          </w:p>
        </w:tc>
        <w:tc>
          <w:tcPr>
            <w:tcW w:w="1148" w:type="pct"/>
            <w:shd w:val="clear" w:color="auto" w:fill="auto"/>
            <w:noWrap/>
            <w:vAlign w:val="center"/>
          </w:tcPr>
          <w:p w14:paraId="16411CAF">
            <w:pPr>
              <w:widowControl/>
              <w:spacing w:line="240" w:lineRule="auto"/>
              <w:ind w:firstLine="0" w:firstLineChars="0"/>
              <w:jc w:val="center"/>
              <w:rPr>
                <w:rFonts w:ascii="宋体" w:hAnsi="宋体" w:cs="Arial"/>
                <w:kern w:val="0"/>
                <w:sz w:val="16"/>
                <w:szCs w:val="20"/>
              </w:rPr>
            </w:pPr>
            <w:r>
              <w:rPr>
                <w:rFonts w:hint="eastAsia" w:ascii="宋体" w:hAnsi="宋体" w:cs="Arial"/>
                <w:kern w:val="0"/>
                <w:sz w:val="16"/>
                <w:szCs w:val="20"/>
              </w:rPr>
              <w:t>2</w:t>
            </w:r>
          </w:p>
        </w:tc>
        <w:tc>
          <w:tcPr>
            <w:tcW w:w="265" w:type="pct"/>
            <w:shd w:val="clear" w:color="auto" w:fill="auto"/>
            <w:noWrap/>
            <w:vAlign w:val="center"/>
          </w:tcPr>
          <w:p w14:paraId="4BDD195E">
            <w:pPr>
              <w:widowControl/>
              <w:spacing w:line="240" w:lineRule="auto"/>
              <w:ind w:firstLine="0" w:firstLineChars="0"/>
              <w:jc w:val="center"/>
              <w:rPr>
                <w:rFonts w:ascii="宋体" w:hAnsi="宋体" w:cs="Arial"/>
                <w:kern w:val="0"/>
                <w:sz w:val="16"/>
                <w:szCs w:val="20"/>
              </w:rPr>
            </w:pPr>
            <w:r>
              <w:rPr>
                <w:rFonts w:ascii="宋体" w:hAnsi="宋体" w:cs="Arial"/>
                <w:kern w:val="0"/>
                <w:sz w:val="16"/>
                <w:szCs w:val="20"/>
              </w:rPr>
              <w:t>12</w:t>
            </w:r>
          </w:p>
        </w:tc>
        <w:tc>
          <w:tcPr>
            <w:tcW w:w="336" w:type="pct"/>
            <w:shd w:val="clear" w:color="auto" w:fill="auto"/>
            <w:noWrap/>
            <w:vAlign w:val="center"/>
          </w:tcPr>
          <w:p w14:paraId="3DA1361B">
            <w:pPr>
              <w:widowControl/>
              <w:spacing w:line="240" w:lineRule="auto"/>
              <w:ind w:firstLine="0" w:firstLineChars="0"/>
              <w:jc w:val="center"/>
              <w:rPr>
                <w:rFonts w:ascii="宋体" w:hAnsi="宋体" w:cs="Arial"/>
                <w:kern w:val="0"/>
                <w:sz w:val="16"/>
                <w:szCs w:val="20"/>
              </w:rPr>
            </w:pPr>
            <w:r>
              <w:rPr>
                <w:rFonts w:ascii="宋体" w:hAnsi="宋体" w:cs="Arial"/>
                <w:kern w:val="0"/>
                <w:sz w:val="16"/>
                <w:szCs w:val="20"/>
              </w:rPr>
              <w:t>3</w:t>
            </w:r>
          </w:p>
        </w:tc>
        <w:tc>
          <w:tcPr>
            <w:tcW w:w="336" w:type="pct"/>
            <w:shd w:val="clear" w:color="auto" w:fill="auto"/>
            <w:noWrap/>
            <w:vAlign w:val="center"/>
          </w:tcPr>
          <w:p w14:paraId="0C028740">
            <w:pPr>
              <w:widowControl/>
              <w:spacing w:line="240" w:lineRule="auto"/>
              <w:ind w:firstLine="0" w:firstLineChars="0"/>
              <w:jc w:val="center"/>
              <w:rPr>
                <w:rFonts w:ascii="宋体" w:hAnsi="宋体" w:cs="Arial"/>
                <w:kern w:val="0"/>
                <w:sz w:val="16"/>
                <w:szCs w:val="20"/>
              </w:rPr>
            </w:pPr>
            <w:r>
              <w:rPr>
                <w:rFonts w:ascii="宋体" w:hAnsi="宋体" w:cs="Arial"/>
                <w:kern w:val="0"/>
                <w:sz w:val="16"/>
                <w:szCs w:val="20"/>
              </w:rPr>
              <w:t>3</w:t>
            </w:r>
          </w:p>
        </w:tc>
        <w:tc>
          <w:tcPr>
            <w:tcW w:w="336" w:type="pct"/>
            <w:shd w:val="clear" w:color="auto" w:fill="auto"/>
            <w:noWrap/>
            <w:vAlign w:val="center"/>
          </w:tcPr>
          <w:p w14:paraId="4947551A">
            <w:pPr>
              <w:widowControl/>
              <w:spacing w:line="240" w:lineRule="auto"/>
              <w:ind w:firstLine="0" w:firstLineChars="0"/>
              <w:jc w:val="center"/>
              <w:rPr>
                <w:rFonts w:ascii="宋体" w:hAnsi="宋体" w:cs="Arial"/>
                <w:kern w:val="0"/>
                <w:sz w:val="16"/>
                <w:szCs w:val="20"/>
              </w:rPr>
            </w:pPr>
            <w:r>
              <w:rPr>
                <w:rFonts w:ascii="宋体" w:hAnsi="宋体" w:cs="Arial"/>
                <w:kern w:val="0"/>
                <w:sz w:val="16"/>
                <w:szCs w:val="20"/>
              </w:rPr>
              <w:t>2</w:t>
            </w:r>
          </w:p>
        </w:tc>
        <w:tc>
          <w:tcPr>
            <w:tcW w:w="280" w:type="pct"/>
            <w:shd w:val="clear" w:color="auto" w:fill="auto"/>
            <w:noWrap/>
            <w:vAlign w:val="center"/>
          </w:tcPr>
          <w:p w14:paraId="1BCE6CA9">
            <w:pPr>
              <w:widowControl/>
              <w:spacing w:line="240" w:lineRule="auto"/>
              <w:ind w:firstLine="0" w:firstLineChars="0"/>
              <w:jc w:val="center"/>
              <w:rPr>
                <w:rFonts w:ascii="宋体" w:hAnsi="宋体" w:cs="Arial"/>
                <w:kern w:val="0"/>
                <w:sz w:val="16"/>
                <w:szCs w:val="20"/>
              </w:rPr>
            </w:pPr>
            <w:r>
              <w:rPr>
                <w:rFonts w:ascii="宋体" w:hAnsi="宋体" w:cs="Arial"/>
                <w:kern w:val="0"/>
                <w:sz w:val="16"/>
                <w:szCs w:val="20"/>
              </w:rPr>
              <w:t>2</w:t>
            </w:r>
          </w:p>
        </w:tc>
        <w:tc>
          <w:tcPr>
            <w:tcW w:w="280" w:type="pct"/>
            <w:shd w:val="clear" w:color="auto" w:fill="auto"/>
            <w:noWrap/>
            <w:vAlign w:val="center"/>
          </w:tcPr>
          <w:p w14:paraId="27AF54E6">
            <w:pPr>
              <w:widowControl/>
              <w:spacing w:line="240" w:lineRule="auto"/>
              <w:ind w:firstLine="0" w:firstLineChars="0"/>
              <w:jc w:val="center"/>
              <w:rPr>
                <w:rFonts w:ascii="宋体" w:hAnsi="宋体" w:cs="Arial"/>
                <w:kern w:val="0"/>
                <w:sz w:val="16"/>
                <w:szCs w:val="20"/>
              </w:rPr>
            </w:pPr>
            <w:r>
              <w:rPr>
                <w:rFonts w:ascii="宋体" w:hAnsi="宋体" w:cs="Arial"/>
                <w:kern w:val="0"/>
                <w:sz w:val="16"/>
                <w:szCs w:val="20"/>
              </w:rPr>
              <w:t>2</w:t>
            </w:r>
          </w:p>
        </w:tc>
      </w:tr>
      <w:tr w14:paraId="125C67D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00" w:type="pct"/>
            <w:vMerge w:val="continue"/>
            <w:vAlign w:val="center"/>
          </w:tcPr>
          <w:p w14:paraId="7113884B">
            <w:pPr>
              <w:widowControl/>
              <w:spacing w:line="240" w:lineRule="auto"/>
              <w:ind w:firstLine="0" w:firstLineChars="0"/>
              <w:jc w:val="center"/>
              <w:rPr>
                <w:rFonts w:ascii="宋体" w:hAnsi="宋体" w:cs="Arial"/>
                <w:kern w:val="0"/>
                <w:sz w:val="16"/>
                <w:szCs w:val="20"/>
              </w:rPr>
            </w:pPr>
          </w:p>
        </w:tc>
        <w:tc>
          <w:tcPr>
            <w:tcW w:w="235" w:type="pct"/>
            <w:shd w:val="clear" w:color="auto" w:fill="auto"/>
            <w:noWrap/>
            <w:vAlign w:val="center"/>
          </w:tcPr>
          <w:p w14:paraId="74C225E5">
            <w:pPr>
              <w:widowControl/>
              <w:spacing w:line="240" w:lineRule="auto"/>
              <w:ind w:firstLine="0" w:firstLineChars="0"/>
              <w:jc w:val="center"/>
              <w:rPr>
                <w:rFonts w:ascii="宋体" w:hAnsi="宋体" w:cs="Arial"/>
                <w:kern w:val="0"/>
                <w:sz w:val="16"/>
                <w:szCs w:val="20"/>
              </w:rPr>
            </w:pPr>
            <w:r>
              <w:rPr>
                <w:rFonts w:ascii="宋体" w:hAnsi="宋体" w:cs="Arial"/>
                <w:kern w:val="0"/>
                <w:sz w:val="16"/>
                <w:szCs w:val="20"/>
              </w:rPr>
              <w:t>最大值</w:t>
            </w:r>
          </w:p>
        </w:tc>
        <w:tc>
          <w:tcPr>
            <w:tcW w:w="195" w:type="pct"/>
            <w:shd w:val="clear" w:color="auto" w:fill="auto"/>
            <w:noWrap/>
            <w:vAlign w:val="center"/>
          </w:tcPr>
          <w:p w14:paraId="015A0C94">
            <w:pPr>
              <w:widowControl/>
              <w:spacing w:line="240" w:lineRule="auto"/>
              <w:ind w:firstLine="0" w:firstLineChars="0"/>
              <w:jc w:val="center"/>
              <w:rPr>
                <w:rFonts w:ascii="宋体" w:hAnsi="宋体" w:cs="Arial"/>
                <w:kern w:val="0"/>
                <w:sz w:val="16"/>
                <w:szCs w:val="20"/>
              </w:rPr>
            </w:pPr>
            <w:r>
              <w:rPr>
                <w:rFonts w:ascii="宋体" w:hAnsi="宋体" w:cs="Arial"/>
                <w:kern w:val="0"/>
                <w:sz w:val="16"/>
                <w:szCs w:val="20"/>
              </w:rPr>
              <w:t>34.9</w:t>
            </w:r>
          </w:p>
        </w:tc>
        <w:tc>
          <w:tcPr>
            <w:tcW w:w="196" w:type="pct"/>
            <w:shd w:val="clear" w:color="auto" w:fill="auto"/>
            <w:noWrap/>
            <w:vAlign w:val="center"/>
          </w:tcPr>
          <w:p w14:paraId="2CB0FD7C">
            <w:pPr>
              <w:widowControl/>
              <w:spacing w:line="240" w:lineRule="auto"/>
              <w:ind w:firstLine="0" w:firstLineChars="0"/>
              <w:jc w:val="center"/>
              <w:rPr>
                <w:rFonts w:ascii="宋体" w:hAnsi="宋体" w:cs="Arial"/>
                <w:kern w:val="0"/>
                <w:sz w:val="16"/>
                <w:szCs w:val="20"/>
              </w:rPr>
            </w:pPr>
            <w:r>
              <w:rPr>
                <w:rFonts w:ascii="宋体" w:hAnsi="宋体" w:cs="Arial"/>
                <w:kern w:val="0"/>
                <w:sz w:val="16"/>
                <w:szCs w:val="20"/>
              </w:rPr>
              <w:t>7.76</w:t>
            </w:r>
          </w:p>
        </w:tc>
        <w:tc>
          <w:tcPr>
            <w:tcW w:w="170" w:type="pct"/>
            <w:shd w:val="clear" w:color="auto" w:fill="auto"/>
            <w:noWrap/>
            <w:vAlign w:val="center"/>
          </w:tcPr>
          <w:p w14:paraId="412B6117">
            <w:pPr>
              <w:widowControl/>
              <w:spacing w:line="240" w:lineRule="auto"/>
              <w:ind w:firstLine="0" w:firstLineChars="0"/>
              <w:jc w:val="center"/>
              <w:rPr>
                <w:rFonts w:ascii="宋体" w:hAnsi="宋体" w:cs="Arial"/>
                <w:kern w:val="0"/>
                <w:sz w:val="16"/>
                <w:szCs w:val="20"/>
              </w:rPr>
            </w:pPr>
            <w:r>
              <w:rPr>
                <w:rFonts w:ascii="宋体" w:hAnsi="宋体" w:cs="Arial"/>
                <w:kern w:val="0"/>
                <w:sz w:val="16"/>
                <w:szCs w:val="20"/>
              </w:rPr>
              <w:t>11.0</w:t>
            </w:r>
          </w:p>
        </w:tc>
        <w:tc>
          <w:tcPr>
            <w:tcW w:w="182" w:type="pct"/>
            <w:shd w:val="clear" w:color="auto" w:fill="auto"/>
            <w:noWrap/>
            <w:vAlign w:val="center"/>
          </w:tcPr>
          <w:p w14:paraId="204081EF">
            <w:pPr>
              <w:widowControl/>
              <w:spacing w:line="240" w:lineRule="auto"/>
              <w:ind w:firstLine="0" w:firstLineChars="0"/>
              <w:jc w:val="center"/>
              <w:rPr>
                <w:rFonts w:ascii="宋体" w:hAnsi="宋体" w:cs="Arial"/>
                <w:kern w:val="0"/>
                <w:sz w:val="16"/>
                <w:szCs w:val="20"/>
              </w:rPr>
            </w:pPr>
            <w:r>
              <w:rPr>
                <w:rFonts w:ascii="宋体" w:hAnsi="宋体" w:cs="Arial"/>
                <w:kern w:val="0"/>
                <w:sz w:val="16"/>
                <w:szCs w:val="20"/>
              </w:rPr>
              <w:t>3.7</w:t>
            </w:r>
          </w:p>
        </w:tc>
        <w:tc>
          <w:tcPr>
            <w:tcW w:w="308" w:type="pct"/>
            <w:shd w:val="clear" w:color="auto" w:fill="auto"/>
            <w:noWrap/>
            <w:vAlign w:val="center"/>
          </w:tcPr>
          <w:p w14:paraId="56E2A97B">
            <w:pPr>
              <w:widowControl/>
              <w:spacing w:line="240" w:lineRule="auto"/>
              <w:ind w:firstLine="0" w:firstLineChars="0"/>
              <w:jc w:val="center"/>
              <w:rPr>
                <w:rFonts w:ascii="宋体" w:hAnsi="宋体" w:cs="Arial"/>
                <w:kern w:val="0"/>
                <w:sz w:val="16"/>
                <w:szCs w:val="20"/>
              </w:rPr>
            </w:pPr>
            <w:r>
              <w:rPr>
                <w:rFonts w:ascii="宋体" w:hAnsi="宋体" w:cs="Arial"/>
                <w:kern w:val="0"/>
                <w:sz w:val="16"/>
                <w:szCs w:val="20"/>
              </w:rPr>
              <w:t>2.8</w:t>
            </w:r>
          </w:p>
        </w:tc>
        <w:tc>
          <w:tcPr>
            <w:tcW w:w="253" w:type="pct"/>
            <w:shd w:val="clear" w:color="auto" w:fill="auto"/>
            <w:noWrap/>
            <w:vAlign w:val="center"/>
          </w:tcPr>
          <w:p w14:paraId="6C3F7EFD">
            <w:pPr>
              <w:widowControl/>
              <w:spacing w:line="240" w:lineRule="auto"/>
              <w:ind w:firstLine="0" w:firstLineChars="0"/>
              <w:jc w:val="center"/>
              <w:rPr>
                <w:rFonts w:ascii="宋体" w:hAnsi="宋体" w:cs="Arial"/>
                <w:kern w:val="0"/>
                <w:sz w:val="16"/>
                <w:szCs w:val="20"/>
              </w:rPr>
            </w:pPr>
            <w:r>
              <w:rPr>
                <w:rFonts w:ascii="宋体" w:hAnsi="宋体" w:cs="Arial"/>
                <w:kern w:val="0"/>
                <w:sz w:val="16"/>
                <w:szCs w:val="20"/>
              </w:rPr>
              <w:t>0.292</w:t>
            </w:r>
          </w:p>
        </w:tc>
        <w:tc>
          <w:tcPr>
            <w:tcW w:w="280" w:type="pct"/>
            <w:shd w:val="clear" w:color="auto" w:fill="auto"/>
            <w:noWrap/>
            <w:vAlign w:val="center"/>
          </w:tcPr>
          <w:p w14:paraId="5679E3E8">
            <w:pPr>
              <w:widowControl/>
              <w:spacing w:line="240" w:lineRule="auto"/>
              <w:ind w:firstLine="0" w:firstLineChars="0"/>
              <w:jc w:val="center"/>
              <w:rPr>
                <w:rFonts w:ascii="宋体" w:hAnsi="宋体" w:cs="Arial"/>
                <w:kern w:val="0"/>
                <w:sz w:val="16"/>
                <w:szCs w:val="20"/>
              </w:rPr>
            </w:pPr>
            <w:r>
              <w:rPr>
                <w:rFonts w:ascii="宋体" w:hAnsi="宋体" w:cs="Arial"/>
                <w:kern w:val="0"/>
                <w:sz w:val="16"/>
                <w:szCs w:val="20"/>
              </w:rPr>
              <w:t>0.005</w:t>
            </w:r>
          </w:p>
        </w:tc>
        <w:tc>
          <w:tcPr>
            <w:tcW w:w="1148" w:type="pct"/>
            <w:shd w:val="clear" w:color="auto" w:fill="auto"/>
            <w:noWrap/>
            <w:vAlign w:val="center"/>
          </w:tcPr>
          <w:p w14:paraId="29D1D031">
            <w:pPr>
              <w:widowControl/>
              <w:spacing w:line="240" w:lineRule="auto"/>
              <w:ind w:firstLine="0" w:firstLineChars="0"/>
              <w:jc w:val="center"/>
              <w:rPr>
                <w:rFonts w:ascii="宋体" w:hAnsi="宋体" w:cs="Arial"/>
                <w:kern w:val="0"/>
                <w:sz w:val="16"/>
                <w:szCs w:val="20"/>
              </w:rPr>
            </w:pPr>
            <w:r>
              <w:rPr>
                <w:rFonts w:ascii="宋体" w:hAnsi="宋体" w:cs="Arial"/>
                <w:kern w:val="0"/>
                <w:sz w:val="16"/>
                <w:szCs w:val="20"/>
              </w:rPr>
              <w:t>0.024</w:t>
            </w:r>
          </w:p>
        </w:tc>
        <w:tc>
          <w:tcPr>
            <w:tcW w:w="265" w:type="pct"/>
            <w:shd w:val="clear" w:color="auto" w:fill="auto"/>
            <w:noWrap/>
            <w:vAlign w:val="center"/>
          </w:tcPr>
          <w:p w14:paraId="2360C182">
            <w:pPr>
              <w:widowControl/>
              <w:spacing w:line="240" w:lineRule="auto"/>
              <w:ind w:firstLine="0" w:firstLineChars="0"/>
              <w:jc w:val="center"/>
              <w:rPr>
                <w:rFonts w:ascii="宋体" w:hAnsi="宋体" w:cs="Arial"/>
                <w:kern w:val="0"/>
                <w:sz w:val="16"/>
                <w:szCs w:val="20"/>
              </w:rPr>
            </w:pPr>
            <w:r>
              <w:rPr>
                <w:rFonts w:ascii="宋体" w:hAnsi="宋体" w:cs="Arial"/>
                <w:kern w:val="0"/>
                <w:sz w:val="16"/>
                <w:szCs w:val="20"/>
              </w:rPr>
              <w:t>0.580</w:t>
            </w:r>
          </w:p>
        </w:tc>
        <w:tc>
          <w:tcPr>
            <w:tcW w:w="336" w:type="pct"/>
            <w:shd w:val="clear" w:color="auto" w:fill="auto"/>
            <w:noWrap/>
            <w:vAlign w:val="center"/>
          </w:tcPr>
          <w:p w14:paraId="7156F676">
            <w:pPr>
              <w:widowControl/>
              <w:spacing w:line="240" w:lineRule="auto"/>
              <w:ind w:firstLine="0" w:firstLineChars="0"/>
              <w:jc w:val="center"/>
              <w:rPr>
                <w:rFonts w:ascii="宋体" w:hAnsi="宋体" w:cs="Arial"/>
                <w:kern w:val="0"/>
                <w:sz w:val="16"/>
                <w:szCs w:val="20"/>
              </w:rPr>
            </w:pPr>
            <w:r>
              <w:rPr>
                <w:rFonts w:ascii="宋体" w:hAnsi="宋体" w:cs="Arial"/>
                <w:kern w:val="0"/>
                <w:sz w:val="16"/>
                <w:szCs w:val="20"/>
              </w:rPr>
              <w:t>.00007</w:t>
            </w:r>
          </w:p>
        </w:tc>
        <w:tc>
          <w:tcPr>
            <w:tcW w:w="336" w:type="pct"/>
            <w:shd w:val="clear" w:color="auto" w:fill="auto"/>
            <w:noWrap/>
            <w:vAlign w:val="center"/>
          </w:tcPr>
          <w:p w14:paraId="6A80DDE5">
            <w:pPr>
              <w:widowControl/>
              <w:spacing w:line="240" w:lineRule="auto"/>
              <w:ind w:firstLine="0" w:firstLineChars="0"/>
              <w:jc w:val="center"/>
              <w:rPr>
                <w:rFonts w:ascii="宋体" w:hAnsi="宋体" w:cs="Arial"/>
                <w:kern w:val="0"/>
                <w:sz w:val="16"/>
                <w:szCs w:val="20"/>
              </w:rPr>
            </w:pPr>
            <w:r>
              <w:rPr>
                <w:rFonts w:ascii="宋体" w:hAnsi="宋体" w:cs="Arial"/>
                <w:kern w:val="0"/>
                <w:sz w:val="16"/>
                <w:szCs w:val="20"/>
              </w:rPr>
              <w:t>0.0000l0</w:t>
            </w:r>
          </w:p>
        </w:tc>
        <w:tc>
          <w:tcPr>
            <w:tcW w:w="336" w:type="pct"/>
            <w:shd w:val="clear" w:color="auto" w:fill="auto"/>
            <w:noWrap/>
            <w:vAlign w:val="center"/>
          </w:tcPr>
          <w:p w14:paraId="694245A7">
            <w:pPr>
              <w:widowControl/>
              <w:spacing w:line="240" w:lineRule="auto"/>
              <w:ind w:firstLine="0" w:firstLineChars="0"/>
              <w:jc w:val="center"/>
              <w:rPr>
                <w:rFonts w:ascii="宋体" w:hAnsi="宋体" w:cs="Arial"/>
                <w:kern w:val="0"/>
                <w:sz w:val="16"/>
                <w:szCs w:val="20"/>
              </w:rPr>
            </w:pPr>
            <w:r>
              <w:rPr>
                <w:rFonts w:ascii="宋体" w:hAnsi="宋体" w:cs="Arial"/>
                <w:kern w:val="0"/>
                <w:sz w:val="16"/>
                <w:szCs w:val="20"/>
              </w:rPr>
              <w:t>.00002(L</w:t>
            </w:r>
          </w:p>
        </w:tc>
        <w:tc>
          <w:tcPr>
            <w:tcW w:w="280" w:type="pct"/>
            <w:shd w:val="clear" w:color="auto" w:fill="auto"/>
            <w:noWrap/>
            <w:vAlign w:val="center"/>
          </w:tcPr>
          <w:p w14:paraId="5BB6FAE9">
            <w:pPr>
              <w:widowControl/>
              <w:spacing w:line="240" w:lineRule="auto"/>
              <w:ind w:firstLine="0" w:firstLineChars="0"/>
              <w:jc w:val="center"/>
              <w:rPr>
                <w:rFonts w:ascii="宋体" w:hAnsi="宋体" w:cs="Arial"/>
                <w:kern w:val="0"/>
                <w:sz w:val="16"/>
                <w:szCs w:val="20"/>
              </w:rPr>
            </w:pPr>
            <w:r>
              <w:rPr>
                <w:rFonts w:ascii="宋体" w:hAnsi="宋体" w:cs="Arial"/>
                <w:kern w:val="0"/>
                <w:sz w:val="16"/>
                <w:szCs w:val="20"/>
              </w:rPr>
              <w:t>0.004()</w:t>
            </w:r>
          </w:p>
        </w:tc>
        <w:tc>
          <w:tcPr>
            <w:tcW w:w="280" w:type="pct"/>
            <w:shd w:val="clear" w:color="auto" w:fill="auto"/>
            <w:noWrap/>
            <w:vAlign w:val="center"/>
          </w:tcPr>
          <w:p w14:paraId="58C70E14">
            <w:pPr>
              <w:widowControl/>
              <w:spacing w:line="240" w:lineRule="auto"/>
              <w:ind w:firstLine="0" w:firstLineChars="0"/>
              <w:jc w:val="center"/>
              <w:rPr>
                <w:rFonts w:ascii="宋体" w:hAnsi="宋体" w:cs="Arial"/>
                <w:kern w:val="0"/>
                <w:sz w:val="16"/>
                <w:szCs w:val="20"/>
              </w:rPr>
            </w:pPr>
            <w:r>
              <w:rPr>
                <w:rFonts w:ascii="宋体" w:hAnsi="宋体" w:cs="Arial"/>
                <w:kern w:val="0"/>
                <w:sz w:val="16"/>
                <w:szCs w:val="20"/>
              </w:rPr>
              <w:t>0.005</w:t>
            </w:r>
          </w:p>
        </w:tc>
      </w:tr>
      <w:tr w14:paraId="72611B5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00" w:type="pct"/>
            <w:vMerge w:val="continue"/>
            <w:vAlign w:val="center"/>
          </w:tcPr>
          <w:p w14:paraId="55F7382B">
            <w:pPr>
              <w:widowControl/>
              <w:spacing w:line="240" w:lineRule="auto"/>
              <w:ind w:firstLine="0" w:firstLineChars="0"/>
              <w:jc w:val="center"/>
              <w:rPr>
                <w:rFonts w:ascii="宋体" w:hAnsi="宋体" w:cs="Arial"/>
                <w:kern w:val="0"/>
                <w:sz w:val="16"/>
                <w:szCs w:val="20"/>
              </w:rPr>
            </w:pPr>
          </w:p>
        </w:tc>
        <w:tc>
          <w:tcPr>
            <w:tcW w:w="235" w:type="pct"/>
            <w:shd w:val="clear" w:color="auto" w:fill="auto"/>
            <w:noWrap/>
            <w:vAlign w:val="center"/>
          </w:tcPr>
          <w:p w14:paraId="2CF99685">
            <w:pPr>
              <w:widowControl/>
              <w:spacing w:line="240" w:lineRule="auto"/>
              <w:ind w:firstLine="0" w:firstLineChars="0"/>
              <w:jc w:val="center"/>
              <w:rPr>
                <w:rFonts w:ascii="宋体" w:hAnsi="宋体" w:cs="Arial"/>
                <w:kern w:val="0"/>
                <w:sz w:val="16"/>
                <w:szCs w:val="20"/>
              </w:rPr>
            </w:pPr>
            <w:r>
              <w:rPr>
                <w:rFonts w:ascii="宋体" w:hAnsi="宋体" w:cs="Arial"/>
                <w:kern w:val="0"/>
                <w:sz w:val="16"/>
                <w:szCs w:val="20"/>
              </w:rPr>
              <w:t>最小值</w:t>
            </w:r>
          </w:p>
        </w:tc>
        <w:tc>
          <w:tcPr>
            <w:tcW w:w="195" w:type="pct"/>
            <w:shd w:val="clear" w:color="auto" w:fill="auto"/>
            <w:noWrap/>
            <w:vAlign w:val="center"/>
          </w:tcPr>
          <w:p w14:paraId="1004DBB7">
            <w:pPr>
              <w:widowControl/>
              <w:spacing w:line="240" w:lineRule="auto"/>
              <w:ind w:firstLine="0" w:firstLineChars="0"/>
              <w:jc w:val="center"/>
              <w:rPr>
                <w:rFonts w:ascii="宋体" w:hAnsi="宋体" w:cs="Arial"/>
                <w:kern w:val="0"/>
                <w:sz w:val="16"/>
                <w:szCs w:val="20"/>
              </w:rPr>
            </w:pPr>
            <w:r>
              <w:rPr>
                <w:rFonts w:ascii="宋体" w:hAnsi="宋体" w:cs="Arial"/>
                <w:kern w:val="0"/>
                <w:sz w:val="16"/>
                <w:szCs w:val="20"/>
              </w:rPr>
              <w:t>30.3</w:t>
            </w:r>
          </w:p>
        </w:tc>
        <w:tc>
          <w:tcPr>
            <w:tcW w:w="196" w:type="pct"/>
            <w:shd w:val="clear" w:color="auto" w:fill="auto"/>
            <w:noWrap/>
            <w:vAlign w:val="center"/>
          </w:tcPr>
          <w:p w14:paraId="08612F54">
            <w:pPr>
              <w:widowControl/>
              <w:spacing w:line="240" w:lineRule="auto"/>
              <w:ind w:firstLine="0" w:firstLineChars="0"/>
              <w:jc w:val="center"/>
              <w:rPr>
                <w:rFonts w:ascii="宋体" w:hAnsi="宋体" w:cs="Arial"/>
                <w:kern w:val="0"/>
                <w:sz w:val="16"/>
                <w:szCs w:val="20"/>
              </w:rPr>
            </w:pPr>
            <w:r>
              <w:rPr>
                <w:rFonts w:ascii="宋体" w:hAnsi="宋体" w:cs="Arial"/>
                <w:kern w:val="0"/>
                <w:sz w:val="16"/>
                <w:szCs w:val="20"/>
              </w:rPr>
              <w:t>6.72</w:t>
            </w:r>
          </w:p>
        </w:tc>
        <w:tc>
          <w:tcPr>
            <w:tcW w:w="170" w:type="pct"/>
            <w:shd w:val="clear" w:color="auto" w:fill="auto"/>
            <w:noWrap/>
            <w:vAlign w:val="center"/>
          </w:tcPr>
          <w:p w14:paraId="6BFAD0EC">
            <w:pPr>
              <w:widowControl/>
              <w:spacing w:line="240" w:lineRule="auto"/>
              <w:ind w:firstLine="0" w:firstLineChars="0"/>
              <w:jc w:val="center"/>
              <w:rPr>
                <w:rFonts w:ascii="宋体" w:hAnsi="宋体" w:cs="Arial"/>
                <w:kern w:val="0"/>
                <w:sz w:val="16"/>
                <w:szCs w:val="20"/>
              </w:rPr>
            </w:pPr>
            <w:r>
              <w:rPr>
                <w:rFonts w:ascii="宋体" w:hAnsi="宋体" w:cs="Arial"/>
                <w:kern w:val="0"/>
                <w:sz w:val="16"/>
                <w:szCs w:val="20"/>
              </w:rPr>
              <w:t>7.2</w:t>
            </w:r>
          </w:p>
        </w:tc>
        <w:tc>
          <w:tcPr>
            <w:tcW w:w="182" w:type="pct"/>
            <w:shd w:val="clear" w:color="auto" w:fill="auto"/>
            <w:noWrap/>
            <w:vAlign w:val="center"/>
          </w:tcPr>
          <w:p w14:paraId="1C541E1E">
            <w:pPr>
              <w:widowControl/>
              <w:spacing w:line="240" w:lineRule="auto"/>
              <w:ind w:firstLine="0" w:firstLineChars="0"/>
              <w:jc w:val="center"/>
              <w:rPr>
                <w:rFonts w:ascii="宋体" w:hAnsi="宋体" w:cs="Arial"/>
                <w:kern w:val="0"/>
                <w:sz w:val="16"/>
                <w:szCs w:val="20"/>
              </w:rPr>
            </w:pPr>
            <w:r>
              <w:rPr>
                <w:rFonts w:ascii="宋体" w:hAnsi="宋体" w:cs="Arial"/>
                <w:kern w:val="0"/>
                <w:sz w:val="16"/>
                <w:szCs w:val="20"/>
              </w:rPr>
              <w:t>1.4</w:t>
            </w:r>
          </w:p>
        </w:tc>
        <w:tc>
          <w:tcPr>
            <w:tcW w:w="308" w:type="pct"/>
            <w:shd w:val="clear" w:color="auto" w:fill="auto"/>
            <w:noWrap/>
            <w:vAlign w:val="center"/>
          </w:tcPr>
          <w:p w14:paraId="1E9F24C5">
            <w:pPr>
              <w:widowControl/>
              <w:spacing w:line="240" w:lineRule="auto"/>
              <w:ind w:firstLine="0" w:firstLineChars="0"/>
              <w:jc w:val="center"/>
              <w:rPr>
                <w:rFonts w:ascii="宋体" w:hAnsi="宋体" w:cs="Arial"/>
                <w:kern w:val="0"/>
                <w:sz w:val="16"/>
                <w:szCs w:val="20"/>
              </w:rPr>
            </w:pPr>
            <w:r>
              <w:rPr>
                <w:rFonts w:ascii="宋体" w:hAnsi="宋体" w:cs="Arial"/>
                <w:kern w:val="0"/>
                <w:sz w:val="16"/>
                <w:szCs w:val="20"/>
              </w:rPr>
              <w:t>2.2</w:t>
            </w:r>
          </w:p>
        </w:tc>
        <w:tc>
          <w:tcPr>
            <w:tcW w:w="253" w:type="pct"/>
            <w:shd w:val="clear" w:color="auto" w:fill="auto"/>
            <w:noWrap/>
            <w:vAlign w:val="center"/>
          </w:tcPr>
          <w:p w14:paraId="18F024AD">
            <w:pPr>
              <w:widowControl/>
              <w:spacing w:line="240" w:lineRule="auto"/>
              <w:ind w:firstLine="0" w:firstLineChars="0"/>
              <w:jc w:val="center"/>
              <w:rPr>
                <w:rFonts w:ascii="宋体" w:hAnsi="宋体" w:cs="Arial"/>
                <w:kern w:val="0"/>
                <w:sz w:val="16"/>
                <w:szCs w:val="20"/>
              </w:rPr>
            </w:pPr>
            <w:r>
              <w:rPr>
                <w:rFonts w:ascii="宋体" w:hAnsi="宋体" w:cs="Arial"/>
                <w:kern w:val="0"/>
                <w:sz w:val="16"/>
                <w:szCs w:val="20"/>
              </w:rPr>
              <w:t>0.0860</w:t>
            </w:r>
          </w:p>
        </w:tc>
        <w:tc>
          <w:tcPr>
            <w:tcW w:w="280" w:type="pct"/>
            <w:shd w:val="clear" w:color="auto" w:fill="auto"/>
            <w:noWrap/>
            <w:vAlign w:val="center"/>
          </w:tcPr>
          <w:p w14:paraId="1CB0405C">
            <w:pPr>
              <w:widowControl/>
              <w:spacing w:line="240" w:lineRule="auto"/>
              <w:ind w:firstLine="0" w:firstLineChars="0"/>
              <w:jc w:val="center"/>
              <w:rPr>
                <w:rFonts w:ascii="宋体" w:hAnsi="宋体" w:cs="Arial"/>
                <w:kern w:val="0"/>
                <w:sz w:val="16"/>
                <w:szCs w:val="20"/>
              </w:rPr>
            </w:pPr>
            <w:r>
              <w:rPr>
                <w:rFonts w:ascii="宋体" w:hAnsi="宋体" w:cs="Arial"/>
                <w:kern w:val="0"/>
                <w:sz w:val="16"/>
                <w:szCs w:val="20"/>
              </w:rPr>
              <w:t>.004L)</w:t>
            </w:r>
          </w:p>
        </w:tc>
        <w:tc>
          <w:tcPr>
            <w:tcW w:w="1148" w:type="pct"/>
            <w:shd w:val="clear" w:color="auto" w:fill="auto"/>
            <w:noWrap/>
            <w:vAlign w:val="center"/>
          </w:tcPr>
          <w:p w14:paraId="1F7A9772">
            <w:pPr>
              <w:widowControl/>
              <w:spacing w:line="240" w:lineRule="auto"/>
              <w:ind w:firstLine="0" w:firstLineChars="0"/>
              <w:jc w:val="center"/>
              <w:rPr>
                <w:rFonts w:ascii="宋体" w:hAnsi="宋体" w:cs="Arial"/>
                <w:kern w:val="0"/>
                <w:sz w:val="16"/>
                <w:szCs w:val="20"/>
              </w:rPr>
            </w:pPr>
            <w:r>
              <w:rPr>
                <w:rFonts w:ascii="宋体" w:hAnsi="宋体" w:cs="Arial"/>
                <w:kern w:val="0"/>
                <w:sz w:val="16"/>
                <w:szCs w:val="20"/>
              </w:rPr>
              <w:t>0.001(L)</w:t>
            </w:r>
          </w:p>
        </w:tc>
        <w:tc>
          <w:tcPr>
            <w:tcW w:w="265" w:type="pct"/>
            <w:shd w:val="clear" w:color="auto" w:fill="auto"/>
            <w:noWrap/>
            <w:vAlign w:val="center"/>
          </w:tcPr>
          <w:p w14:paraId="7651FF97">
            <w:pPr>
              <w:widowControl/>
              <w:spacing w:line="240" w:lineRule="auto"/>
              <w:ind w:firstLine="0" w:firstLineChars="0"/>
              <w:jc w:val="center"/>
              <w:rPr>
                <w:rFonts w:ascii="宋体" w:hAnsi="宋体" w:cs="Arial"/>
                <w:kern w:val="0"/>
                <w:sz w:val="16"/>
                <w:szCs w:val="20"/>
              </w:rPr>
            </w:pPr>
            <w:r>
              <w:rPr>
                <w:rFonts w:ascii="宋体" w:hAnsi="宋体" w:cs="Arial"/>
                <w:kern w:val="0"/>
                <w:sz w:val="16"/>
                <w:szCs w:val="20"/>
              </w:rPr>
              <w:t>0.02()0</w:t>
            </w:r>
          </w:p>
        </w:tc>
        <w:tc>
          <w:tcPr>
            <w:tcW w:w="336" w:type="pct"/>
            <w:shd w:val="clear" w:color="auto" w:fill="auto"/>
            <w:noWrap/>
            <w:vAlign w:val="center"/>
          </w:tcPr>
          <w:p w14:paraId="39573280">
            <w:pPr>
              <w:widowControl/>
              <w:spacing w:line="240" w:lineRule="auto"/>
              <w:ind w:firstLine="0" w:firstLineChars="0"/>
              <w:jc w:val="center"/>
              <w:rPr>
                <w:rFonts w:ascii="宋体" w:hAnsi="宋体" w:cs="Arial"/>
                <w:kern w:val="0"/>
                <w:sz w:val="16"/>
                <w:szCs w:val="20"/>
              </w:rPr>
            </w:pPr>
            <w:r>
              <w:rPr>
                <w:rFonts w:ascii="宋体" w:hAnsi="宋体" w:cs="Arial"/>
                <w:kern w:val="0"/>
                <w:sz w:val="16"/>
                <w:szCs w:val="20"/>
              </w:rPr>
              <w:t>.000()</w:t>
            </w:r>
          </w:p>
        </w:tc>
        <w:tc>
          <w:tcPr>
            <w:tcW w:w="336" w:type="pct"/>
            <w:shd w:val="clear" w:color="auto" w:fill="auto"/>
            <w:noWrap/>
            <w:vAlign w:val="center"/>
          </w:tcPr>
          <w:p w14:paraId="481724B8">
            <w:pPr>
              <w:widowControl/>
              <w:spacing w:line="240" w:lineRule="auto"/>
              <w:ind w:firstLine="0" w:firstLineChars="0"/>
              <w:jc w:val="center"/>
              <w:rPr>
                <w:rFonts w:ascii="宋体" w:hAnsi="宋体" w:cs="Arial"/>
                <w:kern w:val="0"/>
                <w:sz w:val="16"/>
                <w:szCs w:val="20"/>
              </w:rPr>
            </w:pPr>
            <w:r>
              <w:rPr>
                <w:rFonts w:ascii="宋体" w:hAnsi="宋体" w:cs="Arial"/>
                <w:kern w:val="0"/>
                <w:sz w:val="16"/>
                <w:szCs w:val="20"/>
              </w:rPr>
              <w:t>.00</w:t>
            </w:r>
          </w:p>
        </w:tc>
        <w:tc>
          <w:tcPr>
            <w:tcW w:w="336" w:type="pct"/>
            <w:shd w:val="clear" w:color="auto" w:fill="auto"/>
            <w:noWrap/>
            <w:vAlign w:val="center"/>
          </w:tcPr>
          <w:p w14:paraId="06E89915">
            <w:pPr>
              <w:widowControl/>
              <w:spacing w:line="240" w:lineRule="auto"/>
              <w:ind w:firstLine="0" w:firstLineChars="0"/>
              <w:jc w:val="center"/>
              <w:rPr>
                <w:rFonts w:ascii="宋体" w:hAnsi="宋体" w:cs="Arial"/>
                <w:kern w:val="0"/>
                <w:sz w:val="16"/>
                <w:szCs w:val="20"/>
              </w:rPr>
            </w:pPr>
            <w:r>
              <w:rPr>
                <w:rFonts w:ascii="宋体" w:hAnsi="宋体" w:cs="Arial"/>
                <w:kern w:val="0"/>
                <w:sz w:val="16"/>
                <w:szCs w:val="20"/>
              </w:rPr>
              <w:t>00002()</w:t>
            </w:r>
          </w:p>
        </w:tc>
        <w:tc>
          <w:tcPr>
            <w:tcW w:w="280" w:type="pct"/>
            <w:shd w:val="clear" w:color="auto" w:fill="auto"/>
            <w:noWrap/>
            <w:vAlign w:val="center"/>
          </w:tcPr>
          <w:p w14:paraId="63107DE1">
            <w:pPr>
              <w:widowControl/>
              <w:spacing w:line="240" w:lineRule="auto"/>
              <w:ind w:firstLine="0" w:firstLineChars="0"/>
              <w:jc w:val="center"/>
              <w:rPr>
                <w:rFonts w:ascii="宋体" w:hAnsi="宋体" w:cs="Arial"/>
                <w:kern w:val="0"/>
                <w:sz w:val="16"/>
                <w:szCs w:val="20"/>
              </w:rPr>
            </w:pPr>
            <w:r>
              <w:rPr>
                <w:rFonts w:ascii="宋体" w:hAnsi="宋体" w:cs="Arial"/>
                <w:kern w:val="0"/>
                <w:sz w:val="16"/>
                <w:szCs w:val="20"/>
              </w:rPr>
              <w:t>0004(L)</w:t>
            </w:r>
          </w:p>
        </w:tc>
        <w:tc>
          <w:tcPr>
            <w:tcW w:w="280" w:type="pct"/>
            <w:shd w:val="clear" w:color="auto" w:fill="auto"/>
            <w:noWrap/>
            <w:vAlign w:val="center"/>
          </w:tcPr>
          <w:p w14:paraId="2D24F694">
            <w:pPr>
              <w:widowControl/>
              <w:spacing w:line="240" w:lineRule="auto"/>
              <w:ind w:firstLine="0" w:firstLineChars="0"/>
              <w:jc w:val="center"/>
              <w:rPr>
                <w:rFonts w:ascii="宋体" w:hAnsi="宋体" w:cs="Arial"/>
                <w:kern w:val="0"/>
                <w:sz w:val="16"/>
                <w:szCs w:val="20"/>
              </w:rPr>
            </w:pPr>
            <w:r>
              <w:rPr>
                <w:rFonts w:ascii="宋体" w:hAnsi="宋体" w:cs="Arial"/>
                <w:kern w:val="0"/>
                <w:sz w:val="16"/>
                <w:szCs w:val="20"/>
              </w:rPr>
              <w:t>0.003</w:t>
            </w:r>
          </w:p>
        </w:tc>
      </w:tr>
      <w:tr w14:paraId="6F3BF80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00" w:type="pct"/>
            <w:vMerge w:val="continue"/>
            <w:vAlign w:val="center"/>
          </w:tcPr>
          <w:p w14:paraId="6DBF1E0E">
            <w:pPr>
              <w:widowControl/>
              <w:spacing w:line="240" w:lineRule="auto"/>
              <w:ind w:firstLine="0" w:firstLineChars="0"/>
              <w:jc w:val="center"/>
              <w:rPr>
                <w:rFonts w:ascii="宋体" w:hAnsi="宋体" w:cs="Arial"/>
                <w:kern w:val="0"/>
                <w:sz w:val="16"/>
                <w:szCs w:val="20"/>
              </w:rPr>
            </w:pPr>
          </w:p>
        </w:tc>
        <w:tc>
          <w:tcPr>
            <w:tcW w:w="235" w:type="pct"/>
            <w:shd w:val="clear" w:color="auto" w:fill="auto"/>
            <w:noWrap/>
            <w:vAlign w:val="center"/>
          </w:tcPr>
          <w:p w14:paraId="749F1185">
            <w:pPr>
              <w:widowControl/>
              <w:spacing w:line="240" w:lineRule="auto"/>
              <w:ind w:firstLine="0" w:firstLineChars="0"/>
              <w:jc w:val="center"/>
              <w:rPr>
                <w:rFonts w:ascii="宋体" w:hAnsi="宋体" w:cs="Arial"/>
                <w:kern w:val="0"/>
                <w:sz w:val="16"/>
                <w:szCs w:val="20"/>
              </w:rPr>
            </w:pPr>
            <w:r>
              <w:rPr>
                <w:rFonts w:ascii="宋体" w:hAnsi="宋体" w:cs="Arial"/>
                <w:kern w:val="0"/>
                <w:sz w:val="16"/>
                <w:szCs w:val="20"/>
              </w:rPr>
              <w:t>平均值</w:t>
            </w:r>
          </w:p>
        </w:tc>
        <w:tc>
          <w:tcPr>
            <w:tcW w:w="195" w:type="pct"/>
            <w:shd w:val="clear" w:color="auto" w:fill="auto"/>
            <w:noWrap/>
            <w:vAlign w:val="center"/>
          </w:tcPr>
          <w:p w14:paraId="6A77980B">
            <w:pPr>
              <w:widowControl/>
              <w:spacing w:line="240" w:lineRule="auto"/>
              <w:ind w:firstLine="0" w:firstLineChars="0"/>
              <w:jc w:val="center"/>
              <w:rPr>
                <w:rFonts w:ascii="宋体" w:hAnsi="宋体" w:cs="Arial"/>
                <w:kern w:val="0"/>
                <w:sz w:val="16"/>
                <w:szCs w:val="20"/>
              </w:rPr>
            </w:pPr>
            <w:r>
              <w:rPr>
                <w:rFonts w:ascii="宋体" w:hAnsi="宋体" w:cs="Arial"/>
                <w:kern w:val="0"/>
                <w:sz w:val="16"/>
                <w:szCs w:val="20"/>
              </w:rPr>
              <w:t>32.9</w:t>
            </w:r>
          </w:p>
        </w:tc>
        <w:tc>
          <w:tcPr>
            <w:tcW w:w="196" w:type="pct"/>
            <w:shd w:val="clear" w:color="auto" w:fill="auto"/>
            <w:noWrap/>
            <w:vAlign w:val="center"/>
          </w:tcPr>
          <w:p w14:paraId="2F3BB523">
            <w:pPr>
              <w:widowControl/>
              <w:spacing w:line="240" w:lineRule="auto"/>
              <w:ind w:firstLine="0" w:firstLineChars="0"/>
              <w:jc w:val="center"/>
              <w:rPr>
                <w:rFonts w:ascii="宋体" w:hAnsi="宋体" w:cs="Arial"/>
                <w:kern w:val="0"/>
                <w:sz w:val="16"/>
                <w:szCs w:val="20"/>
              </w:rPr>
            </w:pPr>
            <w:r>
              <w:rPr>
                <w:rFonts w:ascii="宋体" w:hAnsi="宋体" w:cs="Arial"/>
                <w:kern w:val="0"/>
                <w:sz w:val="16"/>
                <w:szCs w:val="20"/>
              </w:rPr>
              <w:t>7.47</w:t>
            </w:r>
          </w:p>
        </w:tc>
        <w:tc>
          <w:tcPr>
            <w:tcW w:w="170" w:type="pct"/>
            <w:shd w:val="clear" w:color="auto" w:fill="auto"/>
            <w:noWrap/>
            <w:vAlign w:val="center"/>
          </w:tcPr>
          <w:p w14:paraId="349EB029">
            <w:pPr>
              <w:widowControl/>
              <w:spacing w:line="240" w:lineRule="auto"/>
              <w:ind w:firstLine="0" w:firstLineChars="0"/>
              <w:jc w:val="center"/>
              <w:rPr>
                <w:rFonts w:ascii="宋体" w:hAnsi="宋体" w:cs="Arial"/>
                <w:kern w:val="0"/>
                <w:sz w:val="16"/>
                <w:szCs w:val="20"/>
              </w:rPr>
            </w:pPr>
            <w:r>
              <w:rPr>
                <w:rFonts w:ascii="宋体" w:hAnsi="宋体" w:cs="Arial"/>
                <w:kern w:val="0"/>
                <w:sz w:val="16"/>
                <w:szCs w:val="20"/>
              </w:rPr>
              <w:t>8.4</w:t>
            </w:r>
          </w:p>
        </w:tc>
        <w:tc>
          <w:tcPr>
            <w:tcW w:w="182" w:type="pct"/>
            <w:shd w:val="clear" w:color="auto" w:fill="auto"/>
            <w:noWrap/>
            <w:vAlign w:val="center"/>
          </w:tcPr>
          <w:p w14:paraId="1EC8A30C">
            <w:pPr>
              <w:widowControl/>
              <w:spacing w:line="240" w:lineRule="auto"/>
              <w:ind w:firstLine="0" w:firstLineChars="0"/>
              <w:jc w:val="center"/>
              <w:rPr>
                <w:rFonts w:ascii="宋体" w:hAnsi="宋体" w:cs="Arial"/>
                <w:kern w:val="0"/>
                <w:sz w:val="16"/>
                <w:szCs w:val="20"/>
              </w:rPr>
            </w:pPr>
            <w:r>
              <w:rPr>
                <w:rFonts w:ascii="宋体" w:hAnsi="宋体" w:cs="Arial"/>
                <w:kern w:val="0"/>
                <w:sz w:val="16"/>
                <w:szCs w:val="20"/>
              </w:rPr>
              <w:t>2.3</w:t>
            </w:r>
          </w:p>
        </w:tc>
        <w:tc>
          <w:tcPr>
            <w:tcW w:w="308" w:type="pct"/>
            <w:shd w:val="clear" w:color="auto" w:fill="auto"/>
            <w:noWrap/>
            <w:vAlign w:val="center"/>
          </w:tcPr>
          <w:p w14:paraId="2F287E6D">
            <w:pPr>
              <w:widowControl/>
              <w:spacing w:line="240" w:lineRule="auto"/>
              <w:ind w:firstLine="0" w:firstLineChars="0"/>
              <w:jc w:val="center"/>
              <w:rPr>
                <w:rFonts w:ascii="宋体" w:hAnsi="宋体" w:cs="Arial"/>
                <w:kern w:val="0"/>
                <w:sz w:val="16"/>
                <w:szCs w:val="20"/>
              </w:rPr>
            </w:pPr>
            <w:r>
              <w:rPr>
                <w:rFonts w:ascii="宋体" w:hAnsi="宋体" w:cs="Arial"/>
                <w:kern w:val="0"/>
                <w:sz w:val="16"/>
                <w:szCs w:val="20"/>
              </w:rPr>
              <w:t>2.5</w:t>
            </w:r>
          </w:p>
        </w:tc>
        <w:tc>
          <w:tcPr>
            <w:tcW w:w="253" w:type="pct"/>
            <w:shd w:val="clear" w:color="auto" w:fill="auto"/>
            <w:noWrap/>
            <w:vAlign w:val="center"/>
          </w:tcPr>
          <w:p w14:paraId="7CFC1813">
            <w:pPr>
              <w:widowControl/>
              <w:spacing w:line="240" w:lineRule="auto"/>
              <w:ind w:firstLine="0" w:firstLineChars="0"/>
              <w:jc w:val="center"/>
              <w:rPr>
                <w:rFonts w:ascii="宋体" w:hAnsi="宋体" w:cs="Arial"/>
                <w:kern w:val="0"/>
                <w:sz w:val="16"/>
                <w:szCs w:val="20"/>
              </w:rPr>
            </w:pPr>
            <w:r>
              <w:rPr>
                <w:rFonts w:ascii="宋体" w:hAnsi="宋体" w:cs="Arial"/>
                <w:kern w:val="0"/>
                <w:sz w:val="16"/>
                <w:szCs w:val="20"/>
              </w:rPr>
              <w:t>0.134</w:t>
            </w:r>
          </w:p>
        </w:tc>
        <w:tc>
          <w:tcPr>
            <w:tcW w:w="280" w:type="pct"/>
            <w:shd w:val="clear" w:color="auto" w:fill="auto"/>
            <w:noWrap/>
            <w:vAlign w:val="center"/>
          </w:tcPr>
          <w:p w14:paraId="671C8B8C">
            <w:pPr>
              <w:widowControl/>
              <w:spacing w:line="240" w:lineRule="auto"/>
              <w:ind w:firstLine="0" w:firstLineChars="0"/>
              <w:jc w:val="center"/>
              <w:rPr>
                <w:rFonts w:ascii="宋体" w:hAnsi="宋体" w:cs="Arial"/>
                <w:kern w:val="0"/>
                <w:sz w:val="16"/>
                <w:szCs w:val="20"/>
              </w:rPr>
            </w:pPr>
            <w:r>
              <w:rPr>
                <w:rFonts w:ascii="宋体" w:hAnsi="宋体" w:cs="Arial"/>
                <w:kern w:val="0"/>
                <w:sz w:val="16"/>
                <w:szCs w:val="20"/>
              </w:rPr>
              <w:t>0.005</w:t>
            </w:r>
          </w:p>
        </w:tc>
        <w:tc>
          <w:tcPr>
            <w:tcW w:w="1148" w:type="pct"/>
            <w:shd w:val="clear" w:color="auto" w:fill="auto"/>
            <w:noWrap/>
            <w:vAlign w:val="center"/>
          </w:tcPr>
          <w:p w14:paraId="395AE728">
            <w:pPr>
              <w:widowControl/>
              <w:spacing w:line="240" w:lineRule="auto"/>
              <w:ind w:firstLine="0" w:firstLineChars="0"/>
              <w:jc w:val="center"/>
              <w:rPr>
                <w:rFonts w:ascii="宋体" w:hAnsi="宋体" w:cs="Arial"/>
                <w:kern w:val="0"/>
                <w:sz w:val="16"/>
                <w:szCs w:val="20"/>
              </w:rPr>
            </w:pPr>
            <w:r>
              <w:rPr>
                <w:rFonts w:ascii="宋体" w:hAnsi="宋体" w:cs="Arial"/>
                <w:kern w:val="0"/>
                <w:sz w:val="16"/>
                <w:szCs w:val="20"/>
              </w:rPr>
              <w:t>001925</w:t>
            </w:r>
          </w:p>
        </w:tc>
        <w:tc>
          <w:tcPr>
            <w:tcW w:w="265" w:type="pct"/>
            <w:shd w:val="clear" w:color="auto" w:fill="auto"/>
            <w:noWrap/>
            <w:vAlign w:val="center"/>
          </w:tcPr>
          <w:p w14:paraId="2E6433A4">
            <w:pPr>
              <w:widowControl/>
              <w:spacing w:line="240" w:lineRule="auto"/>
              <w:ind w:firstLine="0" w:firstLineChars="0"/>
              <w:jc w:val="center"/>
              <w:rPr>
                <w:rFonts w:ascii="宋体" w:hAnsi="宋体" w:cs="Arial"/>
                <w:kern w:val="0"/>
                <w:sz w:val="16"/>
                <w:szCs w:val="20"/>
              </w:rPr>
            </w:pPr>
            <w:r>
              <w:rPr>
                <w:rFonts w:ascii="宋体" w:hAnsi="宋体" w:cs="Arial"/>
                <w:kern w:val="0"/>
                <w:sz w:val="16"/>
                <w:szCs w:val="20"/>
              </w:rPr>
              <w:t>0.317</w:t>
            </w:r>
          </w:p>
        </w:tc>
        <w:tc>
          <w:tcPr>
            <w:tcW w:w="336" w:type="pct"/>
            <w:shd w:val="clear" w:color="auto" w:fill="auto"/>
            <w:noWrap/>
            <w:vAlign w:val="center"/>
          </w:tcPr>
          <w:p w14:paraId="691AB982">
            <w:pPr>
              <w:widowControl/>
              <w:spacing w:line="240" w:lineRule="auto"/>
              <w:ind w:firstLine="0" w:firstLineChars="0"/>
              <w:jc w:val="center"/>
              <w:rPr>
                <w:rFonts w:ascii="宋体" w:hAnsi="宋体" w:cs="Arial"/>
                <w:kern w:val="0"/>
                <w:sz w:val="16"/>
                <w:szCs w:val="20"/>
              </w:rPr>
            </w:pPr>
            <w:r>
              <w:rPr>
                <w:rFonts w:ascii="宋体" w:hAnsi="宋体" w:cs="Arial"/>
                <w:kern w:val="0"/>
                <w:sz w:val="16"/>
                <w:szCs w:val="20"/>
              </w:rPr>
              <w:t>0.00007(L)</w:t>
            </w:r>
          </w:p>
        </w:tc>
        <w:tc>
          <w:tcPr>
            <w:tcW w:w="336" w:type="pct"/>
            <w:shd w:val="clear" w:color="auto" w:fill="auto"/>
            <w:noWrap/>
            <w:vAlign w:val="center"/>
          </w:tcPr>
          <w:p w14:paraId="7D008FD0">
            <w:pPr>
              <w:widowControl/>
              <w:spacing w:line="240" w:lineRule="auto"/>
              <w:ind w:firstLine="0" w:firstLineChars="0"/>
              <w:jc w:val="center"/>
              <w:rPr>
                <w:rFonts w:ascii="宋体" w:hAnsi="宋体" w:cs="Arial"/>
                <w:kern w:val="0"/>
                <w:sz w:val="16"/>
                <w:szCs w:val="20"/>
              </w:rPr>
            </w:pPr>
            <w:r>
              <w:rPr>
                <w:rFonts w:ascii="宋体" w:hAnsi="宋体" w:cs="Arial"/>
                <w:kern w:val="0"/>
                <w:sz w:val="16"/>
                <w:szCs w:val="20"/>
              </w:rPr>
              <w:t>0.00002()</w:t>
            </w:r>
          </w:p>
        </w:tc>
        <w:tc>
          <w:tcPr>
            <w:tcW w:w="336" w:type="pct"/>
            <w:shd w:val="clear" w:color="auto" w:fill="auto"/>
            <w:noWrap/>
            <w:vAlign w:val="center"/>
          </w:tcPr>
          <w:p w14:paraId="242A94BF">
            <w:pPr>
              <w:widowControl/>
              <w:spacing w:line="240" w:lineRule="auto"/>
              <w:ind w:firstLine="0" w:firstLineChars="0"/>
              <w:jc w:val="center"/>
              <w:rPr>
                <w:rFonts w:ascii="宋体" w:hAnsi="宋体" w:cs="Arial"/>
                <w:kern w:val="0"/>
                <w:sz w:val="16"/>
                <w:szCs w:val="20"/>
              </w:rPr>
            </w:pPr>
            <w:r>
              <w:rPr>
                <w:rFonts w:ascii="宋体" w:hAnsi="宋体" w:cs="Arial"/>
                <w:kern w:val="0"/>
                <w:sz w:val="16"/>
                <w:szCs w:val="20"/>
              </w:rPr>
              <w:t>0.00002(L)</w:t>
            </w:r>
          </w:p>
        </w:tc>
        <w:tc>
          <w:tcPr>
            <w:tcW w:w="280" w:type="pct"/>
            <w:shd w:val="clear" w:color="auto" w:fill="auto"/>
            <w:noWrap/>
            <w:vAlign w:val="center"/>
          </w:tcPr>
          <w:p w14:paraId="67D70E23">
            <w:pPr>
              <w:widowControl/>
              <w:spacing w:line="240" w:lineRule="auto"/>
              <w:ind w:firstLine="0" w:firstLineChars="0"/>
              <w:jc w:val="center"/>
              <w:rPr>
                <w:rFonts w:ascii="宋体" w:hAnsi="宋体" w:cs="Arial"/>
                <w:kern w:val="0"/>
                <w:sz w:val="16"/>
                <w:szCs w:val="20"/>
              </w:rPr>
            </w:pPr>
            <w:r>
              <w:rPr>
                <w:rFonts w:ascii="宋体" w:hAnsi="宋体" w:cs="Arial"/>
                <w:kern w:val="0"/>
                <w:sz w:val="16"/>
                <w:szCs w:val="20"/>
              </w:rPr>
              <w:t>0.004(L)</w:t>
            </w:r>
          </w:p>
        </w:tc>
        <w:tc>
          <w:tcPr>
            <w:tcW w:w="280" w:type="pct"/>
            <w:shd w:val="clear" w:color="auto" w:fill="auto"/>
            <w:noWrap/>
            <w:vAlign w:val="center"/>
          </w:tcPr>
          <w:p w14:paraId="7ED32B65">
            <w:pPr>
              <w:widowControl/>
              <w:spacing w:line="240" w:lineRule="auto"/>
              <w:ind w:firstLine="0" w:firstLineChars="0"/>
              <w:jc w:val="center"/>
              <w:rPr>
                <w:rFonts w:ascii="宋体" w:hAnsi="宋体" w:cs="Arial"/>
                <w:kern w:val="0"/>
                <w:sz w:val="16"/>
                <w:szCs w:val="20"/>
              </w:rPr>
            </w:pPr>
            <w:r>
              <w:rPr>
                <w:rFonts w:ascii="宋体" w:hAnsi="宋体" w:cs="Arial"/>
                <w:kern w:val="0"/>
                <w:sz w:val="16"/>
                <w:szCs w:val="20"/>
              </w:rPr>
              <w:t>0.004</w:t>
            </w:r>
          </w:p>
        </w:tc>
      </w:tr>
      <w:tr w14:paraId="19313DD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00" w:type="pct"/>
            <w:vMerge w:val="restart"/>
            <w:shd w:val="clear" w:color="auto" w:fill="auto"/>
            <w:noWrap/>
            <w:vAlign w:val="center"/>
          </w:tcPr>
          <w:p w14:paraId="45FE2106">
            <w:pPr>
              <w:widowControl/>
              <w:spacing w:line="240" w:lineRule="auto"/>
              <w:ind w:firstLine="0" w:firstLineChars="0"/>
              <w:jc w:val="center"/>
              <w:rPr>
                <w:rFonts w:ascii="宋体" w:hAnsi="宋体" w:cs="Arial"/>
                <w:kern w:val="0"/>
                <w:sz w:val="16"/>
                <w:szCs w:val="20"/>
              </w:rPr>
            </w:pPr>
          </w:p>
        </w:tc>
        <w:tc>
          <w:tcPr>
            <w:tcW w:w="235" w:type="pct"/>
            <w:shd w:val="clear" w:color="auto" w:fill="auto"/>
            <w:noWrap/>
            <w:vAlign w:val="center"/>
          </w:tcPr>
          <w:p w14:paraId="4A294AE1">
            <w:pPr>
              <w:widowControl/>
              <w:spacing w:line="240" w:lineRule="auto"/>
              <w:ind w:firstLine="0" w:firstLineChars="0"/>
              <w:jc w:val="center"/>
              <w:rPr>
                <w:rFonts w:ascii="宋体" w:hAnsi="宋体" w:cs="Arial"/>
                <w:kern w:val="0"/>
                <w:sz w:val="16"/>
                <w:szCs w:val="20"/>
              </w:rPr>
            </w:pPr>
            <w:r>
              <w:rPr>
                <w:rFonts w:ascii="宋体" w:hAnsi="宋体" w:cs="Arial"/>
                <w:kern w:val="0"/>
                <w:sz w:val="16"/>
                <w:szCs w:val="20"/>
              </w:rPr>
              <w:t>超标率(%)</w:t>
            </w:r>
          </w:p>
        </w:tc>
        <w:tc>
          <w:tcPr>
            <w:tcW w:w="195" w:type="pct"/>
            <w:shd w:val="clear" w:color="auto" w:fill="auto"/>
            <w:noWrap/>
            <w:vAlign w:val="center"/>
          </w:tcPr>
          <w:p w14:paraId="726A4E4D">
            <w:pPr>
              <w:widowControl/>
              <w:spacing w:line="240" w:lineRule="auto"/>
              <w:ind w:firstLine="0" w:firstLineChars="0"/>
              <w:jc w:val="center"/>
              <w:rPr>
                <w:rFonts w:ascii="宋体" w:hAnsi="宋体" w:cs="Arial"/>
                <w:kern w:val="0"/>
                <w:sz w:val="16"/>
                <w:szCs w:val="20"/>
              </w:rPr>
            </w:pPr>
            <w:r>
              <w:rPr>
                <w:rFonts w:ascii="宋体" w:hAnsi="宋体" w:cs="Arial"/>
                <w:kern w:val="0"/>
                <w:sz w:val="16"/>
                <w:szCs w:val="20"/>
              </w:rPr>
              <w:t>0.0</w:t>
            </w:r>
          </w:p>
        </w:tc>
        <w:tc>
          <w:tcPr>
            <w:tcW w:w="196" w:type="pct"/>
            <w:shd w:val="clear" w:color="auto" w:fill="auto"/>
            <w:noWrap/>
            <w:vAlign w:val="center"/>
          </w:tcPr>
          <w:p w14:paraId="70B61107">
            <w:pPr>
              <w:widowControl/>
              <w:spacing w:line="240" w:lineRule="auto"/>
              <w:ind w:firstLine="0" w:firstLineChars="0"/>
              <w:jc w:val="center"/>
              <w:rPr>
                <w:rFonts w:ascii="宋体" w:hAnsi="宋体" w:cs="Arial"/>
                <w:kern w:val="0"/>
                <w:sz w:val="16"/>
                <w:szCs w:val="20"/>
              </w:rPr>
            </w:pPr>
            <w:r>
              <w:rPr>
                <w:rFonts w:ascii="宋体" w:hAnsi="宋体" w:cs="Arial"/>
                <w:kern w:val="0"/>
                <w:sz w:val="16"/>
                <w:szCs w:val="20"/>
              </w:rPr>
              <w:t>0.0</w:t>
            </w:r>
          </w:p>
        </w:tc>
        <w:tc>
          <w:tcPr>
            <w:tcW w:w="170" w:type="pct"/>
            <w:shd w:val="clear" w:color="auto" w:fill="auto"/>
            <w:noWrap/>
            <w:vAlign w:val="center"/>
          </w:tcPr>
          <w:p w14:paraId="4B23CC7C">
            <w:pPr>
              <w:widowControl/>
              <w:spacing w:line="240" w:lineRule="auto"/>
              <w:ind w:firstLine="0" w:firstLineChars="0"/>
              <w:jc w:val="center"/>
              <w:rPr>
                <w:rFonts w:ascii="宋体" w:hAnsi="宋体" w:cs="Arial"/>
                <w:kern w:val="0"/>
                <w:sz w:val="16"/>
                <w:szCs w:val="20"/>
              </w:rPr>
            </w:pPr>
            <w:r>
              <w:rPr>
                <w:rFonts w:ascii="宋体" w:hAnsi="宋体" w:cs="Arial"/>
                <w:kern w:val="0"/>
                <w:sz w:val="16"/>
                <w:szCs w:val="20"/>
              </w:rPr>
              <w:t>0.0</w:t>
            </w:r>
          </w:p>
        </w:tc>
        <w:tc>
          <w:tcPr>
            <w:tcW w:w="182" w:type="pct"/>
            <w:shd w:val="clear" w:color="auto" w:fill="auto"/>
            <w:noWrap/>
            <w:vAlign w:val="center"/>
          </w:tcPr>
          <w:p w14:paraId="320FAC6B">
            <w:pPr>
              <w:widowControl/>
              <w:spacing w:line="240" w:lineRule="auto"/>
              <w:ind w:firstLine="0" w:firstLineChars="0"/>
              <w:jc w:val="center"/>
              <w:rPr>
                <w:rFonts w:ascii="宋体" w:hAnsi="宋体" w:cs="Arial"/>
                <w:kern w:val="0"/>
                <w:sz w:val="16"/>
                <w:szCs w:val="20"/>
              </w:rPr>
            </w:pPr>
            <w:r>
              <w:rPr>
                <w:rFonts w:ascii="宋体" w:hAnsi="宋体" w:cs="Arial"/>
                <w:kern w:val="0"/>
                <w:sz w:val="16"/>
                <w:szCs w:val="20"/>
              </w:rPr>
              <w:t>0.0</w:t>
            </w:r>
          </w:p>
        </w:tc>
        <w:tc>
          <w:tcPr>
            <w:tcW w:w="308" w:type="pct"/>
            <w:shd w:val="clear" w:color="auto" w:fill="auto"/>
            <w:noWrap/>
            <w:vAlign w:val="center"/>
          </w:tcPr>
          <w:p w14:paraId="399D2A35">
            <w:pPr>
              <w:widowControl/>
              <w:spacing w:line="240" w:lineRule="auto"/>
              <w:ind w:firstLine="0" w:firstLineChars="0"/>
              <w:jc w:val="center"/>
              <w:rPr>
                <w:rFonts w:ascii="宋体" w:hAnsi="宋体" w:cs="Arial"/>
                <w:kern w:val="0"/>
                <w:sz w:val="16"/>
                <w:szCs w:val="20"/>
              </w:rPr>
            </w:pPr>
            <w:r>
              <w:rPr>
                <w:rFonts w:ascii="宋体" w:hAnsi="宋体" w:cs="Arial"/>
                <w:kern w:val="0"/>
                <w:sz w:val="16"/>
                <w:szCs w:val="20"/>
              </w:rPr>
              <w:t>0.0</w:t>
            </w:r>
          </w:p>
        </w:tc>
        <w:tc>
          <w:tcPr>
            <w:tcW w:w="253" w:type="pct"/>
            <w:shd w:val="clear" w:color="auto" w:fill="auto"/>
            <w:noWrap/>
            <w:vAlign w:val="center"/>
          </w:tcPr>
          <w:p w14:paraId="14EF7E45">
            <w:pPr>
              <w:widowControl/>
              <w:spacing w:line="240" w:lineRule="auto"/>
              <w:ind w:firstLine="0" w:firstLineChars="0"/>
              <w:jc w:val="center"/>
              <w:rPr>
                <w:rFonts w:ascii="宋体" w:hAnsi="宋体" w:cs="Arial"/>
                <w:kern w:val="0"/>
                <w:sz w:val="16"/>
                <w:szCs w:val="20"/>
              </w:rPr>
            </w:pPr>
            <w:r>
              <w:rPr>
                <w:rFonts w:ascii="宋体" w:hAnsi="宋体" w:cs="Arial"/>
                <w:kern w:val="0"/>
                <w:sz w:val="16"/>
                <w:szCs w:val="20"/>
              </w:rPr>
              <w:t>0.0</w:t>
            </w:r>
          </w:p>
        </w:tc>
        <w:tc>
          <w:tcPr>
            <w:tcW w:w="280" w:type="pct"/>
            <w:shd w:val="clear" w:color="auto" w:fill="auto"/>
            <w:noWrap/>
            <w:vAlign w:val="center"/>
          </w:tcPr>
          <w:p w14:paraId="552F125B">
            <w:pPr>
              <w:widowControl/>
              <w:spacing w:line="240" w:lineRule="auto"/>
              <w:ind w:firstLine="0" w:firstLineChars="0"/>
              <w:jc w:val="center"/>
              <w:rPr>
                <w:rFonts w:ascii="宋体" w:hAnsi="宋体" w:cs="Arial"/>
                <w:kern w:val="0"/>
                <w:sz w:val="16"/>
                <w:szCs w:val="20"/>
              </w:rPr>
            </w:pPr>
            <w:r>
              <w:rPr>
                <w:rFonts w:ascii="宋体" w:hAnsi="宋体" w:cs="Arial"/>
                <w:kern w:val="0"/>
                <w:sz w:val="16"/>
                <w:szCs w:val="20"/>
              </w:rPr>
              <w:t>0.0</w:t>
            </w:r>
          </w:p>
        </w:tc>
        <w:tc>
          <w:tcPr>
            <w:tcW w:w="1148" w:type="pct"/>
            <w:shd w:val="clear" w:color="auto" w:fill="auto"/>
            <w:noWrap/>
            <w:vAlign w:val="center"/>
          </w:tcPr>
          <w:p w14:paraId="0AD17DB6">
            <w:pPr>
              <w:widowControl/>
              <w:spacing w:line="240" w:lineRule="auto"/>
              <w:ind w:firstLine="0" w:firstLineChars="0"/>
              <w:jc w:val="center"/>
              <w:rPr>
                <w:rFonts w:ascii="宋体" w:hAnsi="宋体" w:cs="Arial"/>
                <w:kern w:val="0"/>
                <w:sz w:val="16"/>
                <w:szCs w:val="20"/>
              </w:rPr>
            </w:pPr>
            <w:r>
              <w:rPr>
                <w:rFonts w:ascii="宋体" w:hAnsi="宋体" w:cs="Arial"/>
                <w:kern w:val="0"/>
                <w:sz w:val="16"/>
                <w:szCs w:val="20"/>
              </w:rPr>
              <w:t>0.0</w:t>
            </w:r>
          </w:p>
        </w:tc>
        <w:tc>
          <w:tcPr>
            <w:tcW w:w="265" w:type="pct"/>
            <w:shd w:val="clear" w:color="auto" w:fill="auto"/>
            <w:noWrap/>
            <w:vAlign w:val="center"/>
          </w:tcPr>
          <w:p w14:paraId="1DD3F2C3">
            <w:pPr>
              <w:widowControl/>
              <w:spacing w:line="240" w:lineRule="auto"/>
              <w:ind w:firstLine="0" w:firstLineChars="0"/>
              <w:jc w:val="center"/>
              <w:rPr>
                <w:rFonts w:ascii="宋体" w:hAnsi="宋体" w:cs="Arial"/>
                <w:kern w:val="0"/>
                <w:sz w:val="16"/>
                <w:szCs w:val="20"/>
              </w:rPr>
            </w:pPr>
            <w:r>
              <w:rPr>
                <w:rFonts w:ascii="宋体" w:hAnsi="宋体" w:cs="Arial"/>
                <w:kern w:val="0"/>
                <w:sz w:val="16"/>
                <w:szCs w:val="20"/>
              </w:rPr>
              <w:t>0.</w:t>
            </w:r>
          </w:p>
        </w:tc>
        <w:tc>
          <w:tcPr>
            <w:tcW w:w="336" w:type="pct"/>
            <w:shd w:val="clear" w:color="auto" w:fill="auto"/>
            <w:noWrap/>
            <w:vAlign w:val="center"/>
          </w:tcPr>
          <w:p w14:paraId="58F99936">
            <w:pPr>
              <w:widowControl/>
              <w:spacing w:line="240" w:lineRule="auto"/>
              <w:ind w:firstLine="0" w:firstLineChars="0"/>
              <w:jc w:val="center"/>
              <w:rPr>
                <w:rFonts w:ascii="宋体" w:hAnsi="宋体" w:cs="Arial"/>
                <w:kern w:val="0"/>
                <w:sz w:val="16"/>
                <w:szCs w:val="20"/>
              </w:rPr>
            </w:pPr>
            <w:r>
              <w:rPr>
                <w:rFonts w:ascii="宋体" w:hAnsi="宋体" w:cs="Arial"/>
                <w:kern w:val="0"/>
                <w:sz w:val="16"/>
                <w:szCs w:val="20"/>
              </w:rPr>
              <w:t>0.0</w:t>
            </w:r>
          </w:p>
        </w:tc>
        <w:tc>
          <w:tcPr>
            <w:tcW w:w="336" w:type="pct"/>
            <w:shd w:val="clear" w:color="auto" w:fill="auto"/>
            <w:noWrap/>
            <w:vAlign w:val="center"/>
          </w:tcPr>
          <w:p w14:paraId="1110B41B">
            <w:pPr>
              <w:widowControl/>
              <w:spacing w:line="240" w:lineRule="auto"/>
              <w:ind w:firstLine="0" w:firstLineChars="0"/>
              <w:jc w:val="center"/>
              <w:rPr>
                <w:rFonts w:ascii="宋体" w:hAnsi="宋体" w:cs="Arial"/>
                <w:kern w:val="0"/>
                <w:sz w:val="16"/>
                <w:szCs w:val="20"/>
              </w:rPr>
            </w:pPr>
            <w:r>
              <w:rPr>
                <w:rFonts w:ascii="宋体" w:hAnsi="宋体" w:cs="Arial"/>
                <w:kern w:val="0"/>
                <w:sz w:val="16"/>
                <w:szCs w:val="20"/>
              </w:rPr>
              <w:t>0.0</w:t>
            </w:r>
          </w:p>
        </w:tc>
        <w:tc>
          <w:tcPr>
            <w:tcW w:w="336" w:type="pct"/>
            <w:shd w:val="clear" w:color="auto" w:fill="auto"/>
            <w:noWrap/>
            <w:vAlign w:val="center"/>
          </w:tcPr>
          <w:p w14:paraId="4A6DF3DB">
            <w:pPr>
              <w:widowControl/>
              <w:spacing w:line="240" w:lineRule="auto"/>
              <w:ind w:firstLine="0" w:firstLineChars="0"/>
              <w:jc w:val="center"/>
              <w:rPr>
                <w:rFonts w:ascii="宋体" w:hAnsi="宋体" w:cs="Arial"/>
                <w:kern w:val="0"/>
                <w:sz w:val="16"/>
                <w:szCs w:val="20"/>
              </w:rPr>
            </w:pPr>
            <w:r>
              <w:rPr>
                <w:rFonts w:ascii="宋体" w:hAnsi="宋体" w:cs="Arial"/>
                <w:kern w:val="0"/>
                <w:sz w:val="16"/>
                <w:szCs w:val="20"/>
              </w:rPr>
              <w:t>0.0</w:t>
            </w:r>
          </w:p>
        </w:tc>
        <w:tc>
          <w:tcPr>
            <w:tcW w:w="280" w:type="pct"/>
            <w:shd w:val="clear" w:color="auto" w:fill="auto"/>
            <w:noWrap/>
            <w:vAlign w:val="center"/>
          </w:tcPr>
          <w:p w14:paraId="56E361C0">
            <w:pPr>
              <w:widowControl/>
              <w:spacing w:line="240" w:lineRule="auto"/>
              <w:ind w:firstLine="0" w:firstLineChars="0"/>
              <w:jc w:val="center"/>
              <w:rPr>
                <w:rFonts w:ascii="宋体" w:hAnsi="宋体" w:cs="Arial"/>
                <w:kern w:val="0"/>
                <w:sz w:val="16"/>
                <w:szCs w:val="20"/>
              </w:rPr>
            </w:pPr>
            <w:r>
              <w:rPr>
                <w:rFonts w:ascii="宋体" w:hAnsi="宋体" w:cs="Arial"/>
                <w:kern w:val="0"/>
                <w:sz w:val="16"/>
                <w:szCs w:val="20"/>
              </w:rPr>
              <w:t>0.0</w:t>
            </w:r>
          </w:p>
        </w:tc>
        <w:tc>
          <w:tcPr>
            <w:tcW w:w="280" w:type="pct"/>
            <w:shd w:val="clear" w:color="auto" w:fill="auto"/>
            <w:noWrap/>
            <w:vAlign w:val="center"/>
          </w:tcPr>
          <w:p w14:paraId="1617D31A">
            <w:pPr>
              <w:widowControl/>
              <w:spacing w:line="240" w:lineRule="auto"/>
              <w:ind w:firstLine="0" w:firstLineChars="0"/>
              <w:jc w:val="center"/>
              <w:rPr>
                <w:rFonts w:ascii="宋体" w:hAnsi="宋体" w:cs="Arial"/>
                <w:kern w:val="0"/>
                <w:sz w:val="16"/>
                <w:szCs w:val="20"/>
              </w:rPr>
            </w:pPr>
            <w:r>
              <w:rPr>
                <w:rFonts w:ascii="宋体" w:hAnsi="宋体" w:cs="Arial"/>
                <w:kern w:val="0"/>
                <w:sz w:val="16"/>
                <w:szCs w:val="20"/>
              </w:rPr>
              <w:t>0.0</w:t>
            </w:r>
          </w:p>
        </w:tc>
      </w:tr>
      <w:tr w14:paraId="0A9C05F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00" w:type="pct"/>
            <w:vMerge w:val="continue"/>
            <w:vAlign w:val="center"/>
          </w:tcPr>
          <w:p w14:paraId="1DB4595C">
            <w:pPr>
              <w:widowControl/>
              <w:spacing w:line="240" w:lineRule="auto"/>
              <w:ind w:firstLine="0" w:firstLineChars="0"/>
              <w:jc w:val="center"/>
              <w:rPr>
                <w:rFonts w:ascii="宋体" w:hAnsi="宋体" w:cs="Arial"/>
                <w:kern w:val="0"/>
                <w:sz w:val="16"/>
                <w:szCs w:val="20"/>
              </w:rPr>
            </w:pPr>
          </w:p>
        </w:tc>
        <w:tc>
          <w:tcPr>
            <w:tcW w:w="235" w:type="pct"/>
            <w:shd w:val="clear" w:color="auto" w:fill="auto"/>
            <w:noWrap/>
            <w:vAlign w:val="center"/>
          </w:tcPr>
          <w:p w14:paraId="4EA9CDBA">
            <w:pPr>
              <w:widowControl/>
              <w:spacing w:line="240" w:lineRule="auto"/>
              <w:ind w:firstLine="0" w:firstLineChars="0"/>
              <w:jc w:val="center"/>
              <w:rPr>
                <w:rFonts w:ascii="宋体" w:hAnsi="宋体" w:cs="Arial"/>
                <w:kern w:val="0"/>
                <w:sz w:val="16"/>
                <w:szCs w:val="20"/>
              </w:rPr>
            </w:pPr>
            <w:r>
              <w:rPr>
                <w:rFonts w:ascii="宋体" w:hAnsi="宋体" w:cs="Arial"/>
                <w:kern w:val="0"/>
                <w:sz w:val="16"/>
                <w:szCs w:val="20"/>
              </w:rPr>
              <w:t>最大值</w:t>
            </w:r>
          </w:p>
        </w:tc>
        <w:tc>
          <w:tcPr>
            <w:tcW w:w="195" w:type="pct"/>
            <w:shd w:val="clear" w:color="auto" w:fill="auto"/>
            <w:noWrap/>
            <w:vAlign w:val="center"/>
          </w:tcPr>
          <w:p w14:paraId="75F9E9A6">
            <w:pPr>
              <w:widowControl/>
              <w:spacing w:line="240" w:lineRule="auto"/>
              <w:ind w:firstLine="0" w:firstLineChars="0"/>
              <w:jc w:val="center"/>
              <w:rPr>
                <w:rFonts w:ascii="宋体" w:hAnsi="宋体" w:cs="Arial"/>
                <w:kern w:val="0"/>
                <w:sz w:val="16"/>
                <w:szCs w:val="20"/>
              </w:rPr>
            </w:pPr>
            <w:r>
              <w:rPr>
                <w:rFonts w:ascii="宋体" w:hAnsi="宋体" w:cs="Arial"/>
                <w:kern w:val="0"/>
                <w:sz w:val="16"/>
                <w:szCs w:val="20"/>
              </w:rPr>
              <w:t>7.81</w:t>
            </w:r>
          </w:p>
        </w:tc>
        <w:tc>
          <w:tcPr>
            <w:tcW w:w="196" w:type="pct"/>
            <w:shd w:val="clear" w:color="auto" w:fill="auto"/>
            <w:noWrap/>
            <w:vAlign w:val="center"/>
          </w:tcPr>
          <w:p w14:paraId="208CC42E">
            <w:pPr>
              <w:widowControl/>
              <w:spacing w:line="240" w:lineRule="auto"/>
              <w:ind w:firstLine="0" w:firstLineChars="0"/>
              <w:jc w:val="center"/>
              <w:rPr>
                <w:rFonts w:ascii="宋体" w:hAnsi="宋体" w:cs="Arial"/>
                <w:kern w:val="0"/>
                <w:sz w:val="16"/>
                <w:szCs w:val="20"/>
              </w:rPr>
            </w:pPr>
            <w:r>
              <w:rPr>
                <w:rFonts w:ascii="宋体" w:hAnsi="宋体" w:cs="Arial"/>
                <w:kern w:val="0"/>
                <w:sz w:val="16"/>
                <w:szCs w:val="20"/>
              </w:rPr>
              <w:t>10.8</w:t>
            </w:r>
          </w:p>
        </w:tc>
        <w:tc>
          <w:tcPr>
            <w:tcW w:w="170" w:type="pct"/>
            <w:shd w:val="clear" w:color="auto" w:fill="auto"/>
            <w:noWrap/>
            <w:vAlign w:val="center"/>
          </w:tcPr>
          <w:p w14:paraId="5B739D9B">
            <w:pPr>
              <w:widowControl/>
              <w:spacing w:line="240" w:lineRule="auto"/>
              <w:ind w:firstLine="0" w:firstLineChars="0"/>
              <w:jc w:val="center"/>
              <w:rPr>
                <w:rFonts w:ascii="宋体" w:hAnsi="宋体" w:cs="Arial"/>
                <w:kern w:val="0"/>
                <w:sz w:val="16"/>
                <w:szCs w:val="20"/>
              </w:rPr>
            </w:pPr>
            <w:r>
              <w:rPr>
                <w:rFonts w:ascii="宋体" w:hAnsi="宋体" w:cs="Arial"/>
                <w:kern w:val="0"/>
                <w:sz w:val="16"/>
                <w:szCs w:val="20"/>
              </w:rPr>
              <w:t>4.0</w:t>
            </w:r>
          </w:p>
        </w:tc>
        <w:tc>
          <w:tcPr>
            <w:tcW w:w="182" w:type="pct"/>
            <w:shd w:val="clear" w:color="auto" w:fill="auto"/>
            <w:noWrap/>
            <w:vAlign w:val="center"/>
          </w:tcPr>
          <w:p w14:paraId="28E88966">
            <w:pPr>
              <w:widowControl/>
              <w:spacing w:line="240" w:lineRule="auto"/>
              <w:ind w:firstLine="0" w:firstLineChars="0"/>
              <w:jc w:val="center"/>
              <w:rPr>
                <w:rFonts w:ascii="宋体" w:hAnsi="宋体" w:cs="Arial"/>
                <w:kern w:val="0"/>
                <w:sz w:val="16"/>
                <w:szCs w:val="20"/>
              </w:rPr>
            </w:pPr>
            <w:r>
              <w:rPr>
                <w:rFonts w:ascii="宋体" w:hAnsi="宋体" w:cs="Arial"/>
                <w:kern w:val="0"/>
                <w:sz w:val="16"/>
                <w:szCs w:val="20"/>
              </w:rPr>
              <w:t>2(L)</w:t>
            </w:r>
          </w:p>
        </w:tc>
        <w:tc>
          <w:tcPr>
            <w:tcW w:w="308" w:type="pct"/>
            <w:shd w:val="clear" w:color="auto" w:fill="auto"/>
            <w:noWrap/>
            <w:vAlign w:val="center"/>
          </w:tcPr>
          <w:p w14:paraId="75C9F562">
            <w:pPr>
              <w:widowControl/>
              <w:spacing w:line="240" w:lineRule="auto"/>
              <w:ind w:firstLine="0" w:firstLineChars="0"/>
              <w:jc w:val="center"/>
              <w:rPr>
                <w:rFonts w:ascii="宋体" w:hAnsi="宋体" w:cs="Arial"/>
                <w:kern w:val="0"/>
                <w:sz w:val="16"/>
                <w:szCs w:val="20"/>
              </w:rPr>
            </w:pPr>
            <w:r>
              <w:rPr>
                <w:rFonts w:ascii="宋体" w:hAnsi="宋体" w:cs="Arial"/>
                <w:kern w:val="0"/>
                <w:sz w:val="16"/>
                <w:szCs w:val="20"/>
              </w:rPr>
              <w:t>0.206</w:t>
            </w:r>
          </w:p>
        </w:tc>
        <w:tc>
          <w:tcPr>
            <w:tcW w:w="253" w:type="pct"/>
            <w:shd w:val="clear" w:color="auto" w:fill="auto"/>
            <w:noWrap/>
            <w:vAlign w:val="center"/>
          </w:tcPr>
          <w:p w14:paraId="50FACDD3">
            <w:pPr>
              <w:widowControl/>
              <w:spacing w:line="240" w:lineRule="auto"/>
              <w:ind w:firstLine="0" w:firstLineChars="0"/>
              <w:jc w:val="center"/>
              <w:rPr>
                <w:rFonts w:ascii="宋体" w:hAnsi="宋体" w:cs="Arial"/>
                <w:kern w:val="0"/>
                <w:sz w:val="16"/>
                <w:szCs w:val="20"/>
              </w:rPr>
            </w:pPr>
            <w:r>
              <w:rPr>
                <w:rFonts w:ascii="宋体" w:hAnsi="宋体" w:cs="Arial"/>
                <w:kern w:val="0"/>
                <w:sz w:val="16"/>
                <w:szCs w:val="20"/>
              </w:rPr>
              <w:t>0.021</w:t>
            </w:r>
          </w:p>
        </w:tc>
        <w:tc>
          <w:tcPr>
            <w:tcW w:w="280" w:type="pct"/>
            <w:shd w:val="clear" w:color="auto" w:fill="auto"/>
            <w:noWrap/>
            <w:vAlign w:val="center"/>
          </w:tcPr>
          <w:p w14:paraId="488C6EDB">
            <w:pPr>
              <w:widowControl/>
              <w:spacing w:line="240" w:lineRule="auto"/>
              <w:ind w:firstLine="0" w:firstLineChars="0"/>
              <w:jc w:val="center"/>
              <w:rPr>
                <w:rFonts w:ascii="宋体" w:hAnsi="宋体" w:cs="Arial"/>
                <w:kern w:val="0"/>
                <w:sz w:val="16"/>
                <w:szCs w:val="20"/>
              </w:rPr>
            </w:pPr>
            <w:r>
              <w:rPr>
                <w:rFonts w:ascii="宋体" w:hAnsi="宋体" w:cs="Arial"/>
                <w:kern w:val="0"/>
                <w:sz w:val="16"/>
                <w:szCs w:val="20"/>
              </w:rPr>
              <w:t>0.007</w:t>
            </w:r>
          </w:p>
        </w:tc>
        <w:tc>
          <w:tcPr>
            <w:tcW w:w="1148" w:type="pct"/>
            <w:shd w:val="clear" w:color="auto" w:fill="auto"/>
            <w:noWrap/>
            <w:vAlign w:val="center"/>
          </w:tcPr>
          <w:p w14:paraId="02C5D291">
            <w:pPr>
              <w:widowControl/>
              <w:spacing w:line="240" w:lineRule="auto"/>
              <w:ind w:firstLine="0" w:firstLineChars="0"/>
              <w:jc w:val="center"/>
              <w:rPr>
                <w:rFonts w:ascii="宋体" w:hAnsi="宋体" w:cs="Arial"/>
                <w:kern w:val="0"/>
                <w:sz w:val="16"/>
                <w:szCs w:val="20"/>
              </w:rPr>
            </w:pPr>
            <w:r>
              <w:rPr>
                <w:rFonts w:ascii="宋体" w:hAnsi="宋体" w:cs="Arial"/>
                <w:kern w:val="0"/>
                <w:sz w:val="16"/>
                <w:szCs w:val="20"/>
              </w:rPr>
              <w:t>0.023</w:t>
            </w:r>
          </w:p>
        </w:tc>
        <w:tc>
          <w:tcPr>
            <w:tcW w:w="265" w:type="pct"/>
            <w:shd w:val="clear" w:color="auto" w:fill="auto"/>
            <w:noWrap/>
            <w:vAlign w:val="center"/>
          </w:tcPr>
          <w:p w14:paraId="6000A9D2">
            <w:pPr>
              <w:widowControl/>
              <w:spacing w:line="240" w:lineRule="auto"/>
              <w:ind w:firstLine="0" w:firstLineChars="0"/>
              <w:jc w:val="center"/>
              <w:rPr>
                <w:rFonts w:ascii="宋体" w:hAnsi="宋体" w:cs="Arial"/>
                <w:kern w:val="0"/>
                <w:sz w:val="16"/>
                <w:szCs w:val="20"/>
              </w:rPr>
            </w:pPr>
            <w:r>
              <w:rPr>
                <w:rFonts w:ascii="宋体" w:hAnsi="宋体" w:cs="Arial"/>
                <w:kern w:val="0"/>
                <w:sz w:val="16"/>
                <w:szCs w:val="20"/>
              </w:rPr>
              <w:t>0.404</w:t>
            </w:r>
          </w:p>
        </w:tc>
        <w:tc>
          <w:tcPr>
            <w:tcW w:w="336" w:type="pct"/>
            <w:shd w:val="clear" w:color="auto" w:fill="auto"/>
            <w:noWrap/>
            <w:vAlign w:val="center"/>
          </w:tcPr>
          <w:p w14:paraId="2F6E9A36">
            <w:pPr>
              <w:widowControl/>
              <w:spacing w:line="240" w:lineRule="auto"/>
              <w:ind w:firstLine="0" w:firstLineChars="0"/>
              <w:jc w:val="center"/>
              <w:rPr>
                <w:rFonts w:ascii="宋体" w:hAnsi="宋体" w:cs="Arial"/>
                <w:kern w:val="0"/>
                <w:sz w:val="16"/>
                <w:szCs w:val="20"/>
              </w:rPr>
            </w:pPr>
            <w:r>
              <w:rPr>
                <w:rFonts w:ascii="宋体" w:hAnsi="宋体" w:cs="Arial"/>
                <w:kern w:val="0"/>
                <w:sz w:val="16"/>
                <w:szCs w:val="20"/>
              </w:rPr>
              <w:t>0.0007)</w:t>
            </w:r>
          </w:p>
        </w:tc>
        <w:tc>
          <w:tcPr>
            <w:tcW w:w="336" w:type="pct"/>
            <w:shd w:val="clear" w:color="auto" w:fill="auto"/>
            <w:noWrap/>
            <w:vAlign w:val="center"/>
          </w:tcPr>
          <w:p w14:paraId="72B68C12">
            <w:pPr>
              <w:widowControl/>
              <w:spacing w:line="240" w:lineRule="auto"/>
              <w:ind w:firstLine="0" w:firstLineChars="0"/>
              <w:jc w:val="center"/>
              <w:rPr>
                <w:rFonts w:ascii="宋体" w:hAnsi="宋体" w:cs="Arial"/>
                <w:kern w:val="0"/>
                <w:sz w:val="16"/>
                <w:szCs w:val="20"/>
              </w:rPr>
            </w:pPr>
            <w:r>
              <w:rPr>
                <w:rFonts w:ascii="宋体" w:hAnsi="宋体" w:cs="Arial"/>
                <w:kern w:val="0"/>
                <w:sz w:val="16"/>
                <w:szCs w:val="20"/>
              </w:rPr>
              <w:t>0.00002()</w:t>
            </w:r>
          </w:p>
        </w:tc>
        <w:tc>
          <w:tcPr>
            <w:tcW w:w="336" w:type="pct"/>
            <w:shd w:val="clear" w:color="auto" w:fill="auto"/>
            <w:noWrap/>
            <w:vAlign w:val="center"/>
          </w:tcPr>
          <w:p w14:paraId="202E5E0B">
            <w:pPr>
              <w:widowControl/>
              <w:spacing w:line="240" w:lineRule="auto"/>
              <w:ind w:firstLine="0" w:firstLineChars="0"/>
              <w:jc w:val="center"/>
              <w:rPr>
                <w:rFonts w:ascii="宋体" w:hAnsi="宋体" w:cs="Arial"/>
                <w:kern w:val="0"/>
                <w:sz w:val="16"/>
                <w:szCs w:val="20"/>
              </w:rPr>
            </w:pPr>
            <w:r>
              <w:rPr>
                <w:rFonts w:ascii="宋体" w:hAnsi="宋体" w:cs="Arial"/>
                <w:kern w:val="0"/>
                <w:sz w:val="16"/>
                <w:szCs w:val="20"/>
              </w:rPr>
              <w:t>0.0000)</w:t>
            </w:r>
          </w:p>
        </w:tc>
        <w:tc>
          <w:tcPr>
            <w:tcW w:w="280" w:type="pct"/>
            <w:shd w:val="clear" w:color="auto" w:fill="auto"/>
            <w:noWrap/>
            <w:vAlign w:val="center"/>
          </w:tcPr>
          <w:p w14:paraId="6676D236">
            <w:pPr>
              <w:widowControl/>
              <w:spacing w:line="240" w:lineRule="auto"/>
              <w:ind w:firstLine="0" w:firstLineChars="0"/>
              <w:jc w:val="center"/>
              <w:rPr>
                <w:rFonts w:ascii="宋体" w:hAnsi="宋体" w:cs="Arial"/>
                <w:kern w:val="0"/>
                <w:sz w:val="16"/>
                <w:szCs w:val="20"/>
              </w:rPr>
            </w:pPr>
            <w:r>
              <w:rPr>
                <w:rFonts w:ascii="宋体" w:hAnsi="宋体" w:cs="Arial"/>
                <w:kern w:val="0"/>
                <w:sz w:val="16"/>
                <w:szCs w:val="20"/>
              </w:rPr>
              <w:t>0.004()</w:t>
            </w:r>
          </w:p>
        </w:tc>
        <w:tc>
          <w:tcPr>
            <w:tcW w:w="280" w:type="pct"/>
            <w:shd w:val="clear" w:color="auto" w:fill="auto"/>
            <w:noWrap/>
            <w:vAlign w:val="center"/>
          </w:tcPr>
          <w:p w14:paraId="2D93E4BA">
            <w:pPr>
              <w:widowControl/>
              <w:spacing w:line="240" w:lineRule="auto"/>
              <w:ind w:firstLine="0" w:firstLineChars="0"/>
              <w:jc w:val="center"/>
              <w:rPr>
                <w:rFonts w:ascii="宋体" w:hAnsi="宋体" w:cs="Arial"/>
                <w:kern w:val="0"/>
                <w:sz w:val="16"/>
                <w:szCs w:val="20"/>
              </w:rPr>
            </w:pPr>
            <w:r>
              <w:rPr>
                <w:rFonts w:ascii="宋体" w:hAnsi="宋体" w:cs="Arial"/>
                <w:kern w:val="0"/>
                <w:sz w:val="16"/>
                <w:szCs w:val="20"/>
              </w:rPr>
              <w:t>0.002()</w:t>
            </w:r>
          </w:p>
        </w:tc>
      </w:tr>
      <w:tr w14:paraId="63356D4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00" w:type="pct"/>
            <w:vMerge w:val="continue"/>
            <w:vAlign w:val="center"/>
          </w:tcPr>
          <w:p w14:paraId="1B5EBFC2">
            <w:pPr>
              <w:widowControl/>
              <w:spacing w:line="240" w:lineRule="auto"/>
              <w:ind w:firstLine="0" w:firstLineChars="0"/>
              <w:jc w:val="center"/>
              <w:rPr>
                <w:rFonts w:ascii="宋体" w:hAnsi="宋体" w:cs="Arial"/>
                <w:kern w:val="0"/>
                <w:sz w:val="16"/>
                <w:szCs w:val="20"/>
              </w:rPr>
            </w:pPr>
          </w:p>
        </w:tc>
        <w:tc>
          <w:tcPr>
            <w:tcW w:w="235" w:type="pct"/>
            <w:shd w:val="clear" w:color="auto" w:fill="auto"/>
            <w:noWrap/>
            <w:vAlign w:val="center"/>
          </w:tcPr>
          <w:p w14:paraId="7F048190">
            <w:pPr>
              <w:widowControl/>
              <w:spacing w:line="240" w:lineRule="auto"/>
              <w:ind w:firstLine="0" w:firstLineChars="0"/>
              <w:jc w:val="center"/>
              <w:rPr>
                <w:rFonts w:ascii="宋体" w:hAnsi="宋体" w:cs="Arial"/>
                <w:kern w:val="0"/>
                <w:sz w:val="16"/>
                <w:szCs w:val="20"/>
              </w:rPr>
            </w:pPr>
            <w:r>
              <w:rPr>
                <w:rFonts w:ascii="宋体" w:hAnsi="宋体" w:cs="Arial"/>
                <w:kern w:val="0"/>
                <w:sz w:val="16"/>
                <w:szCs w:val="20"/>
              </w:rPr>
              <w:t>最小值</w:t>
            </w:r>
          </w:p>
        </w:tc>
        <w:tc>
          <w:tcPr>
            <w:tcW w:w="195" w:type="pct"/>
            <w:shd w:val="clear" w:color="auto" w:fill="auto"/>
            <w:noWrap/>
            <w:vAlign w:val="center"/>
          </w:tcPr>
          <w:p w14:paraId="3C61BFF4">
            <w:pPr>
              <w:widowControl/>
              <w:spacing w:line="240" w:lineRule="auto"/>
              <w:ind w:firstLine="0" w:firstLineChars="0"/>
              <w:jc w:val="center"/>
              <w:rPr>
                <w:rFonts w:ascii="宋体" w:hAnsi="宋体" w:cs="Arial"/>
                <w:kern w:val="0"/>
                <w:sz w:val="16"/>
                <w:szCs w:val="20"/>
              </w:rPr>
            </w:pPr>
            <w:r>
              <w:rPr>
                <w:rFonts w:ascii="宋体" w:hAnsi="宋体" w:cs="Arial"/>
                <w:kern w:val="0"/>
                <w:sz w:val="16"/>
                <w:szCs w:val="20"/>
              </w:rPr>
              <w:t>6.64</w:t>
            </w:r>
          </w:p>
        </w:tc>
        <w:tc>
          <w:tcPr>
            <w:tcW w:w="196" w:type="pct"/>
            <w:shd w:val="clear" w:color="auto" w:fill="auto"/>
            <w:noWrap/>
            <w:vAlign w:val="center"/>
          </w:tcPr>
          <w:p w14:paraId="05AEDF18">
            <w:pPr>
              <w:widowControl/>
              <w:spacing w:line="240" w:lineRule="auto"/>
              <w:ind w:firstLine="0" w:firstLineChars="0"/>
              <w:jc w:val="center"/>
              <w:rPr>
                <w:rFonts w:ascii="宋体" w:hAnsi="宋体" w:cs="Arial"/>
                <w:kern w:val="0"/>
                <w:sz w:val="16"/>
                <w:szCs w:val="20"/>
              </w:rPr>
            </w:pPr>
            <w:r>
              <w:rPr>
                <w:rFonts w:ascii="宋体" w:hAnsi="宋体" w:cs="Arial"/>
                <w:kern w:val="0"/>
                <w:sz w:val="16"/>
                <w:szCs w:val="20"/>
              </w:rPr>
              <w:t>6.4</w:t>
            </w:r>
          </w:p>
        </w:tc>
        <w:tc>
          <w:tcPr>
            <w:tcW w:w="170" w:type="pct"/>
            <w:shd w:val="clear" w:color="auto" w:fill="auto"/>
            <w:noWrap/>
            <w:vAlign w:val="center"/>
          </w:tcPr>
          <w:p w14:paraId="5F5E8587">
            <w:pPr>
              <w:widowControl/>
              <w:spacing w:line="240" w:lineRule="auto"/>
              <w:ind w:firstLine="0" w:firstLineChars="0"/>
              <w:jc w:val="center"/>
              <w:rPr>
                <w:rFonts w:ascii="宋体" w:hAnsi="宋体" w:cs="Arial"/>
                <w:kern w:val="0"/>
                <w:sz w:val="16"/>
                <w:szCs w:val="20"/>
              </w:rPr>
            </w:pPr>
            <w:r>
              <w:rPr>
                <w:rFonts w:ascii="宋体" w:hAnsi="宋体" w:cs="Arial"/>
                <w:kern w:val="0"/>
                <w:sz w:val="16"/>
                <w:szCs w:val="20"/>
              </w:rPr>
              <w:t>1.2</w:t>
            </w:r>
          </w:p>
        </w:tc>
        <w:tc>
          <w:tcPr>
            <w:tcW w:w="182" w:type="pct"/>
            <w:shd w:val="clear" w:color="auto" w:fill="auto"/>
            <w:noWrap/>
            <w:vAlign w:val="center"/>
          </w:tcPr>
          <w:p w14:paraId="7C8F21A9">
            <w:pPr>
              <w:widowControl/>
              <w:spacing w:line="240" w:lineRule="auto"/>
              <w:ind w:firstLine="0" w:firstLineChars="0"/>
              <w:jc w:val="center"/>
              <w:rPr>
                <w:rFonts w:ascii="宋体" w:hAnsi="宋体" w:cs="Arial"/>
                <w:kern w:val="0"/>
                <w:sz w:val="16"/>
                <w:szCs w:val="20"/>
              </w:rPr>
            </w:pPr>
            <w:r>
              <w:rPr>
                <w:rFonts w:ascii="宋体" w:hAnsi="宋体" w:cs="Arial"/>
                <w:kern w:val="0"/>
                <w:sz w:val="16"/>
                <w:szCs w:val="20"/>
              </w:rPr>
              <w:t>2(L)</w:t>
            </w:r>
          </w:p>
        </w:tc>
        <w:tc>
          <w:tcPr>
            <w:tcW w:w="308" w:type="pct"/>
            <w:shd w:val="clear" w:color="auto" w:fill="auto"/>
            <w:noWrap/>
            <w:vAlign w:val="center"/>
          </w:tcPr>
          <w:p w14:paraId="0409AA29">
            <w:pPr>
              <w:widowControl/>
              <w:spacing w:line="240" w:lineRule="auto"/>
              <w:ind w:firstLine="0" w:firstLineChars="0"/>
              <w:jc w:val="center"/>
              <w:rPr>
                <w:rFonts w:ascii="宋体" w:hAnsi="宋体" w:cs="Arial"/>
                <w:kern w:val="0"/>
                <w:sz w:val="16"/>
                <w:szCs w:val="20"/>
              </w:rPr>
            </w:pPr>
            <w:r>
              <w:rPr>
                <w:rFonts w:ascii="宋体" w:hAnsi="宋体" w:cs="Arial"/>
                <w:kern w:val="0"/>
                <w:sz w:val="16"/>
                <w:szCs w:val="20"/>
              </w:rPr>
              <w:t>0.056</w:t>
            </w:r>
          </w:p>
        </w:tc>
        <w:tc>
          <w:tcPr>
            <w:tcW w:w="253" w:type="pct"/>
            <w:shd w:val="clear" w:color="auto" w:fill="auto"/>
            <w:noWrap/>
            <w:vAlign w:val="center"/>
          </w:tcPr>
          <w:p w14:paraId="5BA07A50">
            <w:pPr>
              <w:widowControl/>
              <w:spacing w:line="240" w:lineRule="auto"/>
              <w:ind w:firstLine="0" w:firstLineChars="0"/>
              <w:jc w:val="center"/>
              <w:rPr>
                <w:rFonts w:ascii="宋体" w:hAnsi="宋体" w:cs="Arial"/>
                <w:kern w:val="0"/>
                <w:sz w:val="16"/>
                <w:szCs w:val="20"/>
              </w:rPr>
            </w:pPr>
            <w:r>
              <w:rPr>
                <w:rFonts w:ascii="宋体" w:hAnsi="宋体" w:cs="Arial"/>
                <w:kern w:val="0"/>
                <w:sz w:val="16"/>
                <w:szCs w:val="20"/>
              </w:rPr>
              <w:t>0.01(L)</w:t>
            </w:r>
          </w:p>
        </w:tc>
        <w:tc>
          <w:tcPr>
            <w:tcW w:w="280" w:type="pct"/>
            <w:shd w:val="clear" w:color="auto" w:fill="auto"/>
            <w:noWrap/>
            <w:vAlign w:val="center"/>
          </w:tcPr>
          <w:p w14:paraId="1917F5A7">
            <w:pPr>
              <w:widowControl/>
              <w:spacing w:line="240" w:lineRule="auto"/>
              <w:ind w:firstLine="0" w:firstLineChars="0"/>
              <w:jc w:val="center"/>
              <w:rPr>
                <w:rFonts w:ascii="宋体" w:hAnsi="宋体" w:cs="Arial"/>
                <w:kern w:val="0"/>
                <w:sz w:val="16"/>
                <w:szCs w:val="20"/>
              </w:rPr>
            </w:pPr>
            <w:r>
              <w:rPr>
                <w:rFonts w:ascii="宋体" w:hAnsi="宋体" w:cs="Arial"/>
                <w:kern w:val="0"/>
                <w:sz w:val="16"/>
                <w:szCs w:val="20"/>
              </w:rPr>
              <w:t>0.004(L)</w:t>
            </w:r>
          </w:p>
        </w:tc>
        <w:tc>
          <w:tcPr>
            <w:tcW w:w="1148" w:type="pct"/>
            <w:shd w:val="clear" w:color="auto" w:fill="auto"/>
            <w:noWrap/>
            <w:vAlign w:val="center"/>
          </w:tcPr>
          <w:p w14:paraId="2BC25C3F">
            <w:pPr>
              <w:widowControl/>
              <w:spacing w:line="240" w:lineRule="auto"/>
              <w:ind w:firstLine="0" w:firstLineChars="0"/>
              <w:jc w:val="center"/>
              <w:rPr>
                <w:rFonts w:ascii="宋体" w:hAnsi="宋体" w:cs="Arial"/>
                <w:kern w:val="0"/>
                <w:sz w:val="16"/>
                <w:szCs w:val="20"/>
              </w:rPr>
            </w:pPr>
            <w:r>
              <w:rPr>
                <w:rFonts w:ascii="宋体" w:hAnsi="宋体" w:cs="Arial"/>
                <w:kern w:val="0"/>
                <w:sz w:val="16"/>
                <w:szCs w:val="20"/>
              </w:rPr>
              <w:t>0.01(L)</w:t>
            </w:r>
          </w:p>
        </w:tc>
        <w:tc>
          <w:tcPr>
            <w:tcW w:w="265" w:type="pct"/>
            <w:shd w:val="clear" w:color="auto" w:fill="auto"/>
            <w:noWrap/>
            <w:vAlign w:val="center"/>
          </w:tcPr>
          <w:p w14:paraId="27DACEE0">
            <w:pPr>
              <w:widowControl/>
              <w:spacing w:line="240" w:lineRule="auto"/>
              <w:ind w:firstLine="0" w:firstLineChars="0"/>
              <w:jc w:val="center"/>
              <w:rPr>
                <w:rFonts w:ascii="宋体" w:hAnsi="宋体" w:cs="Arial"/>
                <w:kern w:val="0"/>
                <w:sz w:val="16"/>
                <w:szCs w:val="20"/>
              </w:rPr>
            </w:pPr>
            <w:r>
              <w:rPr>
                <w:rFonts w:ascii="宋体" w:hAnsi="宋体" w:cs="Arial"/>
                <w:kern w:val="0"/>
                <w:sz w:val="16"/>
                <w:szCs w:val="20"/>
              </w:rPr>
              <w:t>0.234</w:t>
            </w:r>
          </w:p>
        </w:tc>
        <w:tc>
          <w:tcPr>
            <w:tcW w:w="336" w:type="pct"/>
            <w:shd w:val="clear" w:color="auto" w:fill="auto"/>
            <w:noWrap/>
            <w:vAlign w:val="center"/>
          </w:tcPr>
          <w:p w14:paraId="36E0F634">
            <w:pPr>
              <w:widowControl/>
              <w:spacing w:line="240" w:lineRule="auto"/>
              <w:ind w:firstLine="0" w:firstLineChars="0"/>
              <w:jc w:val="center"/>
              <w:rPr>
                <w:rFonts w:ascii="宋体" w:hAnsi="宋体" w:cs="Arial"/>
                <w:kern w:val="0"/>
                <w:sz w:val="16"/>
                <w:szCs w:val="20"/>
              </w:rPr>
            </w:pPr>
            <w:r>
              <w:rPr>
                <w:rFonts w:ascii="宋体" w:hAnsi="宋体" w:cs="Arial"/>
                <w:kern w:val="0"/>
                <w:sz w:val="16"/>
                <w:szCs w:val="20"/>
              </w:rPr>
              <w:t>0.00007()</w:t>
            </w:r>
          </w:p>
        </w:tc>
        <w:tc>
          <w:tcPr>
            <w:tcW w:w="336" w:type="pct"/>
            <w:shd w:val="clear" w:color="auto" w:fill="auto"/>
            <w:noWrap/>
            <w:vAlign w:val="center"/>
          </w:tcPr>
          <w:p w14:paraId="091DF9D3">
            <w:pPr>
              <w:widowControl/>
              <w:spacing w:line="240" w:lineRule="auto"/>
              <w:ind w:firstLine="0" w:firstLineChars="0"/>
              <w:jc w:val="center"/>
              <w:rPr>
                <w:rFonts w:ascii="宋体" w:hAnsi="宋体" w:cs="Arial"/>
                <w:kern w:val="0"/>
                <w:sz w:val="16"/>
                <w:szCs w:val="20"/>
              </w:rPr>
            </w:pPr>
            <w:r>
              <w:rPr>
                <w:rFonts w:ascii="宋体" w:hAnsi="宋体" w:cs="Arial"/>
                <w:kern w:val="0"/>
                <w:sz w:val="16"/>
                <w:szCs w:val="20"/>
              </w:rPr>
              <w:t>0.00002(L0</w:t>
            </w:r>
          </w:p>
        </w:tc>
        <w:tc>
          <w:tcPr>
            <w:tcW w:w="336" w:type="pct"/>
            <w:shd w:val="clear" w:color="auto" w:fill="auto"/>
            <w:noWrap/>
            <w:vAlign w:val="center"/>
          </w:tcPr>
          <w:p w14:paraId="02CEC711">
            <w:pPr>
              <w:widowControl/>
              <w:spacing w:line="240" w:lineRule="auto"/>
              <w:ind w:firstLine="0" w:firstLineChars="0"/>
              <w:jc w:val="center"/>
              <w:rPr>
                <w:rFonts w:ascii="宋体" w:hAnsi="宋体" w:cs="Arial"/>
                <w:kern w:val="0"/>
                <w:sz w:val="16"/>
                <w:szCs w:val="20"/>
              </w:rPr>
            </w:pPr>
            <w:r>
              <w:rPr>
                <w:rFonts w:ascii="宋体" w:hAnsi="宋体" w:cs="Arial"/>
                <w:kern w:val="0"/>
                <w:sz w:val="16"/>
                <w:szCs w:val="20"/>
              </w:rPr>
              <w:t>.0002()</w:t>
            </w:r>
          </w:p>
        </w:tc>
        <w:tc>
          <w:tcPr>
            <w:tcW w:w="280" w:type="pct"/>
            <w:shd w:val="clear" w:color="auto" w:fill="auto"/>
            <w:noWrap/>
            <w:vAlign w:val="center"/>
          </w:tcPr>
          <w:p w14:paraId="2620C341">
            <w:pPr>
              <w:widowControl/>
              <w:spacing w:line="240" w:lineRule="auto"/>
              <w:ind w:firstLine="0" w:firstLineChars="0"/>
              <w:jc w:val="center"/>
              <w:rPr>
                <w:rFonts w:ascii="宋体" w:hAnsi="宋体" w:cs="Arial"/>
                <w:kern w:val="0"/>
                <w:sz w:val="16"/>
                <w:szCs w:val="20"/>
              </w:rPr>
            </w:pPr>
            <w:r>
              <w:rPr>
                <w:rFonts w:ascii="宋体" w:hAnsi="宋体" w:cs="Arial"/>
                <w:kern w:val="0"/>
                <w:sz w:val="16"/>
                <w:szCs w:val="20"/>
              </w:rPr>
              <w:t>0.004()</w:t>
            </w:r>
          </w:p>
        </w:tc>
        <w:tc>
          <w:tcPr>
            <w:tcW w:w="280" w:type="pct"/>
            <w:shd w:val="clear" w:color="auto" w:fill="auto"/>
            <w:noWrap/>
            <w:vAlign w:val="center"/>
          </w:tcPr>
          <w:p w14:paraId="57A97611">
            <w:pPr>
              <w:widowControl/>
              <w:spacing w:line="240" w:lineRule="auto"/>
              <w:ind w:firstLine="0" w:firstLineChars="0"/>
              <w:jc w:val="center"/>
              <w:rPr>
                <w:rFonts w:ascii="宋体" w:hAnsi="宋体" w:cs="Arial"/>
                <w:kern w:val="0"/>
                <w:sz w:val="16"/>
                <w:szCs w:val="20"/>
              </w:rPr>
            </w:pPr>
            <w:r>
              <w:rPr>
                <w:rFonts w:ascii="宋体" w:hAnsi="宋体" w:cs="Arial"/>
                <w:kern w:val="0"/>
                <w:sz w:val="16"/>
                <w:szCs w:val="20"/>
              </w:rPr>
              <w:t>0.002(l</w:t>
            </w:r>
          </w:p>
        </w:tc>
      </w:tr>
      <w:tr w14:paraId="791DEC6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00" w:type="pct"/>
            <w:vMerge w:val="continue"/>
            <w:vAlign w:val="center"/>
          </w:tcPr>
          <w:p w14:paraId="69D6B593">
            <w:pPr>
              <w:widowControl/>
              <w:spacing w:line="240" w:lineRule="auto"/>
              <w:ind w:firstLine="0" w:firstLineChars="0"/>
              <w:jc w:val="center"/>
              <w:rPr>
                <w:rFonts w:ascii="宋体" w:hAnsi="宋体" w:cs="Arial"/>
                <w:kern w:val="0"/>
                <w:sz w:val="16"/>
                <w:szCs w:val="20"/>
              </w:rPr>
            </w:pPr>
          </w:p>
        </w:tc>
        <w:tc>
          <w:tcPr>
            <w:tcW w:w="235" w:type="pct"/>
            <w:shd w:val="clear" w:color="auto" w:fill="auto"/>
            <w:noWrap/>
            <w:vAlign w:val="center"/>
          </w:tcPr>
          <w:p w14:paraId="5DC60322">
            <w:pPr>
              <w:widowControl/>
              <w:spacing w:line="240" w:lineRule="auto"/>
              <w:ind w:firstLine="0" w:firstLineChars="0"/>
              <w:jc w:val="center"/>
              <w:rPr>
                <w:rFonts w:ascii="宋体" w:hAnsi="宋体" w:cs="Arial"/>
                <w:kern w:val="0"/>
                <w:sz w:val="16"/>
                <w:szCs w:val="20"/>
              </w:rPr>
            </w:pPr>
            <w:r>
              <w:rPr>
                <w:rFonts w:ascii="宋体" w:hAnsi="宋体" w:cs="Arial"/>
                <w:kern w:val="0"/>
                <w:sz w:val="16"/>
                <w:szCs w:val="20"/>
              </w:rPr>
              <w:t>平均值</w:t>
            </w:r>
          </w:p>
        </w:tc>
        <w:tc>
          <w:tcPr>
            <w:tcW w:w="195" w:type="pct"/>
            <w:shd w:val="clear" w:color="auto" w:fill="auto"/>
            <w:noWrap/>
            <w:vAlign w:val="center"/>
          </w:tcPr>
          <w:p w14:paraId="5FA296C5">
            <w:pPr>
              <w:widowControl/>
              <w:spacing w:line="240" w:lineRule="auto"/>
              <w:ind w:firstLine="0" w:firstLineChars="0"/>
              <w:jc w:val="center"/>
              <w:rPr>
                <w:rFonts w:ascii="宋体" w:hAnsi="宋体" w:cs="Arial"/>
                <w:kern w:val="0"/>
                <w:sz w:val="16"/>
                <w:szCs w:val="20"/>
              </w:rPr>
            </w:pPr>
            <w:r>
              <w:rPr>
                <w:rFonts w:ascii="宋体" w:hAnsi="宋体" w:cs="Arial"/>
                <w:kern w:val="0"/>
                <w:sz w:val="16"/>
                <w:szCs w:val="20"/>
              </w:rPr>
              <w:t>7.37</w:t>
            </w:r>
          </w:p>
        </w:tc>
        <w:tc>
          <w:tcPr>
            <w:tcW w:w="196" w:type="pct"/>
            <w:shd w:val="clear" w:color="auto" w:fill="auto"/>
            <w:noWrap/>
            <w:vAlign w:val="center"/>
          </w:tcPr>
          <w:p w14:paraId="75885A1F">
            <w:pPr>
              <w:widowControl/>
              <w:spacing w:line="240" w:lineRule="auto"/>
              <w:ind w:firstLine="0" w:firstLineChars="0"/>
              <w:jc w:val="center"/>
              <w:rPr>
                <w:rFonts w:ascii="宋体" w:hAnsi="宋体" w:cs="Arial"/>
                <w:kern w:val="0"/>
                <w:sz w:val="16"/>
                <w:szCs w:val="20"/>
              </w:rPr>
            </w:pPr>
            <w:r>
              <w:rPr>
                <w:rFonts w:ascii="宋体" w:hAnsi="宋体" w:cs="Arial"/>
                <w:kern w:val="0"/>
                <w:sz w:val="16"/>
                <w:szCs w:val="20"/>
              </w:rPr>
              <w:t>8.3</w:t>
            </w:r>
          </w:p>
        </w:tc>
        <w:tc>
          <w:tcPr>
            <w:tcW w:w="170" w:type="pct"/>
            <w:shd w:val="clear" w:color="auto" w:fill="auto"/>
            <w:noWrap/>
            <w:vAlign w:val="center"/>
          </w:tcPr>
          <w:p w14:paraId="733713D7">
            <w:pPr>
              <w:widowControl/>
              <w:spacing w:line="240" w:lineRule="auto"/>
              <w:ind w:firstLine="0" w:firstLineChars="0"/>
              <w:jc w:val="center"/>
              <w:rPr>
                <w:rFonts w:ascii="宋体" w:hAnsi="宋体" w:cs="Arial"/>
                <w:kern w:val="0"/>
                <w:sz w:val="16"/>
                <w:szCs w:val="20"/>
              </w:rPr>
            </w:pPr>
            <w:r>
              <w:rPr>
                <w:rFonts w:ascii="宋体" w:hAnsi="宋体" w:cs="Arial"/>
                <w:kern w:val="0"/>
                <w:sz w:val="16"/>
                <w:szCs w:val="20"/>
              </w:rPr>
              <w:t>2.3</w:t>
            </w:r>
          </w:p>
        </w:tc>
        <w:tc>
          <w:tcPr>
            <w:tcW w:w="182" w:type="pct"/>
            <w:shd w:val="clear" w:color="auto" w:fill="auto"/>
            <w:noWrap/>
            <w:vAlign w:val="center"/>
          </w:tcPr>
          <w:p w14:paraId="3088C75E">
            <w:pPr>
              <w:widowControl/>
              <w:spacing w:line="240" w:lineRule="auto"/>
              <w:ind w:firstLine="0" w:firstLineChars="0"/>
              <w:jc w:val="center"/>
              <w:rPr>
                <w:rFonts w:ascii="宋体" w:hAnsi="宋体" w:cs="Arial"/>
                <w:kern w:val="0"/>
                <w:sz w:val="16"/>
                <w:szCs w:val="20"/>
              </w:rPr>
            </w:pPr>
            <w:r>
              <w:rPr>
                <w:rFonts w:ascii="宋体" w:hAnsi="宋体" w:cs="Arial"/>
                <w:kern w:val="0"/>
                <w:sz w:val="16"/>
                <w:szCs w:val="20"/>
              </w:rPr>
              <w:t>2(L)</w:t>
            </w:r>
          </w:p>
        </w:tc>
        <w:tc>
          <w:tcPr>
            <w:tcW w:w="308" w:type="pct"/>
            <w:shd w:val="clear" w:color="auto" w:fill="auto"/>
            <w:noWrap/>
            <w:vAlign w:val="center"/>
          </w:tcPr>
          <w:p w14:paraId="3CECB0E2">
            <w:pPr>
              <w:widowControl/>
              <w:spacing w:line="240" w:lineRule="auto"/>
              <w:ind w:firstLine="0" w:firstLineChars="0"/>
              <w:jc w:val="center"/>
              <w:rPr>
                <w:rFonts w:ascii="宋体" w:hAnsi="宋体" w:cs="Arial"/>
                <w:kern w:val="0"/>
                <w:sz w:val="16"/>
                <w:szCs w:val="20"/>
              </w:rPr>
            </w:pPr>
            <w:r>
              <w:rPr>
                <w:rFonts w:ascii="宋体" w:hAnsi="宋体" w:cs="Arial"/>
                <w:kern w:val="0"/>
                <w:sz w:val="16"/>
                <w:szCs w:val="20"/>
              </w:rPr>
              <w:t>0.127</w:t>
            </w:r>
          </w:p>
        </w:tc>
        <w:tc>
          <w:tcPr>
            <w:tcW w:w="253" w:type="pct"/>
            <w:shd w:val="clear" w:color="auto" w:fill="auto"/>
            <w:noWrap/>
            <w:vAlign w:val="center"/>
          </w:tcPr>
          <w:p w14:paraId="2D715C66">
            <w:pPr>
              <w:widowControl/>
              <w:spacing w:line="240" w:lineRule="auto"/>
              <w:ind w:firstLine="0" w:firstLineChars="0"/>
              <w:jc w:val="center"/>
              <w:rPr>
                <w:rFonts w:ascii="宋体" w:hAnsi="宋体" w:cs="Arial"/>
                <w:kern w:val="0"/>
                <w:sz w:val="16"/>
                <w:szCs w:val="20"/>
              </w:rPr>
            </w:pPr>
            <w:r>
              <w:rPr>
                <w:rFonts w:ascii="宋体" w:hAnsi="宋体" w:cs="Arial"/>
                <w:kern w:val="0"/>
                <w:sz w:val="16"/>
                <w:szCs w:val="20"/>
              </w:rPr>
              <w:t>0.0132</w:t>
            </w:r>
          </w:p>
        </w:tc>
        <w:tc>
          <w:tcPr>
            <w:tcW w:w="280" w:type="pct"/>
            <w:shd w:val="clear" w:color="auto" w:fill="auto"/>
            <w:noWrap/>
            <w:vAlign w:val="center"/>
          </w:tcPr>
          <w:p w14:paraId="7DBA81E0">
            <w:pPr>
              <w:widowControl/>
              <w:spacing w:line="240" w:lineRule="auto"/>
              <w:ind w:firstLine="0" w:firstLineChars="0"/>
              <w:jc w:val="center"/>
              <w:rPr>
                <w:rFonts w:ascii="宋体" w:hAnsi="宋体" w:cs="Arial"/>
                <w:kern w:val="0"/>
                <w:sz w:val="16"/>
                <w:szCs w:val="20"/>
              </w:rPr>
            </w:pPr>
            <w:r>
              <w:rPr>
                <w:rFonts w:ascii="宋体" w:hAnsi="宋体" w:cs="Arial"/>
                <w:kern w:val="0"/>
                <w:sz w:val="16"/>
                <w:szCs w:val="20"/>
              </w:rPr>
              <w:t>0.007</w:t>
            </w:r>
          </w:p>
        </w:tc>
        <w:tc>
          <w:tcPr>
            <w:tcW w:w="1148" w:type="pct"/>
            <w:shd w:val="clear" w:color="auto" w:fill="auto"/>
            <w:noWrap/>
            <w:vAlign w:val="center"/>
          </w:tcPr>
          <w:p w14:paraId="465E9060">
            <w:pPr>
              <w:widowControl/>
              <w:spacing w:line="240" w:lineRule="auto"/>
              <w:ind w:firstLine="0" w:firstLineChars="0"/>
              <w:jc w:val="center"/>
              <w:rPr>
                <w:rFonts w:ascii="宋体" w:hAnsi="宋体" w:cs="Arial"/>
                <w:kern w:val="0"/>
                <w:sz w:val="16"/>
                <w:szCs w:val="20"/>
              </w:rPr>
            </w:pPr>
            <w:r>
              <w:rPr>
                <w:rFonts w:ascii="宋体" w:hAnsi="宋体" w:cs="Arial"/>
                <w:kern w:val="0"/>
                <w:sz w:val="16"/>
                <w:szCs w:val="20"/>
              </w:rPr>
              <w:t>0.0141</w:t>
            </w:r>
          </w:p>
        </w:tc>
        <w:tc>
          <w:tcPr>
            <w:tcW w:w="265" w:type="pct"/>
            <w:shd w:val="clear" w:color="auto" w:fill="auto"/>
            <w:noWrap/>
            <w:vAlign w:val="center"/>
          </w:tcPr>
          <w:p w14:paraId="6F8AC667">
            <w:pPr>
              <w:widowControl/>
              <w:spacing w:line="240" w:lineRule="auto"/>
              <w:ind w:firstLine="0" w:firstLineChars="0"/>
              <w:jc w:val="center"/>
              <w:rPr>
                <w:rFonts w:ascii="宋体" w:hAnsi="宋体" w:cs="Arial"/>
                <w:kern w:val="0"/>
                <w:sz w:val="16"/>
                <w:szCs w:val="20"/>
              </w:rPr>
            </w:pPr>
            <w:r>
              <w:rPr>
                <w:rFonts w:ascii="宋体" w:hAnsi="宋体" w:cs="Arial"/>
                <w:kern w:val="0"/>
                <w:sz w:val="16"/>
                <w:szCs w:val="20"/>
              </w:rPr>
              <w:t>0.2920</w:t>
            </w:r>
          </w:p>
        </w:tc>
        <w:tc>
          <w:tcPr>
            <w:tcW w:w="336" w:type="pct"/>
            <w:shd w:val="clear" w:color="auto" w:fill="auto"/>
            <w:noWrap/>
            <w:vAlign w:val="center"/>
          </w:tcPr>
          <w:p w14:paraId="276084E0">
            <w:pPr>
              <w:widowControl/>
              <w:spacing w:line="240" w:lineRule="auto"/>
              <w:ind w:firstLine="0" w:firstLineChars="0"/>
              <w:jc w:val="center"/>
              <w:rPr>
                <w:rFonts w:ascii="宋体" w:hAnsi="宋体" w:cs="Arial"/>
                <w:kern w:val="0"/>
                <w:sz w:val="16"/>
                <w:szCs w:val="20"/>
              </w:rPr>
            </w:pPr>
            <w:r>
              <w:rPr>
                <w:rFonts w:ascii="宋体" w:hAnsi="宋体" w:cs="Arial"/>
                <w:kern w:val="0"/>
                <w:sz w:val="16"/>
                <w:szCs w:val="20"/>
              </w:rPr>
              <w:t>.00(l)0</w:t>
            </w:r>
          </w:p>
        </w:tc>
        <w:tc>
          <w:tcPr>
            <w:tcW w:w="336" w:type="pct"/>
            <w:shd w:val="clear" w:color="auto" w:fill="auto"/>
            <w:noWrap/>
            <w:vAlign w:val="center"/>
          </w:tcPr>
          <w:p w14:paraId="6FA23E6F">
            <w:pPr>
              <w:widowControl/>
              <w:spacing w:line="240" w:lineRule="auto"/>
              <w:ind w:firstLine="0" w:firstLineChars="0"/>
              <w:jc w:val="center"/>
              <w:rPr>
                <w:rFonts w:ascii="宋体" w:hAnsi="宋体" w:cs="Arial"/>
                <w:kern w:val="0"/>
                <w:sz w:val="16"/>
                <w:szCs w:val="20"/>
              </w:rPr>
            </w:pPr>
            <w:r>
              <w:rPr>
                <w:rFonts w:ascii="宋体" w:hAnsi="宋体" w:cs="Arial"/>
                <w:kern w:val="0"/>
                <w:sz w:val="16"/>
                <w:szCs w:val="20"/>
              </w:rPr>
              <w:t>.00002(L</w:t>
            </w:r>
          </w:p>
        </w:tc>
        <w:tc>
          <w:tcPr>
            <w:tcW w:w="336" w:type="pct"/>
            <w:shd w:val="clear" w:color="auto" w:fill="auto"/>
            <w:noWrap/>
            <w:vAlign w:val="center"/>
          </w:tcPr>
          <w:p w14:paraId="0AC56A73">
            <w:pPr>
              <w:widowControl/>
              <w:spacing w:line="240" w:lineRule="auto"/>
              <w:ind w:firstLine="0" w:firstLineChars="0"/>
              <w:jc w:val="center"/>
              <w:rPr>
                <w:rFonts w:ascii="宋体" w:hAnsi="宋体" w:cs="Arial"/>
                <w:kern w:val="0"/>
                <w:sz w:val="16"/>
                <w:szCs w:val="20"/>
              </w:rPr>
            </w:pPr>
            <w:r>
              <w:rPr>
                <w:rFonts w:ascii="宋体" w:hAnsi="宋体" w:cs="Arial"/>
                <w:kern w:val="0"/>
                <w:sz w:val="16"/>
                <w:szCs w:val="20"/>
              </w:rPr>
              <w:t>0.0002</w:t>
            </w:r>
          </w:p>
        </w:tc>
        <w:tc>
          <w:tcPr>
            <w:tcW w:w="280" w:type="pct"/>
            <w:shd w:val="clear" w:color="auto" w:fill="auto"/>
            <w:noWrap/>
            <w:vAlign w:val="center"/>
          </w:tcPr>
          <w:p w14:paraId="4885E7D0">
            <w:pPr>
              <w:widowControl/>
              <w:spacing w:line="240" w:lineRule="auto"/>
              <w:ind w:firstLine="0" w:firstLineChars="0"/>
              <w:jc w:val="center"/>
              <w:rPr>
                <w:rFonts w:ascii="宋体" w:hAnsi="宋体" w:cs="Arial"/>
                <w:kern w:val="0"/>
                <w:sz w:val="16"/>
                <w:szCs w:val="20"/>
              </w:rPr>
            </w:pPr>
            <w:r>
              <w:rPr>
                <w:rFonts w:ascii="宋体" w:hAnsi="宋体" w:cs="Arial"/>
                <w:kern w:val="0"/>
                <w:sz w:val="16"/>
                <w:szCs w:val="20"/>
              </w:rPr>
              <w:t>0.004(L)</w:t>
            </w:r>
          </w:p>
        </w:tc>
        <w:tc>
          <w:tcPr>
            <w:tcW w:w="280" w:type="pct"/>
            <w:shd w:val="clear" w:color="auto" w:fill="auto"/>
            <w:noWrap/>
            <w:vAlign w:val="center"/>
          </w:tcPr>
          <w:p w14:paraId="6B2311A4">
            <w:pPr>
              <w:widowControl/>
              <w:spacing w:line="240" w:lineRule="auto"/>
              <w:ind w:firstLine="0" w:firstLineChars="0"/>
              <w:jc w:val="center"/>
              <w:rPr>
                <w:rFonts w:ascii="宋体" w:hAnsi="宋体" w:cs="Arial"/>
                <w:kern w:val="0"/>
                <w:sz w:val="16"/>
                <w:szCs w:val="20"/>
              </w:rPr>
            </w:pPr>
            <w:r>
              <w:rPr>
                <w:rFonts w:ascii="宋体" w:hAnsi="宋体" w:cs="Arial"/>
                <w:kern w:val="0"/>
                <w:sz w:val="16"/>
                <w:szCs w:val="20"/>
              </w:rPr>
              <w:t>0.002(L)</w:t>
            </w:r>
          </w:p>
        </w:tc>
      </w:tr>
      <w:tr w14:paraId="1F78265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435" w:type="pct"/>
            <w:gridSpan w:val="2"/>
            <w:shd w:val="clear" w:color="auto" w:fill="auto"/>
            <w:noWrap/>
            <w:vAlign w:val="center"/>
          </w:tcPr>
          <w:p w14:paraId="6C66F96B">
            <w:pPr>
              <w:widowControl/>
              <w:spacing w:line="240" w:lineRule="auto"/>
              <w:ind w:firstLine="0" w:firstLineChars="0"/>
              <w:jc w:val="center"/>
              <w:rPr>
                <w:rFonts w:ascii="宋体" w:hAnsi="宋体" w:cs="Arial"/>
                <w:kern w:val="0"/>
                <w:sz w:val="16"/>
                <w:szCs w:val="20"/>
              </w:rPr>
            </w:pPr>
            <w:r>
              <w:rPr>
                <w:rFonts w:ascii="宋体" w:hAnsi="宋体" w:cs="Arial"/>
                <w:kern w:val="0"/>
                <w:sz w:val="16"/>
                <w:szCs w:val="20"/>
              </w:rPr>
              <w:t>备注</w:t>
            </w:r>
          </w:p>
        </w:tc>
        <w:tc>
          <w:tcPr>
            <w:tcW w:w="4565" w:type="pct"/>
            <w:gridSpan w:val="14"/>
            <w:shd w:val="clear" w:color="auto" w:fill="auto"/>
            <w:noWrap/>
            <w:vAlign w:val="center"/>
          </w:tcPr>
          <w:p w14:paraId="062D1C3C">
            <w:pPr>
              <w:widowControl/>
              <w:spacing w:line="240" w:lineRule="auto"/>
              <w:ind w:firstLine="0" w:firstLineChars="0"/>
              <w:rPr>
                <w:rFonts w:ascii="宋体" w:hAnsi="宋体" w:cs="Arial"/>
                <w:kern w:val="0"/>
                <w:sz w:val="16"/>
                <w:szCs w:val="20"/>
              </w:rPr>
            </w:pPr>
            <w:r>
              <w:rPr>
                <w:rFonts w:ascii="宋体" w:hAnsi="宋体" w:cs="Arial"/>
                <w:kern w:val="0"/>
                <w:sz w:val="16"/>
                <w:szCs w:val="20"/>
              </w:rPr>
              <w:t>L表示低于最低检出限。</w:t>
            </w:r>
          </w:p>
        </w:tc>
      </w:tr>
    </w:tbl>
    <w:p w14:paraId="73A63DAD">
      <w:pPr>
        <w:ind w:right="211" w:firstLine="420"/>
        <w:rPr>
          <w:rFonts w:ascii="宋体" w:hAnsi="宋体" w:cs="HiddenHorzOCR"/>
          <w:color w:val="616262"/>
          <w:kern w:val="0"/>
          <w:szCs w:val="21"/>
        </w:rPr>
      </w:pPr>
      <w:r>
        <w:rPr>
          <w:rFonts w:hint="eastAsia" w:ascii="宋体" w:hAnsi="宋体"/>
          <w:szCs w:val="21"/>
        </w:rPr>
        <w:t>南雄市环境监测站对瀑布水库库坝和瀑布水库塘坪两个断面进行了水质常规监测，监测</w:t>
      </w:r>
      <w:r>
        <w:rPr>
          <w:rFonts w:hint="eastAsia" w:ascii="宋体" w:hAnsi="宋体" w:cs="宋体"/>
          <w:color w:val="252424"/>
          <w:kern w:val="0"/>
          <w:szCs w:val="21"/>
        </w:rPr>
        <w:t>结</w:t>
      </w:r>
      <w:r>
        <w:rPr>
          <w:rFonts w:hint="eastAsia" w:ascii="宋体" w:hAnsi="宋体" w:cs="MS Gothic"/>
          <w:color w:val="252424"/>
          <w:kern w:val="0"/>
          <w:szCs w:val="21"/>
        </w:rPr>
        <w:t>果</w:t>
      </w:r>
      <w:r>
        <w:rPr>
          <w:rFonts w:hint="eastAsia" w:ascii="宋体" w:hAnsi="宋体" w:cs="宋体"/>
          <w:color w:val="252424"/>
          <w:kern w:val="0"/>
          <w:szCs w:val="21"/>
        </w:rPr>
        <w:t>见</w:t>
      </w:r>
      <w:r>
        <w:rPr>
          <w:rFonts w:hint="eastAsia" w:ascii="宋体" w:hAnsi="宋体" w:cs="MS Gothic"/>
          <w:color w:val="252424"/>
          <w:kern w:val="0"/>
          <w:szCs w:val="21"/>
        </w:rPr>
        <w:t>表</w:t>
      </w:r>
      <w:r>
        <w:rPr>
          <w:rFonts w:ascii="宋体" w:hAnsi="宋体" w:cs="HiddenHorzOCR"/>
          <w:color w:val="252424"/>
          <w:kern w:val="0"/>
          <w:szCs w:val="21"/>
        </w:rPr>
        <w:t>2</w:t>
      </w:r>
      <w:r>
        <w:rPr>
          <w:rFonts w:hint="eastAsia" w:ascii="宋体" w:hAnsi="宋体" w:cs="HiddenHorzOCR"/>
          <w:color w:val="252424"/>
          <w:kern w:val="0"/>
          <w:szCs w:val="21"/>
        </w:rPr>
        <w:t>及其</w:t>
      </w:r>
      <w:r>
        <w:rPr>
          <w:rFonts w:hint="eastAsia" w:ascii="宋体" w:hAnsi="宋体" w:cs="宋体"/>
          <w:color w:val="252424"/>
          <w:kern w:val="0"/>
          <w:szCs w:val="21"/>
        </w:rPr>
        <w:t>续</w:t>
      </w:r>
      <w:r>
        <w:rPr>
          <w:rFonts w:hint="eastAsia" w:ascii="宋体" w:hAnsi="宋体" w:cs="MS Gothic"/>
          <w:color w:val="252424"/>
          <w:kern w:val="0"/>
          <w:szCs w:val="21"/>
        </w:rPr>
        <w:t>表</w:t>
      </w:r>
      <w:r>
        <w:rPr>
          <w:rFonts w:hint="eastAsia" w:ascii="宋体" w:hAnsi="宋体" w:cs="HiddenHorzOCR"/>
          <w:color w:val="616262"/>
          <w:kern w:val="0"/>
          <w:szCs w:val="21"/>
        </w:rPr>
        <w:t>。</w:t>
      </w:r>
      <w:r>
        <w:rPr>
          <w:rFonts w:hint="eastAsia" w:ascii="宋体" w:hAnsi="宋体" w:cs="宋体"/>
          <w:color w:val="252424"/>
          <w:kern w:val="0"/>
          <w:szCs w:val="21"/>
        </w:rPr>
        <w:t>结</w:t>
      </w:r>
      <w:r>
        <w:rPr>
          <w:rFonts w:hint="eastAsia" w:ascii="宋体" w:hAnsi="宋体" w:cs="MS Gothic"/>
          <w:color w:val="252424"/>
          <w:kern w:val="0"/>
          <w:szCs w:val="21"/>
        </w:rPr>
        <w:t>果表明：瀑布水</w:t>
      </w:r>
      <w:r>
        <w:rPr>
          <w:rFonts w:hint="eastAsia" w:ascii="宋体" w:hAnsi="宋体" w:cs="宋体"/>
          <w:color w:val="252424"/>
          <w:kern w:val="0"/>
          <w:szCs w:val="21"/>
        </w:rPr>
        <w:t>库库坝</w:t>
      </w:r>
      <w:r>
        <w:rPr>
          <w:rFonts w:hint="eastAsia" w:ascii="宋体" w:hAnsi="宋体" w:cs="MS Gothic"/>
          <w:color w:val="252424"/>
          <w:kern w:val="0"/>
          <w:szCs w:val="21"/>
        </w:rPr>
        <w:t>断面和</w:t>
      </w:r>
      <w:r>
        <w:rPr>
          <w:rFonts w:hint="eastAsia" w:ascii="宋体" w:hAnsi="宋体" w:cs="HiddenHorzOCR"/>
          <w:color w:val="252424"/>
          <w:kern w:val="0"/>
          <w:szCs w:val="21"/>
        </w:rPr>
        <w:t>瀑布水</w:t>
      </w:r>
      <w:r>
        <w:rPr>
          <w:rFonts w:hint="eastAsia" w:ascii="宋体" w:hAnsi="宋体" w:cs="宋体"/>
          <w:color w:val="252424"/>
          <w:kern w:val="0"/>
          <w:szCs w:val="21"/>
        </w:rPr>
        <w:t>库</w:t>
      </w:r>
      <w:r>
        <w:rPr>
          <w:rFonts w:hint="eastAsia" w:ascii="宋体" w:hAnsi="宋体" w:cs="MS Gothic"/>
          <w:color w:val="252424"/>
          <w:kern w:val="0"/>
          <w:szCs w:val="21"/>
        </w:rPr>
        <w:t>塘坪断面年均</w:t>
      </w:r>
      <w:r>
        <w:rPr>
          <w:rFonts w:hint="eastAsia" w:ascii="宋体" w:hAnsi="宋体" w:cs="宋体"/>
          <w:color w:val="252424"/>
          <w:kern w:val="0"/>
          <w:szCs w:val="21"/>
        </w:rPr>
        <w:t>值</w:t>
      </w:r>
      <w:r>
        <w:rPr>
          <w:rFonts w:hint="eastAsia" w:ascii="宋体" w:hAnsi="宋体" w:cs="MS Gothic"/>
          <w:color w:val="252424"/>
          <w:kern w:val="0"/>
          <w:szCs w:val="21"/>
        </w:rPr>
        <w:t>都符合Ⅱ</w:t>
      </w:r>
      <w:r>
        <w:rPr>
          <w:rFonts w:hint="eastAsia" w:ascii="宋体" w:hAnsi="宋体" w:cs="宋体"/>
          <w:color w:val="252424"/>
          <w:kern w:val="0"/>
          <w:szCs w:val="21"/>
        </w:rPr>
        <w:t>类</w:t>
      </w:r>
      <w:r>
        <w:rPr>
          <w:rFonts w:hint="eastAsia" w:ascii="宋体" w:hAnsi="宋体" w:cs="MS Gothic"/>
          <w:color w:val="252424"/>
          <w:kern w:val="0"/>
          <w:szCs w:val="21"/>
        </w:rPr>
        <w:t>水</w:t>
      </w:r>
      <w:r>
        <w:rPr>
          <w:rFonts w:hint="eastAsia" w:ascii="宋体" w:hAnsi="宋体" w:cs="宋体"/>
          <w:color w:val="252424"/>
          <w:kern w:val="0"/>
          <w:szCs w:val="21"/>
        </w:rPr>
        <w:t>质标</w:t>
      </w:r>
      <w:r>
        <w:rPr>
          <w:rFonts w:hint="eastAsia" w:ascii="宋体" w:hAnsi="宋体" w:cs="MS Gothic"/>
          <w:color w:val="252424"/>
          <w:kern w:val="0"/>
          <w:szCs w:val="21"/>
        </w:rPr>
        <w:t>准</w:t>
      </w:r>
      <w:r>
        <w:rPr>
          <w:rFonts w:hint="eastAsia" w:ascii="宋体" w:hAnsi="宋体" w:cs="HiddenHorzOCR"/>
          <w:color w:val="616262"/>
          <w:kern w:val="0"/>
          <w:szCs w:val="21"/>
        </w:rPr>
        <w:t>。</w:t>
      </w:r>
    </w:p>
    <w:p w14:paraId="36A10F6F">
      <w:pPr>
        <w:ind w:firstLine="422"/>
        <w:jc w:val="right"/>
        <w:rPr>
          <w:rFonts w:ascii="宋体" w:hAnsi="宋体"/>
          <w:b/>
          <w:szCs w:val="21"/>
        </w:rPr>
      </w:pPr>
      <w:r>
        <w:rPr>
          <w:rFonts w:hint="eastAsia" w:ascii="宋体" w:hAnsi="宋体"/>
          <w:b/>
          <w:szCs w:val="21"/>
        </w:rPr>
        <w:t>单位：mg/L（</w:t>
      </w:r>
      <w:r>
        <w:rPr>
          <w:rFonts w:hint="eastAsia"/>
          <w:b/>
        </w:rPr>
        <w:t>粪大肠菌群：个／升；叶绿素</w:t>
      </w:r>
      <w:r>
        <w:rPr>
          <w:b/>
        </w:rPr>
        <w:t>a: mg/m</w:t>
      </w:r>
      <w:r>
        <w:rPr>
          <w:b/>
          <w:vertAlign w:val="superscript"/>
        </w:rPr>
        <w:t>3</w:t>
      </w:r>
      <w:r>
        <w:rPr>
          <w:b/>
        </w:rPr>
        <w:t xml:space="preserve"> </w:t>
      </w:r>
      <w:r>
        <w:rPr>
          <w:rFonts w:hint="eastAsia"/>
          <w:b/>
        </w:rPr>
        <w:t>；透明度：米</w:t>
      </w:r>
      <w:r>
        <w:rPr>
          <w:rFonts w:hint="eastAsia" w:ascii="宋体" w:hAnsi="宋体"/>
          <w:b/>
          <w:szCs w:val="21"/>
        </w:rPr>
        <w:t>）</w:t>
      </w:r>
    </w:p>
    <w:tbl>
      <w:tblPr>
        <w:tblStyle w:val="14"/>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18"/>
        <w:gridCol w:w="667"/>
        <w:gridCol w:w="567"/>
        <w:gridCol w:w="617"/>
        <w:gridCol w:w="617"/>
        <w:gridCol w:w="567"/>
        <w:gridCol w:w="1021"/>
        <w:gridCol w:w="617"/>
        <w:gridCol w:w="720"/>
        <w:gridCol w:w="518"/>
        <w:gridCol w:w="518"/>
        <w:gridCol w:w="518"/>
        <w:gridCol w:w="517"/>
        <w:gridCol w:w="567"/>
        <w:gridCol w:w="594"/>
        <w:gridCol w:w="519"/>
      </w:tblGrid>
      <w:tr w14:paraId="7EDF206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411" w:type="pct"/>
            <w:shd w:val="clear" w:color="auto" w:fill="auto"/>
            <w:noWrap/>
            <w:vAlign w:val="center"/>
          </w:tcPr>
          <w:p w14:paraId="14C1A919">
            <w:pPr>
              <w:pStyle w:val="23"/>
              <w:jc w:val="center"/>
              <w:rPr>
                <w:rFonts w:ascii="宋体" w:hAnsi="宋体"/>
                <w:b/>
                <w:kern w:val="0"/>
                <w:sz w:val="18"/>
                <w:szCs w:val="21"/>
              </w:rPr>
            </w:pPr>
            <w:r>
              <w:rPr>
                <w:rFonts w:ascii="宋体" w:hAnsi="宋体"/>
                <w:b/>
                <w:kern w:val="0"/>
                <w:sz w:val="18"/>
                <w:szCs w:val="21"/>
              </w:rPr>
              <w:t>水源地名称</w:t>
            </w:r>
          </w:p>
        </w:tc>
        <w:tc>
          <w:tcPr>
            <w:tcW w:w="335" w:type="pct"/>
            <w:shd w:val="clear" w:color="auto" w:fill="auto"/>
            <w:noWrap/>
            <w:vAlign w:val="center"/>
          </w:tcPr>
          <w:p w14:paraId="13C68BC7">
            <w:pPr>
              <w:pStyle w:val="23"/>
              <w:jc w:val="center"/>
              <w:rPr>
                <w:rFonts w:ascii="宋体" w:hAnsi="宋体"/>
                <w:b/>
                <w:kern w:val="0"/>
                <w:sz w:val="18"/>
                <w:szCs w:val="21"/>
              </w:rPr>
            </w:pPr>
            <w:r>
              <w:rPr>
                <w:rFonts w:ascii="宋体" w:hAnsi="宋体"/>
                <w:b/>
                <w:kern w:val="0"/>
                <w:sz w:val="18"/>
                <w:szCs w:val="21"/>
              </w:rPr>
              <w:t>指标</w:t>
            </w:r>
          </w:p>
        </w:tc>
        <w:tc>
          <w:tcPr>
            <w:tcW w:w="285" w:type="pct"/>
            <w:shd w:val="clear" w:color="auto" w:fill="auto"/>
            <w:noWrap/>
            <w:vAlign w:val="center"/>
          </w:tcPr>
          <w:p w14:paraId="7293B763">
            <w:pPr>
              <w:pStyle w:val="23"/>
              <w:jc w:val="center"/>
              <w:rPr>
                <w:rFonts w:ascii="宋体" w:hAnsi="宋体"/>
                <w:b/>
                <w:kern w:val="0"/>
                <w:sz w:val="18"/>
                <w:szCs w:val="21"/>
              </w:rPr>
            </w:pPr>
            <w:r>
              <w:rPr>
                <w:rFonts w:ascii="宋体" w:hAnsi="宋体"/>
                <w:b/>
                <w:kern w:val="0"/>
                <w:sz w:val="18"/>
                <w:szCs w:val="21"/>
              </w:rPr>
              <w:t>铅</w:t>
            </w:r>
          </w:p>
        </w:tc>
        <w:tc>
          <w:tcPr>
            <w:tcW w:w="310" w:type="pct"/>
            <w:shd w:val="clear" w:color="auto" w:fill="auto"/>
            <w:noWrap/>
            <w:vAlign w:val="center"/>
          </w:tcPr>
          <w:p w14:paraId="4855641E">
            <w:pPr>
              <w:pStyle w:val="23"/>
              <w:jc w:val="center"/>
              <w:rPr>
                <w:rFonts w:ascii="宋体" w:hAnsi="宋体"/>
                <w:b/>
                <w:kern w:val="0"/>
                <w:sz w:val="18"/>
                <w:szCs w:val="21"/>
              </w:rPr>
            </w:pPr>
          </w:p>
        </w:tc>
        <w:tc>
          <w:tcPr>
            <w:tcW w:w="310" w:type="pct"/>
            <w:shd w:val="clear" w:color="auto" w:fill="auto"/>
            <w:noWrap/>
            <w:vAlign w:val="center"/>
          </w:tcPr>
          <w:p w14:paraId="476B548F">
            <w:pPr>
              <w:pStyle w:val="23"/>
              <w:jc w:val="center"/>
              <w:rPr>
                <w:rFonts w:ascii="宋体" w:hAnsi="宋体"/>
                <w:b/>
                <w:kern w:val="0"/>
                <w:sz w:val="18"/>
                <w:szCs w:val="21"/>
              </w:rPr>
            </w:pPr>
            <w:r>
              <w:rPr>
                <w:rFonts w:ascii="宋体" w:hAnsi="宋体"/>
                <w:b/>
                <w:kern w:val="0"/>
                <w:sz w:val="18"/>
                <w:szCs w:val="21"/>
              </w:rPr>
              <w:t>挥发酚</w:t>
            </w:r>
          </w:p>
        </w:tc>
        <w:tc>
          <w:tcPr>
            <w:tcW w:w="285" w:type="pct"/>
            <w:shd w:val="clear" w:color="auto" w:fill="auto"/>
            <w:noWrap/>
            <w:vAlign w:val="center"/>
          </w:tcPr>
          <w:p w14:paraId="25EE5C97">
            <w:pPr>
              <w:pStyle w:val="23"/>
              <w:jc w:val="center"/>
              <w:rPr>
                <w:rFonts w:ascii="宋体" w:hAnsi="宋体"/>
                <w:b/>
                <w:kern w:val="0"/>
                <w:sz w:val="18"/>
                <w:szCs w:val="21"/>
              </w:rPr>
            </w:pPr>
            <w:r>
              <w:rPr>
                <w:rFonts w:ascii="宋体" w:hAnsi="宋体"/>
                <w:b/>
                <w:kern w:val="0"/>
                <w:sz w:val="18"/>
                <w:szCs w:val="21"/>
              </w:rPr>
              <w:t>石油类</w:t>
            </w:r>
          </w:p>
        </w:tc>
        <w:tc>
          <w:tcPr>
            <w:tcW w:w="513" w:type="pct"/>
            <w:shd w:val="clear" w:color="auto" w:fill="auto"/>
            <w:noWrap/>
            <w:vAlign w:val="center"/>
          </w:tcPr>
          <w:p w14:paraId="63E1A558">
            <w:pPr>
              <w:pStyle w:val="23"/>
              <w:jc w:val="center"/>
              <w:rPr>
                <w:rFonts w:ascii="宋体" w:hAnsi="宋体"/>
                <w:b/>
                <w:kern w:val="0"/>
                <w:sz w:val="18"/>
                <w:szCs w:val="21"/>
              </w:rPr>
            </w:pPr>
            <w:r>
              <w:rPr>
                <w:rFonts w:ascii="宋体" w:hAnsi="宋体"/>
                <w:b/>
                <w:kern w:val="0"/>
                <w:sz w:val="18"/>
                <w:szCs w:val="21"/>
              </w:rPr>
              <w:t>阴离子表面活性剂</w:t>
            </w:r>
          </w:p>
        </w:tc>
        <w:tc>
          <w:tcPr>
            <w:tcW w:w="310" w:type="pct"/>
            <w:shd w:val="clear" w:color="auto" w:fill="auto"/>
            <w:noWrap/>
            <w:vAlign w:val="center"/>
          </w:tcPr>
          <w:p w14:paraId="1786E93B">
            <w:pPr>
              <w:pStyle w:val="23"/>
              <w:jc w:val="center"/>
              <w:rPr>
                <w:rFonts w:ascii="宋体" w:hAnsi="宋体"/>
                <w:b/>
                <w:kern w:val="0"/>
                <w:sz w:val="18"/>
                <w:szCs w:val="21"/>
              </w:rPr>
            </w:pPr>
            <w:r>
              <w:rPr>
                <w:rFonts w:ascii="宋体" w:hAnsi="宋体"/>
                <w:b/>
                <w:kern w:val="0"/>
                <w:sz w:val="18"/>
                <w:szCs w:val="21"/>
              </w:rPr>
              <w:t>硫化物</w:t>
            </w:r>
          </w:p>
        </w:tc>
        <w:tc>
          <w:tcPr>
            <w:tcW w:w="361" w:type="pct"/>
            <w:shd w:val="clear" w:color="auto" w:fill="auto"/>
            <w:noWrap/>
            <w:vAlign w:val="center"/>
          </w:tcPr>
          <w:p w14:paraId="5584A075">
            <w:pPr>
              <w:pStyle w:val="23"/>
              <w:jc w:val="center"/>
              <w:rPr>
                <w:rFonts w:ascii="宋体" w:hAnsi="宋体"/>
                <w:b/>
                <w:kern w:val="0"/>
                <w:sz w:val="18"/>
                <w:szCs w:val="21"/>
              </w:rPr>
            </w:pPr>
            <w:r>
              <w:rPr>
                <w:rFonts w:ascii="宋体" w:hAnsi="宋体"/>
                <w:b/>
                <w:kern w:val="0"/>
                <w:sz w:val="18"/>
                <w:szCs w:val="21"/>
              </w:rPr>
              <w:t>粪大肠菌群</w:t>
            </w:r>
          </w:p>
        </w:tc>
        <w:tc>
          <w:tcPr>
            <w:tcW w:w="260" w:type="pct"/>
            <w:shd w:val="clear" w:color="auto" w:fill="auto"/>
            <w:noWrap/>
            <w:vAlign w:val="center"/>
          </w:tcPr>
          <w:p w14:paraId="7BF6819F">
            <w:pPr>
              <w:pStyle w:val="23"/>
              <w:jc w:val="center"/>
              <w:rPr>
                <w:rFonts w:ascii="宋体" w:hAnsi="宋体"/>
                <w:b/>
                <w:kern w:val="0"/>
                <w:sz w:val="18"/>
                <w:szCs w:val="21"/>
              </w:rPr>
            </w:pPr>
            <w:r>
              <w:rPr>
                <w:rFonts w:ascii="宋体" w:hAnsi="宋体"/>
                <w:b/>
                <w:kern w:val="0"/>
                <w:sz w:val="18"/>
                <w:szCs w:val="21"/>
              </w:rPr>
              <w:t>硫酸盐</w:t>
            </w:r>
          </w:p>
        </w:tc>
        <w:tc>
          <w:tcPr>
            <w:tcW w:w="260" w:type="pct"/>
            <w:shd w:val="clear" w:color="auto" w:fill="auto"/>
            <w:noWrap/>
            <w:vAlign w:val="center"/>
          </w:tcPr>
          <w:p w14:paraId="012AA269">
            <w:pPr>
              <w:pStyle w:val="23"/>
              <w:jc w:val="center"/>
              <w:rPr>
                <w:rFonts w:ascii="宋体" w:hAnsi="宋体"/>
                <w:b/>
                <w:kern w:val="0"/>
                <w:sz w:val="18"/>
                <w:szCs w:val="21"/>
              </w:rPr>
            </w:pPr>
            <w:r>
              <w:rPr>
                <w:rFonts w:ascii="宋体" w:hAnsi="宋体"/>
                <w:b/>
                <w:kern w:val="0"/>
                <w:sz w:val="18"/>
                <w:szCs w:val="21"/>
              </w:rPr>
              <w:t>氯化物</w:t>
            </w:r>
          </w:p>
        </w:tc>
        <w:tc>
          <w:tcPr>
            <w:tcW w:w="260" w:type="pct"/>
            <w:shd w:val="clear" w:color="auto" w:fill="auto"/>
            <w:noWrap/>
            <w:vAlign w:val="center"/>
          </w:tcPr>
          <w:p w14:paraId="7426BD05">
            <w:pPr>
              <w:pStyle w:val="23"/>
              <w:jc w:val="center"/>
              <w:rPr>
                <w:rFonts w:ascii="宋体" w:hAnsi="宋体"/>
                <w:b/>
                <w:kern w:val="0"/>
                <w:sz w:val="18"/>
                <w:szCs w:val="21"/>
              </w:rPr>
            </w:pPr>
            <w:r>
              <w:rPr>
                <w:rFonts w:ascii="宋体" w:hAnsi="宋体"/>
                <w:b/>
                <w:kern w:val="0"/>
                <w:sz w:val="18"/>
                <w:szCs w:val="21"/>
              </w:rPr>
              <w:t>硝酸盐</w:t>
            </w:r>
          </w:p>
        </w:tc>
        <w:tc>
          <w:tcPr>
            <w:tcW w:w="259" w:type="pct"/>
            <w:shd w:val="clear" w:color="auto" w:fill="auto"/>
            <w:noWrap/>
            <w:vAlign w:val="center"/>
          </w:tcPr>
          <w:p w14:paraId="6BCC5B2B">
            <w:pPr>
              <w:pStyle w:val="23"/>
              <w:jc w:val="center"/>
              <w:rPr>
                <w:rFonts w:ascii="宋体" w:hAnsi="宋体"/>
                <w:b/>
                <w:kern w:val="0"/>
                <w:sz w:val="18"/>
                <w:szCs w:val="21"/>
              </w:rPr>
            </w:pPr>
            <w:r>
              <w:rPr>
                <w:rFonts w:ascii="宋体" w:hAnsi="宋体"/>
                <w:b/>
                <w:kern w:val="0"/>
                <w:sz w:val="18"/>
                <w:szCs w:val="21"/>
              </w:rPr>
              <w:t>铁</w:t>
            </w:r>
          </w:p>
        </w:tc>
        <w:tc>
          <w:tcPr>
            <w:tcW w:w="285" w:type="pct"/>
            <w:shd w:val="clear" w:color="auto" w:fill="auto"/>
            <w:noWrap/>
            <w:vAlign w:val="center"/>
          </w:tcPr>
          <w:p w14:paraId="4546A89B">
            <w:pPr>
              <w:pStyle w:val="23"/>
              <w:jc w:val="center"/>
              <w:rPr>
                <w:rFonts w:ascii="宋体" w:hAnsi="宋体"/>
                <w:b/>
                <w:kern w:val="0"/>
                <w:sz w:val="18"/>
                <w:szCs w:val="21"/>
              </w:rPr>
            </w:pPr>
            <w:r>
              <w:rPr>
                <w:rFonts w:ascii="宋体" w:hAnsi="宋体"/>
                <w:b/>
                <w:kern w:val="0"/>
                <w:sz w:val="18"/>
                <w:szCs w:val="21"/>
              </w:rPr>
              <w:t>锰</w:t>
            </w:r>
          </w:p>
        </w:tc>
        <w:tc>
          <w:tcPr>
            <w:tcW w:w="298" w:type="pct"/>
            <w:shd w:val="clear" w:color="auto" w:fill="auto"/>
            <w:noWrap/>
            <w:vAlign w:val="center"/>
          </w:tcPr>
          <w:p w14:paraId="3B9D429D">
            <w:pPr>
              <w:pStyle w:val="23"/>
              <w:jc w:val="center"/>
              <w:rPr>
                <w:rFonts w:ascii="宋体" w:hAnsi="宋体"/>
                <w:b/>
                <w:kern w:val="0"/>
                <w:sz w:val="18"/>
                <w:szCs w:val="21"/>
              </w:rPr>
            </w:pPr>
            <w:r>
              <w:rPr>
                <w:rFonts w:ascii="宋体" w:hAnsi="宋体"/>
                <w:b/>
                <w:kern w:val="0"/>
                <w:sz w:val="18"/>
                <w:szCs w:val="21"/>
              </w:rPr>
              <w:t>叶绿素a</w:t>
            </w:r>
          </w:p>
        </w:tc>
        <w:tc>
          <w:tcPr>
            <w:tcW w:w="260" w:type="pct"/>
            <w:shd w:val="clear" w:color="auto" w:fill="auto"/>
            <w:noWrap/>
            <w:vAlign w:val="center"/>
          </w:tcPr>
          <w:p w14:paraId="2BEB974F">
            <w:pPr>
              <w:pStyle w:val="23"/>
              <w:jc w:val="center"/>
              <w:rPr>
                <w:rFonts w:ascii="宋体" w:hAnsi="宋体"/>
                <w:b/>
                <w:kern w:val="0"/>
                <w:sz w:val="18"/>
                <w:szCs w:val="21"/>
              </w:rPr>
            </w:pPr>
            <w:r>
              <w:rPr>
                <w:rFonts w:ascii="宋体" w:hAnsi="宋体"/>
                <w:b/>
                <w:kern w:val="0"/>
                <w:sz w:val="18"/>
                <w:szCs w:val="21"/>
              </w:rPr>
              <w:t>透明度</w:t>
            </w:r>
          </w:p>
        </w:tc>
      </w:tr>
      <w:tr w14:paraId="41EC2FF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411" w:type="pct"/>
            <w:vMerge w:val="restart"/>
            <w:shd w:val="clear" w:color="auto" w:fill="auto"/>
            <w:noWrap/>
            <w:vAlign w:val="center"/>
          </w:tcPr>
          <w:p w14:paraId="5E150CDF">
            <w:pPr>
              <w:pStyle w:val="23"/>
              <w:jc w:val="center"/>
              <w:rPr>
                <w:rFonts w:ascii="宋体" w:hAnsi="宋体"/>
                <w:kern w:val="0"/>
                <w:sz w:val="18"/>
                <w:szCs w:val="21"/>
              </w:rPr>
            </w:pPr>
            <w:r>
              <w:rPr>
                <w:rFonts w:ascii="宋体" w:hAnsi="宋体"/>
                <w:kern w:val="0"/>
                <w:sz w:val="18"/>
                <w:szCs w:val="21"/>
              </w:rPr>
              <w:t>瀑布水库塘坪</w:t>
            </w:r>
          </w:p>
        </w:tc>
        <w:tc>
          <w:tcPr>
            <w:tcW w:w="335" w:type="pct"/>
            <w:shd w:val="clear" w:color="auto" w:fill="auto"/>
            <w:noWrap/>
            <w:vAlign w:val="center"/>
          </w:tcPr>
          <w:p w14:paraId="718693FC">
            <w:pPr>
              <w:pStyle w:val="23"/>
              <w:jc w:val="center"/>
              <w:rPr>
                <w:rFonts w:ascii="宋体" w:hAnsi="宋体"/>
                <w:kern w:val="0"/>
                <w:sz w:val="18"/>
                <w:szCs w:val="21"/>
              </w:rPr>
            </w:pPr>
            <w:r>
              <w:rPr>
                <w:rFonts w:ascii="宋体" w:hAnsi="宋体"/>
                <w:kern w:val="0"/>
                <w:sz w:val="18"/>
                <w:szCs w:val="21"/>
              </w:rPr>
              <w:t>样品数</w:t>
            </w:r>
          </w:p>
        </w:tc>
        <w:tc>
          <w:tcPr>
            <w:tcW w:w="285" w:type="pct"/>
            <w:shd w:val="clear" w:color="auto" w:fill="auto"/>
            <w:noWrap/>
            <w:vAlign w:val="center"/>
          </w:tcPr>
          <w:p w14:paraId="4C6576EF">
            <w:pPr>
              <w:pStyle w:val="23"/>
              <w:jc w:val="center"/>
              <w:rPr>
                <w:rFonts w:ascii="宋体" w:hAnsi="宋体"/>
                <w:kern w:val="0"/>
                <w:sz w:val="18"/>
                <w:szCs w:val="21"/>
              </w:rPr>
            </w:pPr>
            <w:r>
              <w:rPr>
                <w:rFonts w:ascii="宋体" w:hAnsi="宋体"/>
                <w:kern w:val="0"/>
                <w:sz w:val="18"/>
                <w:szCs w:val="21"/>
              </w:rPr>
              <w:t>2</w:t>
            </w:r>
          </w:p>
        </w:tc>
        <w:tc>
          <w:tcPr>
            <w:tcW w:w="310" w:type="pct"/>
            <w:shd w:val="clear" w:color="auto" w:fill="auto"/>
            <w:noWrap/>
            <w:vAlign w:val="center"/>
          </w:tcPr>
          <w:p w14:paraId="18B479DD">
            <w:pPr>
              <w:pStyle w:val="23"/>
              <w:jc w:val="center"/>
              <w:rPr>
                <w:rFonts w:ascii="宋体" w:hAnsi="宋体"/>
                <w:kern w:val="0"/>
                <w:sz w:val="18"/>
                <w:szCs w:val="21"/>
              </w:rPr>
            </w:pPr>
            <w:r>
              <w:rPr>
                <w:rFonts w:ascii="宋体" w:hAnsi="宋体"/>
                <w:kern w:val="0"/>
                <w:sz w:val="18"/>
                <w:szCs w:val="21"/>
              </w:rPr>
              <w:t>8</w:t>
            </w:r>
          </w:p>
        </w:tc>
        <w:tc>
          <w:tcPr>
            <w:tcW w:w="310" w:type="pct"/>
            <w:shd w:val="clear" w:color="auto" w:fill="auto"/>
            <w:noWrap/>
            <w:vAlign w:val="center"/>
          </w:tcPr>
          <w:p w14:paraId="41044C66">
            <w:pPr>
              <w:pStyle w:val="23"/>
              <w:jc w:val="center"/>
              <w:rPr>
                <w:rFonts w:ascii="宋体" w:hAnsi="宋体"/>
                <w:kern w:val="0"/>
                <w:sz w:val="18"/>
                <w:szCs w:val="21"/>
              </w:rPr>
            </w:pPr>
            <w:r>
              <w:rPr>
                <w:rFonts w:ascii="宋体" w:hAnsi="宋体"/>
                <w:kern w:val="0"/>
                <w:sz w:val="18"/>
                <w:szCs w:val="21"/>
              </w:rPr>
              <w:t>12</w:t>
            </w:r>
          </w:p>
        </w:tc>
        <w:tc>
          <w:tcPr>
            <w:tcW w:w="285" w:type="pct"/>
            <w:shd w:val="clear" w:color="auto" w:fill="auto"/>
            <w:noWrap/>
            <w:vAlign w:val="center"/>
          </w:tcPr>
          <w:p w14:paraId="4962F70D">
            <w:pPr>
              <w:pStyle w:val="23"/>
              <w:jc w:val="center"/>
              <w:rPr>
                <w:rFonts w:ascii="宋体" w:hAnsi="宋体"/>
                <w:kern w:val="0"/>
                <w:sz w:val="18"/>
                <w:szCs w:val="21"/>
              </w:rPr>
            </w:pPr>
            <w:r>
              <w:rPr>
                <w:rFonts w:ascii="宋体" w:hAnsi="宋体"/>
                <w:kern w:val="0"/>
                <w:sz w:val="18"/>
                <w:szCs w:val="21"/>
              </w:rPr>
              <w:t>12</w:t>
            </w:r>
          </w:p>
        </w:tc>
        <w:tc>
          <w:tcPr>
            <w:tcW w:w="513" w:type="pct"/>
            <w:shd w:val="clear" w:color="auto" w:fill="auto"/>
            <w:noWrap/>
            <w:vAlign w:val="center"/>
          </w:tcPr>
          <w:p w14:paraId="632B6529">
            <w:pPr>
              <w:pStyle w:val="23"/>
              <w:jc w:val="center"/>
              <w:rPr>
                <w:rFonts w:ascii="宋体" w:hAnsi="宋体"/>
                <w:kern w:val="0"/>
                <w:sz w:val="18"/>
                <w:szCs w:val="21"/>
              </w:rPr>
            </w:pPr>
            <w:r>
              <w:rPr>
                <w:rFonts w:ascii="宋体" w:hAnsi="宋体"/>
                <w:kern w:val="0"/>
                <w:sz w:val="18"/>
                <w:szCs w:val="21"/>
              </w:rPr>
              <w:t>2</w:t>
            </w:r>
          </w:p>
        </w:tc>
        <w:tc>
          <w:tcPr>
            <w:tcW w:w="310" w:type="pct"/>
            <w:shd w:val="clear" w:color="auto" w:fill="auto"/>
            <w:noWrap/>
            <w:vAlign w:val="center"/>
          </w:tcPr>
          <w:p w14:paraId="4193182A">
            <w:pPr>
              <w:pStyle w:val="23"/>
              <w:jc w:val="center"/>
              <w:rPr>
                <w:rFonts w:ascii="宋体" w:hAnsi="宋体"/>
                <w:kern w:val="0"/>
                <w:sz w:val="18"/>
                <w:szCs w:val="21"/>
              </w:rPr>
            </w:pPr>
            <w:r>
              <w:rPr>
                <w:rFonts w:ascii="宋体" w:hAnsi="宋体"/>
                <w:kern w:val="0"/>
                <w:sz w:val="18"/>
                <w:szCs w:val="21"/>
              </w:rPr>
              <w:t>2</w:t>
            </w:r>
          </w:p>
        </w:tc>
        <w:tc>
          <w:tcPr>
            <w:tcW w:w="361" w:type="pct"/>
            <w:shd w:val="clear" w:color="auto" w:fill="auto"/>
            <w:noWrap/>
            <w:vAlign w:val="center"/>
          </w:tcPr>
          <w:p w14:paraId="569771D9">
            <w:pPr>
              <w:pStyle w:val="23"/>
              <w:jc w:val="center"/>
              <w:rPr>
                <w:rFonts w:ascii="宋体" w:hAnsi="宋体"/>
                <w:kern w:val="0"/>
                <w:sz w:val="18"/>
                <w:szCs w:val="21"/>
              </w:rPr>
            </w:pPr>
            <w:r>
              <w:rPr>
                <w:rFonts w:ascii="宋体" w:hAnsi="宋体"/>
                <w:kern w:val="0"/>
                <w:sz w:val="18"/>
                <w:szCs w:val="21"/>
              </w:rPr>
              <w:t>12</w:t>
            </w:r>
          </w:p>
        </w:tc>
        <w:tc>
          <w:tcPr>
            <w:tcW w:w="260" w:type="pct"/>
            <w:shd w:val="clear" w:color="auto" w:fill="auto"/>
            <w:noWrap/>
            <w:vAlign w:val="center"/>
          </w:tcPr>
          <w:p w14:paraId="218464D3">
            <w:pPr>
              <w:pStyle w:val="23"/>
              <w:jc w:val="center"/>
              <w:rPr>
                <w:rFonts w:ascii="宋体" w:hAnsi="宋体"/>
                <w:kern w:val="0"/>
                <w:sz w:val="18"/>
                <w:szCs w:val="21"/>
              </w:rPr>
            </w:pPr>
            <w:r>
              <w:rPr>
                <w:rFonts w:ascii="宋体" w:hAnsi="宋体"/>
                <w:kern w:val="0"/>
                <w:sz w:val="18"/>
                <w:szCs w:val="21"/>
              </w:rPr>
              <w:t>2</w:t>
            </w:r>
          </w:p>
        </w:tc>
        <w:tc>
          <w:tcPr>
            <w:tcW w:w="260" w:type="pct"/>
            <w:shd w:val="clear" w:color="auto" w:fill="auto"/>
            <w:noWrap/>
            <w:vAlign w:val="center"/>
          </w:tcPr>
          <w:p w14:paraId="63481ADB">
            <w:pPr>
              <w:pStyle w:val="23"/>
              <w:jc w:val="center"/>
              <w:rPr>
                <w:rFonts w:ascii="宋体" w:hAnsi="宋体"/>
                <w:kern w:val="0"/>
                <w:sz w:val="18"/>
                <w:szCs w:val="21"/>
              </w:rPr>
            </w:pPr>
            <w:r>
              <w:rPr>
                <w:rFonts w:ascii="宋体" w:hAnsi="宋体"/>
                <w:kern w:val="0"/>
                <w:sz w:val="18"/>
                <w:szCs w:val="21"/>
              </w:rPr>
              <w:t>2</w:t>
            </w:r>
          </w:p>
        </w:tc>
        <w:tc>
          <w:tcPr>
            <w:tcW w:w="260" w:type="pct"/>
            <w:shd w:val="clear" w:color="auto" w:fill="auto"/>
            <w:noWrap/>
            <w:vAlign w:val="center"/>
          </w:tcPr>
          <w:p w14:paraId="44C233C9">
            <w:pPr>
              <w:pStyle w:val="23"/>
              <w:jc w:val="center"/>
              <w:rPr>
                <w:rFonts w:ascii="宋体" w:hAnsi="宋体"/>
                <w:kern w:val="0"/>
                <w:sz w:val="18"/>
                <w:szCs w:val="21"/>
              </w:rPr>
            </w:pPr>
            <w:r>
              <w:rPr>
                <w:rFonts w:ascii="宋体" w:hAnsi="宋体"/>
                <w:kern w:val="0"/>
                <w:sz w:val="18"/>
                <w:szCs w:val="21"/>
              </w:rPr>
              <w:t>2</w:t>
            </w:r>
          </w:p>
        </w:tc>
        <w:tc>
          <w:tcPr>
            <w:tcW w:w="259" w:type="pct"/>
            <w:shd w:val="clear" w:color="auto" w:fill="auto"/>
            <w:noWrap/>
            <w:vAlign w:val="center"/>
          </w:tcPr>
          <w:p w14:paraId="1315AA5A">
            <w:pPr>
              <w:pStyle w:val="23"/>
              <w:jc w:val="center"/>
              <w:rPr>
                <w:rFonts w:ascii="宋体" w:hAnsi="宋体"/>
                <w:kern w:val="0"/>
                <w:sz w:val="18"/>
                <w:szCs w:val="21"/>
              </w:rPr>
            </w:pPr>
            <w:r>
              <w:rPr>
                <w:rFonts w:ascii="宋体" w:hAnsi="宋体"/>
                <w:kern w:val="0"/>
                <w:sz w:val="18"/>
                <w:szCs w:val="21"/>
              </w:rPr>
              <w:t>2</w:t>
            </w:r>
          </w:p>
        </w:tc>
        <w:tc>
          <w:tcPr>
            <w:tcW w:w="285" w:type="pct"/>
            <w:shd w:val="clear" w:color="auto" w:fill="auto"/>
            <w:noWrap/>
            <w:vAlign w:val="center"/>
          </w:tcPr>
          <w:p w14:paraId="2B81B15B">
            <w:pPr>
              <w:pStyle w:val="23"/>
              <w:jc w:val="center"/>
              <w:rPr>
                <w:rFonts w:ascii="宋体" w:hAnsi="宋体"/>
                <w:kern w:val="0"/>
                <w:sz w:val="18"/>
                <w:szCs w:val="21"/>
              </w:rPr>
            </w:pPr>
            <w:r>
              <w:rPr>
                <w:rFonts w:ascii="宋体" w:hAnsi="宋体"/>
                <w:kern w:val="0"/>
                <w:sz w:val="18"/>
                <w:szCs w:val="21"/>
              </w:rPr>
              <w:t>2</w:t>
            </w:r>
          </w:p>
        </w:tc>
        <w:tc>
          <w:tcPr>
            <w:tcW w:w="298" w:type="pct"/>
            <w:shd w:val="clear" w:color="auto" w:fill="auto"/>
            <w:noWrap/>
            <w:vAlign w:val="center"/>
          </w:tcPr>
          <w:p w14:paraId="5F9BE284">
            <w:pPr>
              <w:pStyle w:val="23"/>
              <w:jc w:val="center"/>
              <w:rPr>
                <w:rFonts w:ascii="宋体" w:hAnsi="宋体"/>
                <w:kern w:val="0"/>
                <w:sz w:val="18"/>
                <w:szCs w:val="21"/>
              </w:rPr>
            </w:pPr>
            <w:r>
              <w:rPr>
                <w:rFonts w:ascii="宋体" w:hAnsi="宋体"/>
                <w:kern w:val="0"/>
                <w:sz w:val="18"/>
                <w:szCs w:val="21"/>
              </w:rPr>
              <w:t>12</w:t>
            </w:r>
          </w:p>
        </w:tc>
        <w:tc>
          <w:tcPr>
            <w:tcW w:w="260" w:type="pct"/>
            <w:shd w:val="clear" w:color="auto" w:fill="auto"/>
            <w:noWrap/>
            <w:vAlign w:val="center"/>
          </w:tcPr>
          <w:p w14:paraId="417432E1">
            <w:pPr>
              <w:pStyle w:val="23"/>
              <w:jc w:val="center"/>
              <w:rPr>
                <w:rFonts w:ascii="宋体" w:hAnsi="宋体"/>
                <w:kern w:val="0"/>
                <w:sz w:val="18"/>
                <w:szCs w:val="21"/>
              </w:rPr>
            </w:pPr>
            <w:r>
              <w:rPr>
                <w:rFonts w:ascii="宋体" w:hAnsi="宋体"/>
                <w:kern w:val="0"/>
                <w:sz w:val="18"/>
                <w:szCs w:val="21"/>
              </w:rPr>
              <w:t>0</w:t>
            </w:r>
          </w:p>
        </w:tc>
      </w:tr>
      <w:tr w14:paraId="26F9C77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411" w:type="pct"/>
            <w:vMerge w:val="continue"/>
            <w:vAlign w:val="center"/>
          </w:tcPr>
          <w:p w14:paraId="5F0F7C78">
            <w:pPr>
              <w:pStyle w:val="23"/>
              <w:jc w:val="center"/>
              <w:rPr>
                <w:rFonts w:ascii="宋体" w:hAnsi="宋体"/>
                <w:kern w:val="0"/>
                <w:sz w:val="18"/>
                <w:szCs w:val="21"/>
              </w:rPr>
            </w:pPr>
          </w:p>
        </w:tc>
        <w:tc>
          <w:tcPr>
            <w:tcW w:w="335" w:type="pct"/>
            <w:shd w:val="clear" w:color="auto" w:fill="auto"/>
            <w:noWrap/>
            <w:vAlign w:val="center"/>
          </w:tcPr>
          <w:p w14:paraId="5ED90C10">
            <w:pPr>
              <w:pStyle w:val="23"/>
              <w:jc w:val="center"/>
              <w:rPr>
                <w:rFonts w:ascii="宋体" w:hAnsi="宋体"/>
                <w:kern w:val="0"/>
                <w:sz w:val="18"/>
                <w:szCs w:val="21"/>
              </w:rPr>
            </w:pPr>
            <w:r>
              <w:rPr>
                <w:rFonts w:ascii="宋体" w:hAnsi="宋体"/>
                <w:kern w:val="0"/>
                <w:sz w:val="18"/>
                <w:szCs w:val="21"/>
              </w:rPr>
              <w:t>最大值</w:t>
            </w:r>
          </w:p>
        </w:tc>
        <w:tc>
          <w:tcPr>
            <w:tcW w:w="285" w:type="pct"/>
            <w:shd w:val="clear" w:color="auto" w:fill="auto"/>
            <w:noWrap/>
            <w:vAlign w:val="center"/>
          </w:tcPr>
          <w:p w14:paraId="3C1B48DB">
            <w:pPr>
              <w:pStyle w:val="23"/>
              <w:jc w:val="center"/>
              <w:rPr>
                <w:rFonts w:ascii="宋体" w:hAnsi="宋体"/>
                <w:kern w:val="0"/>
                <w:sz w:val="18"/>
                <w:szCs w:val="21"/>
              </w:rPr>
            </w:pPr>
            <w:r>
              <w:rPr>
                <w:rFonts w:ascii="宋体" w:hAnsi="宋体"/>
                <w:kern w:val="0"/>
                <w:sz w:val="18"/>
                <w:szCs w:val="21"/>
              </w:rPr>
              <w:t>0.0()</w:t>
            </w:r>
          </w:p>
        </w:tc>
        <w:tc>
          <w:tcPr>
            <w:tcW w:w="310" w:type="pct"/>
            <w:shd w:val="clear" w:color="auto" w:fill="auto"/>
            <w:noWrap/>
            <w:vAlign w:val="center"/>
          </w:tcPr>
          <w:p w14:paraId="51CBE06F">
            <w:pPr>
              <w:pStyle w:val="23"/>
              <w:jc w:val="center"/>
              <w:rPr>
                <w:rFonts w:ascii="宋体" w:hAnsi="宋体"/>
                <w:kern w:val="0"/>
                <w:sz w:val="18"/>
                <w:szCs w:val="21"/>
              </w:rPr>
            </w:pPr>
            <w:r>
              <w:rPr>
                <w:rFonts w:ascii="宋体" w:hAnsi="宋体"/>
                <w:kern w:val="0"/>
                <w:sz w:val="18"/>
                <w:szCs w:val="21"/>
              </w:rPr>
              <w:t>0.004(</w:t>
            </w:r>
          </w:p>
        </w:tc>
        <w:tc>
          <w:tcPr>
            <w:tcW w:w="310" w:type="pct"/>
            <w:shd w:val="clear" w:color="auto" w:fill="auto"/>
            <w:noWrap/>
            <w:vAlign w:val="center"/>
          </w:tcPr>
          <w:p w14:paraId="1CEB6D31">
            <w:pPr>
              <w:pStyle w:val="23"/>
              <w:jc w:val="center"/>
              <w:rPr>
                <w:rFonts w:ascii="宋体" w:hAnsi="宋体"/>
                <w:kern w:val="0"/>
                <w:sz w:val="18"/>
                <w:szCs w:val="21"/>
              </w:rPr>
            </w:pPr>
            <w:r>
              <w:rPr>
                <w:rFonts w:ascii="宋体" w:hAnsi="宋体"/>
                <w:kern w:val="0"/>
                <w:sz w:val="18"/>
                <w:szCs w:val="21"/>
              </w:rPr>
              <w:t>0.0013</w:t>
            </w:r>
          </w:p>
        </w:tc>
        <w:tc>
          <w:tcPr>
            <w:tcW w:w="285" w:type="pct"/>
            <w:shd w:val="clear" w:color="auto" w:fill="auto"/>
            <w:noWrap/>
            <w:vAlign w:val="center"/>
          </w:tcPr>
          <w:p w14:paraId="7F4D7843">
            <w:pPr>
              <w:pStyle w:val="23"/>
              <w:jc w:val="center"/>
              <w:rPr>
                <w:rFonts w:ascii="宋体" w:hAnsi="宋体"/>
                <w:kern w:val="0"/>
                <w:sz w:val="18"/>
                <w:szCs w:val="21"/>
              </w:rPr>
            </w:pPr>
            <w:r>
              <w:rPr>
                <w:rFonts w:ascii="宋体" w:hAnsi="宋体"/>
                <w:kern w:val="0"/>
                <w:sz w:val="18"/>
                <w:szCs w:val="21"/>
              </w:rPr>
              <w:t>0.04(L</w:t>
            </w:r>
          </w:p>
        </w:tc>
        <w:tc>
          <w:tcPr>
            <w:tcW w:w="513" w:type="pct"/>
            <w:shd w:val="clear" w:color="auto" w:fill="auto"/>
            <w:noWrap/>
            <w:vAlign w:val="center"/>
          </w:tcPr>
          <w:p w14:paraId="1FD06DB9">
            <w:pPr>
              <w:pStyle w:val="23"/>
              <w:jc w:val="center"/>
              <w:rPr>
                <w:rFonts w:ascii="宋体" w:hAnsi="宋体"/>
                <w:kern w:val="0"/>
                <w:sz w:val="18"/>
                <w:szCs w:val="21"/>
              </w:rPr>
            </w:pPr>
            <w:r>
              <w:rPr>
                <w:rFonts w:ascii="宋体" w:hAnsi="宋体"/>
                <w:kern w:val="0"/>
                <w:sz w:val="18"/>
                <w:szCs w:val="21"/>
              </w:rPr>
              <w:t>0.05()</w:t>
            </w:r>
          </w:p>
        </w:tc>
        <w:tc>
          <w:tcPr>
            <w:tcW w:w="310" w:type="pct"/>
            <w:shd w:val="clear" w:color="auto" w:fill="auto"/>
            <w:noWrap/>
            <w:vAlign w:val="center"/>
          </w:tcPr>
          <w:p w14:paraId="533C9648">
            <w:pPr>
              <w:pStyle w:val="23"/>
              <w:jc w:val="center"/>
              <w:rPr>
                <w:rFonts w:ascii="宋体" w:hAnsi="宋体"/>
                <w:kern w:val="0"/>
                <w:sz w:val="18"/>
                <w:szCs w:val="21"/>
              </w:rPr>
            </w:pPr>
            <w:r>
              <w:rPr>
                <w:rFonts w:ascii="宋体" w:hAnsi="宋体"/>
                <w:kern w:val="0"/>
                <w:sz w:val="18"/>
                <w:szCs w:val="21"/>
              </w:rPr>
              <w:t>0.005)</w:t>
            </w:r>
          </w:p>
        </w:tc>
        <w:tc>
          <w:tcPr>
            <w:tcW w:w="361" w:type="pct"/>
            <w:shd w:val="clear" w:color="auto" w:fill="auto"/>
            <w:noWrap/>
            <w:vAlign w:val="center"/>
          </w:tcPr>
          <w:p w14:paraId="27EB3785">
            <w:pPr>
              <w:pStyle w:val="23"/>
              <w:jc w:val="center"/>
              <w:rPr>
                <w:rFonts w:ascii="宋体" w:hAnsi="宋体"/>
                <w:kern w:val="0"/>
                <w:sz w:val="18"/>
                <w:szCs w:val="21"/>
              </w:rPr>
            </w:pPr>
            <w:r>
              <w:rPr>
                <w:rFonts w:ascii="宋体" w:hAnsi="宋体"/>
                <w:kern w:val="0"/>
                <w:sz w:val="18"/>
                <w:szCs w:val="21"/>
              </w:rPr>
              <w:t>3500</w:t>
            </w:r>
          </w:p>
        </w:tc>
        <w:tc>
          <w:tcPr>
            <w:tcW w:w="260" w:type="pct"/>
            <w:shd w:val="clear" w:color="auto" w:fill="auto"/>
            <w:noWrap/>
            <w:vAlign w:val="center"/>
          </w:tcPr>
          <w:p w14:paraId="17319629">
            <w:pPr>
              <w:pStyle w:val="23"/>
              <w:jc w:val="center"/>
              <w:rPr>
                <w:rFonts w:ascii="宋体" w:hAnsi="宋体"/>
                <w:kern w:val="0"/>
                <w:sz w:val="18"/>
                <w:szCs w:val="21"/>
              </w:rPr>
            </w:pPr>
            <w:r>
              <w:rPr>
                <w:rFonts w:ascii="宋体" w:hAnsi="宋体"/>
                <w:kern w:val="0"/>
                <w:sz w:val="18"/>
                <w:szCs w:val="21"/>
              </w:rPr>
              <w:t>7.7</w:t>
            </w:r>
          </w:p>
        </w:tc>
        <w:tc>
          <w:tcPr>
            <w:tcW w:w="260" w:type="pct"/>
            <w:shd w:val="clear" w:color="auto" w:fill="auto"/>
            <w:noWrap/>
            <w:vAlign w:val="center"/>
          </w:tcPr>
          <w:p w14:paraId="143603A4">
            <w:pPr>
              <w:pStyle w:val="23"/>
              <w:jc w:val="center"/>
              <w:rPr>
                <w:rFonts w:ascii="宋体" w:hAnsi="宋体"/>
                <w:kern w:val="0"/>
                <w:sz w:val="18"/>
                <w:szCs w:val="21"/>
              </w:rPr>
            </w:pPr>
            <w:r>
              <w:rPr>
                <w:rFonts w:ascii="宋体" w:hAnsi="宋体"/>
                <w:kern w:val="0"/>
                <w:sz w:val="18"/>
                <w:szCs w:val="21"/>
              </w:rPr>
              <w:t>3.89</w:t>
            </w:r>
          </w:p>
        </w:tc>
        <w:tc>
          <w:tcPr>
            <w:tcW w:w="260" w:type="pct"/>
            <w:shd w:val="clear" w:color="auto" w:fill="auto"/>
            <w:noWrap/>
            <w:vAlign w:val="center"/>
          </w:tcPr>
          <w:p w14:paraId="4CB53D86">
            <w:pPr>
              <w:pStyle w:val="23"/>
              <w:jc w:val="center"/>
              <w:rPr>
                <w:rFonts w:ascii="宋体" w:hAnsi="宋体"/>
                <w:kern w:val="0"/>
                <w:sz w:val="18"/>
                <w:szCs w:val="21"/>
              </w:rPr>
            </w:pPr>
            <w:r>
              <w:rPr>
                <w:rFonts w:ascii="宋体" w:hAnsi="宋体"/>
                <w:kern w:val="0"/>
                <w:sz w:val="18"/>
                <w:szCs w:val="21"/>
              </w:rPr>
              <w:t>1.61</w:t>
            </w:r>
          </w:p>
        </w:tc>
        <w:tc>
          <w:tcPr>
            <w:tcW w:w="259" w:type="pct"/>
            <w:shd w:val="clear" w:color="auto" w:fill="auto"/>
            <w:noWrap/>
            <w:vAlign w:val="center"/>
          </w:tcPr>
          <w:p w14:paraId="42BC8A91">
            <w:pPr>
              <w:pStyle w:val="23"/>
              <w:jc w:val="center"/>
              <w:rPr>
                <w:rFonts w:ascii="宋体" w:hAnsi="宋体"/>
                <w:kern w:val="0"/>
                <w:sz w:val="18"/>
                <w:szCs w:val="21"/>
              </w:rPr>
            </w:pPr>
            <w:r>
              <w:rPr>
                <w:rFonts w:ascii="宋体" w:hAnsi="宋体"/>
                <w:kern w:val="0"/>
                <w:sz w:val="18"/>
                <w:szCs w:val="21"/>
              </w:rPr>
              <w:t>0.093</w:t>
            </w:r>
          </w:p>
        </w:tc>
        <w:tc>
          <w:tcPr>
            <w:tcW w:w="285" w:type="pct"/>
            <w:shd w:val="clear" w:color="auto" w:fill="auto"/>
            <w:noWrap/>
            <w:vAlign w:val="center"/>
          </w:tcPr>
          <w:p w14:paraId="6412FD0F">
            <w:pPr>
              <w:pStyle w:val="23"/>
              <w:jc w:val="center"/>
              <w:rPr>
                <w:rFonts w:ascii="宋体" w:hAnsi="宋体"/>
                <w:kern w:val="0"/>
                <w:sz w:val="18"/>
                <w:szCs w:val="21"/>
              </w:rPr>
            </w:pPr>
            <w:r>
              <w:rPr>
                <w:rFonts w:ascii="宋体" w:hAnsi="宋体"/>
                <w:kern w:val="0"/>
                <w:sz w:val="18"/>
                <w:szCs w:val="21"/>
              </w:rPr>
              <w:t>0.06</w:t>
            </w:r>
          </w:p>
        </w:tc>
        <w:tc>
          <w:tcPr>
            <w:tcW w:w="298" w:type="pct"/>
            <w:shd w:val="clear" w:color="auto" w:fill="auto"/>
            <w:noWrap/>
            <w:vAlign w:val="center"/>
          </w:tcPr>
          <w:p w14:paraId="1576D97B">
            <w:pPr>
              <w:pStyle w:val="23"/>
              <w:jc w:val="center"/>
              <w:rPr>
                <w:rFonts w:ascii="宋体" w:hAnsi="宋体"/>
                <w:kern w:val="0"/>
                <w:sz w:val="18"/>
                <w:szCs w:val="21"/>
              </w:rPr>
            </w:pPr>
            <w:r>
              <w:rPr>
                <w:rFonts w:ascii="宋体" w:hAnsi="宋体"/>
                <w:kern w:val="0"/>
                <w:sz w:val="18"/>
                <w:szCs w:val="21"/>
              </w:rPr>
              <w:t>13.53</w:t>
            </w:r>
          </w:p>
        </w:tc>
        <w:tc>
          <w:tcPr>
            <w:tcW w:w="260" w:type="pct"/>
            <w:shd w:val="clear" w:color="auto" w:fill="auto"/>
            <w:noWrap/>
            <w:vAlign w:val="center"/>
          </w:tcPr>
          <w:p w14:paraId="3519E4E0">
            <w:pPr>
              <w:pStyle w:val="23"/>
              <w:jc w:val="center"/>
              <w:rPr>
                <w:rFonts w:ascii="宋体" w:hAnsi="宋体"/>
                <w:kern w:val="0"/>
                <w:sz w:val="18"/>
                <w:szCs w:val="21"/>
              </w:rPr>
            </w:pPr>
          </w:p>
        </w:tc>
      </w:tr>
      <w:tr w14:paraId="543388C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411" w:type="pct"/>
            <w:vMerge w:val="continue"/>
            <w:vAlign w:val="center"/>
          </w:tcPr>
          <w:p w14:paraId="24ECAB08">
            <w:pPr>
              <w:pStyle w:val="23"/>
              <w:jc w:val="center"/>
              <w:rPr>
                <w:rFonts w:ascii="宋体" w:hAnsi="宋体"/>
                <w:kern w:val="0"/>
                <w:sz w:val="18"/>
                <w:szCs w:val="21"/>
              </w:rPr>
            </w:pPr>
          </w:p>
        </w:tc>
        <w:tc>
          <w:tcPr>
            <w:tcW w:w="335" w:type="pct"/>
            <w:shd w:val="clear" w:color="auto" w:fill="auto"/>
            <w:noWrap/>
            <w:vAlign w:val="center"/>
          </w:tcPr>
          <w:p w14:paraId="64E7432E">
            <w:pPr>
              <w:pStyle w:val="23"/>
              <w:jc w:val="center"/>
              <w:rPr>
                <w:rFonts w:ascii="宋体" w:hAnsi="宋体"/>
                <w:kern w:val="0"/>
                <w:sz w:val="18"/>
                <w:szCs w:val="21"/>
              </w:rPr>
            </w:pPr>
            <w:r>
              <w:rPr>
                <w:rFonts w:ascii="宋体" w:hAnsi="宋体"/>
                <w:kern w:val="0"/>
                <w:sz w:val="18"/>
                <w:szCs w:val="21"/>
              </w:rPr>
              <w:t>最小值</w:t>
            </w:r>
          </w:p>
        </w:tc>
        <w:tc>
          <w:tcPr>
            <w:tcW w:w="285" w:type="pct"/>
            <w:shd w:val="clear" w:color="auto" w:fill="auto"/>
            <w:noWrap/>
            <w:vAlign w:val="center"/>
          </w:tcPr>
          <w:p w14:paraId="796DA19B">
            <w:pPr>
              <w:pStyle w:val="23"/>
              <w:jc w:val="center"/>
              <w:rPr>
                <w:rFonts w:ascii="宋体" w:hAnsi="宋体"/>
                <w:kern w:val="0"/>
                <w:sz w:val="18"/>
                <w:szCs w:val="21"/>
              </w:rPr>
            </w:pPr>
            <w:r>
              <w:rPr>
                <w:rFonts w:ascii="宋体" w:hAnsi="宋体"/>
                <w:kern w:val="0"/>
                <w:sz w:val="18"/>
                <w:szCs w:val="21"/>
              </w:rPr>
              <w:t>0.01(L)</w:t>
            </w:r>
          </w:p>
        </w:tc>
        <w:tc>
          <w:tcPr>
            <w:tcW w:w="310" w:type="pct"/>
            <w:shd w:val="clear" w:color="auto" w:fill="auto"/>
            <w:noWrap/>
            <w:vAlign w:val="center"/>
          </w:tcPr>
          <w:p w14:paraId="751DC618">
            <w:pPr>
              <w:pStyle w:val="23"/>
              <w:jc w:val="center"/>
              <w:rPr>
                <w:rFonts w:ascii="宋体" w:hAnsi="宋体"/>
                <w:kern w:val="0"/>
                <w:sz w:val="18"/>
                <w:szCs w:val="21"/>
              </w:rPr>
            </w:pPr>
            <w:r>
              <w:rPr>
                <w:rFonts w:ascii="宋体" w:hAnsi="宋体"/>
                <w:kern w:val="0"/>
                <w:sz w:val="18"/>
                <w:szCs w:val="21"/>
              </w:rPr>
              <w:t>0.004(L)</w:t>
            </w:r>
          </w:p>
        </w:tc>
        <w:tc>
          <w:tcPr>
            <w:tcW w:w="310" w:type="pct"/>
            <w:shd w:val="clear" w:color="auto" w:fill="auto"/>
            <w:noWrap/>
            <w:vAlign w:val="center"/>
          </w:tcPr>
          <w:p w14:paraId="4802A6A1">
            <w:pPr>
              <w:pStyle w:val="23"/>
              <w:jc w:val="center"/>
              <w:rPr>
                <w:rFonts w:ascii="宋体" w:hAnsi="宋体"/>
                <w:kern w:val="0"/>
                <w:sz w:val="18"/>
                <w:szCs w:val="21"/>
              </w:rPr>
            </w:pPr>
            <w:r>
              <w:rPr>
                <w:rFonts w:ascii="宋体" w:hAnsi="宋体"/>
                <w:kern w:val="0"/>
                <w:sz w:val="18"/>
                <w:szCs w:val="21"/>
              </w:rPr>
              <w:t>0.001</w:t>
            </w:r>
          </w:p>
        </w:tc>
        <w:tc>
          <w:tcPr>
            <w:tcW w:w="285" w:type="pct"/>
            <w:shd w:val="clear" w:color="auto" w:fill="auto"/>
            <w:noWrap/>
            <w:vAlign w:val="center"/>
          </w:tcPr>
          <w:p w14:paraId="52F28977">
            <w:pPr>
              <w:pStyle w:val="23"/>
              <w:jc w:val="center"/>
              <w:rPr>
                <w:rFonts w:ascii="宋体" w:hAnsi="宋体"/>
                <w:kern w:val="0"/>
                <w:sz w:val="18"/>
                <w:szCs w:val="21"/>
              </w:rPr>
            </w:pPr>
            <w:r>
              <w:rPr>
                <w:rFonts w:ascii="宋体" w:hAnsi="宋体"/>
                <w:kern w:val="0"/>
                <w:sz w:val="18"/>
                <w:szCs w:val="21"/>
              </w:rPr>
              <w:t>0.04(L)</w:t>
            </w:r>
          </w:p>
        </w:tc>
        <w:tc>
          <w:tcPr>
            <w:tcW w:w="513" w:type="pct"/>
            <w:shd w:val="clear" w:color="auto" w:fill="auto"/>
            <w:noWrap/>
            <w:vAlign w:val="center"/>
          </w:tcPr>
          <w:p w14:paraId="3BB0913B">
            <w:pPr>
              <w:pStyle w:val="23"/>
              <w:jc w:val="center"/>
              <w:rPr>
                <w:rFonts w:ascii="宋体" w:hAnsi="宋体"/>
                <w:kern w:val="0"/>
                <w:sz w:val="18"/>
                <w:szCs w:val="21"/>
              </w:rPr>
            </w:pPr>
            <w:r>
              <w:rPr>
                <w:rFonts w:ascii="宋体" w:hAnsi="宋体"/>
                <w:kern w:val="0"/>
                <w:sz w:val="18"/>
                <w:szCs w:val="21"/>
              </w:rPr>
              <w:t>0.05(L)</w:t>
            </w:r>
          </w:p>
        </w:tc>
        <w:tc>
          <w:tcPr>
            <w:tcW w:w="310" w:type="pct"/>
            <w:shd w:val="clear" w:color="auto" w:fill="auto"/>
            <w:noWrap/>
            <w:vAlign w:val="center"/>
          </w:tcPr>
          <w:p w14:paraId="25C2E84C">
            <w:pPr>
              <w:pStyle w:val="23"/>
              <w:jc w:val="center"/>
              <w:rPr>
                <w:rFonts w:ascii="宋体" w:hAnsi="宋体"/>
                <w:kern w:val="0"/>
                <w:sz w:val="18"/>
                <w:szCs w:val="21"/>
              </w:rPr>
            </w:pPr>
            <w:r>
              <w:rPr>
                <w:rFonts w:ascii="宋体" w:hAnsi="宋体"/>
                <w:kern w:val="0"/>
                <w:sz w:val="18"/>
                <w:szCs w:val="21"/>
              </w:rPr>
              <w:t>0.005L)</w:t>
            </w:r>
          </w:p>
        </w:tc>
        <w:tc>
          <w:tcPr>
            <w:tcW w:w="361" w:type="pct"/>
            <w:shd w:val="clear" w:color="auto" w:fill="auto"/>
            <w:noWrap/>
            <w:vAlign w:val="center"/>
          </w:tcPr>
          <w:p w14:paraId="1ED698C5">
            <w:pPr>
              <w:pStyle w:val="23"/>
              <w:jc w:val="center"/>
              <w:rPr>
                <w:rFonts w:ascii="宋体" w:hAnsi="宋体"/>
                <w:kern w:val="0"/>
                <w:sz w:val="18"/>
                <w:szCs w:val="21"/>
              </w:rPr>
            </w:pPr>
            <w:r>
              <w:rPr>
                <w:rFonts w:ascii="宋体" w:hAnsi="宋体"/>
                <w:kern w:val="0"/>
                <w:sz w:val="18"/>
                <w:szCs w:val="21"/>
              </w:rPr>
              <w:t>940</w:t>
            </w:r>
          </w:p>
        </w:tc>
        <w:tc>
          <w:tcPr>
            <w:tcW w:w="260" w:type="pct"/>
            <w:shd w:val="clear" w:color="auto" w:fill="auto"/>
            <w:noWrap/>
            <w:vAlign w:val="center"/>
          </w:tcPr>
          <w:p w14:paraId="6390AC5E">
            <w:pPr>
              <w:pStyle w:val="23"/>
              <w:jc w:val="center"/>
              <w:rPr>
                <w:rFonts w:ascii="宋体" w:hAnsi="宋体"/>
                <w:kern w:val="0"/>
                <w:sz w:val="18"/>
                <w:szCs w:val="21"/>
              </w:rPr>
            </w:pPr>
            <w:r>
              <w:rPr>
                <w:rFonts w:ascii="宋体" w:hAnsi="宋体"/>
                <w:kern w:val="0"/>
                <w:sz w:val="18"/>
                <w:szCs w:val="21"/>
              </w:rPr>
              <w:t>4.6</w:t>
            </w:r>
          </w:p>
        </w:tc>
        <w:tc>
          <w:tcPr>
            <w:tcW w:w="260" w:type="pct"/>
            <w:shd w:val="clear" w:color="auto" w:fill="auto"/>
            <w:noWrap/>
            <w:vAlign w:val="center"/>
          </w:tcPr>
          <w:p w14:paraId="22CA472F">
            <w:pPr>
              <w:pStyle w:val="23"/>
              <w:jc w:val="center"/>
              <w:rPr>
                <w:rFonts w:ascii="宋体" w:hAnsi="宋体"/>
                <w:kern w:val="0"/>
                <w:sz w:val="18"/>
                <w:szCs w:val="21"/>
              </w:rPr>
            </w:pPr>
            <w:r>
              <w:rPr>
                <w:rFonts w:ascii="宋体" w:hAnsi="宋体"/>
                <w:kern w:val="0"/>
                <w:sz w:val="18"/>
                <w:szCs w:val="21"/>
              </w:rPr>
              <w:t>1.36</w:t>
            </w:r>
          </w:p>
        </w:tc>
        <w:tc>
          <w:tcPr>
            <w:tcW w:w="260" w:type="pct"/>
            <w:shd w:val="clear" w:color="auto" w:fill="auto"/>
            <w:noWrap/>
            <w:vAlign w:val="center"/>
          </w:tcPr>
          <w:p w14:paraId="6D843402">
            <w:pPr>
              <w:pStyle w:val="23"/>
              <w:jc w:val="center"/>
              <w:rPr>
                <w:rFonts w:ascii="宋体" w:hAnsi="宋体"/>
                <w:kern w:val="0"/>
                <w:sz w:val="18"/>
                <w:szCs w:val="21"/>
              </w:rPr>
            </w:pPr>
            <w:r>
              <w:rPr>
                <w:rFonts w:ascii="宋体" w:hAnsi="宋体"/>
                <w:kern w:val="0"/>
                <w:sz w:val="18"/>
                <w:szCs w:val="21"/>
              </w:rPr>
              <w:t>0.710</w:t>
            </w:r>
          </w:p>
        </w:tc>
        <w:tc>
          <w:tcPr>
            <w:tcW w:w="259" w:type="pct"/>
            <w:shd w:val="clear" w:color="auto" w:fill="auto"/>
            <w:noWrap/>
            <w:vAlign w:val="center"/>
          </w:tcPr>
          <w:p w14:paraId="17C9BDF5">
            <w:pPr>
              <w:pStyle w:val="23"/>
              <w:jc w:val="center"/>
              <w:rPr>
                <w:rFonts w:ascii="宋体" w:hAnsi="宋体"/>
                <w:kern w:val="0"/>
                <w:sz w:val="18"/>
                <w:szCs w:val="21"/>
              </w:rPr>
            </w:pPr>
            <w:r>
              <w:rPr>
                <w:rFonts w:ascii="宋体" w:hAnsi="宋体"/>
                <w:kern w:val="0"/>
                <w:sz w:val="18"/>
                <w:szCs w:val="21"/>
              </w:rPr>
              <w:t>.006()</w:t>
            </w:r>
          </w:p>
        </w:tc>
        <w:tc>
          <w:tcPr>
            <w:tcW w:w="285" w:type="pct"/>
            <w:shd w:val="clear" w:color="auto" w:fill="auto"/>
            <w:noWrap/>
            <w:vAlign w:val="center"/>
          </w:tcPr>
          <w:p w14:paraId="3AF0C17D">
            <w:pPr>
              <w:pStyle w:val="23"/>
              <w:jc w:val="center"/>
              <w:rPr>
                <w:rFonts w:ascii="宋体" w:hAnsi="宋体"/>
                <w:kern w:val="0"/>
                <w:sz w:val="18"/>
                <w:szCs w:val="21"/>
              </w:rPr>
            </w:pPr>
            <w:r>
              <w:rPr>
                <w:rFonts w:ascii="宋体" w:hAnsi="宋体"/>
                <w:kern w:val="0"/>
                <w:sz w:val="18"/>
                <w:szCs w:val="21"/>
              </w:rPr>
              <w:t>0.06(L)</w:t>
            </w:r>
          </w:p>
        </w:tc>
        <w:tc>
          <w:tcPr>
            <w:tcW w:w="298" w:type="pct"/>
            <w:shd w:val="clear" w:color="auto" w:fill="auto"/>
            <w:noWrap/>
            <w:vAlign w:val="center"/>
          </w:tcPr>
          <w:p w14:paraId="190F8505">
            <w:pPr>
              <w:pStyle w:val="23"/>
              <w:jc w:val="center"/>
              <w:rPr>
                <w:rFonts w:ascii="宋体" w:hAnsi="宋体"/>
                <w:kern w:val="0"/>
                <w:sz w:val="18"/>
                <w:szCs w:val="21"/>
              </w:rPr>
            </w:pPr>
            <w:r>
              <w:rPr>
                <w:rFonts w:ascii="宋体" w:hAnsi="宋体"/>
                <w:kern w:val="0"/>
                <w:sz w:val="18"/>
                <w:szCs w:val="21"/>
              </w:rPr>
              <w:t>3.76</w:t>
            </w:r>
          </w:p>
        </w:tc>
        <w:tc>
          <w:tcPr>
            <w:tcW w:w="260" w:type="pct"/>
            <w:shd w:val="clear" w:color="auto" w:fill="auto"/>
            <w:noWrap/>
            <w:vAlign w:val="center"/>
          </w:tcPr>
          <w:p w14:paraId="1D34020A">
            <w:pPr>
              <w:pStyle w:val="23"/>
              <w:jc w:val="center"/>
              <w:rPr>
                <w:rFonts w:ascii="宋体" w:hAnsi="宋体"/>
                <w:kern w:val="0"/>
                <w:sz w:val="18"/>
                <w:szCs w:val="21"/>
              </w:rPr>
            </w:pPr>
          </w:p>
        </w:tc>
      </w:tr>
      <w:tr w14:paraId="281E0DA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411" w:type="pct"/>
            <w:vMerge w:val="continue"/>
            <w:vAlign w:val="center"/>
          </w:tcPr>
          <w:p w14:paraId="2115A8AF">
            <w:pPr>
              <w:pStyle w:val="23"/>
              <w:jc w:val="center"/>
              <w:rPr>
                <w:rFonts w:ascii="宋体" w:hAnsi="宋体"/>
                <w:kern w:val="0"/>
                <w:sz w:val="18"/>
                <w:szCs w:val="21"/>
              </w:rPr>
            </w:pPr>
          </w:p>
        </w:tc>
        <w:tc>
          <w:tcPr>
            <w:tcW w:w="335" w:type="pct"/>
            <w:shd w:val="clear" w:color="auto" w:fill="auto"/>
            <w:noWrap/>
            <w:vAlign w:val="center"/>
          </w:tcPr>
          <w:p w14:paraId="23A3C34A">
            <w:pPr>
              <w:pStyle w:val="23"/>
              <w:jc w:val="center"/>
              <w:rPr>
                <w:rFonts w:ascii="宋体" w:hAnsi="宋体"/>
                <w:kern w:val="0"/>
                <w:sz w:val="18"/>
                <w:szCs w:val="21"/>
              </w:rPr>
            </w:pPr>
            <w:r>
              <w:rPr>
                <w:rFonts w:ascii="宋体" w:hAnsi="宋体"/>
                <w:kern w:val="0"/>
                <w:sz w:val="18"/>
                <w:szCs w:val="21"/>
              </w:rPr>
              <w:t>平均值</w:t>
            </w:r>
          </w:p>
        </w:tc>
        <w:tc>
          <w:tcPr>
            <w:tcW w:w="285" w:type="pct"/>
            <w:shd w:val="clear" w:color="auto" w:fill="auto"/>
            <w:noWrap/>
            <w:vAlign w:val="center"/>
          </w:tcPr>
          <w:p w14:paraId="226C9A25">
            <w:pPr>
              <w:pStyle w:val="23"/>
              <w:jc w:val="center"/>
              <w:rPr>
                <w:rFonts w:ascii="宋体" w:hAnsi="宋体"/>
                <w:kern w:val="0"/>
                <w:sz w:val="18"/>
                <w:szCs w:val="21"/>
              </w:rPr>
            </w:pPr>
            <w:r>
              <w:rPr>
                <w:rFonts w:ascii="宋体" w:hAnsi="宋体"/>
                <w:kern w:val="0"/>
                <w:sz w:val="18"/>
                <w:szCs w:val="21"/>
              </w:rPr>
              <w:t>0.01(L)</w:t>
            </w:r>
          </w:p>
        </w:tc>
        <w:tc>
          <w:tcPr>
            <w:tcW w:w="310" w:type="pct"/>
            <w:shd w:val="clear" w:color="auto" w:fill="auto"/>
            <w:noWrap/>
            <w:vAlign w:val="center"/>
          </w:tcPr>
          <w:p w14:paraId="446DD206">
            <w:pPr>
              <w:pStyle w:val="23"/>
              <w:jc w:val="center"/>
              <w:rPr>
                <w:rFonts w:ascii="宋体" w:hAnsi="宋体"/>
                <w:kern w:val="0"/>
                <w:sz w:val="18"/>
                <w:szCs w:val="21"/>
              </w:rPr>
            </w:pPr>
            <w:r>
              <w:rPr>
                <w:rFonts w:ascii="宋体" w:hAnsi="宋体"/>
                <w:kern w:val="0"/>
                <w:sz w:val="18"/>
                <w:szCs w:val="21"/>
              </w:rPr>
              <w:t>0.004(L)</w:t>
            </w:r>
          </w:p>
        </w:tc>
        <w:tc>
          <w:tcPr>
            <w:tcW w:w="310" w:type="pct"/>
            <w:shd w:val="clear" w:color="auto" w:fill="auto"/>
            <w:noWrap/>
            <w:vAlign w:val="center"/>
          </w:tcPr>
          <w:p w14:paraId="3B63986E">
            <w:pPr>
              <w:pStyle w:val="23"/>
              <w:jc w:val="center"/>
              <w:rPr>
                <w:rFonts w:ascii="宋体" w:hAnsi="宋体"/>
                <w:kern w:val="0"/>
                <w:sz w:val="18"/>
                <w:szCs w:val="21"/>
              </w:rPr>
            </w:pPr>
            <w:r>
              <w:rPr>
                <w:rFonts w:ascii="宋体" w:hAnsi="宋体"/>
                <w:kern w:val="0"/>
                <w:sz w:val="18"/>
                <w:szCs w:val="21"/>
              </w:rPr>
              <w:t>0.001</w:t>
            </w:r>
          </w:p>
        </w:tc>
        <w:tc>
          <w:tcPr>
            <w:tcW w:w="285" w:type="pct"/>
            <w:shd w:val="clear" w:color="auto" w:fill="auto"/>
            <w:noWrap/>
            <w:vAlign w:val="center"/>
          </w:tcPr>
          <w:p w14:paraId="53F1EA3F">
            <w:pPr>
              <w:pStyle w:val="23"/>
              <w:jc w:val="center"/>
              <w:rPr>
                <w:rFonts w:ascii="宋体" w:hAnsi="宋体"/>
                <w:kern w:val="0"/>
                <w:sz w:val="18"/>
                <w:szCs w:val="21"/>
              </w:rPr>
            </w:pPr>
            <w:r>
              <w:rPr>
                <w:rFonts w:ascii="宋体" w:hAnsi="宋体"/>
                <w:kern w:val="0"/>
                <w:sz w:val="18"/>
                <w:szCs w:val="21"/>
              </w:rPr>
              <w:t>0.04()</w:t>
            </w:r>
          </w:p>
        </w:tc>
        <w:tc>
          <w:tcPr>
            <w:tcW w:w="513" w:type="pct"/>
            <w:shd w:val="clear" w:color="auto" w:fill="auto"/>
            <w:noWrap/>
            <w:vAlign w:val="center"/>
          </w:tcPr>
          <w:p w14:paraId="3A98502C">
            <w:pPr>
              <w:pStyle w:val="23"/>
              <w:jc w:val="center"/>
              <w:rPr>
                <w:rFonts w:ascii="宋体" w:hAnsi="宋体"/>
                <w:kern w:val="0"/>
                <w:sz w:val="18"/>
                <w:szCs w:val="21"/>
              </w:rPr>
            </w:pPr>
            <w:r>
              <w:rPr>
                <w:rFonts w:ascii="宋体" w:hAnsi="宋体"/>
                <w:kern w:val="0"/>
                <w:sz w:val="18"/>
                <w:szCs w:val="21"/>
              </w:rPr>
              <w:t>0.05()</w:t>
            </w:r>
          </w:p>
        </w:tc>
        <w:tc>
          <w:tcPr>
            <w:tcW w:w="310" w:type="pct"/>
            <w:shd w:val="clear" w:color="auto" w:fill="auto"/>
            <w:noWrap/>
            <w:vAlign w:val="center"/>
          </w:tcPr>
          <w:p w14:paraId="04EB680F">
            <w:pPr>
              <w:pStyle w:val="23"/>
              <w:jc w:val="center"/>
              <w:rPr>
                <w:rFonts w:ascii="宋体" w:hAnsi="宋体"/>
                <w:kern w:val="0"/>
                <w:sz w:val="18"/>
                <w:szCs w:val="21"/>
              </w:rPr>
            </w:pPr>
            <w:r>
              <w:rPr>
                <w:rFonts w:ascii="宋体" w:hAnsi="宋体"/>
                <w:kern w:val="0"/>
                <w:sz w:val="18"/>
                <w:szCs w:val="21"/>
              </w:rPr>
              <w:t>0.005)</w:t>
            </w:r>
          </w:p>
        </w:tc>
        <w:tc>
          <w:tcPr>
            <w:tcW w:w="361" w:type="pct"/>
            <w:shd w:val="clear" w:color="auto" w:fill="auto"/>
            <w:noWrap/>
            <w:vAlign w:val="center"/>
          </w:tcPr>
          <w:p w14:paraId="41B391E5">
            <w:pPr>
              <w:pStyle w:val="23"/>
              <w:jc w:val="center"/>
              <w:rPr>
                <w:rFonts w:ascii="宋体" w:hAnsi="宋体"/>
                <w:kern w:val="0"/>
                <w:sz w:val="18"/>
                <w:szCs w:val="21"/>
              </w:rPr>
            </w:pPr>
            <w:r>
              <w:rPr>
                <w:rFonts w:ascii="宋体" w:hAnsi="宋体"/>
                <w:kern w:val="0"/>
                <w:sz w:val="18"/>
                <w:szCs w:val="21"/>
              </w:rPr>
              <w:t>1603</w:t>
            </w:r>
          </w:p>
        </w:tc>
        <w:tc>
          <w:tcPr>
            <w:tcW w:w="260" w:type="pct"/>
            <w:shd w:val="clear" w:color="auto" w:fill="auto"/>
            <w:noWrap/>
            <w:vAlign w:val="center"/>
          </w:tcPr>
          <w:p w14:paraId="4303DA4C">
            <w:pPr>
              <w:pStyle w:val="23"/>
              <w:jc w:val="center"/>
              <w:rPr>
                <w:rFonts w:ascii="宋体" w:hAnsi="宋体"/>
                <w:kern w:val="0"/>
                <w:sz w:val="18"/>
                <w:szCs w:val="21"/>
              </w:rPr>
            </w:pPr>
            <w:r>
              <w:rPr>
                <w:rFonts w:ascii="宋体" w:hAnsi="宋体"/>
                <w:kern w:val="0"/>
                <w:sz w:val="18"/>
                <w:szCs w:val="21"/>
              </w:rPr>
              <w:t>6.1</w:t>
            </w:r>
          </w:p>
        </w:tc>
        <w:tc>
          <w:tcPr>
            <w:tcW w:w="260" w:type="pct"/>
            <w:shd w:val="clear" w:color="auto" w:fill="auto"/>
            <w:noWrap/>
            <w:vAlign w:val="center"/>
          </w:tcPr>
          <w:p w14:paraId="57D8C656">
            <w:pPr>
              <w:pStyle w:val="23"/>
              <w:jc w:val="center"/>
              <w:rPr>
                <w:rFonts w:ascii="宋体" w:hAnsi="宋体"/>
                <w:kern w:val="0"/>
                <w:sz w:val="18"/>
                <w:szCs w:val="21"/>
              </w:rPr>
            </w:pPr>
            <w:r>
              <w:rPr>
                <w:rFonts w:ascii="宋体" w:hAnsi="宋体"/>
                <w:kern w:val="0"/>
                <w:sz w:val="18"/>
                <w:szCs w:val="21"/>
              </w:rPr>
              <w:t>2.62</w:t>
            </w:r>
          </w:p>
        </w:tc>
        <w:tc>
          <w:tcPr>
            <w:tcW w:w="260" w:type="pct"/>
            <w:shd w:val="clear" w:color="auto" w:fill="auto"/>
            <w:noWrap/>
            <w:vAlign w:val="center"/>
          </w:tcPr>
          <w:p w14:paraId="743F1660">
            <w:pPr>
              <w:pStyle w:val="23"/>
              <w:jc w:val="center"/>
              <w:rPr>
                <w:rFonts w:ascii="宋体" w:hAnsi="宋体"/>
                <w:kern w:val="0"/>
                <w:sz w:val="18"/>
                <w:szCs w:val="21"/>
              </w:rPr>
            </w:pPr>
            <w:r>
              <w:rPr>
                <w:rFonts w:ascii="宋体" w:hAnsi="宋体"/>
                <w:kern w:val="0"/>
                <w:sz w:val="18"/>
                <w:szCs w:val="21"/>
              </w:rPr>
              <w:t>1.16</w:t>
            </w:r>
          </w:p>
        </w:tc>
        <w:tc>
          <w:tcPr>
            <w:tcW w:w="259" w:type="pct"/>
            <w:shd w:val="clear" w:color="auto" w:fill="auto"/>
            <w:noWrap/>
            <w:vAlign w:val="center"/>
          </w:tcPr>
          <w:p w14:paraId="679D956A">
            <w:pPr>
              <w:pStyle w:val="23"/>
              <w:jc w:val="center"/>
              <w:rPr>
                <w:rFonts w:ascii="宋体" w:hAnsi="宋体"/>
                <w:kern w:val="0"/>
                <w:sz w:val="18"/>
                <w:szCs w:val="21"/>
              </w:rPr>
            </w:pPr>
            <w:r>
              <w:rPr>
                <w:rFonts w:ascii="宋体" w:hAnsi="宋体"/>
                <w:kern w:val="0"/>
                <w:sz w:val="18"/>
                <w:szCs w:val="21"/>
              </w:rPr>
              <w:t>0.080</w:t>
            </w:r>
          </w:p>
        </w:tc>
        <w:tc>
          <w:tcPr>
            <w:tcW w:w="285" w:type="pct"/>
            <w:shd w:val="clear" w:color="auto" w:fill="auto"/>
            <w:noWrap/>
            <w:vAlign w:val="center"/>
          </w:tcPr>
          <w:p w14:paraId="07D2578E">
            <w:pPr>
              <w:pStyle w:val="23"/>
              <w:jc w:val="center"/>
              <w:rPr>
                <w:rFonts w:ascii="宋体" w:hAnsi="宋体"/>
                <w:kern w:val="0"/>
                <w:sz w:val="18"/>
                <w:szCs w:val="21"/>
              </w:rPr>
            </w:pPr>
            <w:r>
              <w:rPr>
                <w:rFonts w:ascii="宋体" w:hAnsi="宋体"/>
                <w:kern w:val="0"/>
                <w:sz w:val="18"/>
                <w:szCs w:val="21"/>
              </w:rPr>
              <w:t>0.06(L)</w:t>
            </w:r>
          </w:p>
        </w:tc>
        <w:tc>
          <w:tcPr>
            <w:tcW w:w="298" w:type="pct"/>
            <w:shd w:val="clear" w:color="auto" w:fill="auto"/>
            <w:noWrap/>
            <w:vAlign w:val="center"/>
          </w:tcPr>
          <w:p w14:paraId="3FA1D94F">
            <w:pPr>
              <w:pStyle w:val="23"/>
              <w:jc w:val="center"/>
              <w:rPr>
                <w:rFonts w:ascii="宋体" w:hAnsi="宋体"/>
                <w:kern w:val="0"/>
                <w:sz w:val="18"/>
                <w:szCs w:val="21"/>
              </w:rPr>
            </w:pPr>
            <w:r>
              <w:rPr>
                <w:rFonts w:ascii="宋体" w:hAnsi="宋体"/>
                <w:kern w:val="0"/>
                <w:sz w:val="18"/>
                <w:szCs w:val="21"/>
              </w:rPr>
              <w:t>8.10</w:t>
            </w:r>
          </w:p>
        </w:tc>
        <w:tc>
          <w:tcPr>
            <w:tcW w:w="260" w:type="pct"/>
            <w:shd w:val="clear" w:color="auto" w:fill="auto"/>
            <w:noWrap/>
            <w:vAlign w:val="center"/>
          </w:tcPr>
          <w:p w14:paraId="76AECE4B">
            <w:pPr>
              <w:pStyle w:val="23"/>
              <w:jc w:val="center"/>
              <w:rPr>
                <w:rFonts w:ascii="宋体" w:hAnsi="宋体"/>
                <w:kern w:val="0"/>
                <w:sz w:val="18"/>
                <w:szCs w:val="21"/>
              </w:rPr>
            </w:pPr>
          </w:p>
        </w:tc>
      </w:tr>
      <w:tr w14:paraId="5062298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411" w:type="pct"/>
            <w:vMerge w:val="continue"/>
            <w:vAlign w:val="center"/>
          </w:tcPr>
          <w:p w14:paraId="5572E4E4">
            <w:pPr>
              <w:pStyle w:val="23"/>
              <w:jc w:val="center"/>
              <w:rPr>
                <w:rFonts w:ascii="宋体" w:hAnsi="宋体"/>
                <w:kern w:val="0"/>
                <w:sz w:val="18"/>
                <w:szCs w:val="21"/>
              </w:rPr>
            </w:pPr>
          </w:p>
        </w:tc>
        <w:tc>
          <w:tcPr>
            <w:tcW w:w="335" w:type="pct"/>
            <w:shd w:val="clear" w:color="auto" w:fill="auto"/>
            <w:noWrap/>
            <w:vAlign w:val="center"/>
          </w:tcPr>
          <w:p w14:paraId="6C4D558C">
            <w:pPr>
              <w:pStyle w:val="23"/>
              <w:jc w:val="center"/>
              <w:rPr>
                <w:rFonts w:ascii="宋体" w:hAnsi="宋体"/>
                <w:kern w:val="0"/>
                <w:sz w:val="18"/>
                <w:szCs w:val="21"/>
              </w:rPr>
            </w:pPr>
            <w:r>
              <w:rPr>
                <w:rFonts w:ascii="宋体" w:hAnsi="宋体"/>
                <w:kern w:val="0"/>
                <w:sz w:val="18"/>
                <w:szCs w:val="21"/>
              </w:rPr>
              <w:t>超标率(%)</w:t>
            </w:r>
          </w:p>
        </w:tc>
        <w:tc>
          <w:tcPr>
            <w:tcW w:w="285" w:type="pct"/>
            <w:shd w:val="clear" w:color="auto" w:fill="auto"/>
            <w:noWrap/>
            <w:vAlign w:val="center"/>
          </w:tcPr>
          <w:p w14:paraId="49684C9B">
            <w:pPr>
              <w:pStyle w:val="23"/>
              <w:jc w:val="center"/>
              <w:rPr>
                <w:rFonts w:ascii="宋体" w:hAnsi="宋体"/>
                <w:kern w:val="0"/>
                <w:sz w:val="18"/>
                <w:szCs w:val="21"/>
              </w:rPr>
            </w:pPr>
            <w:r>
              <w:rPr>
                <w:rFonts w:ascii="宋体" w:hAnsi="宋体"/>
                <w:kern w:val="0"/>
                <w:sz w:val="18"/>
                <w:szCs w:val="21"/>
              </w:rPr>
              <w:t>0.0</w:t>
            </w:r>
          </w:p>
        </w:tc>
        <w:tc>
          <w:tcPr>
            <w:tcW w:w="310" w:type="pct"/>
            <w:shd w:val="clear" w:color="auto" w:fill="auto"/>
            <w:noWrap/>
            <w:vAlign w:val="center"/>
          </w:tcPr>
          <w:p w14:paraId="30EA8AF3">
            <w:pPr>
              <w:pStyle w:val="23"/>
              <w:jc w:val="center"/>
              <w:rPr>
                <w:rFonts w:ascii="宋体" w:hAnsi="宋体"/>
                <w:kern w:val="0"/>
                <w:sz w:val="18"/>
                <w:szCs w:val="21"/>
              </w:rPr>
            </w:pPr>
            <w:r>
              <w:rPr>
                <w:rFonts w:ascii="宋体" w:hAnsi="宋体"/>
                <w:kern w:val="0"/>
                <w:sz w:val="18"/>
                <w:szCs w:val="21"/>
              </w:rPr>
              <w:t>0.0</w:t>
            </w:r>
          </w:p>
        </w:tc>
        <w:tc>
          <w:tcPr>
            <w:tcW w:w="310" w:type="pct"/>
            <w:shd w:val="clear" w:color="auto" w:fill="auto"/>
            <w:noWrap/>
            <w:vAlign w:val="center"/>
          </w:tcPr>
          <w:p w14:paraId="7179536D">
            <w:pPr>
              <w:pStyle w:val="23"/>
              <w:jc w:val="center"/>
              <w:rPr>
                <w:rFonts w:ascii="宋体" w:hAnsi="宋体"/>
                <w:kern w:val="0"/>
                <w:sz w:val="18"/>
                <w:szCs w:val="21"/>
              </w:rPr>
            </w:pPr>
            <w:r>
              <w:rPr>
                <w:rFonts w:ascii="宋体" w:hAnsi="宋体"/>
                <w:kern w:val="0"/>
                <w:sz w:val="18"/>
                <w:szCs w:val="21"/>
              </w:rPr>
              <w:t>0.0</w:t>
            </w:r>
          </w:p>
        </w:tc>
        <w:tc>
          <w:tcPr>
            <w:tcW w:w="285" w:type="pct"/>
            <w:shd w:val="clear" w:color="auto" w:fill="auto"/>
            <w:noWrap/>
            <w:vAlign w:val="center"/>
          </w:tcPr>
          <w:p w14:paraId="47D14F5C">
            <w:pPr>
              <w:pStyle w:val="23"/>
              <w:jc w:val="center"/>
              <w:rPr>
                <w:rFonts w:ascii="宋体" w:hAnsi="宋体"/>
                <w:kern w:val="0"/>
                <w:sz w:val="18"/>
                <w:szCs w:val="21"/>
              </w:rPr>
            </w:pPr>
            <w:r>
              <w:rPr>
                <w:rFonts w:ascii="宋体" w:hAnsi="宋体"/>
                <w:kern w:val="0"/>
                <w:sz w:val="18"/>
                <w:szCs w:val="21"/>
              </w:rPr>
              <w:t>0.0</w:t>
            </w:r>
          </w:p>
        </w:tc>
        <w:tc>
          <w:tcPr>
            <w:tcW w:w="513" w:type="pct"/>
            <w:shd w:val="clear" w:color="auto" w:fill="auto"/>
            <w:noWrap/>
            <w:vAlign w:val="center"/>
          </w:tcPr>
          <w:p w14:paraId="03A7EE6A">
            <w:pPr>
              <w:pStyle w:val="23"/>
              <w:jc w:val="center"/>
              <w:rPr>
                <w:rFonts w:ascii="宋体" w:hAnsi="宋体"/>
                <w:kern w:val="0"/>
                <w:sz w:val="18"/>
                <w:szCs w:val="21"/>
              </w:rPr>
            </w:pPr>
            <w:r>
              <w:rPr>
                <w:rFonts w:ascii="宋体" w:hAnsi="宋体"/>
                <w:kern w:val="0"/>
                <w:sz w:val="18"/>
                <w:szCs w:val="21"/>
              </w:rPr>
              <w:t>0.0</w:t>
            </w:r>
          </w:p>
        </w:tc>
        <w:tc>
          <w:tcPr>
            <w:tcW w:w="310" w:type="pct"/>
            <w:shd w:val="clear" w:color="auto" w:fill="auto"/>
            <w:noWrap/>
            <w:vAlign w:val="center"/>
          </w:tcPr>
          <w:p w14:paraId="7CACBAA4">
            <w:pPr>
              <w:pStyle w:val="23"/>
              <w:jc w:val="center"/>
              <w:rPr>
                <w:rFonts w:ascii="宋体" w:hAnsi="宋体"/>
                <w:kern w:val="0"/>
                <w:sz w:val="18"/>
                <w:szCs w:val="21"/>
              </w:rPr>
            </w:pPr>
            <w:r>
              <w:rPr>
                <w:rFonts w:ascii="宋体" w:hAnsi="宋体"/>
                <w:kern w:val="0"/>
                <w:sz w:val="18"/>
                <w:szCs w:val="21"/>
              </w:rPr>
              <w:t>0.0</w:t>
            </w:r>
          </w:p>
        </w:tc>
        <w:tc>
          <w:tcPr>
            <w:tcW w:w="361" w:type="pct"/>
            <w:shd w:val="clear" w:color="auto" w:fill="auto"/>
            <w:noWrap/>
            <w:vAlign w:val="center"/>
          </w:tcPr>
          <w:p w14:paraId="41A14664">
            <w:pPr>
              <w:pStyle w:val="23"/>
              <w:jc w:val="center"/>
              <w:rPr>
                <w:rFonts w:ascii="宋体" w:hAnsi="宋体"/>
                <w:kern w:val="0"/>
                <w:sz w:val="18"/>
                <w:szCs w:val="21"/>
              </w:rPr>
            </w:pPr>
            <w:r>
              <w:rPr>
                <w:rFonts w:ascii="宋体" w:hAnsi="宋体"/>
                <w:kern w:val="0"/>
                <w:sz w:val="18"/>
                <w:szCs w:val="21"/>
              </w:rPr>
              <w:t>0.0</w:t>
            </w:r>
          </w:p>
        </w:tc>
        <w:tc>
          <w:tcPr>
            <w:tcW w:w="260" w:type="pct"/>
            <w:shd w:val="clear" w:color="auto" w:fill="auto"/>
            <w:noWrap/>
            <w:vAlign w:val="center"/>
          </w:tcPr>
          <w:p w14:paraId="0FD94CF9">
            <w:pPr>
              <w:pStyle w:val="23"/>
              <w:jc w:val="center"/>
              <w:rPr>
                <w:rFonts w:ascii="宋体" w:hAnsi="宋体"/>
                <w:kern w:val="0"/>
                <w:sz w:val="18"/>
                <w:szCs w:val="21"/>
              </w:rPr>
            </w:pPr>
            <w:r>
              <w:rPr>
                <w:rFonts w:ascii="宋体" w:hAnsi="宋体"/>
                <w:kern w:val="0"/>
                <w:sz w:val="18"/>
                <w:szCs w:val="21"/>
              </w:rPr>
              <w:t>0.0</w:t>
            </w:r>
          </w:p>
        </w:tc>
        <w:tc>
          <w:tcPr>
            <w:tcW w:w="260" w:type="pct"/>
            <w:shd w:val="clear" w:color="auto" w:fill="auto"/>
            <w:noWrap/>
            <w:vAlign w:val="center"/>
          </w:tcPr>
          <w:p w14:paraId="4271AE33">
            <w:pPr>
              <w:pStyle w:val="23"/>
              <w:jc w:val="center"/>
              <w:rPr>
                <w:rFonts w:ascii="宋体" w:hAnsi="宋体"/>
                <w:kern w:val="0"/>
                <w:sz w:val="18"/>
                <w:szCs w:val="21"/>
              </w:rPr>
            </w:pPr>
            <w:r>
              <w:rPr>
                <w:rFonts w:ascii="宋体" w:hAnsi="宋体"/>
                <w:kern w:val="0"/>
                <w:sz w:val="18"/>
                <w:szCs w:val="21"/>
              </w:rPr>
              <w:t>0.0</w:t>
            </w:r>
          </w:p>
        </w:tc>
        <w:tc>
          <w:tcPr>
            <w:tcW w:w="260" w:type="pct"/>
            <w:shd w:val="clear" w:color="auto" w:fill="auto"/>
            <w:noWrap/>
            <w:vAlign w:val="center"/>
          </w:tcPr>
          <w:p w14:paraId="4A33323F">
            <w:pPr>
              <w:pStyle w:val="23"/>
              <w:jc w:val="center"/>
              <w:rPr>
                <w:rFonts w:ascii="宋体" w:hAnsi="宋体"/>
                <w:kern w:val="0"/>
                <w:sz w:val="18"/>
                <w:szCs w:val="21"/>
              </w:rPr>
            </w:pPr>
            <w:r>
              <w:rPr>
                <w:rFonts w:ascii="宋体" w:hAnsi="宋体"/>
                <w:kern w:val="0"/>
                <w:sz w:val="18"/>
                <w:szCs w:val="21"/>
              </w:rPr>
              <w:t>0.0</w:t>
            </w:r>
          </w:p>
        </w:tc>
        <w:tc>
          <w:tcPr>
            <w:tcW w:w="259" w:type="pct"/>
            <w:shd w:val="clear" w:color="auto" w:fill="auto"/>
            <w:noWrap/>
            <w:vAlign w:val="center"/>
          </w:tcPr>
          <w:p w14:paraId="1CA0A593">
            <w:pPr>
              <w:pStyle w:val="23"/>
              <w:jc w:val="center"/>
              <w:rPr>
                <w:rFonts w:ascii="宋体" w:hAnsi="宋体"/>
                <w:kern w:val="0"/>
                <w:sz w:val="18"/>
                <w:szCs w:val="21"/>
              </w:rPr>
            </w:pPr>
            <w:r>
              <w:rPr>
                <w:rFonts w:ascii="宋体" w:hAnsi="宋体"/>
                <w:kern w:val="0"/>
                <w:sz w:val="18"/>
                <w:szCs w:val="21"/>
              </w:rPr>
              <w:t>0.0</w:t>
            </w:r>
          </w:p>
        </w:tc>
        <w:tc>
          <w:tcPr>
            <w:tcW w:w="285" w:type="pct"/>
            <w:shd w:val="clear" w:color="auto" w:fill="auto"/>
            <w:noWrap/>
            <w:vAlign w:val="center"/>
          </w:tcPr>
          <w:p w14:paraId="27B5E050">
            <w:pPr>
              <w:pStyle w:val="23"/>
              <w:jc w:val="center"/>
              <w:rPr>
                <w:rFonts w:ascii="宋体" w:hAnsi="宋体"/>
                <w:kern w:val="0"/>
                <w:sz w:val="18"/>
                <w:szCs w:val="21"/>
              </w:rPr>
            </w:pPr>
            <w:r>
              <w:rPr>
                <w:rFonts w:ascii="宋体" w:hAnsi="宋体"/>
                <w:kern w:val="0"/>
                <w:sz w:val="18"/>
                <w:szCs w:val="21"/>
              </w:rPr>
              <w:t>0.0</w:t>
            </w:r>
          </w:p>
        </w:tc>
        <w:tc>
          <w:tcPr>
            <w:tcW w:w="298" w:type="pct"/>
            <w:shd w:val="clear" w:color="auto" w:fill="auto"/>
            <w:noWrap/>
            <w:vAlign w:val="center"/>
          </w:tcPr>
          <w:p w14:paraId="3F7C2016">
            <w:pPr>
              <w:pStyle w:val="23"/>
              <w:jc w:val="center"/>
              <w:rPr>
                <w:rFonts w:ascii="宋体" w:hAnsi="宋体"/>
                <w:kern w:val="0"/>
                <w:sz w:val="18"/>
                <w:szCs w:val="21"/>
              </w:rPr>
            </w:pPr>
            <w:r>
              <w:rPr>
                <w:rFonts w:ascii="宋体" w:hAnsi="宋体"/>
                <w:kern w:val="0"/>
                <w:sz w:val="18"/>
                <w:szCs w:val="21"/>
              </w:rPr>
              <w:t>0.0</w:t>
            </w:r>
          </w:p>
        </w:tc>
        <w:tc>
          <w:tcPr>
            <w:tcW w:w="260" w:type="pct"/>
            <w:shd w:val="clear" w:color="auto" w:fill="auto"/>
            <w:noWrap/>
            <w:vAlign w:val="center"/>
          </w:tcPr>
          <w:p w14:paraId="4D952974">
            <w:pPr>
              <w:pStyle w:val="23"/>
              <w:jc w:val="center"/>
              <w:rPr>
                <w:rFonts w:ascii="宋体" w:hAnsi="宋体"/>
                <w:kern w:val="0"/>
                <w:sz w:val="18"/>
                <w:szCs w:val="21"/>
              </w:rPr>
            </w:pPr>
          </w:p>
        </w:tc>
      </w:tr>
      <w:tr w14:paraId="330648C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411" w:type="pct"/>
            <w:shd w:val="clear" w:color="auto" w:fill="auto"/>
            <w:noWrap/>
            <w:vAlign w:val="center"/>
          </w:tcPr>
          <w:p w14:paraId="5F76B197">
            <w:pPr>
              <w:pStyle w:val="23"/>
              <w:jc w:val="center"/>
              <w:rPr>
                <w:rFonts w:ascii="宋体" w:hAnsi="宋体"/>
                <w:kern w:val="0"/>
                <w:sz w:val="18"/>
                <w:szCs w:val="21"/>
              </w:rPr>
            </w:pPr>
            <w:r>
              <w:rPr>
                <w:rFonts w:ascii="宋体" w:hAnsi="宋体"/>
                <w:kern w:val="0"/>
                <w:sz w:val="18"/>
                <w:szCs w:val="21"/>
              </w:rPr>
              <w:t>瀑布水库库坝</w:t>
            </w:r>
          </w:p>
        </w:tc>
        <w:tc>
          <w:tcPr>
            <w:tcW w:w="335" w:type="pct"/>
            <w:shd w:val="clear" w:color="auto" w:fill="auto"/>
            <w:noWrap/>
            <w:vAlign w:val="center"/>
          </w:tcPr>
          <w:p w14:paraId="1FAE421F">
            <w:pPr>
              <w:pStyle w:val="23"/>
              <w:jc w:val="center"/>
              <w:rPr>
                <w:rFonts w:ascii="宋体" w:hAnsi="宋体"/>
                <w:kern w:val="0"/>
                <w:sz w:val="18"/>
                <w:szCs w:val="21"/>
              </w:rPr>
            </w:pPr>
            <w:r>
              <w:rPr>
                <w:rFonts w:ascii="宋体" w:hAnsi="宋体"/>
                <w:kern w:val="0"/>
                <w:sz w:val="18"/>
                <w:szCs w:val="21"/>
              </w:rPr>
              <w:t>样品数</w:t>
            </w:r>
          </w:p>
        </w:tc>
        <w:tc>
          <w:tcPr>
            <w:tcW w:w="285" w:type="pct"/>
            <w:shd w:val="clear" w:color="auto" w:fill="auto"/>
            <w:noWrap/>
            <w:vAlign w:val="center"/>
          </w:tcPr>
          <w:p w14:paraId="7FE94DC0">
            <w:pPr>
              <w:pStyle w:val="23"/>
              <w:jc w:val="center"/>
              <w:rPr>
                <w:rFonts w:ascii="宋体" w:hAnsi="宋体"/>
                <w:kern w:val="0"/>
                <w:sz w:val="18"/>
                <w:szCs w:val="21"/>
              </w:rPr>
            </w:pPr>
            <w:r>
              <w:rPr>
                <w:rFonts w:ascii="宋体" w:hAnsi="宋体"/>
                <w:kern w:val="0"/>
                <w:sz w:val="18"/>
                <w:szCs w:val="21"/>
              </w:rPr>
              <w:t>2</w:t>
            </w:r>
          </w:p>
        </w:tc>
        <w:tc>
          <w:tcPr>
            <w:tcW w:w="310" w:type="pct"/>
            <w:shd w:val="clear" w:color="auto" w:fill="auto"/>
            <w:noWrap/>
            <w:vAlign w:val="center"/>
          </w:tcPr>
          <w:p w14:paraId="3CAB3D36">
            <w:pPr>
              <w:pStyle w:val="23"/>
              <w:jc w:val="center"/>
              <w:rPr>
                <w:rFonts w:ascii="宋体" w:hAnsi="宋体"/>
                <w:kern w:val="0"/>
                <w:sz w:val="18"/>
                <w:szCs w:val="21"/>
              </w:rPr>
            </w:pPr>
            <w:r>
              <w:rPr>
                <w:rFonts w:ascii="宋体" w:hAnsi="宋体"/>
                <w:kern w:val="0"/>
                <w:sz w:val="18"/>
                <w:szCs w:val="21"/>
              </w:rPr>
              <w:t>8</w:t>
            </w:r>
          </w:p>
        </w:tc>
        <w:tc>
          <w:tcPr>
            <w:tcW w:w="310" w:type="pct"/>
            <w:shd w:val="clear" w:color="auto" w:fill="auto"/>
            <w:noWrap/>
            <w:vAlign w:val="center"/>
          </w:tcPr>
          <w:p w14:paraId="1CDFD250">
            <w:pPr>
              <w:pStyle w:val="23"/>
              <w:jc w:val="center"/>
              <w:rPr>
                <w:rFonts w:ascii="宋体" w:hAnsi="宋体"/>
                <w:kern w:val="0"/>
                <w:sz w:val="18"/>
                <w:szCs w:val="21"/>
              </w:rPr>
            </w:pPr>
            <w:r>
              <w:rPr>
                <w:rFonts w:ascii="宋体" w:hAnsi="宋体"/>
                <w:kern w:val="0"/>
                <w:sz w:val="18"/>
                <w:szCs w:val="21"/>
              </w:rPr>
              <w:t>12</w:t>
            </w:r>
          </w:p>
        </w:tc>
        <w:tc>
          <w:tcPr>
            <w:tcW w:w="285" w:type="pct"/>
            <w:shd w:val="clear" w:color="auto" w:fill="auto"/>
            <w:noWrap/>
            <w:vAlign w:val="center"/>
          </w:tcPr>
          <w:p w14:paraId="0C8D0DEF">
            <w:pPr>
              <w:pStyle w:val="23"/>
              <w:jc w:val="center"/>
              <w:rPr>
                <w:rFonts w:ascii="宋体" w:hAnsi="宋体"/>
                <w:kern w:val="0"/>
                <w:sz w:val="18"/>
                <w:szCs w:val="21"/>
              </w:rPr>
            </w:pPr>
            <w:r>
              <w:rPr>
                <w:rFonts w:ascii="宋体" w:hAnsi="宋体"/>
                <w:kern w:val="0"/>
                <w:sz w:val="18"/>
                <w:szCs w:val="21"/>
              </w:rPr>
              <w:t>12</w:t>
            </w:r>
          </w:p>
        </w:tc>
        <w:tc>
          <w:tcPr>
            <w:tcW w:w="513" w:type="pct"/>
            <w:shd w:val="clear" w:color="auto" w:fill="auto"/>
            <w:noWrap/>
            <w:vAlign w:val="center"/>
          </w:tcPr>
          <w:p w14:paraId="7F58F065">
            <w:pPr>
              <w:pStyle w:val="23"/>
              <w:jc w:val="center"/>
              <w:rPr>
                <w:rFonts w:ascii="宋体" w:hAnsi="宋体"/>
                <w:kern w:val="0"/>
                <w:sz w:val="18"/>
                <w:szCs w:val="21"/>
              </w:rPr>
            </w:pPr>
            <w:r>
              <w:rPr>
                <w:rFonts w:ascii="宋体" w:hAnsi="宋体"/>
                <w:kern w:val="0"/>
                <w:sz w:val="18"/>
                <w:szCs w:val="21"/>
              </w:rPr>
              <w:t>2</w:t>
            </w:r>
          </w:p>
        </w:tc>
        <w:tc>
          <w:tcPr>
            <w:tcW w:w="310" w:type="pct"/>
            <w:shd w:val="clear" w:color="auto" w:fill="auto"/>
            <w:noWrap/>
            <w:vAlign w:val="center"/>
          </w:tcPr>
          <w:p w14:paraId="6BBEC6D6">
            <w:pPr>
              <w:pStyle w:val="23"/>
              <w:jc w:val="center"/>
              <w:rPr>
                <w:rFonts w:ascii="宋体" w:hAnsi="宋体"/>
                <w:kern w:val="0"/>
                <w:sz w:val="18"/>
                <w:szCs w:val="21"/>
              </w:rPr>
            </w:pPr>
            <w:r>
              <w:rPr>
                <w:rFonts w:ascii="宋体" w:hAnsi="宋体"/>
                <w:kern w:val="0"/>
                <w:sz w:val="18"/>
                <w:szCs w:val="21"/>
              </w:rPr>
              <w:t>2</w:t>
            </w:r>
          </w:p>
        </w:tc>
        <w:tc>
          <w:tcPr>
            <w:tcW w:w="361" w:type="pct"/>
            <w:shd w:val="clear" w:color="auto" w:fill="auto"/>
            <w:noWrap/>
            <w:vAlign w:val="center"/>
          </w:tcPr>
          <w:p w14:paraId="6DFC1372">
            <w:pPr>
              <w:pStyle w:val="23"/>
              <w:jc w:val="center"/>
              <w:rPr>
                <w:rFonts w:ascii="宋体" w:hAnsi="宋体"/>
                <w:kern w:val="0"/>
                <w:sz w:val="18"/>
                <w:szCs w:val="21"/>
              </w:rPr>
            </w:pPr>
            <w:r>
              <w:rPr>
                <w:rFonts w:ascii="宋体" w:hAnsi="宋体"/>
                <w:kern w:val="0"/>
                <w:sz w:val="18"/>
                <w:szCs w:val="21"/>
              </w:rPr>
              <w:t>12</w:t>
            </w:r>
          </w:p>
        </w:tc>
        <w:tc>
          <w:tcPr>
            <w:tcW w:w="260" w:type="pct"/>
            <w:shd w:val="clear" w:color="auto" w:fill="auto"/>
            <w:noWrap/>
            <w:vAlign w:val="center"/>
          </w:tcPr>
          <w:p w14:paraId="45461E6E">
            <w:pPr>
              <w:pStyle w:val="23"/>
              <w:jc w:val="center"/>
              <w:rPr>
                <w:rFonts w:ascii="宋体" w:hAnsi="宋体"/>
                <w:kern w:val="0"/>
                <w:sz w:val="18"/>
                <w:szCs w:val="21"/>
              </w:rPr>
            </w:pPr>
            <w:r>
              <w:rPr>
                <w:rFonts w:ascii="宋体" w:hAnsi="宋体"/>
                <w:kern w:val="0"/>
                <w:sz w:val="18"/>
                <w:szCs w:val="21"/>
              </w:rPr>
              <w:t>2</w:t>
            </w:r>
          </w:p>
        </w:tc>
        <w:tc>
          <w:tcPr>
            <w:tcW w:w="260" w:type="pct"/>
            <w:shd w:val="clear" w:color="auto" w:fill="auto"/>
            <w:noWrap/>
            <w:vAlign w:val="center"/>
          </w:tcPr>
          <w:p w14:paraId="358F100E">
            <w:pPr>
              <w:pStyle w:val="23"/>
              <w:jc w:val="center"/>
              <w:rPr>
                <w:rFonts w:ascii="宋体" w:hAnsi="宋体"/>
                <w:kern w:val="0"/>
                <w:sz w:val="18"/>
                <w:szCs w:val="21"/>
              </w:rPr>
            </w:pPr>
            <w:r>
              <w:rPr>
                <w:rFonts w:ascii="宋体" w:hAnsi="宋体"/>
                <w:kern w:val="0"/>
                <w:sz w:val="18"/>
                <w:szCs w:val="21"/>
              </w:rPr>
              <w:t>2</w:t>
            </w:r>
          </w:p>
        </w:tc>
        <w:tc>
          <w:tcPr>
            <w:tcW w:w="260" w:type="pct"/>
            <w:shd w:val="clear" w:color="auto" w:fill="auto"/>
            <w:noWrap/>
            <w:vAlign w:val="center"/>
          </w:tcPr>
          <w:p w14:paraId="56933593">
            <w:pPr>
              <w:pStyle w:val="23"/>
              <w:jc w:val="center"/>
              <w:rPr>
                <w:rFonts w:ascii="宋体" w:hAnsi="宋体"/>
                <w:kern w:val="0"/>
                <w:sz w:val="18"/>
                <w:szCs w:val="21"/>
              </w:rPr>
            </w:pPr>
            <w:r>
              <w:rPr>
                <w:rFonts w:ascii="宋体" w:hAnsi="宋体"/>
                <w:kern w:val="0"/>
                <w:sz w:val="18"/>
                <w:szCs w:val="21"/>
              </w:rPr>
              <w:t>2</w:t>
            </w:r>
          </w:p>
        </w:tc>
        <w:tc>
          <w:tcPr>
            <w:tcW w:w="259" w:type="pct"/>
            <w:shd w:val="clear" w:color="auto" w:fill="auto"/>
            <w:noWrap/>
            <w:vAlign w:val="center"/>
          </w:tcPr>
          <w:p w14:paraId="6149A6B9">
            <w:pPr>
              <w:pStyle w:val="23"/>
              <w:jc w:val="center"/>
              <w:rPr>
                <w:rFonts w:ascii="宋体" w:hAnsi="宋体"/>
                <w:kern w:val="0"/>
                <w:sz w:val="18"/>
                <w:szCs w:val="21"/>
              </w:rPr>
            </w:pPr>
            <w:r>
              <w:rPr>
                <w:rFonts w:ascii="宋体" w:hAnsi="宋体"/>
                <w:kern w:val="0"/>
                <w:sz w:val="18"/>
                <w:szCs w:val="21"/>
              </w:rPr>
              <w:t>2</w:t>
            </w:r>
          </w:p>
        </w:tc>
        <w:tc>
          <w:tcPr>
            <w:tcW w:w="285" w:type="pct"/>
            <w:shd w:val="clear" w:color="auto" w:fill="auto"/>
            <w:noWrap/>
            <w:vAlign w:val="center"/>
          </w:tcPr>
          <w:p w14:paraId="57E80BF3">
            <w:pPr>
              <w:pStyle w:val="23"/>
              <w:jc w:val="center"/>
              <w:rPr>
                <w:rFonts w:ascii="宋体" w:hAnsi="宋体"/>
                <w:kern w:val="0"/>
                <w:sz w:val="18"/>
                <w:szCs w:val="21"/>
              </w:rPr>
            </w:pPr>
            <w:r>
              <w:rPr>
                <w:rFonts w:ascii="宋体" w:hAnsi="宋体"/>
                <w:kern w:val="0"/>
                <w:sz w:val="18"/>
                <w:szCs w:val="21"/>
              </w:rPr>
              <w:t>2</w:t>
            </w:r>
          </w:p>
        </w:tc>
        <w:tc>
          <w:tcPr>
            <w:tcW w:w="298" w:type="pct"/>
            <w:shd w:val="clear" w:color="auto" w:fill="auto"/>
            <w:noWrap/>
            <w:vAlign w:val="center"/>
          </w:tcPr>
          <w:p w14:paraId="71A7E043">
            <w:pPr>
              <w:pStyle w:val="23"/>
              <w:jc w:val="center"/>
              <w:rPr>
                <w:rFonts w:ascii="宋体" w:hAnsi="宋体"/>
                <w:kern w:val="0"/>
                <w:sz w:val="18"/>
                <w:szCs w:val="21"/>
              </w:rPr>
            </w:pPr>
            <w:r>
              <w:rPr>
                <w:rFonts w:ascii="宋体" w:hAnsi="宋体"/>
                <w:kern w:val="0"/>
                <w:sz w:val="18"/>
                <w:szCs w:val="21"/>
              </w:rPr>
              <w:t>12</w:t>
            </w:r>
          </w:p>
        </w:tc>
        <w:tc>
          <w:tcPr>
            <w:tcW w:w="260" w:type="pct"/>
            <w:shd w:val="clear" w:color="auto" w:fill="auto"/>
            <w:noWrap/>
            <w:vAlign w:val="center"/>
          </w:tcPr>
          <w:p w14:paraId="519C92DD">
            <w:pPr>
              <w:pStyle w:val="23"/>
              <w:jc w:val="center"/>
              <w:rPr>
                <w:rFonts w:ascii="宋体" w:hAnsi="宋体"/>
                <w:kern w:val="0"/>
                <w:sz w:val="18"/>
                <w:szCs w:val="21"/>
              </w:rPr>
            </w:pPr>
            <w:r>
              <w:rPr>
                <w:rFonts w:ascii="宋体" w:hAnsi="宋体"/>
                <w:kern w:val="0"/>
                <w:sz w:val="18"/>
                <w:szCs w:val="21"/>
              </w:rPr>
              <w:t>12</w:t>
            </w:r>
          </w:p>
        </w:tc>
      </w:tr>
      <w:tr w14:paraId="6644394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411" w:type="pct"/>
            <w:vMerge w:val="restart"/>
            <w:shd w:val="clear" w:color="auto" w:fill="auto"/>
            <w:noWrap/>
            <w:vAlign w:val="center"/>
          </w:tcPr>
          <w:p w14:paraId="62CA8EA4">
            <w:pPr>
              <w:pStyle w:val="23"/>
              <w:jc w:val="center"/>
              <w:rPr>
                <w:rFonts w:ascii="宋体" w:hAnsi="宋体"/>
                <w:kern w:val="0"/>
                <w:sz w:val="18"/>
                <w:szCs w:val="21"/>
              </w:rPr>
            </w:pPr>
          </w:p>
        </w:tc>
        <w:tc>
          <w:tcPr>
            <w:tcW w:w="335" w:type="pct"/>
            <w:shd w:val="clear" w:color="auto" w:fill="auto"/>
            <w:noWrap/>
            <w:vAlign w:val="center"/>
          </w:tcPr>
          <w:p w14:paraId="03A238F3">
            <w:pPr>
              <w:pStyle w:val="23"/>
              <w:jc w:val="center"/>
              <w:rPr>
                <w:rFonts w:ascii="宋体" w:hAnsi="宋体"/>
                <w:kern w:val="0"/>
                <w:sz w:val="18"/>
                <w:szCs w:val="21"/>
              </w:rPr>
            </w:pPr>
            <w:r>
              <w:rPr>
                <w:rFonts w:ascii="宋体" w:hAnsi="宋体"/>
                <w:kern w:val="0"/>
                <w:sz w:val="18"/>
                <w:szCs w:val="21"/>
              </w:rPr>
              <w:t>最大值</w:t>
            </w:r>
          </w:p>
        </w:tc>
        <w:tc>
          <w:tcPr>
            <w:tcW w:w="285" w:type="pct"/>
            <w:shd w:val="clear" w:color="auto" w:fill="auto"/>
            <w:noWrap/>
            <w:vAlign w:val="center"/>
          </w:tcPr>
          <w:p w14:paraId="49B428C6">
            <w:pPr>
              <w:pStyle w:val="23"/>
              <w:jc w:val="center"/>
              <w:rPr>
                <w:rFonts w:ascii="宋体" w:hAnsi="宋体"/>
                <w:kern w:val="0"/>
                <w:sz w:val="18"/>
                <w:szCs w:val="21"/>
              </w:rPr>
            </w:pPr>
            <w:r>
              <w:rPr>
                <w:rFonts w:ascii="宋体" w:hAnsi="宋体"/>
                <w:kern w:val="0"/>
                <w:sz w:val="18"/>
                <w:szCs w:val="21"/>
              </w:rPr>
              <w:t>0.01(L)</w:t>
            </w:r>
          </w:p>
        </w:tc>
        <w:tc>
          <w:tcPr>
            <w:tcW w:w="310" w:type="pct"/>
            <w:shd w:val="clear" w:color="auto" w:fill="auto"/>
            <w:noWrap/>
            <w:vAlign w:val="center"/>
          </w:tcPr>
          <w:p w14:paraId="652C93D8">
            <w:pPr>
              <w:pStyle w:val="23"/>
              <w:jc w:val="center"/>
              <w:rPr>
                <w:rFonts w:ascii="宋体" w:hAnsi="宋体"/>
                <w:kern w:val="0"/>
                <w:sz w:val="18"/>
                <w:szCs w:val="21"/>
              </w:rPr>
            </w:pPr>
            <w:r>
              <w:rPr>
                <w:rFonts w:ascii="宋体" w:hAnsi="宋体"/>
                <w:kern w:val="0"/>
                <w:sz w:val="18"/>
                <w:szCs w:val="21"/>
              </w:rPr>
              <w:t>0.004()</w:t>
            </w:r>
          </w:p>
        </w:tc>
        <w:tc>
          <w:tcPr>
            <w:tcW w:w="310" w:type="pct"/>
            <w:shd w:val="clear" w:color="auto" w:fill="auto"/>
            <w:noWrap/>
            <w:vAlign w:val="center"/>
          </w:tcPr>
          <w:p w14:paraId="7CE1161E">
            <w:pPr>
              <w:pStyle w:val="23"/>
              <w:jc w:val="center"/>
              <w:rPr>
                <w:rFonts w:ascii="宋体" w:hAnsi="宋体"/>
                <w:kern w:val="0"/>
                <w:sz w:val="18"/>
                <w:szCs w:val="21"/>
              </w:rPr>
            </w:pPr>
            <w:r>
              <w:rPr>
                <w:rFonts w:ascii="宋体" w:hAnsi="宋体"/>
                <w:kern w:val="0"/>
                <w:sz w:val="18"/>
                <w:szCs w:val="21"/>
              </w:rPr>
              <w:t>0.002(L)</w:t>
            </w:r>
          </w:p>
        </w:tc>
        <w:tc>
          <w:tcPr>
            <w:tcW w:w="285" w:type="pct"/>
            <w:shd w:val="clear" w:color="auto" w:fill="auto"/>
            <w:noWrap/>
            <w:vAlign w:val="center"/>
          </w:tcPr>
          <w:p w14:paraId="188EDFA9">
            <w:pPr>
              <w:pStyle w:val="23"/>
              <w:jc w:val="center"/>
              <w:rPr>
                <w:rFonts w:ascii="宋体" w:hAnsi="宋体"/>
                <w:kern w:val="0"/>
                <w:sz w:val="18"/>
                <w:szCs w:val="21"/>
              </w:rPr>
            </w:pPr>
            <w:r>
              <w:rPr>
                <w:rFonts w:ascii="宋体" w:hAnsi="宋体"/>
                <w:kern w:val="0"/>
                <w:sz w:val="18"/>
                <w:szCs w:val="21"/>
              </w:rPr>
              <w:t>0.04()</w:t>
            </w:r>
          </w:p>
        </w:tc>
        <w:tc>
          <w:tcPr>
            <w:tcW w:w="513" w:type="pct"/>
            <w:shd w:val="clear" w:color="auto" w:fill="auto"/>
            <w:noWrap/>
            <w:vAlign w:val="center"/>
          </w:tcPr>
          <w:p w14:paraId="32224D45">
            <w:pPr>
              <w:pStyle w:val="23"/>
              <w:jc w:val="center"/>
              <w:rPr>
                <w:rFonts w:ascii="宋体" w:hAnsi="宋体"/>
                <w:kern w:val="0"/>
                <w:sz w:val="18"/>
                <w:szCs w:val="21"/>
              </w:rPr>
            </w:pPr>
            <w:r>
              <w:rPr>
                <w:rFonts w:ascii="宋体" w:hAnsi="宋体"/>
                <w:kern w:val="0"/>
                <w:sz w:val="18"/>
                <w:szCs w:val="21"/>
              </w:rPr>
              <w:t>0.05()</w:t>
            </w:r>
          </w:p>
        </w:tc>
        <w:tc>
          <w:tcPr>
            <w:tcW w:w="310" w:type="pct"/>
            <w:shd w:val="clear" w:color="auto" w:fill="auto"/>
            <w:noWrap/>
            <w:vAlign w:val="center"/>
          </w:tcPr>
          <w:p w14:paraId="316CB25F">
            <w:pPr>
              <w:pStyle w:val="23"/>
              <w:jc w:val="center"/>
              <w:rPr>
                <w:rFonts w:ascii="宋体" w:hAnsi="宋体"/>
                <w:kern w:val="0"/>
                <w:sz w:val="18"/>
                <w:szCs w:val="21"/>
              </w:rPr>
            </w:pPr>
            <w:r>
              <w:rPr>
                <w:rFonts w:ascii="宋体" w:hAnsi="宋体"/>
                <w:kern w:val="0"/>
                <w:sz w:val="18"/>
                <w:szCs w:val="21"/>
              </w:rPr>
              <w:t>0.005(L)</w:t>
            </w:r>
          </w:p>
        </w:tc>
        <w:tc>
          <w:tcPr>
            <w:tcW w:w="361" w:type="pct"/>
            <w:shd w:val="clear" w:color="auto" w:fill="auto"/>
            <w:noWrap/>
            <w:vAlign w:val="center"/>
          </w:tcPr>
          <w:p w14:paraId="05C7572B">
            <w:pPr>
              <w:pStyle w:val="23"/>
              <w:jc w:val="center"/>
              <w:rPr>
                <w:rFonts w:ascii="宋体" w:hAnsi="宋体"/>
                <w:kern w:val="0"/>
                <w:sz w:val="18"/>
                <w:szCs w:val="21"/>
              </w:rPr>
            </w:pPr>
            <w:r>
              <w:rPr>
                <w:rFonts w:ascii="宋体" w:hAnsi="宋体"/>
                <w:kern w:val="0"/>
                <w:sz w:val="18"/>
                <w:szCs w:val="21"/>
              </w:rPr>
              <w:t>5400</w:t>
            </w:r>
          </w:p>
        </w:tc>
        <w:tc>
          <w:tcPr>
            <w:tcW w:w="260" w:type="pct"/>
            <w:shd w:val="clear" w:color="auto" w:fill="auto"/>
            <w:noWrap/>
            <w:vAlign w:val="center"/>
          </w:tcPr>
          <w:p w14:paraId="30B63261">
            <w:pPr>
              <w:pStyle w:val="23"/>
              <w:jc w:val="center"/>
              <w:rPr>
                <w:rFonts w:ascii="宋体" w:hAnsi="宋体"/>
                <w:kern w:val="0"/>
                <w:sz w:val="18"/>
                <w:szCs w:val="21"/>
              </w:rPr>
            </w:pPr>
            <w:r>
              <w:rPr>
                <w:rFonts w:ascii="宋体" w:hAnsi="宋体"/>
                <w:kern w:val="0"/>
                <w:sz w:val="18"/>
                <w:szCs w:val="21"/>
              </w:rPr>
              <w:t>44</w:t>
            </w:r>
          </w:p>
        </w:tc>
        <w:tc>
          <w:tcPr>
            <w:tcW w:w="260" w:type="pct"/>
            <w:shd w:val="clear" w:color="auto" w:fill="auto"/>
            <w:noWrap/>
            <w:vAlign w:val="center"/>
          </w:tcPr>
          <w:p w14:paraId="3B59057B">
            <w:pPr>
              <w:pStyle w:val="23"/>
              <w:jc w:val="center"/>
              <w:rPr>
                <w:rFonts w:ascii="宋体" w:hAnsi="宋体"/>
                <w:kern w:val="0"/>
                <w:sz w:val="18"/>
                <w:szCs w:val="21"/>
              </w:rPr>
            </w:pPr>
            <w:r>
              <w:rPr>
                <w:rFonts w:ascii="宋体" w:hAnsi="宋体"/>
                <w:kern w:val="0"/>
                <w:sz w:val="18"/>
                <w:szCs w:val="21"/>
              </w:rPr>
              <w:t>0.96</w:t>
            </w:r>
          </w:p>
        </w:tc>
        <w:tc>
          <w:tcPr>
            <w:tcW w:w="260" w:type="pct"/>
            <w:shd w:val="clear" w:color="auto" w:fill="auto"/>
            <w:noWrap/>
            <w:vAlign w:val="center"/>
          </w:tcPr>
          <w:p w14:paraId="5CE99D79">
            <w:pPr>
              <w:pStyle w:val="23"/>
              <w:jc w:val="center"/>
              <w:rPr>
                <w:rFonts w:ascii="宋体" w:hAnsi="宋体"/>
                <w:kern w:val="0"/>
                <w:sz w:val="18"/>
                <w:szCs w:val="21"/>
              </w:rPr>
            </w:pPr>
            <w:r>
              <w:rPr>
                <w:rFonts w:ascii="宋体" w:hAnsi="宋体"/>
                <w:kern w:val="0"/>
                <w:sz w:val="18"/>
                <w:szCs w:val="21"/>
              </w:rPr>
              <w:t>0.49</w:t>
            </w:r>
          </w:p>
        </w:tc>
        <w:tc>
          <w:tcPr>
            <w:tcW w:w="259" w:type="pct"/>
            <w:shd w:val="clear" w:color="auto" w:fill="auto"/>
            <w:noWrap/>
            <w:vAlign w:val="center"/>
          </w:tcPr>
          <w:p w14:paraId="64B3E66B">
            <w:pPr>
              <w:pStyle w:val="23"/>
              <w:jc w:val="center"/>
              <w:rPr>
                <w:rFonts w:ascii="宋体" w:hAnsi="宋体"/>
                <w:kern w:val="0"/>
                <w:sz w:val="18"/>
                <w:szCs w:val="21"/>
              </w:rPr>
            </w:pPr>
            <w:r>
              <w:rPr>
                <w:rFonts w:ascii="宋体" w:hAnsi="宋体"/>
                <w:kern w:val="0"/>
                <w:sz w:val="18"/>
                <w:szCs w:val="21"/>
              </w:rPr>
              <w:t>0.088</w:t>
            </w:r>
          </w:p>
        </w:tc>
        <w:tc>
          <w:tcPr>
            <w:tcW w:w="285" w:type="pct"/>
            <w:shd w:val="clear" w:color="auto" w:fill="auto"/>
            <w:noWrap/>
            <w:vAlign w:val="center"/>
          </w:tcPr>
          <w:p w14:paraId="43AAB8DE">
            <w:pPr>
              <w:pStyle w:val="23"/>
              <w:jc w:val="center"/>
              <w:rPr>
                <w:rFonts w:ascii="宋体" w:hAnsi="宋体"/>
                <w:kern w:val="0"/>
                <w:sz w:val="18"/>
                <w:szCs w:val="21"/>
              </w:rPr>
            </w:pPr>
            <w:r>
              <w:rPr>
                <w:rFonts w:ascii="宋体" w:hAnsi="宋体"/>
                <w:kern w:val="0"/>
                <w:sz w:val="18"/>
                <w:szCs w:val="21"/>
              </w:rPr>
              <w:t>0.06(</w:t>
            </w:r>
          </w:p>
        </w:tc>
        <w:tc>
          <w:tcPr>
            <w:tcW w:w="298" w:type="pct"/>
            <w:shd w:val="clear" w:color="auto" w:fill="auto"/>
            <w:noWrap/>
            <w:vAlign w:val="center"/>
          </w:tcPr>
          <w:p w14:paraId="072C135F">
            <w:pPr>
              <w:pStyle w:val="23"/>
              <w:jc w:val="center"/>
              <w:rPr>
                <w:rFonts w:ascii="宋体" w:hAnsi="宋体"/>
                <w:kern w:val="0"/>
                <w:sz w:val="18"/>
                <w:szCs w:val="21"/>
              </w:rPr>
            </w:pPr>
            <w:r>
              <w:rPr>
                <w:rFonts w:ascii="宋体" w:hAnsi="宋体"/>
                <w:kern w:val="0"/>
                <w:sz w:val="18"/>
                <w:szCs w:val="21"/>
              </w:rPr>
              <w:t>14.18</w:t>
            </w:r>
          </w:p>
        </w:tc>
        <w:tc>
          <w:tcPr>
            <w:tcW w:w="260" w:type="pct"/>
            <w:shd w:val="clear" w:color="auto" w:fill="auto"/>
            <w:noWrap/>
            <w:vAlign w:val="center"/>
          </w:tcPr>
          <w:p w14:paraId="74D25679">
            <w:pPr>
              <w:pStyle w:val="23"/>
              <w:jc w:val="center"/>
              <w:rPr>
                <w:rFonts w:ascii="宋体" w:hAnsi="宋体"/>
                <w:kern w:val="0"/>
                <w:sz w:val="18"/>
                <w:szCs w:val="21"/>
              </w:rPr>
            </w:pPr>
            <w:r>
              <w:rPr>
                <w:rFonts w:ascii="宋体" w:hAnsi="宋体"/>
                <w:kern w:val="0"/>
                <w:sz w:val="18"/>
                <w:szCs w:val="21"/>
              </w:rPr>
              <w:t>1.7</w:t>
            </w:r>
          </w:p>
        </w:tc>
      </w:tr>
      <w:tr w14:paraId="4632F6E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411" w:type="pct"/>
            <w:vMerge w:val="continue"/>
            <w:vAlign w:val="center"/>
          </w:tcPr>
          <w:p w14:paraId="454CDD71">
            <w:pPr>
              <w:pStyle w:val="23"/>
              <w:jc w:val="center"/>
              <w:rPr>
                <w:rFonts w:ascii="宋体" w:hAnsi="宋体"/>
                <w:kern w:val="0"/>
                <w:sz w:val="18"/>
                <w:szCs w:val="21"/>
              </w:rPr>
            </w:pPr>
          </w:p>
        </w:tc>
        <w:tc>
          <w:tcPr>
            <w:tcW w:w="335" w:type="pct"/>
            <w:shd w:val="clear" w:color="auto" w:fill="auto"/>
            <w:noWrap/>
            <w:vAlign w:val="center"/>
          </w:tcPr>
          <w:p w14:paraId="633AEB70">
            <w:pPr>
              <w:pStyle w:val="23"/>
              <w:jc w:val="center"/>
              <w:rPr>
                <w:rFonts w:ascii="宋体" w:hAnsi="宋体"/>
                <w:kern w:val="0"/>
                <w:sz w:val="18"/>
                <w:szCs w:val="21"/>
              </w:rPr>
            </w:pPr>
            <w:r>
              <w:rPr>
                <w:rFonts w:ascii="宋体" w:hAnsi="宋体"/>
                <w:kern w:val="0"/>
                <w:sz w:val="18"/>
                <w:szCs w:val="21"/>
              </w:rPr>
              <w:t>最小值</w:t>
            </w:r>
          </w:p>
        </w:tc>
        <w:tc>
          <w:tcPr>
            <w:tcW w:w="285" w:type="pct"/>
            <w:shd w:val="clear" w:color="auto" w:fill="auto"/>
            <w:noWrap/>
            <w:vAlign w:val="center"/>
          </w:tcPr>
          <w:p w14:paraId="0EAA74FE">
            <w:pPr>
              <w:pStyle w:val="23"/>
              <w:jc w:val="center"/>
              <w:rPr>
                <w:rFonts w:ascii="宋体" w:hAnsi="宋体"/>
                <w:kern w:val="0"/>
                <w:sz w:val="18"/>
                <w:szCs w:val="21"/>
              </w:rPr>
            </w:pPr>
            <w:r>
              <w:rPr>
                <w:rFonts w:ascii="宋体" w:hAnsi="宋体"/>
                <w:kern w:val="0"/>
                <w:sz w:val="18"/>
                <w:szCs w:val="21"/>
              </w:rPr>
              <w:t>0.01(</w:t>
            </w:r>
          </w:p>
        </w:tc>
        <w:tc>
          <w:tcPr>
            <w:tcW w:w="310" w:type="pct"/>
            <w:shd w:val="clear" w:color="auto" w:fill="auto"/>
            <w:noWrap/>
            <w:vAlign w:val="center"/>
          </w:tcPr>
          <w:p w14:paraId="1EE298C3">
            <w:pPr>
              <w:pStyle w:val="23"/>
              <w:jc w:val="center"/>
              <w:rPr>
                <w:rFonts w:ascii="宋体" w:hAnsi="宋体"/>
                <w:kern w:val="0"/>
                <w:sz w:val="18"/>
                <w:szCs w:val="21"/>
              </w:rPr>
            </w:pPr>
            <w:r>
              <w:rPr>
                <w:rFonts w:ascii="宋体" w:hAnsi="宋体"/>
                <w:kern w:val="0"/>
                <w:sz w:val="18"/>
                <w:szCs w:val="21"/>
              </w:rPr>
              <w:t>0.004)</w:t>
            </w:r>
          </w:p>
        </w:tc>
        <w:tc>
          <w:tcPr>
            <w:tcW w:w="310" w:type="pct"/>
            <w:shd w:val="clear" w:color="auto" w:fill="auto"/>
            <w:noWrap/>
            <w:vAlign w:val="center"/>
          </w:tcPr>
          <w:p w14:paraId="50BCFAE4">
            <w:pPr>
              <w:pStyle w:val="23"/>
              <w:jc w:val="center"/>
              <w:rPr>
                <w:rFonts w:ascii="宋体" w:hAnsi="宋体"/>
                <w:kern w:val="0"/>
                <w:sz w:val="18"/>
                <w:szCs w:val="21"/>
              </w:rPr>
            </w:pPr>
            <w:r>
              <w:rPr>
                <w:rFonts w:ascii="宋体" w:hAnsi="宋体"/>
                <w:kern w:val="0"/>
                <w:sz w:val="18"/>
                <w:szCs w:val="21"/>
              </w:rPr>
              <w:t>0.002L)</w:t>
            </w:r>
          </w:p>
        </w:tc>
        <w:tc>
          <w:tcPr>
            <w:tcW w:w="285" w:type="pct"/>
            <w:shd w:val="clear" w:color="auto" w:fill="auto"/>
            <w:noWrap/>
            <w:vAlign w:val="center"/>
          </w:tcPr>
          <w:p w14:paraId="49447E2A">
            <w:pPr>
              <w:pStyle w:val="23"/>
              <w:jc w:val="center"/>
              <w:rPr>
                <w:rFonts w:ascii="宋体" w:hAnsi="宋体"/>
                <w:kern w:val="0"/>
                <w:sz w:val="18"/>
                <w:szCs w:val="21"/>
              </w:rPr>
            </w:pPr>
            <w:r>
              <w:rPr>
                <w:rFonts w:ascii="宋体" w:hAnsi="宋体"/>
                <w:kern w:val="0"/>
                <w:sz w:val="18"/>
                <w:szCs w:val="21"/>
              </w:rPr>
              <w:t>0.04(L)</w:t>
            </w:r>
          </w:p>
        </w:tc>
        <w:tc>
          <w:tcPr>
            <w:tcW w:w="513" w:type="pct"/>
            <w:shd w:val="clear" w:color="auto" w:fill="auto"/>
            <w:noWrap/>
            <w:vAlign w:val="center"/>
          </w:tcPr>
          <w:p w14:paraId="7380360F">
            <w:pPr>
              <w:pStyle w:val="23"/>
              <w:jc w:val="center"/>
              <w:rPr>
                <w:rFonts w:ascii="宋体" w:hAnsi="宋体"/>
                <w:kern w:val="0"/>
                <w:sz w:val="18"/>
                <w:szCs w:val="21"/>
              </w:rPr>
            </w:pPr>
            <w:r>
              <w:rPr>
                <w:rFonts w:ascii="宋体" w:hAnsi="宋体"/>
                <w:kern w:val="0"/>
                <w:sz w:val="18"/>
                <w:szCs w:val="21"/>
              </w:rPr>
              <w:t>0.05(L)</w:t>
            </w:r>
          </w:p>
        </w:tc>
        <w:tc>
          <w:tcPr>
            <w:tcW w:w="310" w:type="pct"/>
            <w:shd w:val="clear" w:color="auto" w:fill="auto"/>
            <w:noWrap/>
            <w:vAlign w:val="center"/>
          </w:tcPr>
          <w:p w14:paraId="0F989216">
            <w:pPr>
              <w:pStyle w:val="23"/>
              <w:jc w:val="center"/>
              <w:rPr>
                <w:rFonts w:ascii="宋体" w:hAnsi="宋体"/>
                <w:kern w:val="0"/>
                <w:sz w:val="18"/>
                <w:szCs w:val="21"/>
              </w:rPr>
            </w:pPr>
            <w:r>
              <w:rPr>
                <w:rFonts w:ascii="宋体" w:hAnsi="宋体"/>
                <w:kern w:val="0"/>
                <w:sz w:val="18"/>
                <w:szCs w:val="21"/>
              </w:rPr>
              <w:t>0.005()</w:t>
            </w:r>
          </w:p>
        </w:tc>
        <w:tc>
          <w:tcPr>
            <w:tcW w:w="361" w:type="pct"/>
            <w:shd w:val="clear" w:color="auto" w:fill="auto"/>
            <w:noWrap/>
            <w:vAlign w:val="center"/>
          </w:tcPr>
          <w:p w14:paraId="28781B91">
            <w:pPr>
              <w:pStyle w:val="23"/>
              <w:jc w:val="center"/>
              <w:rPr>
                <w:rFonts w:ascii="宋体" w:hAnsi="宋体"/>
                <w:kern w:val="0"/>
                <w:sz w:val="18"/>
                <w:szCs w:val="21"/>
              </w:rPr>
            </w:pPr>
            <w:r>
              <w:rPr>
                <w:rFonts w:ascii="宋体" w:hAnsi="宋体"/>
                <w:kern w:val="0"/>
                <w:sz w:val="18"/>
                <w:szCs w:val="21"/>
              </w:rPr>
              <w:t>790</w:t>
            </w:r>
          </w:p>
        </w:tc>
        <w:tc>
          <w:tcPr>
            <w:tcW w:w="260" w:type="pct"/>
            <w:shd w:val="clear" w:color="auto" w:fill="auto"/>
            <w:noWrap/>
            <w:vAlign w:val="center"/>
          </w:tcPr>
          <w:p w14:paraId="0135EE50">
            <w:pPr>
              <w:pStyle w:val="23"/>
              <w:jc w:val="center"/>
              <w:rPr>
                <w:rFonts w:ascii="宋体" w:hAnsi="宋体"/>
                <w:kern w:val="0"/>
                <w:sz w:val="18"/>
                <w:szCs w:val="21"/>
              </w:rPr>
            </w:pPr>
            <w:r>
              <w:rPr>
                <w:rFonts w:ascii="宋体" w:hAnsi="宋体"/>
                <w:kern w:val="0"/>
                <w:sz w:val="18"/>
                <w:szCs w:val="21"/>
              </w:rPr>
              <w:t>4.0</w:t>
            </w:r>
          </w:p>
        </w:tc>
        <w:tc>
          <w:tcPr>
            <w:tcW w:w="260" w:type="pct"/>
            <w:shd w:val="clear" w:color="auto" w:fill="auto"/>
            <w:noWrap/>
            <w:vAlign w:val="center"/>
          </w:tcPr>
          <w:p w14:paraId="429799C2">
            <w:pPr>
              <w:pStyle w:val="23"/>
              <w:jc w:val="center"/>
              <w:rPr>
                <w:rFonts w:ascii="宋体" w:hAnsi="宋体"/>
                <w:kern w:val="0"/>
                <w:sz w:val="18"/>
                <w:szCs w:val="21"/>
              </w:rPr>
            </w:pPr>
            <w:r>
              <w:rPr>
                <w:rFonts w:ascii="宋体" w:hAnsi="宋体"/>
                <w:kern w:val="0"/>
                <w:sz w:val="18"/>
                <w:szCs w:val="21"/>
              </w:rPr>
              <w:t>0.88</w:t>
            </w:r>
          </w:p>
        </w:tc>
        <w:tc>
          <w:tcPr>
            <w:tcW w:w="260" w:type="pct"/>
            <w:shd w:val="clear" w:color="auto" w:fill="auto"/>
            <w:noWrap/>
            <w:vAlign w:val="center"/>
          </w:tcPr>
          <w:p w14:paraId="6B8472CF">
            <w:pPr>
              <w:pStyle w:val="23"/>
              <w:jc w:val="center"/>
              <w:rPr>
                <w:rFonts w:ascii="宋体" w:hAnsi="宋体"/>
                <w:kern w:val="0"/>
                <w:sz w:val="18"/>
                <w:szCs w:val="21"/>
              </w:rPr>
            </w:pPr>
            <w:r>
              <w:rPr>
                <w:rFonts w:ascii="宋体" w:hAnsi="宋体"/>
                <w:kern w:val="0"/>
                <w:sz w:val="18"/>
                <w:szCs w:val="21"/>
              </w:rPr>
              <w:t>0.440</w:t>
            </w:r>
          </w:p>
        </w:tc>
        <w:tc>
          <w:tcPr>
            <w:tcW w:w="259" w:type="pct"/>
            <w:shd w:val="clear" w:color="auto" w:fill="auto"/>
            <w:noWrap/>
            <w:vAlign w:val="center"/>
          </w:tcPr>
          <w:p w14:paraId="5553FBF5">
            <w:pPr>
              <w:pStyle w:val="23"/>
              <w:jc w:val="center"/>
              <w:rPr>
                <w:rFonts w:ascii="宋体" w:hAnsi="宋体"/>
                <w:kern w:val="0"/>
                <w:sz w:val="18"/>
                <w:szCs w:val="21"/>
              </w:rPr>
            </w:pPr>
            <w:r>
              <w:rPr>
                <w:rFonts w:ascii="宋体" w:hAnsi="宋体"/>
                <w:kern w:val="0"/>
                <w:sz w:val="18"/>
                <w:szCs w:val="21"/>
              </w:rPr>
              <w:t>.006</w:t>
            </w:r>
          </w:p>
        </w:tc>
        <w:tc>
          <w:tcPr>
            <w:tcW w:w="285" w:type="pct"/>
            <w:shd w:val="clear" w:color="auto" w:fill="auto"/>
            <w:noWrap/>
            <w:vAlign w:val="center"/>
          </w:tcPr>
          <w:p w14:paraId="586DDB81">
            <w:pPr>
              <w:pStyle w:val="23"/>
              <w:jc w:val="center"/>
              <w:rPr>
                <w:rFonts w:ascii="宋体" w:hAnsi="宋体"/>
                <w:kern w:val="0"/>
                <w:sz w:val="18"/>
                <w:szCs w:val="21"/>
              </w:rPr>
            </w:pPr>
            <w:r>
              <w:rPr>
                <w:rFonts w:ascii="宋体" w:hAnsi="宋体"/>
                <w:kern w:val="0"/>
                <w:sz w:val="18"/>
                <w:szCs w:val="21"/>
              </w:rPr>
              <w:t>0.06(</w:t>
            </w:r>
          </w:p>
        </w:tc>
        <w:tc>
          <w:tcPr>
            <w:tcW w:w="298" w:type="pct"/>
            <w:shd w:val="clear" w:color="auto" w:fill="auto"/>
            <w:noWrap/>
            <w:vAlign w:val="center"/>
          </w:tcPr>
          <w:p w14:paraId="27AD48C0">
            <w:pPr>
              <w:pStyle w:val="23"/>
              <w:jc w:val="center"/>
              <w:rPr>
                <w:rFonts w:ascii="宋体" w:hAnsi="宋体"/>
                <w:kern w:val="0"/>
                <w:sz w:val="18"/>
                <w:szCs w:val="21"/>
              </w:rPr>
            </w:pPr>
            <w:r>
              <w:rPr>
                <w:rFonts w:ascii="宋体" w:hAnsi="宋体"/>
                <w:kern w:val="0"/>
                <w:sz w:val="18"/>
                <w:szCs w:val="21"/>
              </w:rPr>
              <w:t>4.16</w:t>
            </w:r>
          </w:p>
        </w:tc>
        <w:tc>
          <w:tcPr>
            <w:tcW w:w="260" w:type="pct"/>
            <w:shd w:val="clear" w:color="auto" w:fill="auto"/>
            <w:noWrap/>
            <w:vAlign w:val="center"/>
          </w:tcPr>
          <w:p w14:paraId="06B38BEA">
            <w:pPr>
              <w:pStyle w:val="23"/>
              <w:jc w:val="center"/>
              <w:rPr>
                <w:rFonts w:ascii="宋体" w:hAnsi="宋体"/>
                <w:kern w:val="0"/>
                <w:sz w:val="18"/>
                <w:szCs w:val="21"/>
              </w:rPr>
            </w:pPr>
            <w:r>
              <w:rPr>
                <w:rFonts w:ascii="宋体" w:hAnsi="宋体"/>
                <w:kern w:val="0"/>
                <w:sz w:val="18"/>
                <w:szCs w:val="21"/>
              </w:rPr>
              <w:t>1.5</w:t>
            </w:r>
          </w:p>
        </w:tc>
      </w:tr>
      <w:tr w14:paraId="4FB47C8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411" w:type="pct"/>
            <w:vMerge w:val="continue"/>
            <w:vAlign w:val="center"/>
          </w:tcPr>
          <w:p w14:paraId="52503876">
            <w:pPr>
              <w:pStyle w:val="23"/>
              <w:jc w:val="center"/>
              <w:rPr>
                <w:rFonts w:ascii="宋体" w:hAnsi="宋体"/>
                <w:kern w:val="0"/>
                <w:sz w:val="18"/>
                <w:szCs w:val="21"/>
              </w:rPr>
            </w:pPr>
          </w:p>
        </w:tc>
        <w:tc>
          <w:tcPr>
            <w:tcW w:w="335" w:type="pct"/>
            <w:shd w:val="clear" w:color="auto" w:fill="auto"/>
            <w:noWrap/>
            <w:vAlign w:val="center"/>
          </w:tcPr>
          <w:p w14:paraId="77BBFCD9">
            <w:pPr>
              <w:pStyle w:val="23"/>
              <w:jc w:val="center"/>
              <w:rPr>
                <w:rFonts w:ascii="宋体" w:hAnsi="宋体"/>
                <w:kern w:val="0"/>
                <w:sz w:val="18"/>
                <w:szCs w:val="21"/>
              </w:rPr>
            </w:pPr>
            <w:r>
              <w:rPr>
                <w:rFonts w:ascii="宋体" w:hAnsi="宋体"/>
                <w:kern w:val="0"/>
                <w:sz w:val="18"/>
                <w:szCs w:val="21"/>
              </w:rPr>
              <w:t>平均值</w:t>
            </w:r>
          </w:p>
        </w:tc>
        <w:tc>
          <w:tcPr>
            <w:tcW w:w="285" w:type="pct"/>
            <w:shd w:val="clear" w:color="auto" w:fill="auto"/>
            <w:noWrap/>
            <w:vAlign w:val="center"/>
          </w:tcPr>
          <w:p w14:paraId="0C3E55DA">
            <w:pPr>
              <w:pStyle w:val="23"/>
              <w:jc w:val="center"/>
              <w:rPr>
                <w:rFonts w:ascii="宋体" w:hAnsi="宋体"/>
                <w:kern w:val="0"/>
                <w:sz w:val="18"/>
                <w:szCs w:val="21"/>
              </w:rPr>
            </w:pPr>
            <w:r>
              <w:rPr>
                <w:rFonts w:ascii="宋体" w:hAnsi="宋体"/>
                <w:kern w:val="0"/>
                <w:sz w:val="18"/>
                <w:szCs w:val="21"/>
              </w:rPr>
              <w:t>0.01(</w:t>
            </w:r>
          </w:p>
        </w:tc>
        <w:tc>
          <w:tcPr>
            <w:tcW w:w="310" w:type="pct"/>
            <w:shd w:val="clear" w:color="auto" w:fill="auto"/>
            <w:noWrap/>
            <w:vAlign w:val="center"/>
          </w:tcPr>
          <w:p w14:paraId="03ABA95A">
            <w:pPr>
              <w:pStyle w:val="23"/>
              <w:jc w:val="center"/>
              <w:rPr>
                <w:rFonts w:ascii="宋体" w:hAnsi="宋体"/>
                <w:kern w:val="0"/>
                <w:sz w:val="18"/>
                <w:szCs w:val="21"/>
              </w:rPr>
            </w:pPr>
            <w:r>
              <w:rPr>
                <w:rFonts w:ascii="宋体" w:hAnsi="宋体"/>
                <w:kern w:val="0"/>
                <w:sz w:val="18"/>
                <w:szCs w:val="21"/>
              </w:rPr>
              <w:t>0.004()</w:t>
            </w:r>
          </w:p>
        </w:tc>
        <w:tc>
          <w:tcPr>
            <w:tcW w:w="310" w:type="pct"/>
            <w:shd w:val="clear" w:color="auto" w:fill="auto"/>
            <w:noWrap/>
            <w:vAlign w:val="center"/>
          </w:tcPr>
          <w:p w14:paraId="4A83E0A3">
            <w:pPr>
              <w:pStyle w:val="23"/>
              <w:jc w:val="center"/>
              <w:rPr>
                <w:rFonts w:ascii="宋体" w:hAnsi="宋体"/>
                <w:kern w:val="0"/>
                <w:sz w:val="18"/>
                <w:szCs w:val="21"/>
              </w:rPr>
            </w:pPr>
            <w:r>
              <w:rPr>
                <w:rFonts w:ascii="宋体" w:hAnsi="宋体"/>
                <w:kern w:val="0"/>
                <w:sz w:val="18"/>
                <w:szCs w:val="21"/>
              </w:rPr>
              <w:t>0.002(L)</w:t>
            </w:r>
          </w:p>
        </w:tc>
        <w:tc>
          <w:tcPr>
            <w:tcW w:w="285" w:type="pct"/>
            <w:shd w:val="clear" w:color="auto" w:fill="auto"/>
            <w:noWrap/>
            <w:vAlign w:val="center"/>
          </w:tcPr>
          <w:p w14:paraId="757D8A39">
            <w:pPr>
              <w:pStyle w:val="23"/>
              <w:jc w:val="center"/>
              <w:rPr>
                <w:rFonts w:ascii="宋体" w:hAnsi="宋体"/>
                <w:kern w:val="0"/>
                <w:sz w:val="18"/>
                <w:szCs w:val="21"/>
              </w:rPr>
            </w:pPr>
            <w:r>
              <w:rPr>
                <w:rFonts w:ascii="宋体" w:hAnsi="宋体"/>
                <w:kern w:val="0"/>
                <w:sz w:val="18"/>
                <w:szCs w:val="21"/>
              </w:rPr>
              <w:t>004(L)</w:t>
            </w:r>
          </w:p>
        </w:tc>
        <w:tc>
          <w:tcPr>
            <w:tcW w:w="513" w:type="pct"/>
            <w:shd w:val="clear" w:color="auto" w:fill="auto"/>
            <w:noWrap/>
            <w:vAlign w:val="center"/>
          </w:tcPr>
          <w:p w14:paraId="74DA151E">
            <w:pPr>
              <w:pStyle w:val="23"/>
              <w:jc w:val="center"/>
              <w:rPr>
                <w:rFonts w:ascii="宋体" w:hAnsi="宋体"/>
                <w:kern w:val="0"/>
                <w:sz w:val="18"/>
                <w:szCs w:val="21"/>
              </w:rPr>
            </w:pPr>
            <w:r>
              <w:rPr>
                <w:rFonts w:ascii="宋体" w:hAnsi="宋体"/>
                <w:kern w:val="0"/>
                <w:sz w:val="18"/>
                <w:szCs w:val="21"/>
              </w:rPr>
              <w:t>0.05(L</w:t>
            </w:r>
          </w:p>
        </w:tc>
        <w:tc>
          <w:tcPr>
            <w:tcW w:w="310" w:type="pct"/>
            <w:shd w:val="clear" w:color="auto" w:fill="auto"/>
            <w:noWrap/>
            <w:vAlign w:val="center"/>
          </w:tcPr>
          <w:p w14:paraId="4BEA0F22">
            <w:pPr>
              <w:pStyle w:val="23"/>
              <w:jc w:val="center"/>
              <w:rPr>
                <w:rFonts w:ascii="宋体" w:hAnsi="宋体"/>
                <w:kern w:val="0"/>
                <w:sz w:val="18"/>
                <w:szCs w:val="21"/>
              </w:rPr>
            </w:pPr>
            <w:r>
              <w:rPr>
                <w:rFonts w:ascii="宋体" w:hAnsi="宋体"/>
                <w:kern w:val="0"/>
                <w:sz w:val="18"/>
                <w:szCs w:val="21"/>
              </w:rPr>
              <w:t>0.005()</w:t>
            </w:r>
          </w:p>
        </w:tc>
        <w:tc>
          <w:tcPr>
            <w:tcW w:w="361" w:type="pct"/>
            <w:shd w:val="clear" w:color="auto" w:fill="auto"/>
            <w:noWrap/>
            <w:vAlign w:val="center"/>
          </w:tcPr>
          <w:p w14:paraId="21208977">
            <w:pPr>
              <w:pStyle w:val="23"/>
              <w:jc w:val="center"/>
              <w:rPr>
                <w:rFonts w:ascii="宋体" w:hAnsi="宋体"/>
                <w:kern w:val="0"/>
                <w:sz w:val="18"/>
                <w:szCs w:val="21"/>
              </w:rPr>
            </w:pPr>
            <w:r>
              <w:rPr>
                <w:rFonts w:ascii="宋体" w:hAnsi="宋体"/>
                <w:kern w:val="0"/>
                <w:sz w:val="18"/>
                <w:szCs w:val="21"/>
              </w:rPr>
              <w:t>1685</w:t>
            </w:r>
          </w:p>
        </w:tc>
        <w:tc>
          <w:tcPr>
            <w:tcW w:w="260" w:type="pct"/>
            <w:shd w:val="clear" w:color="auto" w:fill="auto"/>
            <w:noWrap/>
            <w:vAlign w:val="center"/>
          </w:tcPr>
          <w:p w14:paraId="04B59DD6">
            <w:pPr>
              <w:pStyle w:val="23"/>
              <w:jc w:val="center"/>
              <w:rPr>
                <w:rFonts w:ascii="宋体" w:hAnsi="宋体"/>
                <w:kern w:val="0"/>
                <w:sz w:val="18"/>
                <w:szCs w:val="21"/>
              </w:rPr>
            </w:pPr>
            <w:r>
              <w:rPr>
                <w:rFonts w:ascii="宋体" w:hAnsi="宋体"/>
                <w:kern w:val="0"/>
                <w:sz w:val="18"/>
                <w:szCs w:val="21"/>
              </w:rPr>
              <w:t>4.2</w:t>
            </w:r>
          </w:p>
        </w:tc>
        <w:tc>
          <w:tcPr>
            <w:tcW w:w="260" w:type="pct"/>
            <w:shd w:val="clear" w:color="auto" w:fill="auto"/>
            <w:noWrap/>
            <w:vAlign w:val="center"/>
          </w:tcPr>
          <w:p w14:paraId="58806780">
            <w:pPr>
              <w:pStyle w:val="23"/>
              <w:jc w:val="center"/>
              <w:rPr>
                <w:rFonts w:ascii="宋体" w:hAnsi="宋体"/>
                <w:kern w:val="0"/>
                <w:sz w:val="18"/>
                <w:szCs w:val="21"/>
              </w:rPr>
            </w:pPr>
            <w:r>
              <w:rPr>
                <w:rFonts w:ascii="宋体" w:hAnsi="宋体"/>
                <w:kern w:val="0"/>
                <w:sz w:val="18"/>
                <w:szCs w:val="21"/>
              </w:rPr>
              <w:t>0.92</w:t>
            </w:r>
          </w:p>
        </w:tc>
        <w:tc>
          <w:tcPr>
            <w:tcW w:w="260" w:type="pct"/>
            <w:shd w:val="clear" w:color="auto" w:fill="auto"/>
            <w:noWrap/>
            <w:vAlign w:val="center"/>
          </w:tcPr>
          <w:p w14:paraId="2676DF64">
            <w:pPr>
              <w:pStyle w:val="23"/>
              <w:jc w:val="center"/>
              <w:rPr>
                <w:rFonts w:ascii="宋体" w:hAnsi="宋体"/>
                <w:kern w:val="0"/>
                <w:sz w:val="18"/>
                <w:szCs w:val="21"/>
              </w:rPr>
            </w:pPr>
            <w:r>
              <w:rPr>
                <w:rFonts w:ascii="宋体" w:hAnsi="宋体"/>
                <w:kern w:val="0"/>
                <w:sz w:val="18"/>
                <w:szCs w:val="21"/>
              </w:rPr>
              <w:t>0.47</w:t>
            </w:r>
          </w:p>
        </w:tc>
        <w:tc>
          <w:tcPr>
            <w:tcW w:w="259" w:type="pct"/>
            <w:shd w:val="clear" w:color="auto" w:fill="auto"/>
            <w:noWrap/>
            <w:vAlign w:val="center"/>
          </w:tcPr>
          <w:p w14:paraId="02429CB8">
            <w:pPr>
              <w:pStyle w:val="23"/>
              <w:jc w:val="center"/>
              <w:rPr>
                <w:rFonts w:ascii="宋体" w:hAnsi="宋体"/>
                <w:kern w:val="0"/>
                <w:sz w:val="18"/>
                <w:szCs w:val="21"/>
              </w:rPr>
            </w:pPr>
            <w:r>
              <w:rPr>
                <w:rFonts w:ascii="宋体" w:hAnsi="宋体"/>
                <w:kern w:val="0"/>
                <w:sz w:val="18"/>
                <w:szCs w:val="21"/>
              </w:rPr>
              <w:t>0.084</w:t>
            </w:r>
          </w:p>
        </w:tc>
        <w:tc>
          <w:tcPr>
            <w:tcW w:w="285" w:type="pct"/>
            <w:shd w:val="clear" w:color="auto" w:fill="auto"/>
            <w:noWrap/>
            <w:vAlign w:val="center"/>
          </w:tcPr>
          <w:p w14:paraId="3720A384">
            <w:pPr>
              <w:pStyle w:val="23"/>
              <w:jc w:val="center"/>
              <w:rPr>
                <w:rFonts w:ascii="宋体" w:hAnsi="宋体"/>
                <w:kern w:val="0"/>
                <w:sz w:val="18"/>
                <w:szCs w:val="21"/>
              </w:rPr>
            </w:pPr>
            <w:r>
              <w:rPr>
                <w:rFonts w:ascii="宋体" w:hAnsi="宋体"/>
                <w:kern w:val="0"/>
                <w:sz w:val="18"/>
                <w:szCs w:val="21"/>
              </w:rPr>
              <w:t>0.06(L)</w:t>
            </w:r>
          </w:p>
        </w:tc>
        <w:tc>
          <w:tcPr>
            <w:tcW w:w="298" w:type="pct"/>
            <w:shd w:val="clear" w:color="auto" w:fill="auto"/>
            <w:noWrap/>
            <w:vAlign w:val="center"/>
          </w:tcPr>
          <w:p w14:paraId="0A7B9184">
            <w:pPr>
              <w:pStyle w:val="23"/>
              <w:jc w:val="center"/>
              <w:rPr>
                <w:rFonts w:ascii="宋体" w:hAnsi="宋体"/>
                <w:kern w:val="0"/>
                <w:sz w:val="18"/>
                <w:szCs w:val="21"/>
              </w:rPr>
            </w:pPr>
            <w:r>
              <w:rPr>
                <w:rFonts w:ascii="宋体" w:hAnsi="宋体"/>
                <w:kern w:val="0"/>
                <w:sz w:val="18"/>
                <w:szCs w:val="21"/>
              </w:rPr>
              <w:t>7.98</w:t>
            </w:r>
          </w:p>
        </w:tc>
        <w:tc>
          <w:tcPr>
            <w:tcW w:w="260" w:type="pct"/>
            <w:shd w:val="clear" w:color="auto" w:fill="auto"/>
            <w:noWrap/>
            <w:vAlign w:val="center"/>
          </w:tcPr>
          <w:p w14:paraId="7485708E">
            <w:pPr>
              <w:pStyle w:val="23"/>
              <w:jc w:val="center"/>
              <w:rPr>
                <w:rFonts w:ascii="宋体" w:hAnsi="宋体"/>
                <w:kern w:val="0"/>
                <w:sz w:val="18"/>
                <w:szCs w:val="21"/>
              </w:rPr>
            </w:pPr>
            <w:r>
              <w:rPr>
                <w:rFonts w:ascii="宋体" w:hAnsi="宋体"/>
                <w:kern w:val="0"/>
                <w:sz w:val="18"/>
                <w:szCs w:val="21"/>
              </w:rPr>
              <w:t>1.625</w:t>
            </w:r>
          </w:p>
        </w:tc>
      </w:tr>
      <w:tr w14:paraId="502B5B5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411" w:type="pct"/>
            <w:vMerge w:val="continue"/>
            <w:vAlign w:val="center"/>
          </w:tcPr>
          <w:p w14:paraId="799AE09A">
            <w:pPr>
              <w:pStyle w:val="23"/>
              <w:jc w:val="center"/>
              <w:rPr>
                <w:rFonts w:ascii="宋体" w:hAnsi="宋体"/>
                <w:kern w:val="0"/>
                <w:sz w:val="18"/>
                <w:szCs w:val="21"/>
              </w:rPr>
            </w:pPr>
          </w:p>
        </w:tc>
        <w:tc>
          <w:tcPr>
            <w:tcW w:w="335" w:type="pct"/>
            <w:shd w:val="clear" w:color="auto" w:fill="auto"/>
            <w:noWrap/>
            <w:vAlign w:val="center"/>
          </w:tcPr>
          <w:p w14:paraId="225DE6B3">
            <w:pPr>
              <w:pStyle w:val="23"/>
              <w:jc w:val="center"/>
              <w:rPr>
                <w:rFonts w:ascii="宋体" w:hAnsi="宋体"/>
                <w:kern w:val="0"/>
                <w:sz w:val="18"/>
                <w:szCs w:val="21"/>
              </w:rPr>
            </w:pPr>
            <w:r>
              <w:rPr>
                <w:rFonts w:ascii="宋体" w:hAnsi="宋体"/>
                <w:kern w:val="0"/>
                <w:sz w:val="18"/>
                <w:szCs w:val="21"/>
              </w:rPr>
              <w:t>超标率(%</w:t>
            </w:r>
          </w:p>
        </w:tc>
        <w:tc>
          <w:tcPr>
            <w:tcW w:w="285" w:type="pct"/>
            <w:shd w:val="clear" w:color="auto" w:fill="auto"/>
            <w:noWrap/>
            <w:vAlign w:val="center"/>
          </w:tcPr>
          <w:p w14:paraId="2FA59B89">
            <w:pPr>
              <w:pStyle w:val="23"/>
              <w:jc w:val="center"/>
              <w:rPr>
                <w:rFonts w:ascii="宋体" w:hAnsi="宋体"/>
                <w:kern w:val="0"/>
                <w:sz w:val="18"/>
                <w:szCs w:val="21"/>
              </w:rPr>
            </w:pPr>
            <w:r>
              <w:rPr>
                <w:rFonts w:ascii="宋体" w:hAnsi="宋体"/>
                <w:kern w:val="0"/>
                <w:sz w:val="18"/>
                <w:szCs w:val="21"/>
              </w:rPr>
              <w:t>0.0</w:t>
            </w:r>
          </w:p>
        </w:tc>
        <w:tc>
          <w:tcPr>
            <w:tcW w:w="310" w:type="pct"/>
            <w:shd w:val="clear" w:color="auto" w:fill="auto"/>
            <w:noWrap/>
            <w:vAlign w:val="center"/>
          </w:tcPr>
          <w:p w14:paraId="71709B00">
            <w:pPr>
              <w:pStyle w:val="23"/>
              <w:jc w:val="center"/>
              <w:rPr>
                <w:rFonts w:ascii="宋体" w:hAnsi="宋体"/>
                <w:kern w:val="0"/>
                <w:sz w:val="18"/>
                <w:szCs w:val="21"/>
              </w:rPr>
            </w:pPr>
            <w:r>
              <w:rPr>
                <w:rFonts w:ascii="宋体" w:hAnsi="宋体"/>
                <w:kern w:val="0"/>
                <w:sz w:val="18"/>
                <w:szCs w:val="21"/>
              </w:rPr>
              <w:t>0.0</w:t>
            </w:r>
          </w:p>
        </w:tc>
        <w:tc>
          <w:tcPr>
            <w:tcW w:w="310" w:type="pct"/>
            <w:shd w:val="clear" w:color="auto" w:fill="auto"/>
            <w:noWrap/>
            <w:vAlign w:val="center"/>
          </w:tcPr>
          <w:p w14:paraId="57718FED">
            <w:pPr>
              <w:pStyle w:val="23"/>
              <w:jc w:val="center"/>
              <w:rPr>
                <w:rFonts w:ascii="宋体" w:hAnsi="宋体"/>
                <w:kern w:val="0"/>
                <w:sz w:val="18"/>
                <w:szCs w:val="21"/>
              </w:rPr>
            </w:pPr>
            <w:r>
              <w:rPr>
                <w:rFonts w:ascii="宋体" w:hAnsi="宋体"/>
                <w:kern w:val="0"/>
                <w:sz w:val="18"/>
                <w:szCs w:val="21"/>
              </w:rPr>
              <w:t>0.0</w:t>
            </w:r>
          </w:p>
        </w:tc>
        <w:tc>
          <w:tcPr>
            <w:tcW w:w="285" w:type="pct"/>
            <w:shd w:val="clear" w:color="auto" w:fill="auto"/>
            <w:noWrap/>
            <w:vAlign w:val="center"/>
          </w:tcPr>
          <w:p w14:paraId="4B2059C7">
            <w:pPr>
              <w:pStyle w:val="23"/>
              <w:jc w:val="center"/>
              <w:rPr>
                <w:rFonts w:ascii="宋体" w:hAnsi="宋体"/>
                <w:kern w:val="0"/>
                <w:sz w:val="18"/>
                <w:szCs w:val="21"/>
              </w:rPr>
            </w:pPr>
            <w:r>
              <w:rPr>
                <w:rFonts w:ascii="宋体" w:hAnsi="宋体"/>
                <w:kern w:val="0"/>
                <w:sz w:val="18"/>
                <w:szCs w:val="21"/>
              </w:rPr>
              <w:t>0.0</w:t>
            </w:r>
          </w:p>
        </w:tc>
        <w:tc>
          <w:tcPr>
            <w:tcW w:w="513" w:type="pct"/>
            <w:shd w:val="clear" w:color="auto" w:fill="auto"/>
            <w:noWrap/>
            <w:vAlign w:val="center"/>
          </w:tcPr>
          <w:p w14:paraId="6BF793EA">
            <w:pPr>
              <w:pStyle w:val="23"/>
              <w:jc w:val="center"/>
              <w:rPr>
                <w:rFonts w:ascii="宋体" w:hAnsi="宋体"/>
                <w:kern w:val="0"/>
                <w:sz w:val="18"/>
                <w:szCs w:val="21"/>
              </w:rPr>
            </w:pPr>
            <w:r>
              <w:rPr>
                <w:rFonts w:ascii="宋体" w:hAnsi="宋体"/>
                <w:kern w:val="0"/>
                <w:sz w:val="18"/>
                <w:szCs w:val="21"/>
              </w:rPr>
              <w:t>0.0</w:t>
            </w:r>
          </w:p>
        </w:tc>
        <w:tc>
          <w:tcPr>
            <w:tcW w:w="310" w:type="pct"/>
            <w:shd w:val="clear" w:color="auto" w:fill="auto"/>
            <w:noWrap/>
            <w:vAlign w:val="center"/>
          </w:tcPr>
          <w:p w14:paraId="6799B465">
            <w:pPr>
              <w:pStyle w:val="23"/>
              <w:jc w:val="center"/>
              <w:rPr>
                <w:rFonts w:ascii="宋体" w:hAnsi="宋体"/>
                <w:kern w:val="0"/>
                <w:sz w:val="18"/>
                <w:szCs w:val="21"/>
              </w:rPr>
            </w:pPr>
            <w:r>
              <w:rPr>
                <w:rFonts w:ascii="宋体" w:hAnsi="宋体"/>
                <w:kern w:val="0"/>
                <w:sz w:val="18"/>
                <w:szCs w:val="21"/>
              </w:rPr>
              <w:t>0.0</w:t>
            </w:r>
          </w:p>
        </w:tc>
        <w:tc>
          <w:tcPr>
            <w:tcW w:w="361" w:type="pct"/>
            <w:shd w:val="clear" w:color="auto" w:fill="auto"/>
            <w:noWrap/>
            <w:vAlign w:val="center"/>
          </w:tcPr>
          <w:p w14:paraId="265FD9E0">
            <w:pPr>
              <w:pStyle w:val="23"/>
              <w:jc w:val="center"/>
              <w:rPr>
                <w:rFonts w:ascii="宋体" w:hAnsi="宋体"/>
                <w:kern w:val="0"/>
                <w:sz w:val="18"/>
                <w:szCs w:val="21"/>
              </w:rPr>
            </w:pPr>
            <w:r>
              <w:rPr>
                <w:rFonts w:ascii="宋体" w:hAnsi="宋体"/>
                <w:kern w:val="0"/>
                <w:sz w:val="18"/>
                <w:szCs w:val="21"/>
              </w:rPr>
              <w:t>0.0</w:t>
            </w:r>
          </w:p>
        </w:tc>
        <w:tc>
          <w:tcPr>
            <w:tcW w:w="260" w:type="pct"/>
            <w:shd w:val="clear" w:color="auto" w:fill="auto"/>
            <w:noWrap/>
            <w:vAlign w:val="center"/>
          </w:tcPr>
          <w:p w14:paraId="21390148">
            <w:pPr>
              <w:pStyle w:val="23"/>
              <w:jc w:val="center"/>
              <w:rPr>
                <w:rFonts w:ascii="宋体" w:hAnsi="宋体"/>
                <w:kern w:val="0"/>
                <w:sz w:val="18"/>
                <w:szCs w:val="21"/>
              </w:rPr>
            </w:pPr>
            <w:r>
              <w:rPr>
                <w:rFonts w:ascii="宋体" w:hAnsi="宋体"/>
                <w:kern w:val="0"/>
                <w:sz w:val="18"/>
                <w:szCs w:val="21"/>
              </w:rPr>
              <w:t>0.0</w:t>
            </w:r>
          </w:p>
        </w:tc>
        <w:tc>
          <w:tcPr>
            <w:tcW w:w="260" w:type="pct"/>
            <w:shd w:val="clear" w:color="auto" w:fill="auto"/>
            <w:noWrap/>
            <w:vAlign w:val="center"/>
          </w:tcPr>
          <w:p w14:paraId="2607C4D6">
            <w:pPr>
              <w:pStyle w:val="23"/>
              <w:jc w:val="center"/>
              <w:rPr>
                <w:rFonts w:ascii="宋体" w:hAnsi="宋体"/>
                <w:kern w:val="0"/>
                <w:sz w:val="18"/>
                <w:szCs w:val="21"/>
              </w:rPr>
            </w:pPr>
            <w:r>
              <w:rPr>
                <w:rFonts w:ascii="宋体" w:hAnsi="宋体"/>
                <w:kern w:val="0"/>
                <w:sz w:val="18"/>
                <w:szCs w:val="21"/>
              </w:rPr>
              <w:t>0.0</w:t>
            </w:r>
          </w:p>
        </w:tc>
        <w:tc>
          <w:tcPr>
            <w:tcW w:w="260" w:type="pct"/>
            <w:shd w:val="clear" w:color="auto" w:fill="auto"/>
            <w:noWrap/>
            <w:vAlign w:val="center"/>
          </w:tcPr>
          <w:p w14:paraId="63698E3A">
            <w:pPr>
              <w:pStyle w:val="23"/>
              <w:jc w:val="center"/>
              <w:rPr>
                <w:rFonts w:ascii="宋体" w:hAnsi="宋体"/>
                <w:kern w:val="0"/>
                <w:sz w:val="18"/>
                <w:szCs w:val="21"/>
              </w:rPr>
            </w:pPr>
            <w:r>
              <w:rPr>
                <w:rFonts w:ascii="宋体" w:hAnsi="宋体"/>
                <w:kern w:val="0"/>
                <w:sz w:val="18"/>
                <w:szCs w:val="21"/>
              </w:rPr>
              <w:t>0.0</w:t>
            </w:r>
          </w:p>
        </w:tc>
        <w:tc>
          <w:tcPr>
            <w:tcW w:w="259" w:type="pct"/>
            <w:shd w:val="clear" w:color="auto" w:fill="auto"/>
            <w:noWrap/>
            <w:vAlign w:val="center"/>
          </w:tcPr>
          <w:p w14:paraId="792C8439">
            <w:pPr>
              <w:pStyle w:val="23"/>
              <w:jc w:val="center"/>
              <w:rPr>
                <w:rFonts w:ascii="宋体" w:hAnsi="宋体"/>
                <w:kern w:val="0"/>
                <w:sz w:val="18"/>
                <w:szCs w:val="21"/>
              </w:rPr>
            </w:pPr>
            <w:r>
              <w:rPr>
                <w:rFonts w:ascii="宋体" w:hAnsi="宋体"/>
                <w:kern w:val="0"/>
                <w:sz w:val="18"/>
                <w:szCs w:val="21"/>
              </w:rPr>
              <w:t>0.0</w:t>
            </w:r>
          </w:p>
        </w:tc>
        <w:tc>
          <w:tcPr>
            <w:tcW w:w="285" w:type="pct"/>
            <w:shd w:val="clear" w:color="auto" w:fill="auto"/>
            <w:noWrap/>
            <w:vAlign w:val="center"/>
          </w:tcPr>
          <w:p w14:paraId="1CACAE1F">
            <w:pPr>
              <w:pStyle w:val="23"/>
              <w:jc w:val="center"/>
              <w:rPr>
                <w:rFonts w:ascii="宋体" w:hAnsi="宋体"/>
                <w:kern w:val="0"/>
                <w:sz w:val="18"/>
                <w:szCs w:val="21"/>
              </w:rPr>
            </w:pPr>
            <w:r>
              <w:rPr>
                <w:rFonts w:ascii="宋体" w:hAnsi="宋体"/>
                <w:kern w:val="0"/>
                <w:sz w:val="18"/>
                <w:szCs w:val="21"/>
              </w:rPr>
              <w:t>0.0</w:t>
            </w:r>
          </w:p>
        </w:tc>
        <w:tc>
          <w:tcPr>
            <w:tcW w:w="298" w:type="pct"/>
            <w:shd w:val="clear" w:color="auto" w:fill="auto"/>
            <w:noWrap/>
            <w:vAlign w:val="center"/>
          </w:tcPr>
          <w:p w14:paraId="6953C4F8">
            <w:pPr>
              <w:pStyle w:val="23"/>
              <w:jc w:val="center"/>
              <w:rPr>
                <w:rFonts w:ascii="宋体" w:hAnsi="宋体"/>
                <w:kern w:val="0"/>
                <w:sz w:val="18"/>
                <w:szCs w:val="21"/>
              </w:rPr>
            </w:pPr>
            <w:r>
              <w:rPr>
                <w:rFonts w:ascii="宋体" w:hAnsi="宋体"/>
                <w:kern w:val="0"/>
                <w:sz w:val="18"/>
                <w:szCs w:val="21"/>
              </w:rPr>
              <w:t>0.0</w:t>
            </w:r>
          </w:p>
        </w:tc>
        <w:tc>
          <w:tcPr>
            <w:tcW w:w="260" w:type="pct"/>
            <w:shd w:val="clear" w:color="auto" w:fill="auto"/>
            <w:noWrap/>
            <w:vAlign w:val="center"/>
          </w:tcPr>
          <w:p w14:paraId="10856CFD">
            <w:pPr>
              <w:pStyle w:val="23"/>
              <w:jc w:val="center"/>
              <w:rPr>
                <w:rFonts w:ascii="宋体" w:hAnsi="宋体"/>
                <w:kern w:val="0"/>
                <w:sz w:val="18"/>
                <w:szCs w:val="21"/>
              </w:rPr>
            </w:pPr>
            <w:r>
              <w:rPr>
                <w:rFonts w:ascii="宋体" w:hAnsi="宋体"/>
                <w:kern w:val="0"/>
                <w:sz w:val="18"/>
                <w:szCs w:val="21"/>
              </w:rPr>
              <w:t>0.0</w:t>
            </w:r>
          </w:p>
        </w:tc>
      </w:tr>
      <w:tr w14:paraId="4EC8C0E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745" w:type="pct"/>
            <w:gridSpan w:val="2"/>
            <w:shd w:val="clear" w:color="auto" w:fill="auto"/>
            <w:noWrap/>
            <w:vAlign w:val="center"/>
          </w:tcPr>
          <w:p w14:paraId="78BC9596">
            <w:pPr>
              <w:pStyle w:val="23"/>
              <w:jc w:val="center"/>
              <w:rPr>
                <w:rFonts w:ascii="宋体" w:hAnsi="宋体"/>
                <w:kern w:val="0"/>
                <w:sz w:val="18"/>
                <w:szCs w:val="21"/>
              </w:rPr>
            </w:pPr>
            <w:r>
              <w:rPr>
                <w:rFonts w:ascii="宋体" w:hAnsi="宋体"/>
                <w:kern w:val="0"/>
                <w:sz w:val="18"/>
                <w:szCs w:val="21"/>
              </w:rPr>
              <w:t>备注</w:t>
            </w:r>
          </w:p>
        </w:tc>
        <w:tc>
          <w:tcPr>
            <w:tcW w:w="4255" w:type="pct"/>
            <w:gridSpan w:val="14"/>
            <w:shd w:val="clear" w:color="auto" w:fill="auto"/>
            <w:noWrap/>
            <w:vAlign w:val="center"/>
          </w:tcPr>
          <w:p w14:paraId="5E9F773E">
            <w:pPr>
              <w:pStyle w:val="23"/>
              <w:rPr>
                <w:rFonts w:ascii="宋体" w:hAnsi="宋体"/>
                <w:kern w:val="0"/>
                <w:sz w:val="18"/>
                <w:szCs w:val="21"/>
              </w:rPr>
            </w:pPr>
            <w:r>
              <w:rPr>
                <w:rFonts w:ascii="宋体" w:hAnsi="宋体"/>
                <w:kern w:val="0"/>
                <w:sz w:val="18"/>
                <w:szCs w:val="21"/>
              </w:rPr>
              <w:t>L表示低于最低检出限。</w:t>
            </w:r>
          </w:p>
        </w:tc>
      </w:tr>
    </w:tbl>
    <w:p w14:paraId="38CF0C9D">
      <w:pPr>
        <w:autoSpaceDE w:val="0"/>
        <w:autoSpaceDN w:val="0"/>
        <w:adjustRightInd w:val="0"/>
        <w:ind w:firstLine="0" w:firstLineChars="0"/>
        <w:jc w:val="center"/>
        <w:rPr>
          <w:rFonts w:ascii="宋体" w:hAnsi="宋体" w:cs="HiddenHorzOCR"/>
          <w:b/>
          <w:color w:val="161516"/>
          <w:kern w:val="0"/>
          <w:szCs w:val="21"/>
        </w:rPr>
      </w:pPr>
      <w:r>
        <w:rPr>
          <w:rFonts w:hint="eastAsia" w:ascii="宋体" w:hAnsi="宋体" w:cs="HiddenHorzOCR"/>
          <w:b/>
          <w:color w:val="161516"/>
          <w:kern w:val="0"/>
          <w:szCs w:val="21"/>
        </w:rPr>
        <w:t>表</w:t>
      </w:r>
      <w:r>
        <w:rPr>
          <w:rFonts w:ascii="宋体" w:hAnsi="宋体" w:cs="HiddenHorzOCR"/>
          <w:b/>
          <w:color w:val="161516"/>
          <w:kern w:val="0"/>
          <w:szCs w:val="21"/>
        </w:rPr>
        <w:t>18</w:t>
      </w:r>
      <w:r>
        <w:rPr>
          <w:rFonts w:hint="eastAsia" w:ascii="宋体" w:hAnsi="宋体" w:cs="HiddenHorzOCR"/>
          <w:b/>
          <w:color w:val="161516"/>
          <w:kern w:val="0"/>
          <w:szCs w:val="21"/>
        </w:rPr>
        <w:t xml:space="preserve"> </w:t>
      </w:r>
      <w:r>
        <w:rPr>
          <w:rFonts w:ascii="宋体" w:hAnsi="宋体" w:cs="HiddenHorzOCR"/>
          <w:b/>
          <w:color w:val="161516"/>
          <w:kern w:val="0"/>
          <w:szCs w:val="21"/>
        </w:rPr>
        <w:t>2011</w:t>
      </w:r>
      <w:r>
        <w:rPr>
          <w:rFonts w:hint="eastAsia" w:ascii="宋体" w:hAnsi="宋体" w:cs="HiddenHorzOCR"/>
          <w:b/>
          <w:color w:val="161516"/>
          <w:kern w:val="0"/>
          <w:szCs w:val="21"/>
        </w:rPr>
        <w:t>年南雄市地表水浈</w:t>
      </w:r>
      <w:r>
        <w:rPr>
          <w:rFonts w:hint="eastAsia" w:ascii="宋体" w:hAnsi="宋体" w:cs="MS Gothic"/>
          <w:b/>
          <w:color w:val="161516"/>
          <w:kern w:val="0"/>
          <w:szCs w:val="21"/>
        </w:rPr>
        <w:t>江河水</w:t>
      </w:r>
      <w:r>
        <w:rPr>
          <w:rFonts w:hint="eastAsia" w:ascii="宋体" w:hAnsi="宋体" w:cs="宋体"/>
          <w:b/>
          <w:color w:val="161516"/>
          <w:kern w:val="0"/>
          <w:szCs w:val="21"/>
        </w:rPr>
        <w:t>质监测结</w:t>
      </w:r>
      <w:r>
        <w:rPr>
          <w:rFonts w:hint="eastAsia" w:ascii="宋体" w:hAnsi="宋体" w:cs="MS Gothic"/>
          <w:b/>
          <w:color w:val="161516"/>
          <w:kern w:val="0"/>
          <w:szCs w:val="21"/>
        </w:rPr>
        <w:t>果</w:t>
      </w:r>
      <w:r>
        <w:rPr>
          <w:rFonts w:hint="eastAsia" w:ascii="宋体" w:hAnsi="宋体" w:cs="宋体"/>
          <w:b/>
          <w:color w:val="161516"/>
          <w:kern w:val="0"/>
          <w:szCs w:val="21"/>
        </w:rPr>
        <w:t>评</w:t>
      </w:r>
      <w:r>
        <w:rPr>
          <w:rFonts w:hint="eastAsia" w:ascii="宋体" w:hAnsi="宋体" w:cs="MS Gothic"/>
          <w:b/>
          <w:color w:val="161516"/>
          <w:kern w:val="0"/>
          <w:szCs w:val="21"/>
        </w:rPr>
        <w:t>价表</w:t>
      </w:r>
    </w:p>
    <w:p w14:paraId="1660C993">
      <w:pPr>
        <w:ind w:firstLine="422"/>
        <w:jc w:val="right"/>
        <w:rPr>
          <w:rFonts w:ascii="宋体" w:hAnsi="宋体" w:cs="HiddenHorzOCR"/>
          <w:b/>
          <w:color w:val="353535"/>
          <w:kern w:val="0"/>
          <w:szCs w:val="21"/>
        </w:rPr>
      </w:pPr>
      <w:r>
        <w:rPr>
          <w:rFonts w:hint="eastAsia" w:ascii="宋体" w:hAnsi="宋体" w:cs="宋体"/>
          <w:b/>
          <w:color w:val="161516"/>
          <w:kern w:val="0"/>
          <w:szCs w:val="21"/>
        </w:rPr>
        <w:t>单</w:t>
      </w:r>
      <w:r>
        <w:rPr>
          <w:rFonts w:hint="eastAsia" w:ascii="宋体" w:hAnsi="宋体" w:cs="MS Gothic"/>
          <w:b/>
          <w:color w:val="161516"/>
          <w:kern w:val="0"/>
          <w:szCs w:val="21"/>
        </w:rPr>
        <w:t>位：</w:t>
      </w:r>
      <w:r>
        <w:rPr>
          <w:rFonts w:ascii="宋体" w:hAnsi="宋体" w:cs="HiddenHorzOCR"/>
          <w:b/>
          <w:color w:val="161516"/>
          <w:kern w:val="0"/>
          <w:szCs w:val="21"/>
        </w:rPr>
        <w:t>mg</w:t>
      </w:r>
      <w:r>
        <w:rPr>
          <w:rFonts w:ascii="宋体" w:hAnsi="宋体" w:cs="HiddenHorzOCR"/>
          <w:b/>
          <w:color w:val="5A5B5A"/>
          <w:kern w:val="0"/>
          <w:szCs w:val="21"/>
        </w:rPr>
        <w:t>/</w:t>
      </w:r>
      <w:r>
        <w:rPr>
          <w:rFonts w:ascii="宋体" w:hAnsi="宋体" w:cs="HiddenHorzOCR"/>
          <w:b/>
          <w:color w:val="252525"/>
          <w:kern w:val="0"/>
          <w:szCs w:val="21"/>
        </w:rPr>
        <w:t>L</w:t>
      </w:r>
      <w:r>
        <w:rPr>
          <w:rFonts w:hint="eastAsia" w:ascii="宋体" w:hAnsi="宋体" w:cs="HiddenHorzOCR"/>
          <w:b/>
          <w:color w:val="252525"/>
          <w:kern w:val="0"/>
          <w:szCs w:val="21"/>
        </w:rPr>
        <w:t>（水温：</w:t>
      </w:r>
      <w:r>
        <w:rPr>
          <w:rFonts w:hint="eastAsia" w:ascii="宋体" w:hAnsi="宋体" w:cs="HiddenHorzOCR"/>
          <w:b/>
          <w:color w:val="474747"/>
          <w:kern w:val="0"/>
          <w:szCs w:val="21"/>
        </w:rPr>
        <w:t>℃</w:t>
      </w:r>
      <w:r>
        <w:rPr>
          <w:rFonts w:ascii="宋体" w:hAnsi="宋体" w:cs="HiddenHorzOCR"/>
          <w:b/>
          <w:color w:val="161516"/>
          <w:kern w:val="0"/>
          <w:szCs w:val="21"/>
        </w:rPr>
        <w:t>;pH</w:t>
      </w:r>
      <w:r>
        <w:rPr>
          <w:rFonts w:hint="eastAsia" w:ascii="宋体" w:hAnsi="宋体" w:cs="宋体"/>
          <w:b/>
          <w:color w:val="161516"/>
          <w:kern w:val="0"/>
          <w:szCs w:val="21"/>
        </w:rPr>
        <w:t>值</w:t>
      </w:r>
      <w:r>
        <w:rPr>
          <w:rFonts w:hint="eastAsia" w:ascii="宋体" w:hAnsi="宋体" w:cs="HiddenHorzOCR"/>
          <w:b/>
          <w:color w:val="353535"/>
          <w:kern w:val="0"/>
          <w:szCs w:val="21"/>
        </w:rPr>
        <w:t>：</w:t>
      </w:r>
      <w:r>
        <w:rPr>
          <w:rFonts w:hint="eastAsia" w:ascii="宋体" w:hAnsi="宋体" w:cs="HiddenHorzOCR"/>
          <w:b/>
          <w:color w:val="161516"/>
          <w:kern w:val="0"/>
          <w:szCs w:val="21"/>
        </w:rPr>
        <w:t>无量</w:t>
      </w:r>
      <w:r>
        <w:rPr>
          <w:rFonts w:hint="eastAsia" w:ascii="宋体" w:hAnsi="宋体" w:cs="宋体"/>
          <w:b/>
          <w:color w:val="161516"/>
          <w:kern w:val="0"/>
          <w:szCs w:val="21"/>
        </w:rPr>
        <w:t>纲</w:t>
      </w:r>
      <w:r>
        <w:rPr>
          <w:rFonts w:hint="eastAsia" w:ascii="宋体" w:hAnsi="宋体" w:cs="HiddenHorzOCR"/>
          <w:b/>
          <w:color w:val="353535"/>
          <w:kern w:val="0"/>
          <w:szCs w:val="21"/>
        </w:rPr>
        <w:t>；</w:t>
      </w:r>
      <w:r>
        <w:rPr>
          <w:rFonts w:hint="eastAsia" w:ascii="宋体" w:hAnsi="宋体" w:cs="宋体"/>
          <w:b/>
          <w:color w:val="353535"/>
          <w:kern w:val="0"/>
          <w:szCs w:val="21"/>
        </w:rPr>
        <w:t>粪</w:t>
      </w:r>
      <w:r>
        <w:rPr>
          <w:rFonts w:hint="eastAsia" w:ascii="宋体" w:hAnsi="宋体" w:cs="HiddenHorzOCR"/>
          <w:b/>
          <w:color w:val="161516"/>
          <w:kern w:val="0"/>
          <w:szCs w:val="21"/>
        </w:rPr>
        <w:t>大</w:t>
      </w:r>
      <w:r>
        <w:rPr>
          <w:rFonts w:hint="eastAsia" w:ascii="宋体" w:hAnsi="宋体" w:cs="宋体"/>
          <w:b/>
          <w:color w:val="161516"/>
          <w:kern w:val="0"/>
          <w:szCs w:val="21"/>
        </w:rPr>
        <w:t>肠</w:t>
      </w:r>
      <w:r>
        <w:rPr>
          <w:rFonts w:hint="eastAsia" w:ascii="宋体" w:hAnsi="宋体" w:cs="MS Gothic"/>
          <w:b/>
          <w:color w:val="161516"/>
          <w:kern w:val="0"/>
          <w:szCs w:val="21"/>
        </w:rPr>
        <w:t>菌群：个</w:t>
      </w:r>
      <w:r>
        <w:rPr>
          <w:rFonts w:hint="eastAsia" w:ascii="宋体" w:hAnsi="宋体" w:cs="HiddenHorzOCR"/>
          <w:b/>
          <w:color w:val="353535"/>
          <w:kern w:val="0"/>
          <w:szCs w:val="21"/>
        </w:rPr>
        <w:t>／</w:t>
      </w:r>
      <w:r>
        <w:rPr>
          <w:rFonts w:hint="eastAsia" w:ascii="宋体" w:hAnsi="宋体" w:cs="HiddenHorzOCR"/>
          <w:b/>
          <w:color w:val="161516"/>
          <w:kern w:val="0"/>
          <w:szCs w:val="21"/>
        </w:rPr>
        <w:t>升</w:t>
      </w:r>
      <w:r>
        <w:rPr>
          <w:rFonts w:hint="eastAsia" w:ascii="宋体" w:hAnsi="宋体" w:cs="HiddenHorzOCR"/>
          <w:b/>
          <w:color w:val="353535"/>
          <w:kern w:val="0"/>
          <w:szCs w:val="21"/>
        </w:rPr>
        <w:t>）</w:t>
      </w:r>
    </w:p>
    <w:tbl>
      <w:tblPr>
        <w:tblStyle w:val="14"/>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19"/>
        <w:gridCol w:w="872"/>
        <w:gridCol w:w="419"/>
        <w:gridCol w:w="445"/>
        <w:gridCol w:w="520"/>
        <w:gridCol w:w="824"/>
        <w:gridCol w:w="723"/>
        <w:gridCol w:w="723"/>
        <w:gridCol w:w="468"/>
        <w:gridCol w:w="569"/>
        <w:gridCol w:w="520"/>
        <w:gridCol w:w="519"/>
        <w:gridCol w:w="621"/>
        <w:gridCol w:w="621"/>
        <w:gridCol w:w="774"/>
        <w:gridCol w:w="825"/>
      </w:tblGrid>
      <w:tr w14:paraId="6F38E99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97" w:type="pct"/>
            <w:shd w:val="clear" w:color="auto" w:fill="auto"/>
            <w:noWrap/>
            <w:vAlign w:val="center"/>
          </w:tcPr>
          <w:p w14:paraId="6B58E777">
            <w:pPr>
              <w:pStyle w:val="23"/>
              <w:jc w:val="center"/>
              <w:rPr>
                <w:rFonts w:ascii="宋体" w:hAnsi="宋体"/>
                <w:b/>
                <w:kern w:val="0"/>
                <w:sz w:val="18"/>
                <w:szCs w:val="21"/>
              </w:rPr>
            </w:pPr>
            <w:r>
              <w:rPr>
                <w:rFonts w:ascii="宋体" w:hAnsi="宋体"/>
                <w:b/>
                <w:kern w:val="0"/>
                <w:sz w:val="18"/>
                <w:szCs w:val="21"/>
              </w:rPr>
              <w:t>断面</w:t>
            </w:r>
          </w:p>
        </w:tc>
        <w:tc>
          <w:tcPr>
            <w:tcW w:w="414" w:type="pct"/>
            <w:shd w:val="clear" w:color="auto" w:fill="auto"/>
            <w:noWrap/>
            <w:vAlign w:val="center"/>
          </w:tcPr>
          <w:p w14:paraId="4C8E037B">
            <w:pPr>
              <w:pStyle w:val="23"/>
              <w:jc w:val="center"/>
              <w:rPr>
                <w:rFonts w:ascii="宋体" w:hAnsi="宋体"/>
                <w:b/>
                <w:kern w:val="0"/>
                <w:sz w:val="18"/>
                <w:szCs w:val="21"/>
              </w:rPr>
            </w:pPr>
            <w:r>
              <w:rPr>
                <w:rFonts w:ascii="宋体" w:hAnsi="宋体"/>
                <w:b/>
                <w:kern w:val="0"/>
                <w:sz w:val="18"/>
                <w:szCs w:val="21"/>
              </w:rPr>
              <w:t>指标</w:t>
            </w:r>
          </w:p>
        </w:tc>
        <w:tc>
          <w:tcPr>
            <w:tcW w:w="297" w:type="pct"/>
            <w:shd w:val="clear" w:color="auto" w:fill="auto"/>
            <w:noWrap/>
            <w:vAlign w:val="center"/>
          </w:tcPr>
          <w:p w14:paraId="575B9B95">
            <w:pPr>
              <w:pStyle w:val="23"/>
              <w:jc w:val="center"/>
              <w:rPr>
                <w:rFonts w:ascii="宋体" w:hAnsi="宋体"/>
                <w:b/>
                <w:kern w:val="0"/>
                <w:sz w:val="18"/>
                <w:szCs w:val="21"/>
              </w:rPr>
            </w:pPr>
            <w:r>
              <w:rPr>
                <w:rFonts w:ascii="宋体" w:hAnsi="宋体"/>
                <w:b/>
                <w:kern w:val="0"/>
                <w:sz w:val="18"/>
                <w:szCs w:val="21"/>
              </w:rPr>
              <w:t>水温</w:t>
            </w:r>
          </w:p>
        </w:tc>
        <w:tc>
          <w:tcPr>
            <w:tcW w:w="297" w:type="pct"/>
            <w:shd w:val="clear" w:color="auto" w:fill="auto"/>
            <w:noWrap/>
            <w:vAlign w:val="center"/>
          </w:tcPr>
          <w:p w14:paraId="2D0C6D2F">
            <w:pPr>
              <w:pStyle w:val="23"/>
              <w:jc w:val="center"/>
              <w:rPr>
                <w:rFonts w:ascii="宋体" w:hAnsi="宋体"/>
                <w:b/>
                <w:kern w:val="0"/>
                <w:sz w:val="18"/>
                <w:szCs w:val="21"/>
              </w:rPr>
            </w:pPr>
            <w:r>
              <w:rPr>
                <w:rFonts w:ascii="宋体" w:hAnsi="宋体"/>
                <w:b/>
                <w:kern w:val="0"/>
                <w:sz w:val="18"/>
                <w:szCs w:val="21"/>
              </w:rPr>
              <w:t>pH值</w:t>
            </w:r>
          </w:p>
        </w:tc>
        <w:tc>
          <w:tcPr>
            <w:tcW w:w="297" w:type="pct"/>
            <w:shd w:val="clear" w:color="auto" w:fill="auto"/>
            <w:noWrap/>
            <w:vAlign w:val="center"/>
          </w:tcPr>
          <w:p w14:paraId="7F97F1C3">
            <w:pPr>
              <w:pStyle w:val="23"/>
              <w:jc w:val="center"/>
              <w:rPr>
                <w:rFonts w:ascii="宋体" w:hAnsi="宋体"/>
                <w:b/>
                <w:kern w:val="0"/>
                <w:sz w:val="18"/>
                <w:szCs w:val="21"/>
              </w:rPr>
            </w:pPr>
            <w:r>
              <w:rPr>
                <w:rFonts w:ascii="宋体" w:hAnsi="宋体"/>
                <w:b/>
                <w:kern w:val="0"/>
                <w:sz w:val="18"/>
                <w:szCs w:val="21"/>
              </w:rPr>
              <w:t>溶解氧</w:t>
            </w:r>
          </w:p>
        </w:tc>
        <w:tc>
          <w:tcPr>
            <w:tcW w:w="297" w:type="pct"/>
            <w:shd w:val="clear" w:color="auto" w:fill="auto"/>
            <w:noWrap/>
            <w:vAlign w:val="center"/>
          </w:tcPr>
          <w:p w14:paraId="1BFFF890">
            <w:pPr>
              <w:pStyle w:val="23"/>
              <w:jc w:val="center"/>
              <w:rPr>
                <w:rFonts w:ascii="宋体" w:hAnsi="宋体"/>
                <w:b/>
                <w:kern w:val="0"/>
                <w:sz w:val="18"/>
                <w:szCs w:val="21"/>
              </w:rPr>
            </w:pPr>
            <w:r>
              <w:rPr>
                <w:rFonts w:ascii="宋体" w:hAnsi="宋体"/>
                <w:b/>
                <w:kern w:val="0"/>
                <w:sz w:val="18"/>
                <w:szCs w:val="21"/>
              </w:rPr>
              <w:t>高锰酸盐指数</w:t>
            </w:r>
          </w:p>
        </w:tc>
        <w:tc>
          <w:tcPr>
            <w:tcW w:w="297" w:type="pct"/>
            <w:shd w:val="clear" w:color="auto" w:fill="auto"/>
            <w:noWrap/>
            <w:vAlign w:val="center"/>
          </w:tcPr>
          <w:p w14:paraId="6B5B7B64">
            <w:pPr>
              <w:pStyle w:val="23"/>
              <w:jc w:val="center"/>
              <w:rPr>
                <w:rFonts w:ascii="宋体" w:hAnsi="宋体"/>
                <w:b/>
                <w:kern w:val="0"/>
                <w:sz w:val="18"/>
                <w:szCs w:val="21"/>
              </w:rPr>
            </w:pPr>
            <w:r>
              <w:rPr>
                <w:rFonts w:ascii="宋体" w:hAnsi="宋体"/>
                <w:b/>
                <w:kern w:val="0"/>
                <w:sz w:val="18"/>
                <w:szCs w:val="21"/>
              </w:rPr>
              <w:t>化学需氧量</w:t>
            </w:r>
          </w:p>
        </w:tc>
        <w:tc>
          <w:tcPr>
            <w:tcW w:w="297" w:type="pct"/>
            <w:shd w:val="clear" w:color="auto" w:fill="auto"/>
            <w:noWrap/>
            <w:vAlign w:val="center"/>
          </w:tcPr>
          <w:p w14:paraId="3F18D3B4">
            <w:pPr>
              <w:pStyle w:val="23"/>
              <w:jc w:val="center"/>
              <w:rPr>
                <w:rFonts w:ascii="宋体" w:hAnsi="宋体"/>
                <w:b/>
                <w:kern w:val="0"/>
                <w:sz w:val="18"/>
                <w:szCs w:val="21"/>
              </w:rPr>
            </w:pPr>
            <w:r>
              <w:rPr>
                <w:rFonts w:ascii="宋体" w:hAnsi="宋体"/>
                <w:b/>
                <w:kern w:val="0"/>
                <w:sz w:val="18"/>
                <w:szCs w:val="21"/>
              </w:rPr>
              <w:t>生化需氧量</w:t>
            </w:r>
          </w:p>
        </w:tc>
        <w:tc>
          <w:tcPr>
            <w:tcW w:w="297" w:type="pct"/>
            <w:shd w:val="clear" w:color="auto" w:fill="auto"/>
            <w:noWrap/>
            <w:vAlign w:val="center"/>
          </w:tcPr>
          <w:p w14:paraId="1B130FA0">
            <w:pPr>
              <w:pStyle w:val="23"/>
              <w:jc w:val="center"/>
              <w:rPr>
                <w:rFonts w:ascii="宋体" w:hAnsi="宋体"/>
                <w:b/>
                <w:kern w:val="0"/>
                <w:sz w:val="18"/>
                <w:szCs w:val="21"/>
              </w:rPr>
            </w:pPr>
            <w:r>
              <w:rPr>
                <w:rFonts w:ascii="宋体" w:hAnsi="宋体"/>
                <w:b/>
                <w:kern w:val="0"/>
                <w:sz w:val="18"/>
                <w:szCs w:val="21"/>
              </w:rPr>
              <w:t>氨氮</w:t>
            </w:r>
          </w:p>
        </w:tc>
        <w:tc>
          <w:tcPr>
            <w:tcW w:w="297" w:type="pct"/>
            <w:shd w:val="clear" w:color="auto" w:fill="auto"/>
            <w:noWrap/>
            <w:vAlign w:val="center"/>
          </w:tcPr>
          <w:p w14:paraId="057AEC1C">
            <w:pPr>
              <w:pStyle w:val="23"/>
              <w:jc w:val="center"/>
              <w:rPr>
                <w:rFonts w:ascii="宋体" w:hAnsi="宋体"/>
                <w:b/>
                <w:kern w:val="0"/>
                <w:sz w:val="18"/>
                <w:szCs w:val="21"/>
              </w:rPr>
            </w:pPr>
            <w:r>
              <w:rPr>
                <w:rFonts w:ascii="宋体" w:hAnsi="宋体"/>
                <w:b/>
                <w:kern w:val="0"/>
                <w:sz w:val="18"/>
                <w:szCs w:val="21"/>
              </w:rPr>
              <w:t>总磷</w:t>
            </w:r>
          </w:p>
        </w:tc>
        <w:tc>
          <w:tcPr>
            <w:tcW w:w="297" w:type="pct"/>
            <w:shd w:val="clear" w:color="auto" w:fill="auto"/>
            <w:noWrap/>
            <w:vAlign w:val="center"/>
          </w:tcPr>
          <w:p w14:paraId="39F0CB23">
            <w:pPr>
              <w:pStyle w:val="23"/>
              <w:jc w:val="center"/>
              <w:rPr>
                <w:rFonts w:ascii="宋体" w:hAnsi="宋体"/>
                <w:b/>
                <w:kern w:val="0"/>
                <w:sz w:val="18"/>
                <w:szCs w:val="21"/>
              </w:rPr>
            </w:pPr>
            <w:r>
              <w:rPr>
                <w:rFonts w:ascii="宋体" w:hAnsi="宋体"/>
                <w:b/>
                <w:kern w:val="0"/>
                <w:sz w:val="18"/>
                <w:szCs w:val="21"/>
              </w:rPr>
              <w:t>氟化物</w:t>
            </w:r>
          </w:p>
        </w:tc>
        <w:tc>
          <w:tcPr>
            <w:tcW w:w="297" w:type="pct"/>
            <w:shd w:val="clear" w:color="auto" w:fill="auto"/>
            <w:noWrap/>
            <w:vAlign w:val="center"/>
          </w:tcPr>
          <w:p w14:paraId="53F7A7B0">
            <w:pPr>
              <w:pStyle w:val="23"/>
              <w:jc w:val="center"/>
              <w:rPr>
                <w:rFonts w:ascii="宋体" w:hAnsi="宋体"/>
                <w:b/>
                <w:kern w:val="0"/>
                <w:sz w:val="18"/>
                <w:szCs w:val="21"/>
              </w:rPr>
            </w:pPr>
            <w:r>
              <w:rPr>
                <w:rFonts w:ascii="宋体" w:hAnsi="宋体"/>
                <w:b/>
                <w:kern w:val="0"/>
                <w:sz w:val="18"/>
                <w:szCs w:val="21"/>
              </w:rPr>
              <w:t>挥酚</w:t>
            </w:r>
          </w:p>
        </w:tc>
        <w:tc>
          <w:tcPr>
            <w:tcW w:w="297" w:type="pct"/>
            <w:shd w:val="clear" w:color="auto" w:fill="auto"/>
            <w:noWrap/>
            <w:vAlign w:val="center"/>
          </w:tcPr>
          <w:p w14:paraId="16FC1DC8">
            <w:pPr>
              <w:pStyle w:val="23"/>
              <w:jc w:val="center"/>
              <w:rPr>
                <w:rFonts w:ascii="宋体" w:hAnsi="宋体"/>
                <w:b/>
                <w:kern w:val="0"/>
                <w:sz w:val="18"/>
                <w:szCs w:val="21"/>
              </w:rPr>
            </w:pPr>
            <w:r>
              <w:rPr>
                <w:rFonts w:ascii="宋体" w:hAnsi="宋体"/>
                <w:b/>
                <w:kern w:val="0"/>
                <w:sz w:val="18"/>
                <w:szCs w:val="21"/>
              </w:rPr>
              <w:t>大肠菌群</w:t>
            </w:r>
          </w:p>
        </w:tc>
        <w:tc>
          <w:tcPr>
            <w:tcW w:w="297" w:type="pct"/>
            <w:shd w:val="clear" w:color="auto" w:fill="auto"/>
            <w:noWrap/>
            <w:vAlign w:val="center"/>
          </w:tcPr>
          <w:p w14:paraId="3DC00275">
            <w:pPr>
              <w:pStyle w:val="23"/>
              <w:jc w:val="center"/>
              <w:rPr>
                <w:rFonts w:ascii="宋体" w:hAnsi="宋体"/>
                <w:b/>
                <w:kern w:val="0"/>
                <w:sz w:val="18"/>
                <w:szCs w:val="21"/>
              </w:rPr>
            </w:pPr>
            <w:r>
              <w:rPr>
                <w:rFonts w:ascii="宋体" w:hAnsi="宋体"/>
                <w:b/>
                <w:kern w:val="0"/>
                <w:sz w:val="18"/>
                <w:szCs w:val="21"/>
              </w:rPr>
              <w:t>超标项目</w:t>
            </w:r>
          </w:p>
        </w:tc>
        <w:tc>
          <w:tcPr>
            <w:tcW w:w="297" w:type="pct"/>
            <w:shd w:val="clear" w:color="auto" w:fill="auto"/>
            <w:noWrap/>
            <w:vAlign w:val="center"/>
          </w:tcPr>
          <w:p w14:paraId="49D552C2">
            <w:pPr>
              <w:pStyle w:val="23"/>
              <w:jc w:val="center"/>
              <w:rPr>
                <w:rFonts w:ascii="宋体" w:hAnsi="宋体"/>
                <w:b/>
                <w:kern w:val="0"/>
                <w:sz w:val="18"/>
                <w:szCs w:val="21"/>
              </w:rPr>
            </w:pPr>
            <w:r>
              <w:rPr>
                <w:rFonts w:ascii="宋体" w:hAnsi="宋体"/>
                <w:b/>
                <w:kern w:val="0"/>
                <w:sz w:val="18"/>
                <w:szCs w:val="21"/>
              </w:rPr>
              <w:t>总超标率(%)</w:t>
            </w:r>
          </w:p>
        </w:tc>
        <w:tc>
          <w:tcPr>
            <w:tcW w:w="427" w:type="pct"/>
            <w:shd w:val="clear" w:color="auto" w:fill="auto"/>
            <w:noWrap/>
            <w:vAlign w:val="center"/>
          </w:tcPr>
          <w:p w14:paraId="78F25412">
            <w:pPr>
              <w:pStyle w:val="23"/>
              <w:jc w:val="center"/>
              <w:rPr>
                <w:rFonts w:ascii="宋体" w:hAnsi="宋体"/>
                <w:b/>
                <w:kern w:val="0"/>
                <w:sz w:val="18"/>
                <w:szCs w:val="21"/>
              </w:rPr>
            </w:pPr>
            <w:r>
              <w:rPr>
                <w:rFonts w:ascii="宋体" w:hAnsi="宋体"/>
                <w:b/>
                <w:kern w:val="0"/>
                <w:sz w:val="18"/>
                <w:szCs w:val="21"/>
              </w:rPr>
              <w:t>平均污染指数</w:t>
            </w:r>
          </w:p>
        </w:tc>
      </w:tr>
      <w:tr w14:paraId="2954A63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97" w:type="pct"/>
            <w:vMerge w:val="restart"/>
            <w:shd w:val="clear" w:color="auto" w:fill="auto"/>
            <w:noWrap/>
            <w:vAlign w:val="center"/>
          </w:tcPr>
          <w:p w14:paraId="217228AF">
            <w:pPr>
              <w:pStyle w:val="23"/>
              <w:jc w:val="center"/>
              <w:rPr>
                <w:rFonts w:ascii="宋体" w:hAnsi="宋体"/>
                <w:kern w:val="0"/>
                <w:sz w:val="18"/>
                <w:szCs w:val="21"/>
              </w:rPr>
            </w:pPr>
            <w:r>
              <w:rPr>
                <w:rFonts w:ascii="宋体" w:hAnsi="宋体"/>
                <w:kern w:val="0"/>
                <w:sz w:val="18"/>
                <w:szCs w:val="21"/>
              </w:rPr>
              <w:t>河坪</w:t>
            </w:r>
          </w:p>
        </w:tc>
        <w:tc>
          <w:tcPr>
            <w:tcW w:w="414" w:type="pct"/>
            <w:shd w:val="clear" w:color="auto" w:fill="auto"/>
            <w:noWrap/>
            <w:vAlign w:val="center"/>
          </w:tcPr>
          <w:p w14:paraId="71E6A62E">
            <w:pPr>
              <w:pStyle w:val="23"/>
              <w:jc w:val="center"/>
              <w:rPr>
                <w:rFonts w:ascii="宋体" w:hAnsi="宋体"/>
                <w:kern w:val="0"/>
                <w:sz w:val="18"/>
                <w:szCs w:val="21"/>
              </w:rPr>
            </w:pPr>
            <w:r>
              <w:rPr>
                <w:rFonts w:ascii="宋体" w:hAnsi="宋体"/>
                <w:kern w:val="0"/>
                <w:sz w:val="18"/>
                <w:szCs w:val="21"/>
              </w:rPr>
              <w:t>样品数</w:t>
            </w:r>
          </w:p>
        </w:tc>
        <w:tc>
          <w:tcPr>
            <w:tcW w:w="297" w:type="pct"/>
            <w:shd w:val="clear" w:color="auto" w:fill="auto"/>
            <w:noWrap/>
            <w:vAlign w:val="center"/>
          </w:tcPr>
          <w:p w14:paraId="4E8E30D6">
            <w:pPr>
              <w:pStyle w:val="23"/>
              <w:jc w:val="center"/>
              <w:rPr>
                <w:rFonts w:ascii="宋体" w:hAnsi="宋体"/>
                <w:kern w:val="0"/>
                <w:sz w:val="18"/>
                <w:szCs w:val="21"/>
              </w:rPr>
            </w:pPr>
            <w:r>
              <w:rPr>
                <w:rFonts w:ascii="宋体" w:hAnsi="宋体"/>
                <w:kern w:val="0"/>
                <w:sz w:val="18"/>
                <w:szCs w:val="21"/>
              </w:rPr>
              <w:t>6</w:t>
            </w:r>
          </w:p>
        </w:tc>
        <w:tc>
          <w:tcPr>
            <w:tcW w:w="297" w:type="pct"/>
            <w:shd w:val="clear" w:color="auto" w:fill="auto"/>
            <w:noWrap/>
            <w:vAlign w:val="center"/>
          </w:tcPr>
          <w:p w14:paraId="06CA1A25">
            <w:pPr>
              <w:pStyle w:val="23"/>
              <w:jc w:val="center"/>
              <w:rPr>
                <w:rFonts w:ascii="宋体" w:hAnsi="宋体"/>
                <w:kern w:val="0"/>
                <w:sz w:val="18"/>
                <w:szCs w:val="21"/>
              </w:rPr>
            </w:pPr>
            <w:r>
              <w:rPr>
                <w:rFonts w:ascii="宋体" w:hAnsi="宋体"/>
                <w:kern w:val="0"/>
                <w:sz w:val="18"/>
                <w:szCs w:val="21"/>
              </w:rPr>
              <w:t>6</w:t>
            </w:r>
          </w:p>
        </w:tc>
        <w:tc>
          <w:tcPr>
            <w:tcW w:w="297" w:type="pct"/>
            <w:shd w:val="clear" w:color="auto" w:fill="auto"/>
            <w:noWrap/>
            <w:vAlign w:val="center"/>
          </w:tcPr>
          <w:p w14:paraId="09578204">
            <w:pPr>
              <w:pStyle w:val="23"/>
              <w:jc w:val="center"/>
              <w:rPr>
                <w:rFonts w:ascii="宋体" w:hAnsi="宋体"/>
                <w:kern w:val="0"/>
                <w:sz w:val="18"/>
                <w:szCs w:val="21"/>
              </w:rPr>
            </w:pPr>
            <w:r>
              <w:rPr>
                <w:rFonts w:ascii="宋体" w:hAnsi="宋体"/>
                <w:kern w:val="0"/>
                <w:sz w:val="18"/>
                <w:szCs w:val="21"/>
              </w:rPr>
              <w:t>6</w:t>
            </w:r>
          </w:p>
        </w:tc>
        <w:tc>
          <w:tcPr>
            <w:tcW w:w="297" w:type="pct"/>
            <w:shd w:val="clear" w:color="auto" w:fill="auto"/>
            <w:noWrap/>
            <w:vAlign w:val="center"/>
          </w:tcPr>
          <w:p w14:paraId="014EF907">
            <w:pPr>
              <w:pStyle w:val="23"/>
              <w:jc w:val="center"/>
              <w:rPr>
                <w:rFonts w:ascii="宋体" w:hAnsi="宋体"/>
                <w:kern w:val="0"/>
                <w:sz w:val="18"/>
                <w:szCs w:val="21"/>
              </w:rPr>
            </w:pPr>
            <w:r>
              <w:rPr>
                <w:rFonts w:ascii="宋体" w:hAnsi="宋体"/>
                <w:kern w:val="0"/>
                <w:sz w:val="18"/>
                <w:szCs w:val="21"/>
              </w:rPr>
              <w:t>6</w:t>
            </w:r>
          </w:p>
        </w:tc>
        <w:tc>
          <w:tcPr>
            <w:tcW w:w="297" w:type="pct"/>
            <w:shd w:val="clear" w:color="auto" w:fill="auto"/>
            <w:noWrap/>
            <w:vAlign w:val="center"/>
          </w:tcPr>
          <w:p w14:paraId="72FE61F4">
            <w:pPr>
              <w:pStyle w:val="23"/>
              <w:jc w:val="center"/>
              <w:rPr>
                <w:rFonts w:ascii="宋体" w:hAnsi="宋体"/>
                <w:kern w:val="0"/>
                <w:sz w:val="18"/>
                <w:szCs w:val="21"/>
              </w:rPr>
            </w:pPr>
            <w:r>
              <w:rPr>
                <w:rFonts w:ascii="宋体" w:hAnsi="宋体"/>
                <w:kern w:val="0"/>
                <w:sz w:val="18"/>
                <w:szCs w:val="21"/>
              </w:rPr>
              <w:t>6</w:t>
            </w:r>
          </w:p>
        </w:tc>
        <w:tc>
          <w:tcPr>
            <w:tcW w:w="297" w:type="pct"/>
            <w:shd w:val="clear" w:color="auto" w:fill="auto"/>
            <w:noWrap/>
            <w:vAlign w:val="center"/>
          </w:tcPr>
          <w:p w14:paraId="57D078E1">
            <w:pPr>
              <w:pStyle w:val="23"/>
              <w:jc w:val="center"/>
              <w:rPr>
                <w:rFonts w:ascii="宋体" w:hAnsi="宋体"/>
                <w:kern w:val="0"/>
                <w:sz w:val="18"/>
                <w:szCs w:val="21"/>
              </w:rPr>
            </w:pPr>
            <w:r>
              <w:rPr>
                <w:rFonts w:ascii="宋体" w:hAnsi="宋体"/>
                <w:kern w:val="0"/>
                <w:sz w:val="18"/>
                <w:szCs w:val="21"/>
              </w:rPr>
              <w:t>6</w:t>
            </w:r>
          </w:p>
        </w:tc>
        <w:tc>
          <w:tcPr>
            <w:tcW w:w="297" w:type="pct"/>
            <w:shd w:val="clear" w:color="auto" w:fill="auto"/>
            <w:noWrap/>
            <w:vAlign w:val="center"/>
          </w:tcPr>
          <w:p w14:paraId="2BB7425B">
            <w:pPr>
              <w:pStyle w:val="23"/>
              <w:jc w:val="center"/>
              <w:rPr>
                <w:rFonts w:ascii="宋体" w:hAnsi="宋体"/>
                <w:kern w:val="0"/>
                <w:sz w:val="18"/>
                <w:szCs w:val="21"/>
              </w:rPr>
            </w:pPr>
            <w:r>
              <w:rPr>
                <w:rFonts w:ascii="宋体" w:hAnsi="宋体"/>
                <w:kern w:val="0"/>
                <w:sz w:val="18"/>
                <w:szCs w:val="21"/>
              </w:rPr>
              <w:t>6</w:t>
            </w:r>
          </w:p>
        </w:tc>
        <w:tc>
          <w:tcPr>
            <w:tcW w:w="297" w:type="pct"/>
            <w:shd w:val="clear" w:color="auto" w:fill="auto"/>
            <w:noWrap/>
            <w:vAlign w:val="center"/>
          </w:tcPr>
          <w:p w14:paraId="51F89CD4">
            <w:pPr>
              <w:pStyle w:val="23"/>
              <w:jc w:val="center"/>
              <w:rPr>
                <w:rFonts w:ascii="宋体" w:hAnsi="宋体"/>
                <w:kern w:val="0"/>
                <w:sz w:val="18"/>
                <w:szCs w:val="21"/>
              </w:rPr>
            </w:pPr>
            <w:r>
              <w:rPr>
                <w:rFonts w:ascii="宋体" w:hAnsi="宋体"/>
                <w:kern w:val="0"/>
                <w:sz w:val="18"/>
                <w:szCs w:val="21"/>
              </w:rPr>
              <w:t>6</w:t>
            </w:r>
          </w:p>
        </w:tc>
        <w:tc>
          <w:tcPr>
            <w:tcW w:w="297" w:type="pct"/>
            <w:shd w:val="clear" w:color="auto" w:fill="auto"/>
            <w:noWrap/>
            <w:vAlign w:val="center"/>
          </w:tcPr>
          <w:p w14:paraId="50694B4C">
            <w:pPr>
              <w:pStyle w:val="23"/>
              <w:jc w:val="center"/>
              <w:rPr>
                <w:rFonts w:ascii="宋体" w:hAnsi="宋体"/>
                <w:kern w:val="0"/>
                <w:sz w:val="18"/>
                <w:szCs w:val="21"/>
              </w:rPr>
            </w:pPr>
            <w:r>
              <w:rPr>
                <w:rFonts w:ascii="宋体" w:hAnsi="宋体"/>
                <w:kern w:val="0"/>
                <w:sz w:val="18"/>
                <w:szCs w:val="21"/>
              </w:rPr>
              <w:t>6</w:t>
            </w:r>
          </w:p>
        </w:tc>
        <w:tc>
          <w:tcPr>
            <w:tcW w:w="297" w:type="pct"/>
            <w:shd w:val="clear" w:color="auto" w:fill="auto"/>
            <w:noWrap/>
            <w:vAlign w:val="center"/>
          </w:tcPr>
          <w:p w14:paraId="5806E158">
            <w:pPr>
              <w:pStyle w:val="23"/>
              <w:jc w:val="center"/>
              <w:rPr>
                <w:rFonts w:ascii="宋体" w:hAnsi="宋体"/>
                <w:kern w:val="0"/>
                <w:sz w:val="18"/>
                <w:szCs w:val="21"/>
              </w:rPr>
            </w:pPr>
            <w:r>
              <w:rPr>
                <w:rFonts w:ascii="宋体" w:hAnsi="宋体"/>
                <w:kern w:val="0"/>
                <w:sz w:val="18"/>
                <w:szCs w:val="21"/>
              </w:rPr>
              <w:t>6</w:t>
            </w:r>
          </w:p>
        </w:tc>
        <w:tc>
          <w:tcPr>
            <w:tcW w:w="297" w:type="pct"/>
            <w:shd w:val="clear" w:color="auto" w:fill="auto"/>
            <w:noWrap/>
            <w:vAlign w:val="center"/>
          </w:tcPr>
          <w:p w14:paraId="46D680BF">
            <w:pPr>
              <w:pStyle w:val="23"/>
              <w:jc w:val="center"/>
              <w:rPr>
                <w:rFonts w:ascii="宋体" w:hAnsi="宋体"/>
                <w:kern w:val="0"/>
                <w:sz w:val="18"/>
                <w:szCs w:val="21"/>
              </w:rPr>
            </w:pPr>
            <w:r>
              <w:rPr>
                <w:rFonts w:ascii="宋体" w:hAnsi="宋体"/>
                <w:kern w:val="0"/>
                <w:sz w:val="18"/>
                <w:szCs w:val="21"/>
              </w:rPr>
              <w:t>4</w:t>
            </w:r>
          </w:p>
        </w:tc>
        <w:tc>
          <w:tcPr>
            <w:tcW w:w="297" w:type="pct"/>
            <w:shd w:val="clear" w:color="auto" w:fill="auto"/>
            <w:noWrap/>
            <w:vAlign w:val="center"/>
          </w:tcPr>
          <w:p w14:paraId="55107889">
            <w:pPr>
              <w:pStyle w:val="23"/>
              <w:jc w:val="center"/>
              <w:rPr>
                <w:rFonts w:ascii="宋体" w:hAnsi="宋体"/>
                <w:kern w:val="0"/>
                <w:sz w:val="18"/>
                <w:szCs w:val="21"/>
              </w:rPr>
            </w:pPr>
          </w:p>
        </w:tc>
        <w:tc>
          <w:tcPr>
            <w:tcW w:w="297" w:type="pct"/>
            <w:shd w:val="clear" w:color="auto" w:fill="auto"/>
            <w:noWrap/>
            <w:vAlign w:val="center"/>
          </w:tcPr>
          <w:p w14:paraId="561DA941">
            <w:pPr>
              <w:pStyle w:val="23"/>
              <w:jc w:val="center"/>
              <w:rPr>
                <w:rFonts w:ascii="宋体" w:hAnsi="宋体"/>
                <w:kern w:val="0"/>
                <w:sz w:val="18"/>
                <w:szCs w:val="21"/>
              </w:rPr>
            </w:pPr>
          </w:p>
        </w:tc>
        <w:tc>
          <w:tcPr>
            <w:tcW w:w="427" w:type="pct"/>
            <w:vMerge w:val="restart"/>
            <w:shd w:val="clear" w:color="auto" w:fill="auto"/>
            <w:noWrap/>
            <w:vAlign w:val="center"/>
          </w:tcPr>
          <w:p w14:paraId="3F4A6811">
            <w:pPr>
              <w:pStyle w:val="23"/>
              <w:jc w:val="center"/>
              <w:rPr>
                <w:rFonts w:ascii="宋体" w:hAnsi="宋体"/>
                <w:kern w:val="0"/>
                <w:sz w:val="18"/>
                <w:szCs w:val="21"/>
              </w:rPr>
            </w:pPr>
            <w:r>
              <w:rPr>
                <w:rFonts w:ascii="宋体" w:hAnsi="宋体"/>
                <w:kern w:val="0"/>
                <w:sz w:val="18"/>
                <w:szCs w:val="21"/>
              </w:rPr>
              <w:t>0.38</w:t>
            </w:r>
          </w:p>
        </w:tc>
      </w:tr>
      <w:tr w14:paraId="240CDF1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97" w:type="pct"/>
            <w:vMerge w:val="continue"/>
            <w:vAlign w:val="center"/>
          </w:tcPr>
          <w:p w14:paraId="0F1B54B9">
            <w:pPr>
              <w:pStyle w:val="23"/>
              <w:jc w:val="center"/>
              <w:rPr>
                <w:rFonts w:ascii="宋体" w:hAnsi="宋体"/>
                <w:kern w:val="0"/>
                <w:sz w:val="18"/>
                <w:szCs w:val="21"/>
              </w:rPr>
            </w:pPr>
          </w:p>
        </w:tc>
        <w:tc>
          <w:tcPr>
            <w:tcW w:w="414" w:type="pct"/>
            <w:shd w:val="clear" w:color="auto" w:fill="auto"/>
            <w:noWrap/>
            <w:vAlign w:val="center"/>
          </w:tcPr>
          <w:p w14:paraId="1A9EBDBF">
            <w:pPr>
              <w:pStyle w:val="23"/>
              <w:jc w:val="center"/>
              <w:rPr>
                <w:rFonts w:ascii="宋体" w:hAnsi="宋体"/>
                <w:kern w:val="0"/>
                <w:sz w:val="18"/>
                <w:szCs w:val="21"/>
              </w:rPr>
            </w:pPr>
            <w:r>
              <w:rPr>
                <w:rFonts w:ascii="宋体" w:hAnsi="宋体"/>
                <w:kern w:val="0"/>
                <w:sz w:val="18"/>
                <w:szCs w:val="21"/>
              </w:rPr>
              <w:t>最大值</w:t>
            </w:r>
          </w:p>
        </w:tc>
        <w:tc>
          <w:tcPr>
            <w:tcW w:w="297" w:type="pct"/>
            <w:shd w:val="clear" w:color="auto" w:fill="auto"/>
            <w:noWrap/>
            <w:vAlign w:val="center"/>
          </w:tcPr>
          <w:p w14:paraId="1032A2CE">
            <w:pPr>
              <w:pStyle w:val="23"/>
              <w:jc w:val="center"/>
              <w:rPr>
                <w:rFonts w:ascii="宋体" w:hAnsi="宋体"/>
                <w:kern w:val="0"/>
                <w:sz w:val="18"/>
                <w:szCs w:val="21"/>
              </w:rPr>
            </w:pPr>
            <w:r>
              <w:rPr>
                <w:rFonts w:ascii="宋体" w:hAnsi="宋体"/>
                <w:kern w:val="0"/>
                <w:sz w:val="18"/>
                <w:szCs w:val="21"/>
              </w:rPr>
              <w:t>30</w:t>
            </w:r>
          </w:p>
        </w:tc>
        <w:tc>
          <w:tcPr>
            <w:tcW w:w="297" w:type="pct"/>
            <w:shd w:val="clear" w:color="auto" w:fill="auto"/>
            <w:noWrap/>
            <w:vAlign w:val="center"/>
          </w:tcPr>
          <w:p w14:paraId="7C4BF740">
            <w:pPr>
              <w:pStyle w:val="23"/>
              <w:jc w:val="center"/>
              <w:rPr>
                <w:rFonts w:ascii="宋体" w:hAnsi="宋体"/>
                <w:kern w:val="0"/>
                <w:sz w:val="18"/>
                <w:szCs w:val="21"/>
              </w:rPr>
            </w:pPr>
            <w:r>
              <w:rPr>
                <w:rFonts w:ascii="宋体" w:hAnsi="宋体"/>
                <w:kern w:val="0"/>
                <w:sz w:val="18"/>
                <w:szCs w:val="21"/>
              </w:rPr>
              <w:t>7.72</w:t>
            </w:r>
          </w:p>
        </w:tc>
        <w:tc>
          <w:tcPr>
            <w:tcW w:w="297" w:type="pct"/>
            <w:shd w:val="clear" w:color="auto" w:fill="auto"/>
            <w:noWrap/>
            <w:vAlign w:val="center"/>
          </w:tcPr>
          <w:p w14:paraId="09B25818">
            <w:pPr>
              <w:pStyle w:val="23"/>
              <w:jc w:val="center"/>
              <w:rPr>
                <w:rFonts w:ascii="宋体" w:hAnsi="宋体"/>
                <w:kern w:val="0"/>
                <w:sz w:val="18"/>
                <w:szCs w:val="21"/>
              </w:rPr>
            </w:pPr>
            <w:r>
              <w:rPr>
                <w:rFonts w:ascii="宋体" w:hAnsi="宋体"/>
                <w:kern w:val="0"/>
                <w:sz w:val="18"/>
                <w:szCs w:val="21"/>
              </w:rPr>
              <w:t>9.10</w:t>
            </w:r>
          </w:p>
        </w:tc>
        <w:tc>
          <w:tcPr>
            <w:tcW w:w="297" w:type="pct"/>
            <w:shd w:val="clear" w:color="auto" w:fill="auto"/>
            <w:noWrap/>
            <w:vAlign w:val="center"/>
          </w:tcPr>
          <w:p w14:paraId="0405E0C6">
            <w:pPr>
              <w:pStyle w:val="23"/>
              <w:jc w:val="center"/>
              <w:rPr>
                <w:rFonts w:ascii="宋体" w:hAnsi="宋体"/>
                <w:kern w:val="0"/>
                <w:sz w:val="18"/>
                <w:szCs w:val="21"/>
              </w:rPr>
            </w:pPr>
            <w:r>
              <w:rPr>
                <w:rFonts w:ascii="宋体" w:hAnsi="宋体"/>
                <w:kern w:val="0"/>
                <w:sz w:val="18"/>
                <w:szCs w:val="21"/>
              </w:rPr>
              <w:t>3.53</w:t>
            </w:r>
          </w:p>
        </w:tc>
        <w:tc>
          <w:tcPr>
            <w:tcW w:w="297" w:type="pct"/>
            <w:shd w:val="clear" w:color="auto" w:fill="auto"/>
            <w:noWrap/>
            <w:vAlign w:val="center"/>
          </w:tcPr>
          <w:p w14:paraId="766551CA">
            <w:pPr>
              <w:pStyle w:val="23"/>
              <w:jc w:val="center"/>
              <w:rPr>
                <w:rFonts w:ascii="宋体" w:hAnsi="宋体"/>
                <w:kern w:val="0"/>
                <w:sz w:val="18"/>
                <w:szCs w:val="21"/>
              </w:rPr>
            </w:pPr>
            <w:r>
              <w:rPr>
                <w:rFonts w:ascii="宋体" w:hAnsi="宋体"/>
                <w:kern w:val="0"/>
                <w:sz w:val="18"/>
                <w:szCs w:val="21"/>
              </w:rPr>
              <w:t>13.4</w:t>
            </w:r>
          </w:p>
        </w:tc>
        <w:tc>
          <w:tcPr>
            <w:tcW w:w="297" w:type="pct"/>
            <w:shd w:val="clear" w:color="auto" w:fill="auto"/>
            <w:noWrap/>
            <w:vAlign w:val="center"/>
          </w:tcPr>
          <w:p w14:paraId="7BC543BC">
            <w:pPr>
              <w:pStyle w:val="23"/>
              <w:jc w:val="center"/>
              <w:rPr>
                <w:rFonts w:ascii="宋体" w:hAnsi="宋体"/>
                <w:kern w:val="0"/>
                <w:sz w:val="18"/>
                <w:szCs w:val="21"/>
              </w:rPr>
            </w:pPr>
            <w:r>
              <w:rPr>
                <w:rFonts w:ascii="宋体" w:hAnsi="宋体"/>
                <w:kern w:val="0"/>
                <w:sz w:val="18"/>
                <w:szCs w:val="21"/>
              </w:rPr>
              <w:t>3.5</w:t>
            </w:r>
          </w:p>
        </w:tc>
        <w:tc>
          <w:tcPr>
            <w:tcW w:w="297" w:type="pct"/>
            <w:shd w:val="clear" w:color="auto" w:fill="auto"/>
            <w:noWrap/>
            <w:vAlign w:val="center"/>
          </w:tcPr>
          <w:p w14:paraId="57E8E41E">
            <w:pPr>
              <w:pStyle w:val="23"/>
              <w:jc w:val="center"/>
              <w:rPr>
                <w:rFonts w:ascii="宋体" w:hAnsi="宋体"/>
                <w:kern w:val="0"/>
                <w:sz w:val="18"/>
                <w:szCs w:val="21"/>
              </w:rPr>
            </w:pPr>
            <w:r>
              <w:rPr>
                <w:rFonts w:ascii="宋体" w:hAnsi="宋体"/>
                <w:kern w:val="0"/>
                <w:sz w:val="18"/>
                <w:szCs w:val="21"/>
              </w:rPr>
              <w:t>0.445</w:t>
            </w:r>
          </w:p>
        </w:tc>
        <w:tc>
          <w:tcPr>
            <w:tcW w:w="297" w:type="pct"/>
            <w:shd w:val="clear" w:color="auto" w:fill="auto"/>
            <w:noWrap/>
            <w:vAlign w:val="center"/>
          </w:tcPr>
          <w:p w14:paraId="37F605AD">
            <w:pPr>
              <w:pStyle w:val="23"/>
              <w:jc w:val="center"/>
              <w:rPr>
                <w:rFonts w:ascii="宋体" w:hAnsi="宋体"/>
                <w:kern w:val="0"/>
                <w:sz w:val="18"/>
                <w:szCs w:val="21"/>
              </w:rPr>
            </w:pPr>
            <w:r>
              <w:rPr>
                <w:rFonts w:ascii="宋体" w:hAnsi="宋体"/>
                <w:kern w:val="0"/>
                <w:sz w:val="18"/>
                <w:szCs w:val="21"/>
              </w:rPr>
              <w:t>0.15</w:t>
            </w:r>
          </w:p>
        </w:tc>
        <w:tc>
          <w:tcPr>
            <w:tcW w:w="297" w:type="pct"/>
            <w:shd w:val="clear" w:color="auto" w:fill="auto"/>
            <w:noWrap/>
            <w:vAlign w:val="center"/>
          </w:tcPr>
          <w:p w14:paraId="2CA25F88">
            <w:pPr>
              <w:pStyle w:val="23"/>
              <w:jc w:val="center"/>
              <w:rPr>
                <w:rFonts w:ascii="宋体" w:hAnsi="宋体"/>
                <w:kern w:val="0"/>
                <w:sz w:val="18"/>
                <w:szCs w:val="21"/>
              </w:rPr>
            </w:pPr>
            <w:r>
              <w:rPr>
                <w:rFonts w:ascii="宋体" w:hAnsi="宋体"/>
                <w:kern w:val="0"/>
                <w:sz w:val="18"/>
                <w:szCs w:val="21"/>
              </w:rPr>
              <w:t>0.454</w:t>
            </w:r>
          </w:p>
        </w:tc>
        <w:tc>
          <w:tcPr>
            <w:tcW w:w="297" w:type="pct"/>
            <w:shd w:val="clear" w:color="auto" w:fill="auto"/>
            <w:noWrap/>
            <w:vAlign w:val="center"/>
          </w:tcPr>
          <w:p w14:paraId="5BDC90C8">
            <w:pPr>
              <w:pStyle w:val="23"/>
              <w:jc w:val="center"/>
              <w:rPr>
                <w:rFonts w:ascii="宋体" w:hAnsi="宋体"/>
                <w:kern w:val="0"/>
                <w:sz w:val="18"/>
                <w:szCs w:val="21"/>
              </w:rPr>
            </w:pPr>
            <w:r>
              <w:rPr>
                <w:rFonts w:ascii="宋体" w:hAnsi="宋体"/>
                <w:kern w:val="0"/>
                <w:sz w:val="18"/>
                <w:szCs w:val="21"/>
              </w:rPr>
              <w:t>0.0018</w:t>
            </w:r>
          </w:p>
        </w:tc>
        <w:tc>
          <w:tcPr>
            <w:tcW w:w="297" w:type="pct"/>
            <w:shd w:val="clear" w:color="auto" w:fill="auto"/>
            <w:noWrap/>
            <w:vAlign w:val="center"/>
          </w:tcPr>
          <w:p w14:paraId="20E01541">
            <w:pPr>
              <w:pStyle w:val="23"/>
              <w:jc w:val="center"/>
              <w:rPr>
                <w:rFonts w:ascii="宋体" w:hAnsi="宋体"/>
                <w:kern w:val="0"/>
                <w:sz w:val="18"/>
                <w:szCs w:val="21"/>
              </w:rPr>
            </w:pPr>
            <w:r>
              <w:rPr>
                <w:rFonts w:ascii="宋体" w:hAnsi="宋体"/>
                <w:kern w:val="0"/>
                <w:sz w:val="18"/>
                <w:szCs w:val="21"/>
              </w:rPr>
              <w:t>3400</w:t>
            </w:r>
          </w:p>
        </w:tc>
        <w:tc>
          <w:tcPr>
            <w:tcW w:w="297" w:type="pct"/>
            <w:shd w:val="clear" w:color="auto" w:fill="auto"/>
            <w:noWrap/>
            <w:vAlign w:val="center"/>
          </w:tcPr>
          <w:p w14:paraId="10A1A949">
            <w:pPr>
              <w:pStyle w:val="23"/>
              <w:jc w:val="center"/>
              <w:rPr>
                <w:rFonts w:ascii="宋体" w:hAnsi="宋体"/>
                <w:kern w:val="0"/>
                <w:sz w:val="18"/>
                <w:szCs w:val="21"/>
              </w:rPr>
            </w:pPr>
          </w:p>
        </w:tc>
        <w:tc>
          <w:tcPr>
            <w:tcW w:w="297" w:type="pct"/>
            <w:shd w:val="clear" w:color="auto" w:fill="auto"/>
            <w:noWrap/>
            <w:vAlign w:val="center"/>
          </w:tcPr>
          <w:p w14:paraId="30858396">
            <w:pPr>
              <w:pStyle w:val="23"/>
              <w:jc w:val="center"/>
              <w:rPr>
                <w:rFonts w:ascii="宋体" w:hAnsi="宋体"/>
                <w:kern w:val="0"/>
                <w:sz w:val="18"/>
                <w:szCs w:val="21"/>
              </w:rPr>
            </w:pPr>
          </w:p>
        </w:tc>
        <w:tc>
          <w:tcPr>
            <w:tcW w:w="427" w:type="pct"/>
            <w:vMerge w:val="continue"/>
            <w:vAlign w:val="center"/>
          </w:tcPr>
          <w:p w14:paraId="11A24439">
            <w:pPr>
              <w:pStyle w:val="23"/>
              <w:jc w:val="center"/>
              <w:rPr>
                <w:rFonts w:ascii="宋体" w:hAnsi="宋体"/>
                <w:kern w:val="0"/>
                <w:sz w:val="18"/>
                <w:szCs w:val="21"/>
              </w:rPr>
            </w:pPr>
          </w:p>
        </w:tc>
      </w:tr>
      <w:tr w14:paraId="0D983FA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97" w:type="pct"/>
            <w:vMerge w:val="continue"/>
            <w:vAlign w:val="center"/>
          </w:tcPr>
          <w:p w14:paraId="239A691E">
            <w:pPr>
              <w:pStyle w:val="23"/>
              <w:jc w:val="center"/>
              <w:rPr>
                <w:rFonts w:ascii="宋体" w:hAnsi="宋体"/>
                <w:kern w:val="0"/>
                <w:sz w:val="18"/>
                <w:szCs w:val="21"/>
              </w:rPr>
            </w:pPr>
          </w:p>
        </w:tc>
        <w:tc>
          <w:tcPr>
            <w:tcW w:w="414" w:type="pct"/>
            <w:shd w:val="clear" w:color="auto" w:fill="auto"/>
            <w:noWrap/>
            <w:vAlign w:val="center"/>
          </w:tcPr>
          <w:p w14:paraId="054844CD">
            <w:pPr>
              <w:pStyle w:val="23"/>
              <w:jc w:val="center"/>
              <w:rPr>
                <w:rFonts w:ascii="宋体" w:hAnsi="宋体"/>
                <w:kern w:val="0"/>
                <w:sz w:val="18"/>
                <w:szCs w:val="21"/>
              </w:rPr>
            </w:pPr>
            <w:r>
              <w:rPr>
                <w:rFonts w:ascii="宋体" w:hAnsi="宋体"/>
                <w:kern w:val="0"/>
                <w:sz w:val="18"/>
                <w:szCs w:val="21"/>
              </w:rPr>
              <w:t>最小值</w:t>
            </w:r>
          </w:p>
        </w:tc>
        <w:tc>
          <w:tcPr>
            <w:tcW w:w="297" w:type="pct"/>
            <w:shd w:val="clear" w:color="auto" w:fill="auto"/>
            <w:noWrap/>
            <w:vAlign w:val="center"/>
          </w:tcPr>
          <w:p w14:paraId="60F5199C">
            <w:pPr>
              <w:pStyle w:val="23"/>
              <w:jc w:val="center"/>
              <w:rPr>
                <w:rFonts w:ascii="宋体" w:hAnsi="宋体"/>
                <w:kern w:val="0"/>
                <w:sz w:val="18"/>
                <w:szCs w:val="21"/>
              </w:rPr>
            </w:pPr>
            <w:r>
              <w:rPr>
                <w:rFonts w:ascii="宋体" w:hAnsi="宋体"/>
                <w:kern w:val="0"/>
                <w:sz w:val="18"/>
                <w:szCs w:val="21"/>
              </w:rPr>
              <w:t>7</w:t>
            </w:r>
          </w:p>
        </w:tc>
        <w:tc>
          <w:tcPr>
            <w:tcW w:w="297" w:type="pct"/>
            <w:shd w:val="clear" w:color="auto" w:fill="auto"/>
            <w:noWrap/>
            <w:vAlign w:val="center"/>
          </w:tcPr>
          <w:p w14:paraId="739BA535">
            <w:pPr>
              <w:pStyle w:val="23"/>
              <w:jc w:val="center"/>
              <w:rPr>
                <w:rFonts w:ascii="宋体" w:hAnsi="宋体"/>
                <w:kern w:val="0"/>
                <w:sz w:val="18"/>
                <w:szCs w:val="21"/>
              </w:rPr>
            </w:pPr>
            <w:r>
              <w:rPr>
                <w:rFonts w:ascii="宋体" w:hAnsi="宋体"/>
                <w:kern w:val="0"/>
                <w:sz w:val="18"/>
                <w:szCs w:val="21"/>
              </w:rPr>
              <w:t>7.09</w:t>
            </w:r>
          </w:p>
        </w:tc>
        <w:tc>
          <w:tcPr>
            <w:tcW w:w="297" w:type="pct"/>
            <w:shd w:val="clear" w:color="auto" w:fill="auto"/>
            <w:noWrap/>
            <w:vAlign w:val="center"/>
          </w:tcPr>
          <w:p w14:paraId="7A62BB01">
            <w:pPr>
              <w:pStyle w:val="23"/>
              <w:jc w:val="center"/>
              <w:rPr>
                <w:rFonts w:ascii="宋体" w:hAnsi="宋体"/>
                <w:kern w:val="0"/>
                <w:sz w:val="18"/>
                <w:szCs w:val="21"/>
              </w:rPr>
            </w:pPr>
            <w:r>
              <w:rPr>
                <w:rFonts w:ascii="宋体" w:hAnsi="宋体"/>
                <w:kern w:val="0"/>
                <w:sz w:val="18"/>
                <w:szCs w:val="21"/>
              </w:rPr>
              <w:t>7.20</w:t>
            </w:r>
          </w:p>
        </w:tc>
        <w:tc>
          <w:tcPr>
            <w:tcW w:w="297" w:type="pct"/>
            <w:shd w:val="clear" w:color="auto" w:fill="auto"/>
            <w:noWrap/>
            <w:vAlign w:val="center"/>
          </w:tcPr>
          <w:p w14:paraId="5783C9D4">
            <w:pPr>
              <w:pStyle w:val="23"/>
              <w:jc w:val="center"/>
              <w:rPr>
                <w:rFonts w:ascii="宋体" w:hAnsi="宋体"/>
                <w:kern w:val="0"/>
                <w:sz w:val="18"/>
                <w:szCs w:val="21"/>
              </w:rPr>
            </w:pPr>
            <w:r>
              <w:rPr>
                <w:rFonts w:ascii="宋体" w:hAnsi="宋体"/>
                <w:kern w:val="0"/>
                <w:sz w:val="18"/>
                <w:szCs w:val="21"/>
              </w:rPr>
              <w:t>1.79</w:t>
            </w:r>
          </w:p>
        </w:tc>
        <w:tc>
          <w:tcPr>
            <w:tcW w:w="297" w:type="pct"/>
            <w:shd w:val="clear" w:color="auto" w:fill="auto"/>
            <w:noWrap/>
            <w:vAlign w:val="center"/>
          </w:tcPr>
          <w:p w14:paraId="2BF7D7D4">
            <w:pPr>
              <w:pStyle w:val="23"/>
              <w:jc w:val="center"/>
              <w:rPr>
                <w:rFonts w:ascii="宋体" w:hAnsi="宋体"/>
                <w:kern w:val="0"/>
                <w:sz w:val="18"/>
                <w:szCs w:val="21"/>
              </w:rPr>
            </w:pPr>
            <w:r>
              <w:rPr>
                <w:rFonts w:ascii="宋体" w:hAnsi="宋体"/>
                <w:kern w:val="0"/>
                <w:sz w:val="18"/>
                <w:szCs w:val="21"/>
              </w:rPr>
              <w:t>5.4</w:t>
            </w:r>
          </w:p>
        </w:tc>
        <w:tc>
          <w:tcPr>
            <w:tcW w:w="297" w:type="pct"/>
            <w:shd w:val="clear" w:color="auto" w:fill="auto"/>
            <w:noWrap/>
            <w:vAlign w:val="center"/>
          </w:tcPr>
          <w:p w14:paraId="20BC7445">
            <w:pPr>
              <w:pStyle w:val="23"/>
              <w:jc w:val="center"/>
              <w:rPr>
                <w:rFonts w:ascii="宋体" w:hAnsi="宋体"/>
                <w:kern w:val="0"/>
                <w:sz w:val="18"/>
                <w:szCs w:val="21"/>
              </w:rPr>
            </w:pPr>
            <w:r>
              <w:rPr>
                <w:rFonts w:ascii="宋体" w:hAnsi="宋体"/>
                <w:kern w:val="0"/>
                <w:sz w:val="18"/>
                <w:szCs w:val="21"/>
              </w:rPr>
              <w:t>2.2</w:t>
            </w:r>
          </w:p>
        </w:tc>
        <w:tc>
          <w:tcPr>
            <w:tcW w:w="297" w:type="pct"/>
            <w:shd w:val="clear" w:color="auto" w:fill="auto"/>
            <w:noWrap/>
            <w:vAlign w:val="center"/>
          </w:tcPr>
          <w:p w14:paraId="0A8199B4">
            <w:pPr>
              <w:pStyle w:val="23"/>
              <w:jc w:val="center"/>
              <w:rPr>
                <w:rFonts w:ascii="宋体" w:hAnsi="宋体"/>
                <w:kern w:val="0"/>
                <w:sz w:val="18"/>
                <w:szCs w:val="21"/>
              </w:rPr>
            </w:pPr>
            <w:r>
              <w:rPr>
                <w:rFonts w:ascii="宋体" w:hAnsi="宋体"/>
                <w:kern w:val="0"/>
                <w:sz w:val="18"/>
                <w:szCs w:val="21"/>
              </w:rPr>
              <w:t>0.213</w:t>
            </w:r>
          </w:p>
        </w:tc>
        <w:tc>
          <w:tcPr>
            <w:tcW w:w="297" w:type="pct"/>
            <w:shd w:val="clear" w:color="auto" w:fill="auto"/>
            <w:noWrap/>
            <w:vAlign w:val="center"/>
          </w:tcPr>
          <w:p w14:paraId="58A7C361">
            <w:pPr>
              <w:pStyle w:val="23"/>
              <w:jc w:val="center"/>
              <w:rPr>
                <w:rFonts w:ascii="宋体" w:hAnsi="宋体"/>
                <w:kern w:val="0"/>
                <w:sz w:val="18"/>
                <w:szCs w:val="21"/>
              </w:rPr>
            </w:pPr>
            <w:r>
              <w:rPr>
                <w:rFonts w:ascii="宋体" w:hAnsi="宋体"/>
                <w:kern w:val="0"/>
                <w:sz w:val="18"/>
                <w:szCs w:val="21"/>
              </w:rPr>
              <w:t>0.06</w:t>
            </w:r>
          </w:p>
        </w:tc>
        <w:tc>
          <w:tcPr>
            <w:tcW w:w="297" w:type="pct"/>
            <w:shd w:val="clear" w:color="auto" w:fill="auto"/>
            <w:noWrap/>
            <w:vAlign w:val="center"/>
          </w:tcPr>
          <w:p w14:paraId="093B21AA">
            <w:pPr>
              <w:pStyle w:val="23"/>
              <w:jc w:val="center"/>
              <w:rPr>
                <w:rFonts w:ascii="宋体" w:hAnsi="宋体"/>
                <w:kern w:val="0"/>
                <w:sz w:val="18"/>
                <w:szCs w:val="21"/>
              </w:rPr>
            </w:pPr>
            <w:r>
              <w:rPr>
                <w:rFonts w:ascii="宋体" w:hAnsi="宋体"/>
                <w:kern w:val="0"/>
                <w:sz w:val="18"/>
                <w:szCs w:val="21"/>
              </w:rPr>
              <w:t>0.229</w:t>
            </w:r>
          </w:p>
        </w:tc>
        <w:tc>
          <w:tcPr>
            <w:tcW w:w="297" w:type="pct"/>
            <w:shd w:val="clear" w:color="auto" w:fill="auto"/>
            <w:noWrap/>
            <w:vAlign w:val="center"/>
          </w:tcPr>
          <w:p w14:paraId="36E0E729">
            <w:pPr>
              <w:pStyle w:val="23"/>
              <w:jc w:val="center"/>
              <w:rPr>
                <w:rFonts w:ascii="宋体" w:hAnsi="宋体"/>
                <w:kern w:val="0"/>
                <w:sz w:val="18"/>
                <w:szCs w:val="21"/>
              </w:rPr>
            </w:pPr>
            <w:r>
              <w:rPr>
                <w:rFonts w:ascii="宋体" w:hAnsi="宋体"/>
                <w:kern w:val="0"/>
                <w:sz w:val="18"/>
                <w:szCs w:val="21"/>
              </w:rPr>
              <w:t>0.001</w:t>
            </w:r>
          </w:p>
        </w:tc>
        <w:tc>
          <w:tcPr>
            <w:tcW w:w="297" w:type="pct"/>
            <w:shd w:val="clear" w:color="auto" w:fill="auto"/>
            <w:noWrap/>
            <w:vAlign w:val="center"/>
          </w:tcPr>
          <w:p w14:paraId="3929DE87">
            <w:pPr>
              <w:pStyle w:val="23"/>
              <w:jc w:val="center"/>
              <w:rPr>
                <w:rFonts w:ascii="宋体" w:hAnsi="宋体"/>
                <w:kern w:val="0"/>
                <w:sz w:val="18"/>
                <w:szCs w:val="21"/>
              </w:rPr>
            </w:pPr>
            <w:r>
              <w:rPr>
                <w:rFonts w:ascii="宋体" w:hAnsi="宋体"/>
                <w:kern w:val="0"/>
                <w:sz w:val="18"/>
                <w:szCs w:val="21"/>
              </w:rPr>
              <w:t>1400</w:t>
            </w:r>
          </w:p>
        </w:tc>
        <w:tc>
          <w:tcPr>
            <w:tcW w:w="297" w:type="pct"/>
            <w:shd w:val="clear" w:color="auto" w:fill="auto"/>
            <w:noWrap/>
            <w:vAlign w:val="center"/>
          </w:tcPr>
          <w:p w14:paraId="3E202E74">
            <w:pPr>
              <w:pStyle w:val="23"/>
              <w:jc w:val="center"/>
              <w:rPr>
                <w:rFonts w:ascii="宋体" w:hAnsi="宋体"/>
                <w:kern w:val="0"/>
                <w:sz w:val="18"/>
                <w:szCs w:val="21"/>
              </w:rPr>
            </w:pPr>
          </w:p>
        </w:tc>
        <w:tc>
          <w:tcPr>
            <w:tcW w:w="297" w:type="pct"/>
            <w:shd w:val="clear" w:color="auto" w:fill="auto"/>
            <w:noWrap/>
            <w:vAlign w:val="center"/>
          </w:tcPr>
          <w:p w14:paraId="7F0F0FE5">
            <w:pPr>
              <w:pStyle w:val="23"/>
              <w:jc w:val="center"/>
              <w:rPr>
                <w:rFonts w:ascii="宋体" w:hAnsi="宋体"/>
                <w:kern w:val="0"/>
                <w:sz w:val="18"/>
                <w:szCs w:val="21"/>
              </w:rPr>
            </w:pPr>
          </w:p>
        </w:tc>
        <w:tc>
          <w:tcPr>
            <w:tcW w:w="427" w:type="pct"/>
            <w:vMerge w:val="continue"/>
            <w:vAlign w:val="center"/>
          </w:tcPr>
          <w:p w14:paraId="52F2BFBC">
            <w:pPr>
              <w:pStyle w:val="23"/>
              <w:jc w:val="center"/>
              <w:rPr>
                <w:rFonts w:ascii="宋体" w:hAnsi="宋体"/>
                <w:kern w:val="0"/>
                <w:sz w:val="18"/>
                <w:szCs w:val="21"/>
              </w:rPr>
            </w:pPr>
          </w:p>
        </w:tc>
      </w:tr>
      <w:tr w14:paraId="4A2AA82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97" w:type="pct"/>
            <w:vMerge w:val="continue"/>
            <w:vAlign w:val="center"/>
          </w:tcPr>
          <w:p w14:paraId="7374BCA2">
            <w:pPr>
              <w:pStyle w:val="23"/>
              <w:jc w:val="center"/>
              <w:rPr>
                <w:rFonts w:ascii="宋体" w:hAnsi="宋体"/>
                <w:kern w:val="0"/>
                <w:sz w:val="18"/>
                <w:szCs w:val="21"/>
              </w:rPr>
            </w:pPr>
          </w:p>
        </w:tc>
        <w:tc>
          <w:tcPr>
            <w:tcW w:w="414" w:type="pct"/>
            <w:shd w:val="clear" w:color="auto" w:fill="auto"/>
            <w:noWrap/>
            <w:vAlign w:val="center"/>
          </w:tcPr>
          <w:p w14:paraId="0783CDDA">
            <w:pPr>
              <w:pStyle w:val="23"/>
              <w:jc w:val="center"/>
              <w:rPr>
                <w:rFonts w:ascii="宋体" w:hAnsi="宋体"/>
                <w:kern w:val="0"/>
                <w:sz w:val="18"/>
                <w:szCs w:val="21"/>
              </w:rPr>
            </w:pPr>
            <w:r>
              <w:rPr>
                <w:rFonts w:ascii="宋体" w:hAnsi="宋体"/>
                <w:kern w:val="0"/>
                <w:sz w:val="18"/>
                <w:szCs w:val="21"/>
              </w:rPr>
              <w:t>平均值</w:t>
            </w:r>
          </w:p>
        </w:tc>
        <w:tc>
          <w:tcPr>
            <w:tcW w:w="297" w:type="pct"/>
            <w:shd w:val="clear" w:color="auto" w:fill="auto"/>
            <w:noWrap/>
            <w:vAlign w:val="center"/>
          </w:tcPr>
          <w:p w14:paraId="21A23BF7">
            <w:pPr>
              <w:pStyle w:val="23"/>
              <w:jc w:val="center"/>
              <w:rPr>
                <w:rFonts w:ascii="宋体" w:hAnsi="宋体"/>
                <w:kern w:val="0"/>
                <w:sz w:val="18"/>
                <w:szCs w:val="21"/>
              </w:rPr>
            </w:pPr>
            <w:r>
              <w:rPr>
                <w:rFonts w:ascii="宋体" w:hAnsi="宋体"/>
                <w:kern w:val="0"/>
                <w:sz w:val="18"/>
                <w:szCs w:val="21"/>
              </w:rPr>
              <w:t>20</w:t>
            </w:r>
          </w:p>
        </w:tc>
        <w:tc>
          <w:tcPr>
            <w:tcW w:w="297" w:type="pct"/>
            <w:shd w:val="clear" w:color="auto" w:fill="auto"/>
            <w:noWrap/>
            <w:vAlign w:val="center"/>
          </w:tcPr>
          <w:p w14:paraId="67B22FA3">
            <w:pPr>
              <w:pStyle w:val="23"/>
              <w:jc w:val="center"/>
              <w:rPr>
                <w:rFonts w:ascii="宋体" w:hAnsi="宋体"/>
                <w:kern w:val="0"/>
                <w:sz w:val="18"/>
                <w:szCs w:val="21"/>
              </w:rPr>
            </w:pPr>
            <w:r>
              <w:rPr>
                <w:rFonts w:ascii="宋体" w:hAnsi="宋体"/>
                <w:kern w:val="0"/>
                <w:sz w:val="18"/>
                <w:szCs w:val="21"/>
              </w:rPr>
              <w:t>7.38</w:t>
            </w:r>
          </w:p>
        </w:tc>
        <w:tc>
          <w:tcPr>
            <w:tcW w:w="297" w:type="pct"/>
            <w:shd w:val="clear" w:color="auto" w:fill="auto"/>
            <w:noWrap/>
            <w:vAlign w:val="center"/>
          </w:tcPr>
          <w:p w14:paraId="4760CBF4">
            <w:pPr>
              <w:pStyle w:val="23"/>
              <w:jc w:val="center"/>
              <w:rPr>
                <w:rFonts w:ascii="宋体" w:hAnsi="宋体"/>
                <w:kern w:val="0"/>
                <w:sz w:val="18"/>
                <w:szCs w:val="21"/>
              </w:rPr>
            </w:pPr>
            <w:r>
              <w:rPr>
                <w:rFonts w:ascii="宋体" w:hAnsi="宋体"/>
                <w:kern w:val="0"/>
                <w:sz w:val="18"/>
                <w:szCs w:val="21"/>
              </w:rPr>
              <w:t>7.92</w:t>
            </w:r>
          </w:p>
        </w:tc>
        <w:tc>
          <w:tcPr>
            <w:tcW w:w="297" w:type="pct"/>
            <w:shd w:val="clear" w:color="auto" w:fill="auto"/>
            <w:noWrap/>
            <w:vAlign w:val="center"/>
          </w:tcPr>
          <w:p w14:paraId="5921C5CC">
            <w:pPr>
              <w:pStyle w:val="23"/>
              <w:jc w:val="center"/>
              <w:rPr>
                <w:rFonts w:ascii="宋体" w:hAnsi="宋体"/>
                <w:kern w:val="0"/>
                <w:sz w:val="18"/>
                <w:szCs w:val="21"/>
              </w:rPr>
            </w:pPr>
            <w:r>
              <w:rPr>
                <w:rFonts w:ascii="宋体" w:hAnsi="宋体"/>
                <w:kern w:val="0"/>
                <w:sz w:val="18"/>
                <w:szCs w:val="21"/>
              </w:rPr>
              <w:t>2.73</w:t>
            </w:r>
          </w:p>
        </w:tc>
        <w:tc>
          <w:tcPr>
            <w:tcW w:w="297" w:type="pct"/>
            <w:shd w:val="clear" w:color="auto" w:fill="auto"/>
            <w:noWrap/>
            <w:vAlign w:val="center"/>
          </w:tcPr>
          <w:p w14:paraId="2227B355">
            <w:pPr>
              <w:pStyle w:val="23"/>
              <w:jc w:val="center"/>
              <w:rPr>
                <w:rFonts w:ascii="宋体" w:hAnsi="宋体"/>
                <w:kern w:val="0"/>
                <w:sz w:val="18"/>
                <w:szCs w:val="21"/>
              </w:rPr>
            </w:pPr>
            <w:r>
              <w:rPr>
                <w:rFonts w:ascii="宋体" w:hAnsi="宋体"/>
                <w:kern w:val="0"/>
                <w:sz w:val="18"/>
                <w:szCs w:val="21"/>
              </w:rPr>
              <w:t>9.0</w:t>
            </w:r>
          </w:p>
        </w:tc>
        <w:tc>
          <w:tcPr>
            <w:tcW w:w="297" w:type="pct"/>
            <w:shd w:val="clear" w:color="auto" w:fill="auto"/>
            <w:noWrap/>
            <w:vAlign w:val="center"/>
          </w:tcPr>
          <w:p w14:paraId="444CB5DB">
            <w:pPr>
              <w:pStyle w:val="23"/>
              <w:jc w:val="center"/>
              <w:rPr>
                <w:rFonts w:ascii="宋体" w:hAnsi="宋体"/>
                <w:kern w:val="0"/>
                <w:sz w:val="18"/>
                <w:szCs w:val="21"/>
              </w:rPr>
            </w:pPr>
            <w:r>
              <w:rPr>
                <w:rFonts w:ascii="宋体" w:hAnsi="宋体"/>
                <w:kern w:val="0"/>
                <w:sz w:val="18"/>
                <w:szCs w:val="21"/>
              </w:rPr>
              <w:t>2.7</w:t>
            </w:r>
          </w:p>
        </w:tc>
        <w:tc>
          <w:tcPr>
            <w:tcW w:w="297" w:type="pct"/>
            <w:shd w:val="clear" w:color="auto" w:fill="auto"/>
            <w:noWrap/>
            <w:vAlign w:val="center"/>
          </w:tcPr>
          <w:p w14:paraId="7B4DD70C">
            <w:pPr>
              <w:pStyle w:val="23"/>
              <w:jc w:val="center"/>
              <w:rPr>
                <w:rFonts w:ascii="宋体" w:hAnsi="宋体"/>
                <w:kern w:val="0"/>
                <w:sz w:val="18"/>
                <w:szCs w:val="21"/>
              </w:rPr>
            </w:pPr>
            <w:r>
              <w:rPr>
                <w:rFonts w:ascii="宋体" w:hAnsi="宋体"/>
                <w:kern w:val="0"/>
                <w:sz w:val="18"/>
                <w:szCs w:val="21"/>
              </w:rPr>
              <w:t>0.370</w:t>
            </w:r>
          </w:p>
        </w:tc>
        <w:tc>
          <w:tcPr>
            <w:tcW w:w="297" w:type="pct"/>
            <w:shd w:val="clear" w:color="auto" w:fill="auto"/>
            <w:noWrap/>
            <w:vAlign w:val="center"/>
          </w:tcPr>
          <w:p w14:paraId="57BE6B8B">
            <w:pPr>
              <w:pStyle w:val="23"/>
              <w:jc w:val="center"/>
              <w:rPr>
                <w:rFonts w:ascii="宋体" w:hAnsi="宋体"/>
                <w:kern w:val="0"/>
                <w:sz w:val="18"/>
                <w:szCs w:val="21"/>
              </w:rPr>
            </w:pPr>
            <w:r>
              <w:rPr>
                <w:rFonts w:ascii="宋体" w:hAnsi="宋体"/>
                <w:kern w:val="0"/>
                <w:sz w:val="18"/>
                <w:szCs w:val="21"/>
              </w:rPr>
              <w:t>0.10</w:t>
            </w:r>
          </w:p>
        </w:tc>
        <w:tc>
          <w:tcPr>
            <w:tcW w:w="297" w:type="pct"/>
            <w:shd w:val="clear" w:color="auto" w:fill="auto"/>
            <w:noWrap/>
            <w:vAlign w:val="center"/>
          </w:tcPr>
          <w:p w14:paraId="41AB4244">
            <w:pPr>
              <w:pStyle w:val="23"/>
              <w:jc w:val="center"/>
              <w:rPr>
                <w:rFonts w:ascii="宋体" w:hAnsi="宋体"/>
                <w:kern w:val="0"/>
                <w:sz w:val="18"/>
                <w:szCs w:val="21"/>
              </w:rPr>
            </w:pPr>
            <w:r>
              <w:rPr>
                <w:rFonts w:ascii="宋体" w:hAnsi="宋体"/>
                <w:kern w:val="0"/>
                <w:sz w:val="18"/>
                <w:szCs w:val="21"/>
              </w:rPr>
              <w:t>0.3140</w:t>
            </w:r>
          </w:p>
        </w:tc>
        <w:tc>
          <w:tcPr>
            <w:tcW w:w="297" w:type="pct"/>
            <w:shd w:val="clear" w:color="auto" w:fill="auto"/>
            <w:noWrap/>
            <w:vAlign w:val="center"/>
          </w:tcPr>
          <w:p w14:paraId="76096E05">
            <w:pPr>
              <w:pStyle w:val="23"/>
              <w:jc w:val="center"/>
              <w:rPr>
                <w:rFonts w:ascii="宋体" w:hAnsi="宋体"/>
                <w:kern w:val="0"/>
                <w:sz w:val="18"/>
                <w:szCs w:val="21"/>
              </w:rPr>
            </w:pPr>
            <w:r>
              <w:rPr>
                <w:rFonts w:ascii="宋体" w:hAnsi="宋体"/>
                <w:kern w:val="0"/>
                <w:sz w:val="18"/>
                <w:szCs w:val="21"/>
              </w:rPr>
              <w:t>0.0015</w:t>
            </w:r>
          </w:p>
        </w:tc>
        <w:tc>
          <w:tcPr>
            <w:tcW w:w="297" w:type="pct"/>
            <w:shd w:val="clear" w:color="auto" w:fill="auto"/>
            <w:noWrap/>
            <w:vAlign w:val="center"/>
          </w:tcPr>
          <w:p w14:paraId="571806B2">
            <w:pPr>
              <w:pStyle w:val="23"/>
              <w:jc w:val="center"/>
              <w:rPr>
                <w:rFonts w:ascii="宋体" w:hAnsi="宋体"/>
                <w:kern w:val="0"/>
                <w:sz w:val="18"/>
                <w:szCs w:val="21"/>
              </w:rPr>
            </w:pPr>
            <w:r>
              <w:rPr>
                <w:rFonts w:ascii="宋体" w:hAnsi="宋体"/>
                <w:kern w:val="0"/>
                <w:sz w:val="18"/>
                <w:szCs w:val="21"/>
              </w:rPr>
              <w:t>2000</w:t>
            </w:r>
          </w:p>
        </w:tc>
        <w:tc>
          <w:tcPr>
            <w:tcW w:w="297" w:type="pct"/>
            <w:shd w:val="clear" w:color="auto" w:fill="auto"/>
            <w:noWrap/>
            <w:vAlign w:val="center"/>
          </w:tcPr>
          <w:p w14:paraId="5DAF51E7">
            <w:pPr>
              <w:pStyle w:val="23"/>
              <w:jc w:val="center"/>
              <w:rPr>
                <w:rFonts w:ascii="宋体" w:hAnsi="宋体"/>
                <w:kern w:val="0"/>
                <w:sz w:val="18"/>
                <w:szCs w:val="21"/>
              </w:rPr>
            </w:pPr>
          </w:p>
        </w:tc>
        <w:tc>
          <w:tcPr>
            <w:tcW w:w="297" w:type="pct"/>
            <w:shd w:val="clear" w:color="auto" w:fill="auto"/>
            <w:noWrap/>
            <w:vAlign w:val="center"/>
          </w:tcPr>
          <w:p w14:paraId="26C2B090">
            <w:pPr>
              <w:pStyle w:val="23"/>
              <w:jc w:val="center"/>
              <w:rPr>
                <w:rFonts w:ascii="宋体" w:hAnsi="宋体"/>
                <w:kern w:val="0"/>
                <w:sz w:val="18"/>
                <w:szCs w:val="21"/>
              </w:rPr>
            </w:pPr>
          </w:p>
        </w:tc>
        <w:tc>
          <w:tcPr>
            <w:tcW w:w="427" w:type="pct"/>
            <w:vMerge w:val="continue"/>
            <w:vAlign w:val="center"/>
          </w:tcPr>
          <w:p w14:paraId="53BEB85F">
            <w:pPr>
              <w:pStyle w:val="23"/>
              <w:jc w:val="center"/>
              <w:rPr>
                <w:rFonts w:ascii="宋体" w:hAnsi="宋体"/>
                <w:kern w:val="0"/>
                <w:sz w:val="18"/>
                <w:szCs w:val="21"/>
              </w:rPr>
            </w:pPr>
          </w:p>
        </w:tc>
      </w:tr>
      <w:tr w14:paraId="0926692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97" w:type="pct"/>
            <w:vMerge w:val="continue"/>
            <w:vAlign w:val="center"/>
          </w:tcPr>
          <w:p w14:paraId="23166B8E">
            <w:pPr>
              <w:pStyle w:val="23"/>
              <w:jc w:val="center"/>
              <w:rPr>
                <w:rFonts w:ascii="宋体" w:hAnsi="宋体"/>
                <w:kern w:val="0"/>
                <w:sz w:val="18"/>
                <w:szCs w:val="21"/>
              </w:rPr>
            </w:pPr>
          </w:p>
        </w:tc>
        <w:tc>
          <w:tcPr>
            <w:tcW w:w="414" w:type="pct"/>
            <w:shd w:val="clear" w:color="auto" w:fill="auto"/>
            <w:noWrap/>
            <w:vAlign w:val="center"/>
          </w:tcPr>
          <w:p w14:paraId="5230344B">
            <w:pPr>
              <w:pStyle w:val="23"/>
              <w:jc w:val="center"/>
              <w:rPr>
                <w:rFonts w:ascii="宋体" w:hAnsi="宋体"/>
                <w:kern w:val="0"/>
                <w:sz w:val="18"/>
                <w:szCs w:val="21"/>
              </w:rPr>
            </w:pPr>
            <w:r>
              <w:rPr>
                <w:rFonts w:ascii="宋体" w:hAnsi="宋体"/>
                <w:kern w:val="0"/>
                <w:sz w:val="18"/>
                <w:szCs w:val="21"/>
              </w:rPr>
              <w:t>超标率(%)</w:t>
            </w:r>
          </w:p>
        </w:tc>
        <w:tc>
          <w:tcPr>
            <w:tcW w:w="297" w:type="pct"/>
            <w:shd w:val="clear" w:color="auto" w:fill="auto"/>
            <w:noWrap/>
            <w:vAlign w:val="center"/>
          </w:tcPr>
          <w:p w14:paraId="37D5E986">
            <w:pPr>
              <w:pStyle w:val="23"/>
              <w:jc w:val="center"/>
              <w:rPr>
                <w:rFonts w:ascii="宋体" w:hAnsi="宋体"/>
                <w:kern w:val="0"/>
                <w:sz w:val="18"/>
                <w:szCs w:val="21"/>
              </w:rPr>
            </w:pPr>
          </w:p>
        </w:tc>
        <w:tc>
          <w:tcPr>
            <w:tcW w:w="297" w:type="pct"/>
            <w:shd w:val="clear" w:color="auto" w:fill="auto"/>
            <w:noWrap/>
            <w:vAlign w:val="center"/>
          </w:tcPr>
          <w:p w14:paraId="0DAAE868">
            <w:pPr>
              <w:pStyle w:val="23"/>
              <w:jc w:val="center"/>
              <w:rPr>
                <w:rFonts w:ascii="宋体" w:hAnsi="宋体"/>
                <w:kern w:val="0"/>
                <w:sz w:val="18"/>
                <w:szCs w:val="21"/>
              </w:rPr>
            </w:pPr>
            <w:r>
              <w:rPr>
                <w:rFonts w:ascii="宋体" w:hAnsi="宋体"/>
                <w:kern w:val="0"/>
                <w:sz w:val="18"/>
                <w:szCs w:val="21"/>
              </w:rPr>
              <w:t>0</w:t>
            </w:r>
          </w:p>
        </w:tc>
        <w:tc>
          <w:tcPr>
            <w:tcW w:w="297" w:type="pct"/>
            <w:shd w:val="clear" w:color="auto" w:fill="auto"/>
            <w:noWrap/>
            <w:vAlign w:val="center"/>
          </w:tcPr>
          <w:p w14:paraId="77A5D6DF">
            <w:pPr>
              <w:pStyle w:val="23"/>
              <w:jc w:val="center"/>
              <w:rPr>
                <w:rFonts w:ascii="宋体" w:hAnsi="宋体"/>
                <w:kern w:val="0"/>
                <w:sz w:val="18"/>
                <w:szCs w:val="21"/>
              </w:rPr>
            </w:pPr>
            <w:r>
              <w:rPr>
                <w:rFonts w:ascii="宋体" w:hAnsi="宋体"/>
                <w:kern w:val="0"/>
                <w:sz w:val="18"/>
                <w:szCs w:val="21"/>
              </w:rPr>
              <w:t>0</w:t>
            </w:r>
          </w:p>
        </w:tc>
        <w:tc>
          <w:tcPr>
            <w:tcW w:w="297" w:type="pct"/>
            <w:shd w:val="clear" w:color="auto" w:fill="auto"/>
            <w:noWrap/>
            <w:vAlign w:val="center"/>
          </w:tcPr>
          <w:p w14:paraId="4B3BC9DA">
            <w:pPr>
              <w:pStyle w:val="23"/>
              <w:jc w:val="center"/>
              <w:rPr>
                <w:rFonts w:ascii="宋体" w:hAnsi="宋体"/>
                <w:kern w:val="0"/>
                <w:sz w:val="18"/>
                <w:szCs w:val="21"/>
              </w:rPr>
            </w:pPr>
            <w:r>
              <w:rPr>
                <w:rFonts w:ascii="宋体" w:hAnsi="宋体"/>
                <w:kern w:val="0"/>
                <w:sz w:val="18"/>
                <w:szCs w:val="21"/>
              </w:rPr>
              <w:t>0</w:t>
            </w:r>
          </w:p>
        </w:tc>
        <w:tc>
          <w:tcPr>
            <w:tcW w:w="297" w:type="pct"/>
            <w:shd w:val="clear" w:color="auto" w:fill="auto"/>
            <w:noWrap/>
            <w:vAlign w:val="center"/>
          </w:tcPr>
          <w:p w14:paraId="5C21784D">
            <w:pPr>
              <w:pStyle w:val="23"/>
              <w:jc w:val="center"/>
              <w:rPr>
                <w:rFonts w:ascii="宋体" w:hAnsi="宋体"/>
                <w:kern w:val="0"/>
                <w:sz w:val="18"/>
                <w:szCs w:val="21"/>
              </w:rPr>
            </w:pPr>
            <w:r>
              <w:rPr>
                <w:rFonts w:ascii="宋体" w:hAnsi="宋体"/>
                <w:kern w:val="0"/>
                <w:sz w:val="18"/>
                <w:szCs w:val="21"/>
              </w:rPr>
              <w:t>0</w:t>
            </w:r>
          </w:p>
        </w:tc>
        <w:tc>
          <w:tcPr>
            <w:tcW w:w="297" w:type="pct"/>
            <w:shd w:val="clear" w:color="auto" w:fill="auto"/>
            <w:noWrap/>
            <w:vAlign w:val="center"/>
          </w:tcPr>
          <w:p w14:paraId="1730D177">
            <w:pPr>
              <w:pStyle w:val="23"/>
              <w:jc w:val="center"/>
              <w:rPr>
                <w:rFonts w:ascii="宋体" w:hAnsi="宋体"/>
                <w:kern w:val="0"/>
                <w:sz w:val="18"/>
                <w:szCs w:val="21"/>
              </w:rPr>
            </w:pPr>
            <w:r>
              <w:rPr>
                <w:rFonts w:ascii="宋体" w:hAnsi="宋体"/>
                <w:kern w:val="0"/>
                <w:sz w:val="18"/>
                <w:szCs w:val="21"/>
              </w:rPr>
              <w:t>0</w:t>
            </w:r>
          </w:p>
        </w:tc>
        <w:tc>
          <w:tcPr>
            <w:tcW w:w="297" w:type="pct"/>
            <w:shd w:val="clear" w:color="auto" w:fill="auto"/>
            <w:noWrap/>
            <w:vAlign w:val="center"/>
          </w:tcPr>
          <w:p w14:paraId="085A0E06">
            <w:pPr>
              <w:pStyle w:val="23"/>
              <w:jc w:val="center"/>
              <w:rPr>
                <w:rFonts w:ascii="宋体" w:hAnsi="宋体"/>
                <w:kern w:val="0"/>
                <w:sz w:val="18"/>
                <w:szCs w:val="21"/>
              </w:rPr>
            </w:pPr>
            <w:r>
              <w:rPr>
                <w:rFonts w:ascii="宋体" w:hAnsi="宋体"/>
                <w:kern w:val="0"/>
                <w:sz w:val="18"/>
                <w:szCs w:val="21"/>
              </w:rPr>
              <w:t>0</w:t>
            </w:r>
          </w:p>
        </w:tc>
        <w:tc>
          <w:tcPr>
            <w:tcW w:w="297" w:type="pct"/>
            <w:shd w:val="clear" w:color="auto" w:fill="auto"/>
            <w:noWrap/>
            <w:vAlign w:val="center"/>
          </w:tcPr>
          <w:p w14:paraId="4FD08E7C">
            <w:pPr>
              <w:pStyle w:val="23"/>
              <w:jc w:val="center"/>
              <w:rPr>
                <w:rFonts w:ascii="宋体" w:hAnsi="宋体"/>
                <w:kern w:val="0"/>
                <w:sz w:val="18"/>
                <w:szCs w:val="21"/>
              </w:rPr>
            </w:pPr>
            <w:r>
              <w:rPr>
                <w:rFonts w:ascii="宋体" w:hAnsi="宋体"/>
                <w:kern w:val="0"/>
                <w:sz w:val="18"/>
                <w:szCs w:val="21"/>
              </w:rPr>
              <w:t>0</w:t>
            </w:r>
          </w:p>
        </w:tc>
        <w:tc>
          <w:tcPr>
            <w:tcW w:w="297" w:type="pct"/>
            <w:shd w:val="clear" w:color="auto" w:fill="auto"/>
            <w:noWrap/>
            <w:vAlign w:val="center"/>
          </w:tcPr>
          <w:p w14:paraId="332B34CA">
            <w:pPr>
              <w:pStyle w:val="23"/>
              <w:jc w:val="center"/>
              <w:rPr>
                <w:rFonts w:ascii="宋体" w:hAnsi="宋体"/>
                <w:kern w:val="0"/>
                <w:sz w:val="18"/>
                <w:szCs w:val="21"/>
              </w:rPr>
            </w:pPr>
            <w:r>
              <w:rPr>
                <w:rFonts w:ascii="宋体" w:hAnsi="宋体"/>
                <w:kern w:val="0"/>
                <w:sz w:val="18"/>
                <w:szCs w:val="21"/>
              </w:rPr>
              <w:t>0</w:t>
            </w:r>
          </w:p>
        </w:tc>
        <w:tc>
          <w:tcPr>
            <w:tcW w:w="297" w:type="pct"/>
            <w:shd w:val="clear" w:color="auto" w:fill="auto"/>
            <w:noWrap/>
            <w:vAlign w:val="center"/>
          </w:tcPr>
          <w:p w14:paraId="6EA737AB">
            <w:pPr>
              <w:pStyle w:val="23"/>
              <w:jc w:val="center"/>
              <w:rPr>
                <w:rFonts w:ascii="宋体" w:hAnsi="宋体"/>
                <w:kern w:val="0"/>
                <w:sz w:val="18"/>
                <w:szCs w:val="21"/>
              </w:rPr>
            </w:pPr>
            <w:r>
              <w:rPr>
                <w:rFonts w:ascii="宋体" w:hAnsi="宋体"/>
                <w:kern w:val="0"/>
                <w:sz w:val="18"/>
                <w:szCs w:val="21"/>
              </w:rPr>
              <w:t>0</w:t>
            </w:r>
          </w:p>
        </w:tc>
        <w:tc>
          <w:tcPr>
            <w:tcW w:w="297" w:type="pct"/>
            <w:shd w:val="clear" w:color="auto" w:fill="auto"/>
            <w:noWrap/>
            <w:vAlign w:val="center"/>
          </w:tcPr>
          <w:p w14:paraId="729A886E">
            <w:pPr>
              <w:pStyle w:val="23"/>
              <w:jc w:val="center"/>
              <w:rPr>
                <w:rFonts w:ascii="宋体" w:hAnsi="宋体"/>
                <w:kern w:val="0"/>
                <w:sz w:val="18"/>
                <w:szCs w:val="21"/>
              </w:rPr>
            </w:pPr>
            <w:r>
              <w:rPr>
                <w:rFonts w:ascii="宋体" w:hAnsi="宋体"/>
                <w:kern w:val="0"/>
                <w:sz w:val="18"/>
                <w:szCs w:val="21"/>
              </w:rPr>
              <w:t>0</w:t>
            </w:r>
          </w:p>
        </w:tc>
        <w:tc>
          <w:tcPr>
            <w:tcW w:w="297" w:type="pct"/>
            <w:shd w:val="clear" w:color="auto" w:fill="auto"/>
            <w:noWrap/>
            <w:vAlign w:val="center"/>
          </w:tcPr>
          <w:p w14:paraId="4765C9B9">
            <w:pPr>
              <w:pStyle w:val="23"/>
              <w:jc w:val="center"/>
              <w:rPr>
                <w:rFonts w:ascii="宋体" w:hAnsi="宋体"/>
                <w:kern w:val="0"/>
                <w:sz w:val="18"/>
                <w:szCs w:val="21"/>
              </w:rPr>
            </w:pPr>
          </w:p>
        </w:tc>
        <w:tc>
          <w:tcPr>
            <w:tcW w:w="297" w:type="pct"/>
            <w:shd w:val="clear" w:color="auto" w:fill="auto"/>
            <w:noWrap/>
            <w:vAlign w:val="center"/>
          </w:tcPr>
          <w:p w14:paraId="20785C85">
            <w:pPr>
              <w:pStyle w:val="23"/>
              <w:jc w:val="center"/>
              <w:rPr>
                <w:rFonts w:ascii="宋体" w:hAnsi="宋体"/>
                <w:kern w:val="0"/>
                <w:sz w:val="18"/>
                <w:szCs w:val="21"/>
              </w:rPr>
            </w:pPr>
          </w:p>
        </w:tc>
        <w:tc>
          <w:tcPr>
            <w:tcW w:w="427" w:type="pct"/>
            <w:vMerge w:val="continue"/>
            <w:vAlign w:val="center"/>
          </w:tcPr>
          <w:p w14:paraId="037F01A9">
            <w:pPr>
              <w:pStyle w:val="23"/>
              <w:jc w:val="center"/>
              <w:rPr>
                <w:rFonts w:ascii="宋体" w:hAnsi="宋体"/>
                <w:kern w:val="0"/>
                <w:sz w:val="18"/>
                <w:szCs w:val="21"/>
              </w:rPr>
            </w:pPr>
          </w:p>
        </w:tc>
      </w:tr>
      <w:tr w14:paraId="14028FB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97" w:type="pct"/>
            <w:vMerge w:val="continue"/>
            <w:vAlign w:val="center"/>
          </w:tcPr>
          <w:p w14:paraId="77749A16">
            <w:pPr>
              <w:pStyle w:val="23"/>
              <w:jc w:val="center"/>
              <w:rPr>
                <w:rFonts w:ascii="宋体" w:hAnsi="宋体"/>
                <w:kern w:val="0"/>
                <w:sz w:val="18"/>
                <w:szCs w:val="21"/>
              </w:rPr>
            </w:pPr>
          </w:p>
        </w:tc>
        <w:tc>
          <w:tcPr>
            <w:tcW w:w="414" w:type="pct"/>
            <w:shd w:val="clear" w:color="auto" w:fill="auto"/>
            <w:noWrap/>
            <w:vAlign w:val="center"/>
          </w:tcPr>
          <w:p w14:paraId="784DAE8B">
            <w:pPr>
              <w:pStyle w:val="23"/>
              <w:jc w:val="center"/>
              <w:rPr>
                <w:rFonts w:ascii="宋体" w:hAnsi="宋体"/>
                <w:kern w:val="0"/>
                <w:sz w:val="18"/>
                <w:szCs w:val="21"/>
              </w:rPr>
            </w:pPr>
            <w:r>
              <w:rPr>
                <w:rFonts w:ascii="宋体" w:hAnsi="宋体"/>
                <w:kern w:val="0"/>
                <w:sz w:val="18"/>
                <w:szCs w:val="21"/>
              </w:rPr>
              <w:t>污染指数</w:t>
            </w:r>
          </w:p>
        </w:tc>
        <w:tc>
          <w:tcPr>
            <w:tcW w:w="297" w:type="pct"/>
            <w:shd w:val="clear" w:color="auto" w:fill="auto"/>
            <w:noWrap/>
            <w:vAlign w:val="center"/>
          </w:tcPr>
          <w:p w14:paraId="2904E571">
            <w:pPr>
              <w:pStyle w:val="23"/>
              <w:jc w:val="center"/>
              <w:rPr>
                <w:rFonts w:ascii="宋体" w:hAnsi="宋体"/>
                <w:kern w:val="0"/>
                <w:sz w:val="18"/>
                <w:szCs w:val="21"/>
              </w:rPr>
            </w:pPr>
          </w:p>
        </w:tc>
        <w:tc>
          <w:tcPr>
            <w:tcW w:w="297" w:type="pct"/>
            <w:shd w:val="clear" w:color="auto" w:fill="auto"/>
            <w:noWrap/>
            <w:vAlign w:val="center"/>
          </w:tcPr>
          <w:p w14:paraId="4CAADE66">
            <w:pPr>
              <w:pStyle w:val="23"/>
              <w:jc w:val="center"/>
              <w:rPr>
                <w:rFonts w:ascii="宋体" w:hAnsi="宋体"/>
                <w:kern w:val="0"/>
                <w:sz w:val="18"/>
                <w:szCs w:val="21"/>
              </w:rPr>
            </w:pPr>
            <w:r>
              <w:rPr>
                <w:rFonts w:ascii="宋体" w:hAnsi="宋体"/>
                <w:kern w:val="0"/>
                <w:sz w:val="18"/>
                <w:szCs w:val="21"/>
              </w:rPr>
              <w:t>0.19</w:t>
            </w:r>
          </w:p>
        </w:tc>
        <w:tc>
          <w:tcPr>
            <w:tcW w:w="297" w:type="pct"/>
            <w:shd w:val="clear" w:color="auto" w:fill="auto"/>
            <w:noWrap/>
            <w:vAlign w:val="center"/>
          </w:tcPr>
          <w:p w14:paraId="3570B067">
            <w:pPr>
              <w:pStyle w:val="23"/>
              <w:jc w:val="center"/>
              <w:rPr>
                <w:rFonts w:ascii="宋体" w:hAnsi="宋体"/>
                <w:kern w:val="0"/>
                <w:sz w:val="18"/>
                <w:szCs w:val="21"/>
              </w:rPr>
            </w:pPr>
            <w:r>
              <w:rPr>
                <w:rFonts w:ascii="宋体" w:hAnsi="宋体"/>
                <w:kern w:val="0"/>
                <w:sz w:val="18"/>
                <w:szCs w:val="21"/>
              </w:rPr>
              <w:t>0.4</w:t>
            </w:r>
          </w:p>
        </w:tc>
        <w:tc>
          <w:tcPr>
            <w:tcW w:w="297" w:type="pct"/>
            <w:shd w:val="clear" w:color="auto" w:fill="auto"/>
            <w:noWrap/>
            <w:vAlign w:val="center"/>
          </w:tcPr>
          <w:p w14:paraId="479325A6">
            <w:pPr>
              <w:pStyle w:val="23"/>
              <w:jc w:val="center"/>
              <w:rPr>
                <w:rFonts w:ascii="宋体" w:hAnsi="宋体"/>
                <w:kern w:val="0"/>
                <w:sz w:val="18"/>
                <w:szCs w:val="21"/>
              </w:rPr>
            </w:pPr>
            <w:r>
              <w:rPr>
                <w:rFonts w:ascii="宋体" w:hAnsi="宋体"/>
                <w:kern w:val="0"/>
                <w:sz w:val="18"/>
                <w:szCs w:val="21"/>
              </w:rPr>
              <w:t>0.5</w:t>
            </w:r>
          </w:p>
        </w:tc>
        <w:tc>
          <w:tcPr>
            <w:tcW w:w="297" w:type="pct"/>
            <w:shd w:val="clear" w:color="auto" w:fill="auto"/>
            <w:noWrap/>
            <w:vAlign w:val="center"/>
          </w:tcPr>
          <w:p w14:paraId="2FF40223">
            <w:pPr>
              <w:pStyle w:val="23"/>
              <w:jc w:val="center"/>
              <w:rPr>
                <w:rFonts w:ascii="宋体" w:hAnsi="宋体"/>
                <w:kern w:val="0"/>
                <w:sz w:val="18"/>
                <w:szCs w:val="21"/>
              </w:rPr>
            </w:pPr>
            <w:r>
              <w:rPr>
                <w:rFonts w:ascii="宋体" w:hAnsi="宋体"/>
                <w:kern w:val="0"/>
                <w:sz w:val="18"/>
                <w:szCs w:val="21"/>
              </w:rPr>
              <w:t>0.45</w:t>
            </w:r>
          </w:p>
        </w:tc>
        <w:tc>
          <w:tcPr>
            <w:tcW w:w="297" w:type="pct"/>
            <w:shd w:val="clear" w:color="auto" w:fill="auto"/>
            <w:noWrap/>
            <w:vAlign w:val="center"/>
          </w:tcPr>
          <w:p w14:paraId="5E335CB5">
            <w:pPr>
              <w:pStyle w:val="23"/>
              <w:jc w:val="center"/>
              <w:rPr>
                <w:rFonts w:ascii="宋体" w:hAnsi="宋体"/>
                <w:kern w:val="0"/>
                <w:sz w:val="18"/>
                <w:szCs w:val="21"/>
              </w:rPr>
            </w:pPr>
            <w:r>
              <w:rPr>
                <w:rFonts w:ascii="宋体" w:hAnsi="宋体"/>
                <w:kern w:val="0"/>
                <w:sz w:val="18"/>
                <w:szCs w:val="21"/>
              </w:rPr>
              <w:t>0.67</w:t>
            </w:r>
          </w:p>
        </w:tc>
        <w:tc>
          <w:tcPr>
            <w:tcW w:w="297" w:type="pct"/>
            <w:shd w:val="clear" w:color="auto" w:fill="auto"/>
            <w:noWrap/>
            <w:vAlign w:val="center"/>
          </w:tcPr>
          <w:p w14:paraId="0DD7B131">
            <w:pPr>
              <w:pStyle w:val="23"/>
              <w:jc w:val="center"/>
              <w:rPr>
                <w:rFonts w:ascii="宋体" w:hAnsi="宋体"/>
                <w:kern w:val="0"/>
                <w:sz w:val="18"/>
                <w:szCs w:val="21"/>
              </w:rPr>
            </w:pPr>
            <w:r>
              <w:rPr>
                <w:rFonts w:ascii="宋体" w:hAnsi="宋体"/>
                <w:kern w:val="0"/>
                <w:sz w:val="18"/>
                <w:szCs w:val="21"/>
              </w:rPr>
              <w:t>0.37</w:t>
            </w:r>
          </w:p>
        </w:tc>
        <w:tc>
          <w:tcPr>
            <w:tcW w:w="297" w:type="pct"/>
            <w:shd w:val="clear" w:color="auto" w:fill="auto"/>
            <w:noWrap/>
            <w:vAlign w:val="center"/>
          </w:tcPr>
          <w:p w14:paraId="190A7144">
            <w:pPr>
              <w:pStyle w:val="23"/>
              <w:jc w:val="center"/>
              <w:rPr>
                <w:rFonts w:ascii="宋体" w:hAnsi="宋体"/>
                <w:kern w:val="0"/>
                <w:sz w:val="18"/>
                <w:szCs w:val="21"/>
              </w:rPr>
            </w:pPr>
            <w:r>
              <w:rPr>
                <w:rFonts w:ascii="宋体" w:hAnsi="宋体"/>
                <w:kern w:val="0"/>
                <w:sz w:val="18"/>
                <w:szCs w:val="21"/>
              </w:rPr>
              <w:t>0.8</w:t>
            </w:r>
          </w:p>
        </w:tc>
        <w:tc>
          <w:tcPr>
            <w:tcW w:w="297" w:type="pct"/>
            <w:shd w:val="clear" w:color="auto" w:fill="auto"/>
            <w:noWrap/>
            <w:vAlign w:val="center"/>
          </w:tcPr>
          <w:p w14:paraId="4225FDFA">
            <w:pPr>
              <w:pStyle w:val="23"/>
              <w:jc w:val="center"/>
              <w:rPr>
                <w:rFonts w:ascii="宋体" w:hAnsi="宋体"/>
                <w:kern w:val="0"/>
                <w:sz w:val="18"/>
                <w:szCs w:val="21"/>
              </w:rPr>
            </w:pPr>
            <w:r>
              <w:rPr>
                <w:rFonts w:ascii="宋体" w:hAnsi="宋体"/>
                <w:kern w:val="0"/>
                <w:sz w:val="18"/>
                <w:szCs w:val="21"/>
              </w:rPr>
              <w:t>0.31</w:t>
            </w:r>
          </w:p>
        </w:tc>
        <w:tc>
          <w:tcPr>
            <w:tcW w:w="297" w:type="pct"/>
            <w:shd w:val="clear" w:color="auto" w:fill="auto"/>
            <w:noWrap/>
            <w:vAlign w:val="center"/>
          </w:tcPr>
          <w:p w14:paraId="74F32CA5">
            <w:pPr>
              <w:pStyle w:val="23"/>
              <w:jc w:val="center"/>
              <w:rPr>
                <w:rFonts w:ascii="宋体" w:hAnsi="宋体"/>
                <w:kern w:val="0"/>
                <w:sz w:val="18"/>
                <w:szCs w:val="21"/>
              </w:rPr>
            </w:pPr>
            <w:r>
              <w:rPr>
                <w:rFonts w:ascii="宋体" w:hAnsi="宋体"/>
                <w:kern w:val="0"/>
                <w:sz w:val="18"/>
                <w:szCs w:val="21"/>
              </w:rPr>
              <w:t>0.29</w:t>
            </w:r>
          </w:p>
        </w:tc>
        <w:tc>
          <w:tcPr>
            <w:tcW w:w="297" w:type="pct"/>
            <w:shd w:val="clear" w:color="auto" w:fill="auto"/>
            <w:noWrap/>
            <w:vAlign w:val="center"/>
          </w:tcPr>
          <w:p w14:paraId="5792A257">
            <w:pPr>
              <w:pStyle w:val="23"/>
              <w:jc w:val="center"/>
              <w:rPr>
                <w:rFonts w:ascii="宋体" w:hAnsi="宋体"/>
                <w:kern w:val="0"/>
                <w:sz w:val="18"/>
                <w:szCs w:val="21"/>
              </w:rPr>
            </w:pPr>
            <w:r>
              <w:rPr>
                <w:rFonts w:ascii="宋体" w:hAnsi="宋体"/>
                <w:kern w:val="0"/>
                <w:sz w:val="18"/>
                <w:szCs w:val="21"/>
              </w:rPr>
              <w:t>0.20</w:t>
            </w:r>
          </w:p>
        </w:tc>
        <w:tc>
          <w:tcPr>
            <w:tcW w:w="297" w:type="pct"/>
            <w:shd w:val="clear" w:color="auto" w:fill="auto"/>
            <w:noWrap/>
            <w:vAlign w:val="center"/>
          </w:tcPr>
          <w:p w14:paraId="481A6285">
            <w:pPr>
              <w:pStyle w:val="23"/>
              <w:jc w:val="center"/>
              <w:rPr>
                <w:rFonts w:ascii="宋体" w:hAnsi="宋体"/>
                <w:kern w:val="0"/>
                <w:sz w:val="18"/>
                <w:szCs w:val="21"/>
              </w:rPr>
            </w:pPr>
            <w:r>
              <w:rPr>
                <w:rFonts w:ascii="宋体" w:hAnsi="宋体"/>
                <w:kern w:val="0"/>
                <w:sz w:val="18"/>
                <w:szCs w:val="21"/>
              </w:rPr>
              <w:t>-</w:t>
            </w:r>
          </w:p>
        </w:tc>
        <w:tc>
          <w:tcPr>
            <w:tcW w:w="297" w:type="pct"/>
            <w:shd w:val="clear" w:color="auto" w:fill="auto"/>
            <w:noWrap/>
            <w:vAlign w:val="center"/>
          </w:tcPr>
          <w:p w14:paraId="2C453ADB">
            <w:pPr>
              <w:pStyle w:val="23"/>
              <w:jc w:val="center"/>
              <w:rPr>
                <w:rFonts w:ascii="宋体" w:hAnsi="宋体"/>
                <w:kern w:val="0"/>
                <w:sz w:val="18"/>
                <w:szCs w:val="21"/>
              </w:rPr>
            </w:pPr>
          </w:p>
        </w:tc>
        <w:tc>
          <w:tcPr>
            <w:tcW w:w="427" w:type="pct"/>
            <w:vMerge w:val="continue"/>
            <w:vAlign w:val="center"/>
          </w:tcPr>
          <w:p w14:paraId="61F8F32E">
            <w:pPr>
              <w:pStyle w:val="23"/>
              <w:jc w:val="center"/>
              <w:rPr>
                <w:rFonts w:ascii="宋体" w:hAnsi="宋体"/>
                <w:kern w:val="0"/>
                <w:sz w:val="18"/>
                <w:szCs w:val="21"/>
              </w:rPr>
            </w:pPr>
          </w:p>
        </w:tc>
      </w:tr>
      <w:tr w14:paraId="1F36181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97" w:type="pct"/>
            <w:vMerge w:val="continue"/>
            <w:vAlign w:val="center"/>
          </w:tcPr>
          <w:p w14:paraId="42117B2F">
            <w:pPr>
              <w:pStyle w:val="23"/>
              <w:jc w:val="center"/>
              <w:rPr>
                <w:rFonts w:ascii="宋体" w:hAnsi="宋体"/>
                <w:kern w:val="0"/>
                <w:sz w:val="18"/>
                <w:szCs w:val="21"/>
              </w:rPr>
            </w:pPr>
          </w:p>
        </w:tc>
        <w:tc>
          <w:tcPr>
            <w:tcW w:w="414" w:type="pct"/>
            <w:shd w:val="clear" w:color="auto" w:fill="auto"/>
            <w:noWrap/>
            <w:vAlign w:val="center"/>
          </w:tcPr>
          <w:p w14:paraId="0EAFAFE9">
            <w:pPr>
              <w:pStyle w:val="23"/>
              <w:jc w:val="center"/>
              <w:rPr>
                <w:rFonts w:ascii="宋体" w:hAnsi="宋体"/>
                <w:kern w:val="0"/>
                <w:sz w:val="18"/>
                <w:szCs w:val="21"/>
              </w:rPr>
            </w:pPr>
            <w:r>
              <w:rPr>
                <w:rFonts w:ascii="宋体" w:hAnsi="宋体"/>
                <w:kern w:val="0"/>
                <w:sz w:val="18"/>
                <w:szCs w:val="21"/>
              </w:rPr>
              <w:t>污染分担率(%)</w:t>
            </w:r>
          </w:p>
        </w:tc>
        <w:tc>
          <w:tcPr>
            <w:tcW w:w="297" w:type="pct"/>
            <w:shd w:val="clear" w:color="auto" w:fill="auto"/>
            <w:noWrap/>
            <w:vAlign w:val="center"/>
          </w:tcPr>
          <w:p w14:paraId="41C42151">
            <w:pPr>
              <w:pStyle w:val="23"/>
              <w:jc w:val="center"/>
              <w:rPr>
                <w:rFonts w:ascii="宋体" w:hAnsi="宋体"/>
                <w:kern w:val="0"/>
                <w:sz w:val="18"/>
                <w:szCs w:val="21"/>
              </w:rPr>
            </w:pPr>
            <w:r>
              <w:rPr>
                <w:rFonts w:ascii="宋体" w:hAnsi="宋体"/>
                <w:kern w:val="0"/>
                <w:sz w:val="18"/>
                <w:szCs w:val="21"/>
              </w:rPr>
              <w:t>一</w:t>
            </w:r>
          </w:p>
        </w:tc>
        <w:tc>
          <w:tcPr>
            <w:tcW w:w="297" w:type="pct"/>
            <w:shd w:val="clear" w:color="auto" w:fill="auto"/>
            <w:noWrap/>
            <w:vAlign w:val="center"/>
          </w:tcPr>
          <w:p w14:paraId="00ECBE19">
            <w:pPr>
              <w:pStyle w:val="23"/>
              <w:jc w:val="center"/>
              <w:rPr>
                <w:rFonts w:ascii="宋体" w:hAnsi="宋体"/>
                <w:kern w:val="0"/>
                <w:sz w:val="18"/>
                <w:szCs w:val="21"/>
              </w:rPr>
            </w:pPr>
            <w:r>
              <w:rPr>
                <w:rFonts w:ascii="宋体" w:hAnsi="宋体"/>
                <w:kern w:val="0"/>
                <w:sz w:val="18"/>
                <w:szCs w:val="21"/>
              </w:rPr>
              <w:t>4.9</w:t>
            </w:r>
          </w:p>
        </w:tc>
        <w:tc>
          <w:tcPr>
            <w:tcW w:w="297" w:type="pct"/>
            <w:shd w:val="clear" w:color="auto" w:fill="auto"/>
            <w:noWrap/>
            <w:vAlign w:val="center"/>
          </w:tcPr>
          <w:p w14:paraId="5C68CA00">
            <w:pPr>
              <w:pStyle w:val="23"/>
              <w:jc w:val="center"/>
              <w:rPr>
                <w:rFonts w:ascii="宋体" w:hAnsi="宋体"/>
                <w:kern w:val="0"/>
                <w:sz w:val="18"/>
                <w:szCs w:val="21"/>
              </w:rPr>
            </w:pPr>
            <w:r>
              <w:rPr>
                <w:rFonts w:ascii="宋体" w:hAnsi="宋体"/>
                <w:kern w:val="0"/>
                <w:sz w:val="18"/>
                <w:szCs w:val="21"/>
              </w:rPr>
              <w:t>9.6</w:t>
            </w:r>
          </w:p>
        </w:tc>
        <w:tc>
          <w:tcPr>
            <w:tcW w:w="297" w:type="pct"/>
            <w:shd w:val="clear" w:color="auto" w:fill="auto"/>
            <w:noWrap/>
            <w:vAlign w:val="center"/>
          </w:tcPr>
          <w:p w14:paraId="602AEB33">
            <w:pPr>
              <w:pStyle w:val="23"/>
              <w:jc w:val="center"/>
              <w:rPr>
                <w:rFonts w:ascii="宋体" w:hAnsi="宋体"/>
                <w:kern w:val="0"/>
                <w:sz w:val="18"/>
                <w:szCs w:val="21"/>
              </w:rPr>
            </w:pPr>
            <w:r>
              <w:rPr>
                <w:rFonts w:ascii="宋体" w:hAnsi="宋体"/>
                <w:kern w:val="0"/>
                <w:sz w:val="18"/>
                <w:szCs w:val="21"/>
              </w:rPr>
              <w:t>12.0</w:t>
            </w:r>
          </w:p>
        </w:tc>
        <w:tc>
          <w:tcPr>
            <w:tcW w:w="297" w:type="pct"/>
            <w:shd w:val="clear" w:color="auto" w:fill="auto"/>
            <w:noWrap/>
            <w:vAlign w:val="center"/>
          </w:tcPr>
          <w:p w14:paraId="5958488A">
            <w:pPr>
              <w:pStyle w:val="23"/>
              <w:jc w:val="center"/>
              <w:rPr>
                <w:rFonts w:ascii="宋体" w:hAnsi="宋体"/>
                <w:kern w:val="0"/>
                <w:sz w:val="18"/>
                <w:szCs w:val="21"/>
              </w:rPr>
            </w:pPr>
            <w:r>
              <w:rPr>
                <w:rFonts w:ascii="宋体" w:hAnsi="宋体"/>
                <w:kern w:val="0"/>
                <w:sz w:val="18"/>
                <w:szCs w:val="21"/>
              </w:rPr>
              <w:t>11.9</w:t>
            </w:r>
          </w:p>
        </w:tc>
        <w:tc>
          <w:tcPr>
            <w:tcW w:w="297" w:type="pct"/>
            <w:shd w:val="clear" w:color="auto" w:fill="auto"/>
            <w:noWrap/>
            <w:vAlign w:val="center"/>
          </w:tcPr>
          <w:p w14:paraId="487B37A3">
            <w:pPr>
              <w:pStyle w:val="23"/>
              <w:jc w:val="center"/>
              <w:rPr>
                <w:rFonts w:ascii="宋体" w:hAnsi="宋体"/>
                <w:kern w:val="0"/>
                <w:sz w:val="18"/>
                <w:szCs w:val="21"/>
              </w:rPr>
            </w:pPr>
            <w:r>
              <w:rPr>
                <w:rFonts w:ascii="宋体" w:hAnsi="宋体"/>
                <w:kern w:val="0"/>
                <w:sz w:val="18"/>
                <w:szCs w:val="21"/>
              </w:rPr>
              <w:t>17.8</w:t>
            </w:r>
          </w:p>
        </w:tc>
        <w:tc>
          <w:tcPr>
            <w:tcW w:w="297" w:type="pct"/>
            <w:shd w:val="clear" w:color="auto" w:fill="auto"/>
            <w:noWrap/>
            <w:vAlign w:val="center"/>
          </w:tcPr>
          <w:p w14:paraId="7933ECB9">
            <w:pPr>
              <w:pStyle w:val="23"/>
              <w:jc w:val="center"/>
              <w:rPr>
                <w:rFonts w:ascii="宋体" w:hAnsi="宋体"/>
                <w:kern w:val="0"/>
                <w:sz w:val="18"/>
                <w:szCs w:val="21"/>
              </w:rPr>
            </w:pPr>
            <w:r>
              <w:rPr>
                <w:rFonts w:ascii="宋体" w:hAnsi="宋体"/>
                <w:kern w:val="0"/>
                <w:sz w:val="18"/>
                <w:szCs w:val="21"/>
              </w:rPr>
              <w:t>9.8</w:t>
            </w:r>
          </w:p>
        </w:tc>
        <w:tc>
          <w:tcPr>
            <w:tcW w:w="297" w:type="pct"/>
            <w:shd w:val="clear" w:color="auto" w:fill="auto"/>
            <w:noWrap/>
            <w:vAlign w:val="center"/>
          </w:tcPr>
          <w:p w14:paraId="4310BDCA">
            <w:pPr>
              <w:pStyle w:val="23"/>
              <w:jc w:val="center"/>
              <w:rPr>
                <w:rFonts w:ascii="宋体" w:hAnsi="宋体"/>
                <w:kern w:val="0"/>
                <w:sz w:val="18"/>
                <w:szCs w:val="21"/>
              </w:rPr>
            </w:pPr>
            <w:r>
              <w:rPr>
                <w:rFonts w:ascii="宋体" w:hAnsi="宋体"/>
                <w:kern w:val="0"/>
                <w:sz w:val="18"/>
                <w:szCs w:val="21"/>
              </w:rPr>
              <w:t>12.7</w:t>
            </w:r>
          </w:p>
        </w:tc>
        <w:tc>
          <w:tcPr>
            <w:tcW w:w="297" w:type="pct"/>
            <w:shd w:val="clear" w:color="auto" w:fill="auto"/>
            <w:noWrap/>
            <w:vAlign w:val="center"/>
          </w:tcPr>
          <w:p w14:paraId="05B256FB">
            <w:pPr>
              <w:pStyle w:val="23"/>
              <w:jc w:val="center"/>
              <w:rPr>
                <w:rFonts w:ascii="宋体" w:hAnsi="宋体"/>
                <w:kern w:val="0"/>
                <w:sz w:val="18"/>
                <w:szCs w:val="21"/>
              </w:rPr>
            </w:pPr>
            <w:r>
              <w:rPr>
                <w:rFonts w:ascii="宋体" w:hAnsi="宋体"/>
                <w:kern w:val="0"/>
                <w:sz w:val="18"/>
                <w:szCs w:val="21"/>
              </w:rPr>
              <w:t>8.3</w:t>
            </w:r>
          </w:p>
        </w:tc>
        <w:tc>
          <w:tcPr>
            <w:tcW w:w="297" w:type="pct"/>
            <w:shd w:val="clear" w:color="auto" w:fill="auto"/>
            <w:noWrap/>
            <w:vAlign w:val="center"/>
          </w:tcPr>
          <w:p w14:paraId="5746387F">
            <w:pPr>
              <w:pStyle w:val="23"/>
              <w:jc w:val="center"/>
              <w:rPr>
                <w:rFonts w:ascii="宋体" w:hAnsi="宋体"/>
                <w:kern w:val="0"/>
                <w:sz w:val="18"/>
                <w:szCs w:val="21"/>
              </w:rPr>
            </w:pPr>
            <w:r>
              <w:rPr>
                <w:rFonts w:ascii="宋体" w:hAnsi="宋体"/>
                <w:kern w:val="0"/>
                <w:sz w:val="18"/>
                <w:szCs w:val="21"/>
              </w:rPr>
              <w:t>7.7</w:t>
            </w:r>
          </w:p>
        </w:tc>
        <w:tc>
          <w:tcPr>
            <w:tcW w:w="297" w:type="pct"/>
            <w:shd w:val="clear" w:color="auto" w:fill="auto"/>
            <w:noWrap/>
            <w:vAlign w:val="center"/>
          </w:tcPr>
          <w:p w14:paraId="76D4AF06">
            <w:pPr>
              <w:pStyle w:val="23"/>
              <w:jc w:val="center"/>
              <w:rPr>
                <w:rFonts w:ascii="宋体" w:hAnsi="宋体"/>
                <w:kern w:val="0"/>
                <w:sz w:val="18"/>
                <w:szCs w:val="21"/>
              </w:rPr>
            </w:pPr>
            <w:r>
              <w:rPr>
                <w:rFonts w:ascii="宋体" w:hAnsi="宋体"/>
                <w:kern w:val="0"/>
                <w:sz w:val="18"/>
                <w:szCs w:val="21"/>
              </w:rPr>
              <w:t>5.3</w:t>
            </w:r>
          </w:p>
        </w:tc>
        <w:tc>
          <w:tcPr>
            <w:tcW w:w="297" w:type="pct"/>
            <w:shd w:val="clear" w:color="auto" w:fill="auto"/>
            <w:noWrap/>
            <w:vAlign w:val="center"/>
          </w:tcPr>
          <w:p w14:paraId="15FF945D">
            <w:pPr>
              <w:pStyle w:val="23"/>
              <w:jc w:val="center"/>
              <w:rPr>
                <w:rFonts w:ascii="宋体" w:hAnsi="宋体"/>
                <w:kern w:val="0"/>
                <w:sz w:val="18"/>
                <w:szCs w:val="21"/>
              </w:rPr>
            </w:pPr>
            <w:r>
              <w:rPr>
                <w:rFonts w:ascii="宋体" w:hAnsi="宋体"/>
                <w:kern w:val="0"/>
                <w:sz w:val="18"/>
                <w:szCs w:val="21"/>
              </w:rPr>
              <w:t>-</w:t>
            </w:r>
          </w:p>
        </w:tc>
        <w:tc>
          <w:tcPr>
            <w:tcW w:w="297" w:type="pct"/>
            <w:shd w:val="clear" w:color="auto" w:fill="auto"/>
            <w:noWrap/>
            <w:vAlign w:val="center"/>
          </w:tcPr>
          <w:p w14:paraId="1738DE8C">
            <w:pPr>
              <w:pStyle w:val="23"/>
              <w:jc w:val="center"/>
              <w:rPr>
                <w:rFonts w:ascii="宋体" w:hAnsi="宋体"/>
                <w:kern w:val="0"/>
                <w:sz w:val="18"/>
                <w:szCs w:val="21"/>
              </w:rPr>
            </w:pPr>
          </w:p>
        </w:tc>
        <w:tc>
          <w:tcPr>
            <w:tcW w:w="427" w:type="pct"/>
            <w:vMerge w:val="continue"/>
            <w:vAlign w:val="center"/>
          </w:tcPr>
          <w:p w14:paraId="1AE35600">
            <w:pPr>
              <w:pStyle w:val="23"/>
              <w:jc w:val="center"/>
              <w:rPr>
                <w:rFonts w:ascii="宋体" w:hAnsi="宋体"/>
                <w:kern w:val="0"/>
                <w:sz w:val="18"/>
                <w:szCs w:val="21"/>
              </w:rPr>
            </w:pPr>
          </w:p>
        </w:tc>
      </w:tr>
      <w:tr w14:paraId="4CF0345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97" w:type="pct"/>
            <w:vMerge w:val="restart"/>
            <w:shd w:val="clear" w:color="auto" w:fill="auto"/>
            <w:noWrap/>
            <w:vAlign w:val="center"/>
          </w:tcPr>
          <w:p w14:paraId="38DF92EB">
            <w:pPr>
              <w:pStyle w:val="23"/>
              <w:jc w:val="center"/>
              <w:rPr>
                <w:rFonts w:ascii="宋体" w:hAnsi="宋体"/>
                <w:kern w:val="0"/>
                <w:sz w:val="18"/>
                <w:szCs w:val="21"/>
              </w:rPr>
            </w:pPr>
            <w:r>
              <w:rPr>
                <w:rFonts w:ascii="宋体" w:hAnsi="宋体"/>
                <w:kern w:val="0"/>
                <w:sz w:val="18"/>
                <w:szCs w:val="21"/>
              </w:rPr>
              <w:t>判官塘</w:t>
            </w:r>
          </w:p>
        </w:tc>
        <w:tc>
          <w:tcPr>
            <w:tcW w:w="414" w:type="pct"/>
            <w:shd w:val="clear" w:color="auto" w:fill="auto"/>
            <w:noWrap/>
            <w:vAlign w:val="center"/>
          </w:tcPr>
          <w:p w14:paraId="4E034D5F">
            <w:pPr>
              <w:pStyle w:val="23"/>
              <w:jc w:val="center"/>
              <w:rPr>
                <w:rFonts w:ascii="宋体" w:hAnsi="宋体"/>
                <w:kern w:val="0"/>
                <w:sz w:val="18"/>
                <w:szCs w:val="21"/>
              </w:rPr>
            </w:pPr>
            <w:r>
              <w:rPr>
                <w:rFonts w:ascii="宋体" w:hAnsi="宋体"/>
                <w:kern w:val="0"/>
                <w:sz w:val="18"/>
                <w:szCs w:val="21"/>
              </w:rPr>
              <w:t>样品数</w:t>
            </w:r>
          </w:p>
        </w:tc>
        <w:tc>
          <w:tcPr>
            <w:tcW w:w="297" w:type="pct"/>
            <w:shd w:val="clear" w:color="auto" w:fill="auto"/>
            <w:noWrap/>
            <w:vAlign w:val="center"/>
          </w:tcPr>
          <w:p w14:paraId="5D4E15FD">
            <w:pPr>
              <w:pStyle w:val="23"/>
              <w:jc w:val="center"/>
              <w:rPr>
                <w:rFonts w:ascii="宋体" w:hAnsi="宋体"/>
                <w:kern w:val="0"/>
                <w:sz w:val="18"/>
                <w:szCs w:val="21"/>
              </w:rPr>
            </w:pPr>
            <w:r>
              <w:rPr>
                <w:rFonts w:ascii="宋体" w:hAnsi="宋体"/>
                <w:kern w:val="0"/>
                <w:sz w:val="18"/>
                <w:szCs w:val="21"/>
              </w:rPr>
              <w:t>6</w:t>
            </w:r>
          </w:p>
        </w:tc>
        <w:tc>
          <w:tcPr>
            <w:tcW w:w="297" w:type="pct"/>
            <w:shd w:val="clear" w:color="auto" w:fill="auto"/>
            <w:noWrap/>
            <w:vAlign w:val="center"/>
          </w:tcPr>
          <w:p w14:paraId="47D6BB4D">
            <w:pPr>
              <w:pStyle w:val="23"/>
              <w:jc w:val="center"/>
              <w:rPr>
                <w:rFonts w:ascii="宋体" w:hAnsi="宋体"/>
                <w:kern w:val="0"/>
                <w:sz w:val="18"/>
                <w:szCs w:val="21"/>
              </w:rPr>
            </w:pPr>
            <w:r>
              <w:rPr>
                <w:rFonts w:ascii="宋体" w:hAnsi="宋体"/>
                <w:kern w:val="0"/>
                <w:sz w:val="18"/>
                <w:szCs w:val="21"/>
              </w:rPr>
              <w:t>6</w:t>
            </w:r>
          </w:p>
        </w:tc>
        <w:tc>
          <w:tcPr>
            <w:tcW w:w="297" w:type="pct"/>
            <w:shd w:val="clear" w:color="auto" w:fill="auto"/>
            <w:noWrap/>
            <w:vAlign w:val="center"/>
          </w:tcPr>
          <w:p w14:paraId="49208F73">
            <w:pPr>
              <w:pStyle w:val="23"/>
              <w:jc w:val="center"/>
              <w:rPr>
                <w:rFonts w:ascii="宋体" w:hAnsi="宋体"/>
                <w:kern w:val="0"/>
                <w:sz w:val="18"/>
                <w:szCs w:val="21"/>
              </w:rPr>
            </w:pPr>
            <w:r>
              <w:rPr>
                <w:rFonts w:ascii="宋体" w:hAnsi="宋体"/>
                <w:kern w:val="0"/>
                <w:sz w:val="18"/>
                <w:szCs w:val="21"/>
              </w:rPr>
              <w:t>6</w:t>
            </w:r>
          </w:p>
        </w:tc>
        <w:tc>
          <w:tcPr>
            <w:tcW w:w="297" w:type="pct"/>
            <w:shd w:val="clear" w:color="auto" w:fill="auto"/>
            <w:noWrap/>
            <w:vAlign w:val="center"/>
          </w:tcPr>
          <w:p w14:paraId="04C0B71C">
            <w:pPr>
              <w:pStyle w:val="23"/>
              <w:jc w:val="center"/>
              <w:rPr>
                <w:rFonts w:ascii="宋体" w:hAnsi="宋体"/>
                <w:kern w:val="0"/>
                <w:sz w:val="18"/>
                <w:szCs w:val="21"/>
              </w:rPr>
            </w:pPr>
            <w:r>
              <w:rPr>
                <w:rFonts w:ascii="宋体" w:hAnsi="宋体"/>
                <w:kern w:val="0"/>
                <w:sz w:val="18"/>
                <w:szCs w:val="21"/>
              </w:rPr>
              <w:t>6</w:t>
            </w:r>
          </w:p>
        </w:tc>
        <w:tc>
          <w:tcPr>
            <w:tcW w:w="297" w:type="pct"/>
            <w:shd w:val="clear" w:color="auto" w:fill="auto"/>
            <w:noWrap/>
            <w:vAlign w:val="center"/>
          </w:tcPr>
          <w:p w14:paraId="040EDC12">
            <w:pPr>
              <w:pStyle w:val="23"/>
              <w:jc w:val="center"/>
              <w:rPr>
                <w:rFonts w:ascii="宋体" w:hAnsi="宋体"/>
                <w:kern w:val="0"/>
                <w:sz w:val="18"/>
                <w:szCs w:val="21"/>
              </w:rPr>
            </w:pPr>
            <w:r>
              <w:rPr>
                <w:rFonts w:ascii="宋体" w:hAnsi="宋体"/>
                <w:kern w:val="0"/>
                <w:sz w:val="18"/>
                <w:szCs w:val="21"/>
              </w:rPr>
              <w:t>4</w:t>
            </w:r>
          </w:p>
        </w:tc>
        <w:tc>
          <w:tcPr>
            <w:tcW w:w="297" w:type="pct"/>
            <w:shd w:val="clear" w:color="auto" w:fill="auto"/>
            <w:noWrap/>
            <w:vAlign w:val="center"/>
          </w:tcPr>
          <w:p w14:paraId="7D362EE5">
            <w:pPr>
              <w:pStyle w:val="23"/>
              <w:jc w:val="center"/>
              <w:rPr>
                <w:rFonts w:ascii="宋体" w:hAnsi="宋体"/>
                <w:kern w:val="0"/>
                <w:sz w:val="18"/>
                <w:szCs w:val="21"/>
              </w:rPr>
            </w:pPr>
            <w:r>
              <w:rPr>
                <w:rFonts w:ascii="宋体" w:hAnsi="宋体"/>
                <w:kern w:val="0"/>
                <w:sz w:val="18"/>
                <w:szCs w:val="21"/>
              </w:rPr>
              <w:t>6</w:t>
            </w:r>
          </w:p>
        </w:tc>
        <w:tc>
          <w:tcPr>
            <w:tcW w:w="297" w:type="pct"/>
            <w:shd w:val="clear" w:color="auto" w:fill="auto"/>
            <w:noWrap/>
            <w:vAlign w:val="center"/>
          </w:tcPr>
          <w:p w14:paraId="4BBEDAE4">
            <w:pPr>
              <w:pStyle w:val="23"/>
              <w:jc w:val="center"/>
              <w:rPr>
                <w:rFonts w:ascii="宋体" w:hAnsi="宋体"/>
                <w:kern w:val="0"/>
                <w:sz w:val="18"/>
                <w:szCs w:val="21"/>
              </w:rPr>
            </w:pPr>
            <w:r>
              <w:rPr>
                <w:rFonts w:ascii="宋体" w:hAnsi="宋体"/>
                <w:kern w:val="0"/>
                <w:sz w:val="18"/>
                <w:szCs w:val="21"/>
              </w:rPr>
              <w:t>6</w:t>
            </w:r>
          </w:p>
        </w:tc>
        <w:tc>
          <w:tcPr>
            <w:tcW w:w="297" w:type="pct"/>
            <w:shd w:val="clear" w:color="auto" w:fill="auto"/>
            <w:noWrap/>
            <w:vAlign w:val="center"/>
          </w:tcPr>
          <w:p w14:paraId="5EF6A4FB">
            <w:pPr>
              <w:pStyle w:val="23"/>
              <w:jc w:val="center"/>
              <w:rPr>
                <w:rFonts w:ascii="宋体" w:hAnsi="宋体"/>
                <w:kern w:val="0"/>
                <w:sz w:val="18"/>
                <w:szCs w:val="21"/>
              </w:rPr>
            </w:pPr>
            <w:r>
              <w:rPr>
                <w:rFonts w:ascii="宋体" w:hAnsi="宋体"/>
                <w:kern w:val="0"/>
                <w:sz w:val="18"/>
                <w:szCs w:val="21"/>
              </w:rPr>
              <w:t>6</w:t>
            </w:r>
          </w:p>
        </w:tc>
        <w:tc>
          <w:tcPr>
            <w:tcW w:w="297" w:type="pct"/>
            <w:shd w:val="clear" w:color="auto" w:fill="auto"/>
            <w:noWrap/>
            <w:vAlign w:val="center"/>
          </w:tcPr>
          <w:p w14:paraId="65266022">
            <w:pPr>
              <w:pStyle w:val="23"/>
              <w:jc w:val="center"/>
              <w:rPr>
                <w:rFonts w:ascii="宋体" w:hAnsi="宋体"/>
                <w:kern w:val="0"/>
                <w:sz w:val="18"/>
                <w:szCs w:val="21"/>
              </w:rPr>
            </w:pPr>
            <w:r>
              <w:rPr>
                <w:rFonts w:ascii="宋体" w:hAnsi="宋体"/>
                <w:kern w:val="0"/>
                <w:sz w:val="18"/>
                <w:szCs w:val="21"/>
              </w:rPr>
              <w:t>6</w:t>
            </w:r>
          </w:p>
        </w:tc>
        <w:tc>
          <w:tcPr>
            <w:tcW w:w="297" w:type="pct"/>
            <w:shd w:val="clear" w:color="auto" w:fill="auto"/>
            <w:noWrap/>
            <w:vAlign w:val="center"/>
          </w:tcPr>
          <w:p w14:paraId="3732BBCF">
            <w:pPr>
              <w:pStyle w:val="23"/>
              <w:jc w:val="center"/>
              <w:rPr>
                <w:rFonts w:ascii="宋体" w:hAnsi="宋体"/>
                <w:kern w:val="0"/>
                <w:sz w:val="18"/>
                <w:szCs w:val="21"/>
              </w:rPr>
            </w:pPr>
            <w:r>
              <w:rPr>
                <w:rFonts w:ascii="宋体" w:hAnsi="宋体"/>
                <w:kern w:val="0"/>
                <w:sz w:val="18"/>
                <w:szCs w:val="21"/>
              </w:rPr>
              <w:t>6</w:t>
            </w:r>
          </w:p>
        </w:tc>
        <w:tc>
          <w:tcPr>
            <w:tcW w:w="297" w:type="pct"/>
            <w:shd w:val="clear" w:color="auto" w:fill="auto"/>
            <w:noWrap/>
            <w:vAlign w:val="center"/>
          </w:tcPr>
          <w:p w14:paraId="4A92D78D">
            <w:pPr>
              <w:pStyle w:val="23"/>
              <w:jc w:val="center"/>
              <w:rPr>
                <w:rFonts w:ascii="宋体" w:hAnsi="宋体"/>
                <w:kern w:val="0"/>
                <w:sz w:val="18"/>
                <w:szCs w:val="21"/>
              </w:rPr>
            </w:pPr>
            <w:r>
              <w:rPr>
                <w:rFonts w:ascii="宋体" w:hAnsi="宋体"/>
                <w:kern w:val="0"/>
                <w:sz w:val="18"/>
                <w:szCs w:val="21"/>
              </w:rPr>
              <w:t>6</w:t>
            </w:r>
          </w:p>
        </w:tc>
        <w:tc>
          <w:tcPr>
            <w:tcW w:w="297" w:type="pct"/>
            <w:shd w:val="clear" w:color="auto" w:fill="auto"/>
            <w:noWrap/>
            <w:vAlign w:val="center"/>
          </w:tcPr>
          <w:p w14:paraId="68B13B19">
            <w:pPr>
              <w:pStyle w:val="23"/>
              <w:jc w:val="center"/>
              <w:rPr>
                <w:rFonts w:ascii="宋体" w:hAnsi="宋体"/>
                <w:kern w:val="0"/>
                <w:sz w:val="18"/>
                <w:szCs w:val="21"/>
              </w:rPr>
            </w:pPr>
          </w:p>
        </w:tc>
        <w:tc>
          <w:tcPr>
            <w:tcW w:w="297" w:type="pct"/>
            <w:shd w:val="clear" w:color="auto" w:fill="auto"/>
            <w:noWrap/>
            <w:vAlign w:val="center"/>
          </w:tcPr>
          <w:p w14:paraId="17D27C28">
            <w:pPr>
              <w:pStyle w:val="23"/>
              <w:jc w:val="center"/>
              <w:rPr>
                <w:rFonts w:ascii="宋体" w:hAnsi="宋体"/>
                <w:kern w:val="0"/>
                <w:sz w:val="18"/>
                <w:szCs w:val="21"/>
              </w:rPr>
            </w:pPr>
            <w:r>
              <w:rPr>
                <w:rFonts w:ascii="宋体" w:hAnsi="宋体"/>
                <w:kern w:val="0"/>
                <w:sz w:val="18"/>
                <w:szCs w:val="21"/>
              </w:rPr>
              <w:t>一</w:t>
            </w:r>
          </w:p>
        </w:tc>
        <w:tc>
          <w:tcPr>
            <w:tcW w:w="427" w:type="pct"/>
            <w:vMerge w:val="restart"/>
            <w:shd w:val="clear" w:color="auto" w:fill="auto"/>
            <w:noWrap/>
            <w:vAlign w:val="center"/>
          </w:tcPr>
          <w:p w14:paraId="0CB63250">
            <w:pPr>
              <w:pStyle w:val="23"/>
              <w:jc w:val="center"/>
              <w:rPr>
                <w:rFonts w:ascii="宋体" w:hAnsi="宋体"/>
                <w:kern w:val="0"/>
                <w:sz w:val="18"/>
                <w:szCs w:val="21"/>
              </w:rPr>
            </w:pPr>
            <w:r>
              <w:rPr>
                <w:rFonts w:ascii="宋体" w:hAnsi="宋体"/>
                <w:kern w:val="0"/>
                <w:sz w:val="18"/>
                <w:szCs w:val="21"/>
              </w:rPr>
              <w:t>0.36</w:t>
            </w:r>
          </w:p>
        </w:tc>
      </w:tr>
      <w:tr w14:paraId="0812210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97" w:type="pct"/>
            <w:vMerge w:val="continue"/>
            <w:vAlign w:val="center"/>
          </w:tcPr>
          <w:p w14:paraId="550378CE">
            <w:pPr>
              <w:pStyle w:val="23"/>
              <w:jc w:val="center"/>
              <w:rPr>
                <w:rFonts w:ascii="宋体" w:hAnsi="宋体"/>
                <w:kern w:val="0"/>
                <w:sz w:val="18"/>
                <w:szCs w:val="21"/>
              </w:rPr>
            </w:pPr>
          </w:p>
        </w:tc>
        <w:tc>
          <w:tcPr>
            <w:tcW w:w="414" w:type="pct"/>
            <w:shd w:val="clear" w:color="auto" w:fill="auto"/>
            <w:noWrap/>
            <w:vAlign w:val="center"/>
          </w:tcPr>
          <w:p w14:paraId="48C184B0">
            <w:pPr>
              <w:pStyle w:val="23"/>
              <w:jc w:val="center"/>
              <w:rPr>
                <w:rFonts w:ascii="宋体" w:hAnsi="宋体"/>
                <w:kern w:val="0"/>
                <w:sz w:val="18"/>
                <w:szCs w:val="21"/>
              </w:rPr>
            </w:pPr>
            <w:r>
              <w:rPr>
                <w:rFonts w:ascii="宋体" w:hAnsi="宋体"/>
                <w:kern w:val="0"/>
                <w:sz w:val="18"/>
                <w:szCs w:val="21"/>
              </w:rPr>
              <w:t>最大值</w:t>
            </w:r>
          </w:p>
        </w:tc>
        <w:tc>
          <w:tcPr>
            <w:tcW w:w="297" w:type="pct"/>
            <w:shd w:val="clear" w:color="auto" w:fill="auto"/>
            <w:noWrap/>
            <w:vAlign w:val="center"/>
          </w:tcPr>
          <w:p w14:paraId="5B1A7545">
            <w:pPr>
              <w:pStyle w:val="23"/>
              <w:jc w:val="center"/>
              <w:rPr>
                <w:rFonts w:ascii="宋体" w:hAnsi="宋体"/>
                <w:kern w:val="0"/>
                <w:sz w:val="18"/>
                <w:szCs w:val="21"/>
              </w:rPr>
            </w:pPr>
            <w:r>
              <w:rPr>
                <w:rFonts w:ascii="宋体" w:hAnsi="宋体"/>
                <w:kern w:val="0"/>
                <w:sz w:val="18"/>
                <w:szCs w:val="21"/>
              </w:rPr>
              <w:t>30</w:t>
            </w:r>
          </w:p>
        </w:tc>
        <w:tc>
          <w:tcPr>
            <w:tcW w:w="297" w:type="pct"/>
            <w:shd w:val="clear" w:color="auto" w:fill="auto"/>
            <w:noWrap/>
            <w:vAlign w:val="center"/>
          </w:tcPr>
          <w:p w14:paraId="55D08001">
            <w:pPr>
              <w:pStyle w:val="23"/>
              <w:jc w:val="center"/>
              <w:rPr>
                <w:rFonts w:ascii="宋体" w:hAnsi="宋体"/>
                <w:kern w:val="0"/>
                <w:sz w:val="18"/>
                <w:szCs w:val="21"/>
              </w:rPr>
            </w:pPr>
            <w:r>
              <w:rPr>
                <w:rFonts w:ascii="宋体" w:hAnsi="宋体"/>
                <w:kern w:val="0"/>
                <w:sz w:val="18"/>
                <w:szCs w:val="21"/>
              </w:rPr>
              <w:t>7.65</w:t>
            </w:r>
          </w:p>
        </w:tc>
        <w:tc>
          <w:tcPr>
            <w:tcW w:w="297" w:type="pct"/>
            <w:shd w:val="clear" w:color="auto" w:fill="auto"/>
            <w:noWrap/>
            <w:vAlign w:val="center"/>
          </w:tcPr>
          <w:p w14:paraId="164C0564">
            <w:pPr>
              <w:pStyle w:val="23"/>
              <w:jc w:val="center"/>
              <w:rPr>
                <w:rFonts w:ascii="宋体" w:hAnsi="宋体"/>
                <w:kern w:val="0"/>
                <w:sz w:val="18"/>
                <w:szCs w:val="21"/>
              </w:rPr>
            </w:pPr>
            <w:r>
              <w:rPr>
                <w:rFonts w:ascii="宋体" w:hAnsi="宋体"/>
                <w:kern w:val="0"/>
                <w:sz w:val="18"/>
                <w:szCs w:val="21"/>
              </w:rPr>
              <w:t>9.2</w:t>
            </w:r>
          </w:p>
        </w:tc>
        <w:tc>
          <w:tcPr>
            <w:tcW w:w="297" w:type="pct"/>
            <w:shd w:val="clear" w:color="auto" w:fill="auto"/>
            <w:noWrap/>
            <w:vAlign w:val="center"/>
          </w:tcPr>
          <w:p w14:paraId="3F6BE17E">
            <w:pPr>
              <w:pStyle w:val="23"/>
              <w:jc w:val="center"/>
              <w:rPr>
                <w:rFonts w:ascii="宋体" w:hAnsi="宋体"/>
                <w:kern w:val="0"/>
                <w:sz w:val="18"/>
                <w:szCs w:val="21"/>
              </w:rPr>
            </w:pPr>
            <w:r>
              <w:rPr>
                <w:rFonts w:ascii="宋体" w:hAnsi="宋体"/>
                <w:kern w:val="0"/>
                <w:sz w:val="18"/>
                <w:szCs w:val="21"/>
              </w:rPr>
              <w:t>4.1</w:t>
            </w:r>
          </w:p>
        </w:tc>
        <w:tc>
          <w:tcPr>
            <w:tcW w:w="297" w:type="pct"/>
            <w:shd w:val="clear" w:color="auto" w:fill="auto"/>
            <w:noWrap/>
            <w:vAlign w:val="center"/>
          </w:tcPr>
          <w:p w14:paraId="341AF4A8">
            <w:pPr>
              <w:pStyle w:val="23"/>
              <w:jc w:val="center"/>
              <w:rPr>
                <w:rFonts w:ascii="宋体" w:hAnsi="宋体"/>
                <w:kern w:val="0"/>
                <w:sz w:val="18"/>
                <w:szCs w:val="21"/>
              </w:rPr>
            </w:pPr>
            <w:r>
              <w:rPr>
                <w:rFonts w:ascii="宋体" w:hAnsi="宋体"/>
                <w:kern w:val="0"/>
                <w:sz w:val="18"/>
                <w:szCs w:val="21"/>
              </w:rPr>
              <w:t>14.4</w:t>
            </w:r>
          </w:p>
        </w:tc>
        <w:tc>
          <w:tcPr>
            <w:tcW w:w="297" w:type="pct"/>
            <w:shd w:val="clear" w:color="auto" w:fill="auto"/>
            <w:noWrap/>
            <w:vAlign w:val="center"/>
          </w:tcPr>
          <w:p w14:paraId="34C3FC33">
            <w:pPr>
              <w:pStyle w:val="23"/>
              <w:jc w:val="center"/>
              <w:rPr>
                <w:rFonts w:ascii="宋体" w:hAnsi="宋体"/>
                <w:kern w:val="0"/>
                <w:sz w:val="18"/>
                <w:szCs w:val="21"/>
              </w:rPr>
            </w:pPr>
            <w:r>
              <w:rPr>
                <w:rFonts w:ascii="宋体" w:hAnsi="宋体"/>
                <w:kern w:val="0"/>
                <w:sz w:val="18"/>
                <w:szCs w:val="21"/>
              </w:rPr>
              <w:t>43</w:t>
            </w:r>
          </w:p>
        </w:tc>
        <w:tc>
          <w:tcPr>
            <w:tcW w:w="297" w:type="pct"/>
            <w:shd w:val="clear" w:color="auto" w:fill="auto"/>
            <w:noWrap/>
            <w:vAlign w:val="center"/>
          </w:tcPr>
          <w:p w14:paraId="6C0A234C">
            <w:pPr>
              <w:pStyle w:val="23"/>
              <w:jc w:val="center"/>
              <w:rPr>
                <w:rFonts w:ascii="宋体" w:hAnsi="宋体"/>
                <w:kern w:val="0"/>
                <w:sz w:val="18"/>
                <w:szCs w:val="21"/>
              </w:rPr>
            </w:pPr>
            <w:r>
              <w:rPr>
                <w:rFonts w:ascii="宋体" w:hAnsi="宋体"/>
                <w:kern w:val="0"/>
                <w:sz w:val="18"/>
                <w:szCs w:val="21"/>
              </w:rPr>
              <w:t>0.427</w:t>
            </w:r>
          </w:p>
        </w:tc>
        <w:tc>
          <w:tcPr>
            <w:tcW w:w="297" w:type="pct"/>
            <w:shd w:val="clear" w:color="auto" w:fill="auto"/>
            <w:noWrap/>
            <w:vAlign w:val="center"/>
          </w:tcPr>
          <w:p w14:paraId="1C6DB615">
            <w:pPr>
              <w:pStyle w:val="23"/>
              <w:jc w:val="center"/>
              <w:rPr>
                <w:rFonts w:ascii="宋体" w:hAnsi="宋体"/>
                <w:kern w:val="0"/>
                <w:sz w:val="18"/>
                <w:szCs w:val="21"/>
              </w:rPr>
            </w:pPr>
            <w:r>
              <w:rPr>
                <w:rFonts w:ascii="宋体" w:hAnsi="宋体"/>
                <w:kern w:val="0"/>
                <w:sz w:val="18"/>
                <w:szCs w:val="21"/>
              </w:rPr>
              <w:t>08</w:t>
            </w:r>
          </w:p>
        </w:tc>
        <w:tc>
          <w:tcPr>
            <w:tcW w:w="297" w:type="pct"/>
            <w:shd w:val="clear" w:color="auto" w:fill="auto"/>
            <w:noWrap/>
            <w:vAlign w:val="center"/>
          </w:tcPr>
          <w:p w14:paraId="79FDE9CA">
            <w:pPr>
              <w:pStyle w:val="23"/>
              <w:jc w:val="center"/>
              <w:rPr>
                <w:rFonts w:ascii="宋体" w:hAnsi="宋体"/>
                <w:kern w:val="0"/>
                <w:sz w:val="18"/>
                <w:szCs w:val="21"/>
              </w:rPr>
            </w:pPr>
            <w:r>
              <w:rPr>
                <w:rFonts w:ascii="宋体" w:hAnsi="宋体"/>
                <w:kern w:val="0"/>
                <w:sz w:val="18"/>
                <w:szCs w:val="21"/>
              </w:rPr>
              <w:t>0.426</w:t>
            </w:r>
          </w:p>
        </w:tc>
        <w:tc>
          <w:tcPr>
            <w:tcW w:w="297" w:type="pct"/>
            <w:shd w:val="clear" w:color="auto" w:fill="auto"/>
            <w:noWrap/>
            <w:vAlign w:val="center"/>
          </w:tcPr>
          <w:p w14:paraId="56FFE534">
            <w:pPr>
              <w:pStyle w:val="23"/>
              <w:jc w:val="center"/>
              <w:rPr>
                <w:rFonts w:ascii="宋体" w:hAnsi="宋体"/>
                <w:kern w:val="0"/>
                <w:sz w:val="18"/>
                <w:szCs w:val="21"/>
              </w:rPr>
            </w:pPr>
            <w:r>
              <w:rPr>
                <w:rFonts w:ascii="宋体" w:hAnsi="宋体"/>
                <w:kern w:val="0"/>
                <w:sz w:val="18"/>
                <w:szCs w:val="21"/>
              </w:rPr>
              <w:t>0.0015</w:t>
            </w:r>
          </w:p>
        </w:tc>
        <w:tc>
          <w:tcPr>
            <w:tcW w:w="297" w:type="pct"/>
            <w:shd w:val="clear" w:color="auto" w:fill="auto"/>
            <w:noWrap/>
            <w:vAlign w:val="center"/>
          </w:tcPr>
          <w:p w14:paraId="32F4B2D0">
            <w:pPr>
              <w:pStyle w:val="23"/>
              <w:jc w:val="center"/>
              <w:rPr>
                <w:rFonts w:ascii="宋体" w:hAnsi="宋体"/>
                <w:kern w:val="0"/>
                <w:sz w:val="18"/>
                <w:szCs w:val="21"/>
              </w:rPr>
            </w:pPr>
            <w:r>
              <w:rPr>
                <w:rFonts w:ascii="宋体" w:hAnsi="宋体"/>
                <w:kern w:val="0"/>
                <w:sz w:val="18"/>
                <w:szCs w:val="21"/>
              </w:rPr>
              <w:t>2600</w:t>
            </w:r>
          </w:p>
        </w:tc>
        <w:tc>
          <w:tcPr>
            <w:tcW w:w="297" w:type="pct"/>
            <w:shd w:val="clear" w:color="auto" w:fill="auto"/>
            <w:noWrap/>
            <w:vAlign w:val="center"/>
          </w:tcPr>
          <w:p w14:paraId="539DB495">
            <w:pPr>
              <w:pStyle w:val="23"/>
              <w:jc w:val="center"/>
              <w:rPr>
                <w:rFonts w:ascii="宋体" w:hAnsi="宋体"/>
                <w:kern w:val="0"/>
                <w:sz w:val="18"/>
                <w:szCs w:val="21"/>
              </w:rPr>
            </w:pPr>
          </w:p>
        </w:tc>
        <w:tc>
          <w:tcPr>
            <w:tcW w:w="297" w:type="pct"/>
            <w:shd w:val="clear" w:color="auto" w:fill="auto"/>
            <w:noWrap/>
            <w:vAlign w:val="center"/>
          </w:tcPr>
          <w:p w14:paraId="6F8DD240">
            <w:pPr>
              <w:pStyle w:val="23"/>
              <w:jc w:val="center"/>
              <w:rPr>
                <w:rFonts w:ascii="宋体" w:hAnsi="宋体"/>
                <w:kern w:val="0"/>
                <w:sz w:val="18"/>
                <w:szCs w:val="21"/>
              </w:rPr>
            </w:pPr>
            <w:r>
              <w:rPr>
                <w:rFonts w:ascii="宋体" w:hAnsi="宋体"/>
                <w:kern w:val="0"/>
                <w:sz w:val="18"/>
                <w:szCs w:val="21"/>
              </w:rPr>
              <w:t>一</w:t>
            </w:r>
          </w:p>
        </w:tc>
        <w:tc>
          <w:tcPr>
            <w:tcW w:w="427" w:type="pct"/>
            <w:vMerge w:val="continue"/>
            <w:vAlign w:val="center"/>
          </w:tcPr>
          <w:p w14:paraId="6C637D74">
            <w:pPr>
              <w:pStyle w:val="23"/>
              <w:jc w:val="center"/>
              <w:rPr>
                <w:rFonts w:ascii="宋体" w:hAnsi="宋体"/>
                <w:kern w:val="0"/>
                <w:sz w:val="18"/>
                <w:szCs w:val="21"/>
              </w:rPr>
            </w:pPr>
          </w:p>
        </w:tc>
      </w:tr>
      <w:tr w14:paraId="23F57EC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97" w:type="pct"/>
            <w:vMerge w:val="continue"/>
            <w:vAlign w:val="center"/>
          </w:tcPr>
          <w:p w14:paraId="1465BF88">
            <w:pPr>
              <w:pStyle w:val="23"/>
              <w:jc w:val="center"/>
              <w:rPr>
                <w:rFonts w:ascii="宋体" w:hAnsi="宋体"/>
                <w:kern w:val="0"/>
                <w:sz w:val="18"/>
                <w:szCs w:val="21"/>
              </w:rPr>
            </w:pPr>
          </w:p>
        </w:tc>
        <w:tc>
          <w:tcPr>
            <w:tcW w:w="414" w:type="pct"/>
            <w:shd w:val="clear" w:color="auto" w:fill="auto"/>
            <w:noWrap/>
            <w:vAlign w:val="center"/>
          </w:tcPr>
          <w:p w14:paraId="139F5947">
            <w:pPr>
              <w:pStyle w:val="23"/>
              <w:jc w:val="center"/>
              <w:rPr>
                <w:rFonts w:ascii="宋体" w:hAnsi="宋体"/>
                <w:kern w:val="0"/>
                <w:sz w:val="18"/>
                <w:szCs w:val="21"/>
              </w:rPr>
            </w:pPr>
            <w:r>
              <w:rPr>
                <w:rFonts w:ascii="宋体" w:hAnsi="宋体"/>
                <w:kern w:val="0"/>
                <w:sz w:val="18"/>
                <w:szCs w:val="21"/>
              </w:rPr>
              <w:t>最小值</w:t>
            </w:r>
          </w:p>
        </w:tc>
        <w:tc>
          <w:tcPr>
            <w:tcW w:w="297" w:type="pct"/>
            <w:shd w:val="clear" w:color="auto" w:fill="auto"/>
            <w:noWrap/>
            <w:vAlign w:val="center"/>
          </w:tcPr>
          <w:p w14:paraId="2551A011">
            <w:pPr>
              <w:pStyle w:val="23"/>
              <w:jc w:val="center"/>
              <w:rPr>
                <w:rFonts w:ascii="宋体" w:hAnsi="宋体"/>
                <w:kern w:val="0"/>
                <w:sz w:val="18"/>
                <w:szCs w:val="21"/>
              </w:rPr>
            </w:pPr>
            <w:r>
              <w:rPr>
                <w:rFonts w:ascii="宋体" w:hAnsi="宋体"/>
                <w:kern w:val="0"/>
                <w:sz w:val="18"/>
                <w:szCs w:val="21"/>
              </w:rPr>
              <w:t>7</w:t>
            </w:r>
          </w:p>
        </w:tc>
        <w:tc>
          <w:tcPr>
            <w:tcW w:w="297" w:type="pct"/>
            <w:shd w:val="clear" w:color="auto" w:fill="auto"/>
            <w:noWrap/>
            <w:vAlign w:val="center"/>
          </w:tcPr>
          <w:p w14:paraId="4F592BCA">
            <w:pPr>
              <w:pStyle w:val="23"/>
              <w:jc w:val="center"/>
              <w:rPr>
                <w:rFonts w:ascii="宋体" w:hAnsi="宋体"/>
                <w:kern w:val="0"/>
                <w:sz w:val="18"/>
                <w:szCs w:val="21"/>
              </w:rPr>
            </w:pPr>
            <w:r>
              <w:rPr>
                <w:rFonts w:ascii="宋体" w:hAnsi="宋体"/>
                <w:kern w:val="0"/>
                <w:sz w:val="18"/>
                <w:szCs w:val="21"/>
              </w:rPr>
              <w:t>7.16</w:t>
            </w:r>
          </w:p>
        </w:tc>
        <w:tc>
          <w:tcPr>
            <w:tcW w:w="297" w:type="pct"/>
            <w:shd w:val="clear" w:color="auto" w:fill="auto"/>
            <w:noWrap/>
            <w:vAlign w:val="center"/>
          </w:tcPr>
          <w:p w14:paraId="7BA85230">
            <w:pPr>
              <w:pStyle w:val="23"/>
              <w:jc w:val="center"/>
              <w:rPr>
                <w:rFonts w:ascii="宋体" w:hAnsi="宋体"/>
                <w:kern w:val="0"/>
                <w:sz w:val="18"/>
                <w:szCs w:val="21"/>
              </w:rPr>
            </w:pPr>
            <w:r>
              <w:rPr>
                <w:rFonts w:ascii="宋体" w:hAnsi="宋体"/>
                <w:kern w:val="0"/>
                <w:sz w:val="18"/>
                <w:szCs w:val="21"/>
              </w:rPr>
              <w:t>6.8</w:t>
            </w:r>
          </w:p>
        </w:tc>
        <w:tc>
          <w:tcPr>
            <w:tcW w:w="297" w:type="pct"/>
            <w:shd w:val="clear" w:color="auto" w:fill="auto"/>
            <w:noWrap/>
            <w:vAlign w:val="center"/>
          </w:tcPr>
          <w:p w14:paraId="5A91C17A">
            <w:pPr>
              <w:pStyle w:val="23"/>
              <w:jc w:val="center"/>
              <w:rPr>
                <w:rFonts w:ascii="宋体" w:hAnsi="宋体"/>
                <w:kern w:val="0"/>
                <w:sz w:val="18"/>
                <w:szCs w:val="21"/>
              </w:rPr>
            </w:pPr>
            <w:r>
              <w:rPr>
                <w:rFonts w:ascii="宋体" w:hAnsi="宋体"/>
                <w:kern w:val="0"/>
                <w:sz w:val="18"/>
                <w:szCs w:val="21"/>
              </w:rPr>
              <w:t>.6</w:t>
            </w:r>
          </w:p>
        </w:tc>
        <w:tc>
          <w:tcPr>
            <w:tcW w:w="297" w:type="pct"/>
            <w:shd w:val="clear" w:color="auto" w:fill="auto"/>
            <w:noWrap/>
            <w:vAlign w:val="center"/>
          </w:tcPr>
          <w:p w14:paraId="4A62E5C3">
            <w:pPr>
              <w:pStyle w:val="23"/>
              <w:jc w:val="center"/>
              <w:rPr>
                <w:rFonts w:ascii="宋体" w:hAnsi="宋体"/>
                <w:kern w:val="0"/>
                <w:sz w:val="18"/>
                <w:szCs w:val="21"/>
              </w:rPr>
            </w:pPr>
            <w:r>
              <w:rPr>
                <w:rFonts w:ascii="宋体" w:hAnsi="宋体"/>
                <w:kern w:val="0"/>
                <w:sz w:val="18"/>
                <w:szCs w:val="21"/>
              </w:rPr>
              <w:t>5.9</w:t>
            </w:r>
          </w:p>
        </w:tc>
        <w:tc>
          <w:tcPr>
            <w:tcW w:w="297" w:type="pct"/>
            <w:shd w:val="clear" w:color="auto" w:fill="auto"/>
            <w:noWrap/>
            <w:vAlign w:val="center"/>
          </w:tcPr>
          <w:p w14:paraId="0A13DD28">
            <w:pPr>
              <w:pStyle w:val="23"/>
              <w:jc w:val="center"/>
              <w:rPr>
                <w:rFonts w:ascii="宋体" w:hAnsi="宋体"/>
                <w:kern w:val="0"/>
                <w:sz w:val="18"/>
                <w:szCs w:val="21"/>
              </w:rPr>
            </w:pPr>
            <w:r>
              <w:rPr>
                <w:rFonts w:ascii="宋体" w:hAnsi="宋体"/>
                <w:kern w:val="0"/>
                <w:sz w:val="18"/>
                <w:szCs w:val="21"/>
              </w:rPr>
              <w:t>2(L</w:t>
            </w:r>
          </w:p>
        </w:tc>
        <w:tc>
          <w:tcPr>
            <w:tcW w:w="297" w:type="pct"/>
            <w:shd w:val="clear" w:color="auto" w:fill="auto"/>
            <w:noWrap/>
            <w:vAlign w:val="center"/>
          </w:tcPr>
          <w:p w14:paraId="38204BD5">
            <w:pPr>
              <w:pStyle w:val="23"/>
              <w:jc w:val="center"/>
              <w:rPr>
                <w:rFonts w:ascii="宋体" w:hAnsi="宋体"/>
                <w:kern w:val="0"/>
                <w:sz w:val="18"/>
                <w:szCs w:val="21"/>
              </w:rPr>
            </w:pPr>
            <w:r>
              <w:rPr>
                <w:rFonts w:ascii="宋体" w:hAnsi="宋体"/>
                <w:kern w:val="0"/>
                <w:sz w:val="18"/>
                <w:szCs w:val="21"/>
              </w:rPr>
              <w:t>0.235</w:t>
            </w:r>
          </w:p>
        </w:tc>
        <w:tc>
          <w:tcPr>
            <w:tcW w:w="297" w:type="pct"/>
            <w:shd w:val="clear" w:color="auto" w:fill="auto"/>
            <w:noWrap/>
            <w:vAlign w:val="center"/>
          </w:tcPr>
          <w:p w14:paraId="06D4A263">
            <w:pPr>
              <w:pStyle w:val="23"/>
              <w:jc w:val="center"/>
              <w:rPr>
                <w:rFonts w:ascii="宋体" w:hAnsi="宋体"/>
                <w:kern w:val="0"/>
                <w:sz w:val="18"/>
                <w:szCs w:val="21"/>
              </w:rPr>
            </w:pPr>
            <w:r>
              <w:rPr>
                <w:rFonts w:ascii="宋体" w:hAnsi="宋体"/>
                <w:kern w:val="0"/>
                <w:sz w:val="18"/>
                <w:szCs w:val="21"/>
              </w:rPr>
              <w:t>0.01(L)</w:t>
            </w:r>
          </w:p>
        </w:tc>
        <w:tc>
          <w:tcPr>
            <w:tcW w:w="297" w:type="pct"/>
            <w:shd w:val="clear" w:color="auto" w:fill="auto"/>
            <w:noWrap/>
            <w:vAlign w:val="center"/>
          </w:tcPr>
          <w:p w14:paraId="18434440">
            <w:pPr>
              <w:pStyle w:val="23"/>
              <w:jc w:val="center"/>
              <w:rPr>
                <w:rFonts w:ascii="宋体" w:hAnsi="宋体"/>
                <w:kern w:val="0"/>
                <w:sz w:val="18"/>
                <w:szCs w:val="21"/>
              </w:rPr>
            </w:pPr>
            <w:r>
              <w:rPr>
                <w:rFonts w:ascii="宋体" w:hAnsi="宋体"/>
                <w:kern w:val="0"/>
                <w:sz w:val="18"/>
                <w:szCs w:val="21"/>
              </w:rPr>
              <w:t>0.23</w:t>
            </w:r>
          </w:p>
        </w:tc>
        <w:tc>
          <w:tcPr>
            <w:tcW w:w="297" w:type="pct"/>
            <w:shd w:val="clear" w:color="auto" w:fill="auto"/>
            <w:noWrap/>
            <w:vAlign w:val="center"/>
          </w:tcPr>
          <w:p w14:paraId="7BDDBF33">
            <w:pPr>
              <w:pStyle w:val="23"/>
              <w:jc w:val="center"/>
              <w:rPr>
                <w:rFonts w:ascii="宋体" w:hAnsi="宋体"/>
                <w:kern w:val="0"/>
                <w:sz w:val="18"/>
                <w:szCs w:val="21"/>
              </w:rPr>
            </w:pPr>
            <w:r>
              <w:rPr>
                <w:rFonts w:ascii="宋体" w:hAnsi="宋体"/>
                <w:kern w:val="0"/>
                <w:sz w:val="18"/>
                <w:szCs w:val="21"/>
              </w:rPr>
              <w:t>0.0004</w:t>
            </w:r>
          </w:p>
        </w:tc>
        <w:tc>
          <w:tcPr>
            <w:tcW w:w="297" w:type="pct"/>
            <w:shd w:val="clear" w:color="auto" w:fill="auto"/>
            <w:noWrap/>
            <w:vAlign w:val="center"/>
          </w:tcPr>
          <w:p w14:paraId="0D3C1EFE">
            <w:pPr>
              <w:pStyle w:val="23"/>
              <w:jc w:val="center"/>
              <w:rPr>
                <w:rFonts w:ascii="宋体" w:hAnsi="宋体"/>
                <w:kern w:val="0"/>
                <w:sz w:val="18"/>
                <w:szCs w:val="21"/>
              </w:rPr>
            </w:pPr>
            <w:r>
              <w:rPr>
                <w:rFonts w:ascii="宋体" w:hAnsi="宋体"/>
                <w:kern w:val="0"/>
                <w:sz w:val="18"/>
                <w:szCs w:val="21"/>
              </w:rPr>
              <w:t>1300</w:t>
            </w:r>
          </w:p>
        </w:tc>
        <w:tc>
          <w:tcPr>
            <w:tcW w:w="297" w:type="pct"/>
            <w:shd w:val="clear" w:color="auto" w:fill="auto"/>
            <w:noWrap/>
            <w:vAlign w:val="center"/>
          </w:tcPr>
          <w:p w14:paraId="07BED142">
            <w:pPr>
              <w:pStyle w:val="23"/>
              <w:jc w:val="center"/>
              <w:rPr>
                <w:rFonts w:ascii="宋体" w:hAnsi="宋体"/>
                <w:kern w:val="0"/>
                <w:sz w:val="18"/>
                <w:szCs w:val="21"/>
              </w:rPr>
            </w:pPr>
          </w:p>
        </w:tc>
        <w:tc>
          <w:tcPr>
            <w:tcW w:w="297" w:type="pct"/>
            <w:shd w:val="clear" w:color="auto" w:fill="auto"/>
            <w:noWrap/>
            <w:vAlign w:val="center"/>
          </w:tcPr>
          <w:p w14:paraId="24FBF91A">
            <w:pPr>
              <w:pStyle w:val="23"/>
              <w:jc w:val="center"/>
              <w:rPr>
                <w:rFonts w:ascii="宋体" w:hAnsi="宋体"/>
                <w:kern w:val="0"/>
                <w:sz w:val="18"/>
                <w:szCs w:val="21"/>
              </w:rPr>
            </w:pPr>
          </w:p>
        </w:tc>
        <w:tc>
          <w:tcPr>
            <w:tcW w:w="427" w:type="pct"/>
            <w:vMerge w:val="continue"/>
            <w:vAlign w:val="center"/>
          </w:tcPr>
          <w:p w14:paraId="06625EDC">
            <w:pPr>
              <w:pStyle w:val="23"/>
              <w:jc w:val="center"/>
              <w:rPr>
                <w:rFonts w:ascii="宋体" w:hAnsi="宋体"/>
                <w:kern w:val="0"/>
                <w:sz w:val="18"/>
                <w:szCs w:val="21"/>
              </w:rPr>
            </w:pPr>
          </w:p>
        </w:tc>
      </w:tr>
      <w:tr w14:paraId="7C48921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97" w:type="pct"/>
            <w:vMerge w:val="continue"/>
            <w:vAlign w:val="center"/>
          </w:tcPr>
          <w:p w14:paraId="2112BF0D">
            <w:pPr>
              <w:pStyle w:val="23"/>
              <w:jc w:val="center"/>
              <w:rPr>
                <w:rFonts w:ascii="宋体" w:hAnsi="宋体"/>
                <w:kern w:val="0"/>
                <w:sz w:val="18"/>
                <w:szCs w:val="21"/>
              </w:rPr>
            </w:pPr>
          </w:p>
        </w:tc>
        <w:tc>
          <w:tcPr>
            <w:tcW w:w="414" w:type="pct"/>
            <w:shd w:val="clear" w:color="auto" w:fill="auto"/>
            <w:noWrap/>
            <w:vAlign w:val="center"/>
          </w:tcPr>
          <w:p w14:paraId="515EE2B0">
            <w:pPr>
              <w:pStyle w:val="23"/>
              <w:jc w:val="center"/>
              <w:rPr>
                <w:rFonts w:ascii="宋体" w:hAnsi="宋体"/>
                <w:kern w:val="0"/>
                <w:sz w:val="18"/>
                <w:szCs w:val="21"/>
              </w:rPr>
            </w:pPr>
            <w:r>
              <w:rPr>
                <w:rFonts w:ascii="宋体" w:hAnsi="宋体"/>
                <w:kern w:val="0"/>
                <w:sz w:val="18"/>
                <w:szCs w:val="21"/>
              </w:rPr>
              <w:t>平均值</w:t>
            </w:r>
          </w:p>
        </w:tc>
        <w:tc>
          <w:tcPr>
            <w:tcW w:w="297" w:type="pct"/>
            <w:shd w:val="clear" w:color="auto" w:fill="auto"/>
            <w:noWrap/>
            <w:vAlign w:val="center"/>
          </w:tcPr>
          <w:p w14:paraId="1DF6876A">
            <w:pPr>
              <w:pStyle w:val="23"/>
              <w:jc w:val="center"/>
              <w:rPr>
                <w:rFonts w:ascii="宋体" w:hAnsi="宋体"/>
                <w:kern w:val="0"/>
                <w:sz w:val="18"/>
                <w:szCs w:val="21"/>
              </w:rPr>
            </w:pPr>
            <w:r>
              <w:rPr>
                <w:rFonts w:ascii="宋体" w:hAnsi="宋体"/>
                <w:kern w:val="0"/>
                <w:sz w:val="18"/>
                <w:szCs w:val="21"/>
              </w:rPr>
              <w:t>20</w:t>
            </w:r>
          </w:p>
        </w:tc>
        <w:tc>
          <w:tcPr>
            <w:tcW w:w="297" w:type="pct"/>
            <w:shd w:val="clear" w:color="auto" w:fill="auto"/>
            <w:noWrap/>
            <w:vAlign w:val="center"/>
          </w:tcPr>
          <w:p w14:paraId="5C76EE19">
            <w:pPr>
              <w:pStyle w:val="23"/>
              <w:jc w:val="center"/>
              <w:rPr>
                <w:rFonts w:ascii="宋体" w:hAnsi="宋体"/>
                <w:kern w:val="0"/>
                <w:sz w:val="18"/>
                <w:szCs w:val="21"/>
              </w:rPr>
            </w:pPr>
            <w:r>
              <w:rPr>
                <w:rFonts w:ascii="宋体" w:hAnsi="宋体"/>
                <w:kern w:val="0"/>
                <w:sz w:val="18"/>
                <w:szCs w:val="21"/>
              </w:rPr>
              <w:t>7.44</w:t>
            </w:r>
          </w:p>
        </w:tc>
        <w:tc>
          <w:tcPr>
            <w:tcW w:w="297" w:type="pct"/>
            <w:shd w:val="clear" w:color="auto" w:fill="auto"/>
            <w:noWrap/>
            <w:vAlign w:val="center"/>
          </w:tcPr>
          <w:p w14:paraId="61A2D186">
            <w:pPr>
              <w:pStyle w:val="23"/>
              <w:jc w:val="center"/>
              <w:rPr>
                <w:rFonts w:ascii="宋体" w:hAnsi="宋体"/>
                <w:kern w:val="0"/>
                <w:sz w:val="18"/>
                <w:szCs w:val="21"/>
              </w:rPr>
            </w:pPr>
            <w:r>
              <w:rPr>
                <w:rFonts w:ascii="宋体" w:hAnsi="宋体"/>
                <w:kern w:val="0"/>
                <w:sz w:val="18"/>
                <w:szCs w:val="21"/>
              </w:rPr>
              <w:t>7.8</w:t>
            </w:r>
          </w:p>
        </w:tc>
        <w:tc>
          <w:tcPr>
            <w:tcW w:w="297" w:type="pct"/>
            <w:shd w:val="clear" w:color="auto" w:fill="auto"/>
            <w:noWrap/>
            <w:vAlign w:val="center"/>
          </w:tcPr>
          <w:p w14:paraId="3FE0432A">
            <w:pPr>
              <w:pStyle w:val="23"/>
              <w:jc w:val="center"/>
              <w:rPr>
                <w:rFonts w:ascii="宋体" w:hAnsi="宋体"/>
                <w:kern w:val="0"/>
                <w:sz w:val="18"/>
                <w:szCs w:val="21"/>
              </w:rPr>
            </w:pPr>
            <w:r>
              <w:rPr>
                <w:rFonts w:ascii="宋体" w:hAnsi="宋体"/>
                <w:kern w:val="0"/>
                <w:sz w:val="18"/>
                <w:szCs w:val="21"/>
              </w:rPr>
              <w:t>2.8</w:t>
            </w:r>
          </w:p>
        </w:tc>
        <w:tc>
          <w:tcPr>
            <w:tcW w:w="297" w:type="pct"/>
            <w:shd w:val="clear" w:color="auto" w:fill="auto"/>
            <w:noWrap/>
            <w:vAlign w:val="center"/>
          </w:tcPr>
          <w:p w14:paraId="2201B1DB">
            <w:pPr>
              <w:pStyle w:val="23"/>
              <w:jc w:val="center"/>
              <w:rPr>
                <w:rFonts w:ascii="宋体" w:hAnsi="宋体"/>
                <w:kern w:val="0"/>
                <w:sz w:val="18"/>
                <w:szCs w:val="21"/>
              </w:rPr>
            </w:pPr>
            <w:r>
              <w:rPr>
                <w:rFonts w:ascii="宋体" w:hAnsi="宋体"/>
                <w:kern w:val="0"/>
                <w:sz w:val="18"/>
                <w:szCs w:val="21"/>
              </w:rPr>
              <w:t>10.1</w:t>
            </w:r>
          </w:p>
        </w:tc>
        <w:tc>
          <w:tcPr>
            <w:tcW w:w="297" w:type="pct"/>
            <w:shd w:val="clear" w:color="auto" w:fill="auto"/>
            <w:noWrap/>
            <w:vAlign w:val="center"/>
          </w:tcPr>
          <w:p w14:paraId="1ED0584E">
            <w:pPr>
              <w:pStyle w:val="23"/>
              <w:jc w:val="center"/>
              <w:rPr>
                <w:rFonts w:ascii="宋体" w:hAnsi="宋体"/>
                <w:kern w:val="0"/>
                <w:sz w:val="18"/>
                <w:szCs w:val="21"/>
              </w:rPr>
            </w:pPr>
            <w:r>
              <w:rPr>
                <w:rFonts w:ascii="宋体" w:hAnsi="宋体"/>
                <w:kern w:val="0"/>
                <w:sz w:val="18"/>
                <w:szCs w:val="21"/>
              </w:rPr>
              <w:t>2.7</w:t>
            </w:r>
          </w:p>
        </w:tc>
        <w:tc>
          <w:tcPr>
            <w:tcW w:w="297" w:type="pct"/>
            <w:shd w:val="clear" w:color="auto" w:fill="auto"/>
            <w:noWrap/>
            <w:vAlign w:val="center"/>
          </w:tcPr>
          <w:p w14:paraId="0CC3C55D">
            <w:pPr>
              <w:pStyle w:val="23"/>
              <w:jc w:val="center"/>
              <w:rPr>
                <w:rFonts w:ascii="宋体" w:hAnsi="宋体"/>
                <w:kern w:val="0"/>
                <w:sz w:val="18"/>
                <w:szCs w:val="21"/>
              </w:rPr>
            </w:pPr>
            <w:r>
              <w:rPr>
                <w:rFonts w:ascii="宋体" w:hAnsi="宋体"/>
                <w:kern w:val="0"/>
                <w:sz w:val="18"/>
                <w:szCs w:val="21"/>
              </w:rPr>
              <w:t>0.351</w:t>
            </w:r>
          </w:p>
        </w:tc>
        <w:tc>
          <w:tcPr>
            <w:tcW w:w="297" w:type="pct"/>
            <w:shd w:val="clear" w:color="auto" w:fill="auto"/>
            <w:noWrap/>
            <w:vAlign w:val="center"/>
          </w:tcPr>
          <w:p w14:paraId="1A2393D8">
            <w:pPr>
              <w:pStyle w:val="23"/>
              <w:jc w:val="center"/>
              <w:rPr>
                <w:rFonts w:ascii="宋体" w:hAnsi="宋体"/>
                <w:kern w:val="0"/>
                <w:sz w:val="18"/>
                <w:szCs w:val="21"/>
              </w:rPr>
            </w:pPr>
            <w:r>
              <w:rPr>
                <w:rFonts w:ascii="宋体" w:hAnsi="宋体"/>
                <w:kern w:val="0"/>
                <w:sz w:val="18"/>
                <w:szCs w:val="21"/>
              </w:rPr>
              <w:t>0.0</w:t>
            </w:r>
          </w:p>
        </w:tc>
        <w:tc>
          <w:tcPr>
            <w:tcW w:w="297" w:type="pct"/>
            <w:shd w:val="clear" w:color="auto" w:fill="auto"/>
            <w:noWrap/>
            <w:vAlign w:val="center"/>
          </w:tcPr>
          <w:p w14:paraId="6B30616D">
            <w:pPr>
              <w:pStyle w:val="23"/>
              <w:jc w:val="center"/>
              <w:rPr>
                <w:rFonts w:ascii="宋体" w:hAnsi="宋体"/>
                <w:kern w:val="0"/>
                <w:sz w:val="18"/>
                <w:szCs w:val="21"/>
              </w:rPr>
            </w:pPr>
            <w:r>
              <w:rPr>
                <w:rFonts w:ascii="宋体" w:hAnsi="宋体"/>
                <w:kern w:val="0"/>
                <w:sz w:val="18"/>
                <w:szCs w:val="21"/>
              </w:rPr>
              <w:t>0.3045</w:t>
            </w:r>
          </w:p>
        </w:tc>
        <w:tc>
          <w:tcPr>
            <w:tcW w:w="297" w:type="pct"/>
            <w:shd w:val="clear" w:color="auto" w:fill="auto"/>
            <w:noWrap/>
            <w:vAlign w:val="center"/>
          </w:tcPr>
          <w:p w14:paraId="61F7CA47">
            <w:pPr>
              <w:pStyle w:val="23"/>
              <w:jc w:val="center"/>
              <w:rPr>
                <w:rFonts w:ascii="宋体" w:hAnsi="宋体"/>
                <w:kern w:val="0"/>
                <w:sz w:val="18"/>
                <w:szCs w:val="21"/>
              </w:rPr>
            </w:pPr>
            <w:r>
              <w:rPr>
                <w:rFonts w:ascii="宋体" w:hAnsi="宋体"/>
                <w:kern w:val="0"/>
                <w:sz w:val="18"/>
                <w:szCs w:val="21"/>
              </w:rPr>
              <w:t>0.0011</w:t>
            </w:r>
          </w:p>
        </w:tc>
        <w:tc>
          <w:tcPr>
            <w:tcW w:w="297" w:type="pct"/>
            <w:shd w:val="clear" w:color="auto" w:fill="auto"/>
            <w:noWrap/>
            <w:vAlign w:val="center"/>
          </w:tcPr>
          <w:p w14:paraId="243AEE32">
            <w:pPr>
              <w:pStyle w:val="23"/>
              <w:jc w:val="center"/>
              <w:rPr>
                <w:rFonts w:ascii="宋体" w:hAnsi="宋体"/>
                <w:kern w:val="0"/>
                <w:sz w:val="18"/>
                <w:szCs w:val="21"/>
              </w:rPr>
            </w:pPr>
            <w:r>
              <w:rPr>
                <w:rFonts w:ascii="宋体" w:hAnsi="宋体"/>
                <w:kern w:val="0"/>
                <w:sz w:val="18"/>
                <w:szCs w:val="21"/>
              </w:rPr>
              <w:t>1917</w:t>
            </w:r>
          </w:p>
        </w:tc>
        <w:tc>
          <w:tcPr>
            <w:tcW w:w="297" w:type="pct"/>
            <w:shd w:val="clear" w:color="auto" w:fill="auto"/>
            <w:noWrap/>
            <w:vAlign w:val="center"/>
          </w:tcPr>
          <w:p w14:paraId="285F9EDB">
            <w:pPr>
              <w:pStyle w:val="23"/>
              <w:jc w:val="center"/>
              <w:rPr>
                <w:rFonts w:ascii="宋体" w:hAnsi="宋体"/>
                <w:kern w:val="0"/>
                <w:sz w:val="18"/>
                <w:szCs w:val="21"/>
              </w:rPr>
            </w:pPr>
          </w:p>
        </w:tc>
        <w:tc>
          <w:tcPr>
            <w:tcW w:w="297" w:type="pct"/>
            <w:shd w:val="clear" w:color="auto" w:fill="auto"/>
            <w:noWrap/>
            <w:vAlign w:val="center"/>
          </w:tcPr>
          <w:p w14:paraId="4EC4DC70">
            <w:pPr>
              <w:pStyle w:val="23"/>
              <w:jc w:val="center"/>
              <w:rPr>
                <w:rFonts w:ascii="宋体" w:hAnsi="宋体"/>
                <w:kern w:val="0"/>
                <w:sz w:val="18"/>
                <w:szCs w:val="21"/>
              </w:rPr>
            </w:pPr>
            <w:r>
              <w:rPr>
                <w:rFonts w:ascii="宋体" w:hAnsi="宋体"/>
                <w:kern w:val="0"/>
                <w:sz w:val="18"/>
                <w:szCs w:val="21"/>
              </w:rPr>
              <w:t>一</w:t>
            </w:r>
          </w:p>
        </w:tc>
        <w:tc>
          <w:tcPr>
            <w:tcW w:w="427" w:type="pct"/>
            <w:vMerge w:val="continue"/>
            <w:vAlign w:val="center"/>
          </w:tcPr>
          <w:p w14:paraId="1CB41781">
            <w:pPr>
              <w:pStyle w:val="23"/>
              <w:jc w:val="center"/>
              <w:rPr>
                <w:rFonts w:ascii="宋体" w:hAnsi="宋体"/>
                <w:kern w:val="0"/>
                <w:sz w:val="18"/>
                <w:szCs w:val="21"/>
              </w:rPr>
            </w:pPr>
          </w:p>
        </w:tc>
      </w:tr>
      <w:tr w14:paraId="1865565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97" w:type="pct"/>
            <w:vMerge w:val="continue"/>
            <w:vAlign w:val="center"/>
          </w:tcPr>
          <w:p w14:paraId="59B1FCBD">
            <w:pPr>
              <w:pStyle w:val="23"/>
              <w:jc w:val="center"/>
              <w:rPr>
                <w:rFonts w:ascii="宋体" w:hAnsi="宋体"/>
                <w:kern w:val="0"/>
                <w:sz w:val="18"/>
                <w:szCs w:val="21"/>
              </w:rPr>
            </w:pPr>
          </w:p>
        </w:tc>
        <w:tc>
          <w:tcPr>
            <w:tcW w:w="414" w:type="pct"/>
            <w:shd w:val="clear" w:color="auto" w:fill="auto"/>
            <w:noWrap/>
            <w:vAlign w:val="center"/>
          </w:tcPr>
          <w:p w14:paraId="444747EB">
            <w:pPr>
              <w:pStyle w:val="23"/>
              <w:jc w:val="center"/>
              <w:rPr>
                <w:rFonts w:ascii="宋体" w:hAnsi="宋体"/>
                <w:kern w:val="0"/>
                <w:sz w:val="18"/>
                <w:szCs w:val="21"/>
              </w:rPr>
            </w:pPr>
            <w:r>
              <w:rPr>
                <w:rFonts w:ascii="宋体" w:hAnsi="宋体"/>
                <w:kern w:val="0"/>
                <w:sz w:val="18"/>
                <w:szCs w:val="21"/>
              </w:rPr>
              <w:t>超标率(%)</w:t>
            </w:r>
          </w:p>
        </w:tc>
        <w:tc>
          <w:tcPr>
            <w:tcW w:w="297" w:type="pct"/>
            <w:shd w:val="clear" w:color="auto" w:fill="auto"/>
            <w:noWrap/>
            <w:vAlign w:val="center"/>
          </w:tcPr>
          <w:p w14:paraId="75AC0279">
            <w:pPr>
              <w:pStyle w:val="23"/>
              <w:jc w:val="center"/>
              <w:rPr>
                <w:rFonts w:ascii="宋体" w:hAnsi="宋体"/>
                <w:kern w:val="0"/>
                <w:sz w:val="18"/>
                <w:szCs w:val="21"/>
              </w:rPr>
            </w:pPr>
          </w:p>
        </w:tc>
        <w:tc>
          <w:tcPr>
            <w:tcW w:w="297" w:type="pct"/>
            <w:shd w:val="clear" w:color="auto" w:fill="auto"/>
            <w:noWrap/>
            <w:vAlign w:val="center"/>
          </w:tcPr>
          <w:p w14:paraId="3A9E4B77">
            <w:pPr>
              <w:pStyle w:val="23"/>
              <w:jc w:val="center"/>
              <w:rPr>
                <w:rFonts w:ascii="宋体" w:hAnsi="宋体"/>
                <w:kern w:val="0"/>
                <w:sz w:val="18"/>
                <w:szCs w:val="21"/>
              </w:rPr>
            </w:pPr>
            <w:r>
              <w:rPr>
                <w:rFonts w:ascii="宋体" w:hAnsi="宋体"/>
                <w:kern w:val="0"/>
                <w:sz w:val="18"/>
                <w:szCs w:val="21"/>
              </w:rPr>
              <w:t>0.0</w:t>
            </w:r>
          </w:p>
        </w:tc>
        <w:tc>
          <w:tcPr>
            <w:tcW w:w="297" w:type="pct"/>
            <w:shd w:val="clear" w:color="auto" w:fill="auto"/>
            <w:noWrap/>
            <w:vAlign w:val="center"/>
          </w:tcPr>
          <w:p w14:paraId="6AD8B8BE">
            <w:pPr>
              <w:pStyle w:val="23"/>
              <w:jc w:val="center"/>
              <w:rPr>
                <w:rFonts w:ascii="宋体" w:hAnsi="宋体"/>
                <w:kern w:val="0"/>
                <w:sz w:val="18"/>
                <w:szCs w:val="21"/>
              </w:rPr>
            </w:pPr>
            <w:r>
              <w:rPr>
                <w:rFonts w:ascii="宋体" w:hAnsi="宋体"/>
                <w:kern w:val="0"/>
                <w:sz w:val="18"/>
                <w:szCs w:val="21"/>
              </w:rPr>
              <w:t>0.0</w:t>
            </w:r>
          </w:p>
        </w:tc>
        <w:tc>
          <w:tcPr>
            <w:tcW w:w="297" w:type="pct"/>
            <w:shd w:val="clear" w:color="auto" w:fill="auto"/>
            <w:noWrap/>
            <w:vAlign w:val="center"/>
          </w:tcPr>
          <w:p w14:paraId="7689207F">
            <w:pPr>
              <w:pStyle w:val="23"/>
              <w:jc w:val="center"/>
              <w:rPr>
                <w:rFonts w:ascii="宋体" w:hAnsi="宋体"/>
                <w:kern w:val="0"/>
                <w:sz w:val="18"/>
                <w:szCs w:val="21"/>
              </w:rPr>
            </w:pPr>
            <w:r>
              <w:rPr>
                <w:rFonts w:ascii="宋体" w:hAnsi="宋体"/>
                <w:kern w:val="0"/>
                <w:sz w:val="18"/>
                <w:szCs w:val="21"/>
              </w:rPr>
              <w:t>0.0</w:t>
            </w:r>
          </w:p>
        </w:tc>
        <w:tc>
          <w:tcPr>
            <w:tcW w:w="297" w:type="pct"/>
            <w:shd w:val="clear" w:color="auto" w:fill="auto"/>
            <w:noWrap/>
            <w:vAlign w:val="center"/>
          </w:tcPr>
          <w:p w14:paraId="30407870">
            <w:pPr>
              <w:pStyle w:val="23"/>
              <w:jc w:val="center"/>
              <w:rPr>
                <w:rFonts w:ascii="宋体" w:hAnsi="宋体"/>
                <w:kern w:val="0"/>
                <w:sz w:val="18"/>
                <w:szCs w:val="21"/>
              </w:rPr>
            </w:pPr>
            <w:r>
              <w:rPr>
                <w:rFonts w:ascii="宋体" w:hAnsi="宋体"/>
                <w:kern w:val="0"/>
                <w:sz w:val="18"/>
                <w:szCs w:val="21"/>
              </w:rPr>
              <w:t>0.0</w:t>
            </w:r>
          </w:p>
        </w:tc>
        <w:tc>
          <w:tcPr>
            <w:tcW w:w="297" w:type="pct"/>
            <w:shd w:val="clear" w:color="auto" w:fill="auto"/>
            <w:noWrap/>
            <w:vAlign w:val="center"/>
          </w:tcPr>
          <w:p w14:paraId="605C8D6A">
            <w:pPr>
              <w:pStyle w:val="23"/>
              <w:jc w:val="center"/>
              <w:rPr>
                <w:rFonts w:ascii="宋体" w:hAnsi="宋体"/>
                <w:kern w:val="0"/>
                <w:sz w:val="18"/>
                <w:szCs w:val="21"/>
              </w:rPr>
            </w:pPr>
            <w:r>
              <w:rPr>
                <w:rFonts w:ascii="宋体" w:hAnsi="宋体"/>
                <w:kern w:val="0"/>
                <w:sz w:val="18"/>
                <w:szCs w:val="21"/>
              </w:rPr>
              <w:t>0.0</w:t>
            </w:r>
          </w:p>
        </w:tc>
        <w:tc>
          <w:tcPr>
            <w:tcW w:w="297" w:type="pct"/>
            <w:shd w:val="clear" w:color="auto" w:fill="auto"/>
            <w:noWrap/>
            <w:vAlign w:val="center"/>
          </w:tcPr>
          <w:p w14:paraId="3379EBC4">
            <w:pPr>
              <w:pStyle w:val="23"/>
              <w:jc w:val="center"/>
              <w:rPr>
                <w:rFonts w:ascii="宋体" w:hAnsi="宋体"/>
                <w:kern w:val="0"/>
                <w:sz w:val="18"/>
                <w:szCs w:val="21"/>
              </w:rPr>
            </w:pPr>
            <w:r>
              <w:rPr>
                <w:rFonts w:ascii="宋体" w:hAnsi="宋体"/>
                <w:kern w:val="0"/>
                <w:sz w:val="18"/>
                <w:szCs w:val="21"/>
              </w:rPr>
              <w:t>0.0</w:t>
            </w:r>
          </w:p>
        </w:tc>
        <w:tc>
          <w:tcPr>
            <w:tcW w:w="297" w:type="pct"/>
            <w:shd w:val="clear" w:color="auto" w:fill="auto"/>
            <w:noWrap/>
            <w:vAlign w:val="center"/>
          </w:tcPr>
          <w:p w14:paraId="426BA373">
            <w:pPr>
              <w:pStyle w:val="23"/>
              <w:jc w:val="center"/>
              <w:rPr>
                <w:rFonts w:ascii="宋体" w:hAnsi="宋体"/>
                <w:kern w:val="0"/>
                <w:sz w:val="18"/>
                <w:szCs w:val="21"/>
              </w:rPr>
            </w:pPr>
            <w:r>
              <w:rPr>
                <w:rFonts w:ascii="宋体" w:hAnsi="宋体"/>
                <w:kern w:val="0"/>
                <w:sz w:val="18"/>
                <w:szCs w:val="21"/>
              </w:rPr>
              <w:t>0.0</w:t>
            </w:r>
          </w:p>
        </w:tc>
        <w:tc>
          <w:tcPr>
            <w:tcW w:w="297" w:type="pct"/>
            <w:shd w:val="clear" w:color="auto" w:fill="auto"/>
            <w:noWrap/>
            <w:vAlign w:val="center"/>
          </w:tcPr>
          <w:p w14:paraId="542D5EB0">
            <w:pPr>
              <w:pStyle w:val="23"/>
              <w:jc w:val="center"/>
              <w:rPr>
                <w:rFonts w:ascii="宋体" w:hAnsi="宋体"/>
                <w:kern w:val="0"/>
                <w:sz w:val="18"/>
                <w:szCs w:val="21"/>
              </w:rPr>
            </w:pPr>
            <w:r>
              <w:rPr>
                <w:rFonts w:ascii="宋体" w:hAnsi="宋体"/>
                <w:kern w:val="0"/>
                <w:sz w:val="18"/>
                <w:szCs w:val="21"/>
              </w:rPr>
              <w:t>0.0</w:t>
            </w:r>
          </w:p>
        </w:tc>
        <w:tc>
          <w:tcPr>
            <w:tcW w:w="297" w:type="pct"/>
            <w:shd w:val="clear" w:color="auto" w:fill="auto"/>
            <w:noWrap/>
            <w:vAlign w:val="center"/>
          </w:tcPr>
          <w:p w14:paraId="206AE015">
            <w:pPr>
              <w:pStyle w:val="23"/>
              <w:jc w:val="center"/>
              <w:rPr>
                <w:rFonts w:ascii="宋体" w:hAnsi="宋体"/>
                <w:kern w:val="0"/>
                <w:sz w:val="18"/>
                <w:szCs w:val="21"/>
              </w:rPr>
            </w:pPr>
            <w:r>
              <w:rPr>
                <w:rFonts w:ascii="宋体" w:hAnsi="宋体"/>
                <w:kern w:val="0"/>
                <w:sz w:val="18"/>
                <w:szCs w:val="21"/>
              </w:rPr>
              <w:t>0.0</w:t>
            </w:r>
          </w:p>
        </w:tc>
        <w:tc>
          <w:tcPr>
            <w:tcW w:w="297" w:type="pct"/>
            <w:shd w:val="clear" w:color="auto" w:fill="auto"/>
            <w:noWrap/>
            <w:vAlign w:val="center"/>
          </w:tcPr>
          <w:p w14:paraId="5E9D6E2F">
            <w:pPr>
              <w:pStyle w:val="23"/>
              <w:jc w:val="center"/>
              <w:rPr>
                <w:rFonts w:ascii="宋体" w:hAnsi="宋体"/>
                <w:kern w:val="0"/>
                <w:sz w:val="18"/>
                <w:szCs w:val="21"/>
              </w:rPr>
            </w:pPr>
            <w:r>
              <w:rPr>
                <w:rFonts w:ascii="宋体" w:hAnsi="宋体"/>
                <w:kern w:val="0"/>
                <w:sz w:val="18"/>
                <w:szCs w:val="21"/>
              </w:rPr>
              <w:t>0.0</w:t>
            </w:r>
          </w:p>
        </w:tc>
        <w:tc>
          <w:tcPr>
            <w:tcW w:w="297" w:type="pct"/>
            <w:shd w:val="clear" w:color="auto" w:fill="auto"/>
            <w:noWrap/>
            <w:vAlign w:val="center"/>
          </w:tcPr>
          <w:p w14:paraId="11E79CEE">
            <w:pPr>
              <w:pStyle w:val="23"/>
              <w:jc w:val="center"/>
              <w:rPr>
                <w:rFonts w:ascii="宋体" w:hAnsi="宋体"/>
                <w:kern w:val="0"/>
                <w:sz w:val="18"/>
                <w:szCs w:val="21"/>
              </w:rPr>
            </w:pPr>
          </w:p>
        </w:tc>
        <w:tc>
          <w:tcPr>
            <w:tcW w:w="297" w:type="pct"/>
            <w:shd w:val="clear" w:color="auto" w:fill="auto"/>
            <w:noWrap/>
            <w:vAlign w:val="center"/>
          </w:tcPr>
          <w:p w14:paraId="5BD2FFC0">
            <w:pPr>
              <w:pStyle w:val="23"/>
              <w:jc w:val="center"/>
              <w:rPr>
                <w:rFonts w:ascii="宋体" w:hAnsi="宋体"/>
                <w:kern w:val="0"/>
                <w:sz w:val="18"/>
                <w:szCs w:val="21"/>
              </w:rPr>
            </w:pPr>
          </w:p>
        </w:tc>
        <w:tc>
          <w:tcPr>
            <w:tcW w:w="427" w:type="pct"/>
            <w:vMerge w:val="continue"/>
            <w:vAlign w:val="center"/>
          </w:tcPr>
          <w:p w14:paraId="3BE81F17">
            <w:pPr>
              <w:pStyle w:val="23"/>
              <w:jc w:val="center"/>
              <w:rPr>
                <w:rFonts w:ascii="宋体" w:hAnsi="宋体"/>
                <w:kern w:val="0"/>
                <w:sz w:val="18"/>
                <w:szCs w:val="21"/>
              </w:rPr>
            </w:pPr>
          </w:p>
        </w:tc>
      </w:tr>
      <w:tr w14:paraId="0A3AB14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97" w:type="pct"/>
            <w:vMerge w:val="continue"/>
            <w:vAlign w:val="center"/>
          </w:tcPr>
          <w:p w14:paraId="62CCB8C0">
            <w:pPr>
              <w:pStyle w:val="23"/>
              <w:jc w:val="center"/>
              <w:rPr>
                <w:rFonts w:ascii="宋体" w:hAnsi="宋体"/>
                <w:kern w:val="0"/>
                <w:sz w:val="18"/>
                <w:szCs w:val="21"/>
              </w:rPr>
            </w:pPr>
          </w:p>
        </w:tc>
        <w:tc>
          <w:tcPr>
            <w:tcW w:w="414" w:type="pct"/>
            <w:shd w:val="clear" w:color="auto" w:fill="auto"/>
            <w:noWrap/>
            <w:vAlign w:val="center"/>
          </w:tcPr>
          <w:p w14:paraId="1F04E2AA">
            <w:pPr>
              <w:pStyle w:val="23"/>
              <w:jc w:val="center"/>
              <w:rPr>
                <w:rFonts w:ascii="宋体" w:hAnsi="宋体"/>
                <w:kern w:val="0"/>
                <w:sz w:val="18"/>
                <w:szCs w:val="21"/>
              </w:rPr>
            </w:pPr>
            <w:r>
              <w:rPr>
                <w:rFonts w:ascii="宋体" w:hAnsi="宋体"/>
                <w:kern w:val="0"/>
                <w:sz w:val="18"/>
                <w:szCs w:val="21"/>
              </w:rPr>
              <w:t>污染指数</w:t>
            </w:r>
          </w:p>
        </w:tc>
        <w:tc>
          <w:tcPr>
            <w:tcW w:w="297" w:type="pct"/>
            <w:shd w:val="clear" w:color="auto" w:fill="auto"/>
            <w:noWrap/>
            <w:vAlign w:val="center"/>
          </w:tcPr>
          <w:p w14:paraId="7A1D5239">
            <w:pPr>
              <w:pStyle w:val="23"/>
              <w:jc w:val="center"/>
              <w:rPr>
                <w:rFonts w:ascii="宋体" w:hAnsi="宋体"/>
                <w:kern w:val="0"/>
                <w:sz w:val="18"/>
                <w:szCs w:val="21"/>
              </w:rPr>
            </w:pPr>
          </w:p>
        </w:tc>
        <w:tc>
          <w:tcPr>
            <w:tcW w:w="297" w:type="pct"/>
            <w:shd w:val="clear" w:color="auto" w:fill="auto"/>
            <w:noWrap/>
            <w:vAlign w:val="center"/>
          </w:tcPr>
          <w:p w14:paraId="658C8906">
            <w:pPr>
              <w:pStyle w:val="23"/>
              <w:jc w:val="center"/>
              <w:rPr>
                <w:rFonts w:ascii="宋体" w:hAnsi="宋体"/>
                <w:kern w:val="0"/>
                <w:sz w:val="18"/>
                <w:szCs w:val="21"/>
              </w:rPr>
            </w:pPr>
            <w:r>
              <w:rPr>
                <w:rFonts w:ascii="宋体" w:hAnsi="宋体"/>
                <w:kern w:val="0"/>
                <w:sz w:val="18"/>
                <w:szCs w:val="21"/>
              </w:rPr>
              <w:t>0.22</w:t>
            </w:r>
          </w:p>
        </w:tc>
        <w:tc>
          <w:tcPr>
            <w:tcW w:w="297" w:type="pct"/>
            <w:shd w:val="clear" w:color="auto" w:fill="auto"/>
            <w:noWrap/>
            <w:vAlign w:val="center"/>
          </w:tcPr>
          <w:p w14:paraId="16C150C6">
            <w:pPr>
              <w:pStyle w:val="23"/>
              <w:jc w:val="center"/>
              <w:rPr>
                <w:rFonts w:ascii="宋体" w:hAnsi="宋体"/>
                <w:kern w:val="0"/>
                <w:sz w:val="18"/>
                <w:szCs w:val="21"/>
              </w:rPr>
            </w:pPr>
            <w:r>
              <w:rPr>
                <w:rFonts w:ascii="宋体" w:hAnsi="宋体"/>
                <w:kern w:val="0"/>
                <w:sz w:val="18"/>
                <w:szCs w:val="21"/>
              </w:rPr>
              <w:t>0.4</w:t>
            </w:r>
          </w:p>
        </w:tc>
        <w:tc>
          <w:tcPr>
            <w:tcW w:w="297" w:type="pct"/>
            <w:shd w:val="clear" w:color="auto" w:fill="auto"/>
            <w:noWrap/>
            <w:vAlign w:val="center"/>
          </w:tcPr>
          <w:p w14:paraId="2B618021">
            <w:pPr>
              <w:pStyle w:val="23"/>
              <w:jc w:val="center"/>
              <w:rPr>
                <w:rFonts w:ascii="宋体" w:hAnsi="宋体"/>
                <w:kern w:val="0"/>
                <w:sz w:val="18"/>
                <w:szCs w:val="21"/>
              </w:rPr>
            </w:pPr>
            <w:r>
              <w:rPr>
                <w:rFonts w:ascii="宋体" w:hAnsi="宋体"/>
                <w:kern w:val="0"/>
                <w:sz w:val="18"/>
                <w:szCs w:val="21"/>
              </w:rPr>
              <w:t>0.47</w:t>
            </w:r>
          </w:p>
        </w:tc>
        <w:tc>
          <w:tcPr>
            <w:tcW w:w="297" w:type="pct"/>
            <w:shd w:val="clear" w:color="auto" w:fill="auto"/>
            <w:noWrap/>
            <w:vAlign w:val="center"/>
          </w:tcPr>
          <w:p w14:paraId="24328920">
            <w:pPr>
              <w:pStyle w:val="23"/>
              <w:jc w:val="center"/>
              <w:rPr>
                <w:rFonts w:ascii="宋体" w:hAnsi="宋体"/>
                <w:kern w:val="0"/>
                <w:sz w:val="18"/>
                <w:szCs w:val="21"/>
              </w:rPr>
            </w:pPr>
            <w:r>
              <w:rPr>
                <w:rFonts w:ascii="宋体" w:hAnsi="宋体"/>
                <w:kern w:val="0"/>
                <w:sz w:val="18"/>
                <w:szCs w:val="21"/>
              </w:rPr>
              <w:t>0.51</w:t>
            </w:r>
          </w:p>
        </w:tc>
        <w:tc>
          <w:tcPr>
            <w:tcW w:w="297" w:type="pct"/>
            <w:shd w:val="clear" w:color="auto" w:fill="auto"/>
            <w:noWrap/>
            <w:vAlign w:val="center"/>
          </w:tcPr>
          <w:p w14:paraId="7582ADD6">
            <w:pPr>
              <w:pStyle w:val="23"/>
              <w:jc w:val="center"/>
              <w:rPr>
                <w:rFonts w:ascii="宋体" w:hAnsi="宋体"/>
                <w:kern w:val="0"/>
                <w:sz w:val="18"/>
                <w:szCs w:val="21"/>
              </w:rPr>
            </w:pPr>
            <w:r>
              <w:rPr>
                <w:rFonts w:ascii="宋体" w:hAnsi="宋体"/>
                <w:kern w:val="0"/>
                <w:sz w:val="18"/>
                <w:szCs w:val="21"/>
              </w:rPr>
              <w:t>0.67</w:t>
            </w:r>
          </w:p>
        </w:tc>
        <w:tc>
          <w:tcPr>
            <w:tcW w:w="297" w:type="pct"/>
            <w:shd w:val="clear" w:color="auto" w:fill="auto"/>
            <w:noWrap/>
            <w:vAlign w:val="center"/>
          </w:tcPr>
          <w:p w14:paraId="0D5E921B">
            <w:pPr>
              <w:pStyle w:val="23"/>
              <w:jc w:val="center"/>
              <w:rPr>
                <w:rFonts w:ascii="宋体" w:hAnsi="宋体"/>
                <w:kern w:val="0"/>
                <w:sz w:val="18"/>
                <w:szCs w:val="21"/>
              </w:rPr>
            </w:pPr>
            <w:r>
              <w:rPr>
                <w:rFonts w:ascii="宋体" w:hAnsi="宋体"/>
                <w:kern w:val="0"/>
                <w:sz w:val="18"/>
                <w:szCs w:val="21"/>
              </w:rPr>
              <w:t>0.35</w:t>
            </w:r>
          </w:p>
        </w:tc>
        <w:tc>
          <w:tcPr>
            <w:tcW w:w="297" w:type="pct"/>
            <w:shd w:val="clear" w:color="auto" w:fill="auto"/>
            <w:noWrap/>
            <w:vAlign w:val="center"/>
          </w:tcPr>
          <w:p w14:paraId="0723D0F2">
            <w:pPr>
              <w:pStyle w:val="23"/>
              <w:jc w:val="center"/>
              <w:rPr>
                <w:rFonts w:ascii="宋体" w:hAnsi="宋体"/>
                <w:kern w:val="0"/>
                <w:sz w:val="18"/>
                <w:szCs w:val="21"/>
              </w:rPr>
            </w:pPr>
            <w:r>
              <w:rPr>
                <w:rFonts w:ascii="宋体" w:hAnsi="宋体"/>
                <w:kern w:val="0"/>
                <w:sz w:val="18"/>
                <w:szCs w:val="21"/>
              </w:rPr>
              <w:t>0.24</w:t>
            </w:r>
          </w:p>
        </w:tc>
        <w:tc>
          <w:tcPr>
            <w:tcW w:w="297" w:type="pct"/>
            <w:shd w:val="clear" w:color="auto" w:fill="auto"/>
            <w:noWrap/>
            <w:vAlign w:val="center"/>
          </w:tcPr>
          <w:p w14:paraId="3B06388C">
            <w:pPr>
              <w:pStyle w:val="23"/>
              <w:jc w:val="center"/>
              <w:rPr>
                <w:rFonts w:ascii="宋体" w:hAnsi="宋体"/>
                <w:kern w:val="0"/>
                <w:sz w:val="18"/>
                <w:szCs w:val="21"/>
              </w:rPr>
            </w:pPr>
            <w:r>
              <w:rPr>
                <w:rFonts w:ascii="宋体" w:hAnsi="宋体"/>
                <w:kern w:val="0"/>
                <w:sz w:val="18"/>
                <w:szCs w:val="21"/>
              </w:rPr>
              <w:t>0.30</w:t>
            </w:r>
          </w:p>
        </w:tc>
        <w:tc>
          <w:tcPr>
            <w:tcW w:w="297" w:type="pct"/>
            <w:shd w:val="clear" w:color="auto" w:fill="auto"/>
            <w:noWrap/>
            <w:vAlign w:val="center"/>
          </w:tcPr>
          <w:p w14:paraId="0439C71E">
            <w:pPr>
              <w:pStyle w:val="23"/>
              <w:jc w:val="center"/>
              <w:rPr>
                <w:rFonts w:ascii="宋体" w:hAnsi="宋体"/>
                <w:kern w:val="0"/>
                <w:sz w:val="18"/>
                <w:szCs w:val="21"/>
              </w:rPr>
            </w:pPr>
            <w:r>
              <w:rPr>
                <w:rFonts w:ascii="宋体" w:hAnsi="宋体"/>
                <w:kern w:val="0"/>
                <w:sz w:val="18"/>
                <w:szCs w:val="21"/>
              </w:rPr>
              <w:t>0.21</w:t>
            </w:r>
          </w:p>
        </w:tc>
        <w:tc>
          <w:tcPr>
            <w:tcW w:w="297" w:type="pct"/>
            <w:shd w:val="clear" w:color="auto" w:fill="auto"/>
            <w:noWrap/>
            <w:vAlign w:val="center"/>
          </w:tcPr>
          <w:p w14:paraId="510643CE">
            <w:pPr>
              <w:pStyle w:val="23"/>
              <w:jc w:val="center"/>
              <w:rPr>
                <w:rFonts w:ascii="宋体" w:hAnsi="宋体"/>
                <w:kern w:val="0"/>
                <w:sz w:val="18"/>
                <w:szCs w:val="21"/>
              </w:rPr>
            </w:pPr>
            <w:r>
              <w:rPr>
                <w:rFonts w:ascii="宋体" w:hAnsi="宋体"/>
                <w:kern w:val="0"/>
                <w:sz w:val="18"/>
                <w:szCs w:val="21"/>
              </w:rPr>
              <w:t>0.19</w:t>
            </w:r>
          </w:p>
        </w:tc>
        <w:tc>
          <w:tcPr>
            <w:tcW w:w="297" w:type="pct"/>
            <w:shd w:val="clear" w:color="auto" w:fill="auto"/>
            <w:noWrap/>
            <w:vAlign w:val="center"/>
          </w:tcPr>
          <w:p w14:paraId="160E89E8">
            <w:pPr>
              <w:pStyle w:val="23"/>
              <w:jc w:val="center"/>
              <w:rPr>
                <w:rFonts w:ascii="宋体" w:hAnsi="宋体"/>
                <w:kern w:val="0"/>
                <w:sz w:val="18"/>
                <w:szCs w:val="21"/>
              </w:rPr>
            </w:pPr>
          </w:p>
        </w:tc>
        <w:tc>
          <w:tcPr>
            <w:tcW w:w="297" w:type="pct"/>
            <w:shd w:val="clear" w:color="auto" w:fill="auto"/>
            <w:noWrap/>
            <w:vAlign w:val="center"/>
          </w:tcPr>
          <w:p w14:paraId="72A2E579">
            <w:pPr>
              <w:pStyle w:val="23"/>
              <w:jc w:val="center"/>
              <w:rPr>
                <w:rFonts w:ascii="宋体" w:hAnsi="宋体"/>
                <w:kern w:val="0"/>
                <w:sz w:val="18"/>
                <w:szCs w:val="21"/>
              </w:rPr>
            </w:pPr>
          </w:p>
        </w:tc>
        <w:tc>
          <w:tcPr>
            <w:tcW w:w="427" w:type="pct"/>
            <w:vMerge w:val="continue"/>
            <w:vAlign w:val="center"/>
          </w:tcPr>
          <w:p w14:paraId="24D079AA">
            <w:pPr>
              <w:pStyle w:val="23"/>
              <w:jc w:val="center"/>
              <w:rPr>
                <w:rFonts w:ascii="宋体" w:hAnsi="宋体"/>
                <w:kern w:val="0"/>
                <w:sz w:val="18"/>
                <w:szCs w:val="21"/>
              </w:rPr>
            </w:pPr>
          </w:p>
        </w:tc>
      </w:tr>
      <w:tr w14:paraId="0BCF6FC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97" w:type="pct"/>
            <w:vMerge w:val="continue"/>
            <w:vAlign w:val="center"/>
          </w:tcPr>
          <w:p w14:paraId="369F835B">
            <w:pPr>
              <w:pStyle w:val="23"/>
              <w:jc w:val="center"/>
              <w:rPr>
                <w:rFonts w:ascii="宋体" w:hAnsi="宋体"/>
                <w:kern w:val="0"/>
                <w:sz w:val="18"/>
                <w:szCs w:val="21"/>
              </w:rPr>
            </w:pPr>
          </w:p>
        </w:tc>
        <w:tc>
          <w:tcPr>
            <w:tcW w:w="414" w:type="pct"/>
            <w:shd w:val="clear" w:color="auto" w:fill="auto"/>
            <w:noWrap/>
            <w:vAlign w:val="center"/>
          </w:tcPr>
          <w:p w14:paraId="4D0288DA">
            <w:pPr>
              <w:pStyle w:val="23"/>
              <w:jc w:val="center"/>
              <w:rPr>
                <w:rFonts w:ascii="宋体" w:hAnsi="宋体"/>
                <w:kern w:val="0"/>
                <w:sz w:val="18"/>
                <w:szCs w:val="21"/>
              </w:rPr>
            </w:pPr>
            <w:r>
              <w:rPr>
                <w:rFonts w:ascii="宋体" w:hAnsi="宋体"/>
                <w:kern w:val="0"/>
                <w:sz w:val="18"/>
                <w:szCs w:val="21"/>
              </w:rPr>
              <w:t>污染分担率(%)</w:t>
            </w:r>
          </w:p>
        </w:tc>
        <w:tc>
          <w:tcPr>
            <w:tcW w:w="297" w:type="pct"/>
            <w:shd w:val="clear" w:color="auto" w:fill="auto"/>
            <w:noWrap/>
            <w:vAlign w:val="center"/>
          </w:tcPr>
          <w:p w14:paraId="21A39819">
            <w:pPr>
              <w:pStyle w:val="23"/>
              <w:jc w:val="center"/>
              <w:rPr>
                <w:rFonts w:ascii="宋体" w:hAnsi="宋体"/>
                <w:kern w:val="0"/>
                <w:sz w:val="18"/>
                <w:szCs w:val="21"/>
              </w:rPr>
            </w:pPr>
            <w:r>
              <w:rPr>
                <w:rFonts w:ascii="宋体" w:hAnsi="宋体"/>
                <w:kern w:val="0"/>
                <w:sz w:val="18"/>
                <w:szCs w:val="21"/>
              </w:rPr>
              <w:t>一</w:t>
            </w:r>
          </w:p>
        </w:tc>
        <w:tc>
          <w:tcPr>
            <w:tcW w:w="297" w:type="pct"/>
            <w:shd w:val="clear" w:color="auto" w:fill="auto"/>
            <w:noWrap/>
            <w:vAlign w:val="center"/>
          </w:tcPr>
          <w:p w14:paraId="2EFF05B5">
            <w:pPr>
              <w:pStyle w:val="23"/>
              <w:jc w:val="center"/>
              <w:rPr>
                <w:rFonts w:ascii="宋体" w:hAnsi="宋体"/>
                <w:kern w:val="0"/>
                <w:sz w:val="18"/>
                <w:szCs w:val="21"/>
              </w:rPr>
            </w:pPr>
            <w:r>
              <w:rPr>
                <w:rFonts w:ascii="宋体" w:hAnsi="宋体"/>
                <w:kern w:val="0"/>
                <w:sz w:val="18"/>
                <w:szCs w:val="21"/>
              </w:rPr>
              <w:t>6.2</w:t>
            </w:r>
          </w:p>
        </w:tc>
        <w:tc>
          <w:tcPr>
            <w:tcW w:w="297" w:type="pct"/>
            <w:shd w:val="clear" w:color="auto" w:fill="auto"/>
            <w:noWrap/>
            <w:vAlign w:val="center"/>
          </w:tcPr>
          <w:p w14:paraId="0B023689">
            <w:pPr>
              <w:pStyle w:val="23"/>
              <w:jc w:val="center"/>
              <w:rPr>
                <w:rFonts w:ascii="宋体" w:hAnsi="宋体"/>
                <w:kern w:val="0"/>
                <w:sz w:val="18"/>
                <w:szCs w:val="21"/>
              </w:rPr>
            </w:pPr>
            <w:r>
              <w:rPr>
                <w:rFonts w:ascii="宋体" w:hAnsi="宋体"/>
                <w:kern w:val="0"/>
                <w:sz w:val="18"/>
                <w:szCs w:val="21"/>
              </w:rPr>
              <w:t>11.6</w:t>
            </w:r>
          </w:p>
        </w:tc>
        <w:tc>
          <w:tcPr>
            <w:tcW w:w="297" w:type="pct"/>
            <w:shd w:val="clear" w:color="auto" w:fill="auto"/>
            <w:noWrap/>
            <w:vAlign w:val="center"/>
          </w:tcPr>
          <w:p w14:paraId="49B4BDD9">
            <w:pPr>
              <w:pStyle w:val="23"/>
              <w:jc w:val="center"/>
              <w:rPr>
                <w:rFonts w:ascii="宋体" w:hAnsi="宋体"/>
                <w:kern w:val="0"/>
                <w:sz w:val="18"/>
                <w:szCs w:val="21"/>
              </w:rPr>
            </w:pPr>
            <w:r>
              <w:rPr>
                <w:rFonts w:ascii="宋体" w:hAnsi="宋体"/>
                <w:kern w:val="0"/>
                <w:sz w:val="18"/>
                <w:szCs w:val="21"/>
              </w:rPr>
              <w:t>13.0</w:t>
            </w:r>
          </w:p>
        </w:tc>
        <w:tc>
          <w:tcPr>
            <w:tcW w:w="297" w:type="pct"/>
            <w:shd w:val="clear" w:color="auto" w:fill="auto"/>
            <w:noWrap/>
            <w:vAlign w:val="center"/>
          </w:tcPr>
          <w:p w14:paraId="25559C87">
            <w:pPr>
              <w:pStyle w:val="23"/>
              <w:jc w:val="center"/>
              <w:rPr>
                <w:rFonts w:ascii="宋体" w:hAnsi="宋体"/>
                <w:kern w:val="0"/>
                <w:sz w:val="18"/>
                <w:szCs w:val="21"/>
              </w:rPr>
            </w:pPr>
            <w:r>
              <w:rPr>
                <w:rFonts w:ascii="宋体" w:hAnsi="宋体"/>
                <w:kern w:val="0"/>
                <w:sz w:val="18"/>
                <w:szCs w:val="21"/>
              </w:rPr>
              <w:t>14.2</w:t>
            </w:r>
          </w:p>
        </w:tc>
        <w:tc>
          <w:tcPr>
            <w:tcW w:w="297" w:type="pct"/>
            <w:shd w:val="clear" w:color="auto" w:fill="auto"/>
            <w:noWrap/>
            <w:vAlign w:val="center"/>
          </w:tcPr>
          <w:p w14:paraId="1F3B8255">
            <w:pPr>
              <w:pStyle w:val="23"/>
              <w:jc w:val="center"/>
              <w:rPr>
                <w:rFonts w:ascii="宋体" w:hAnsi="宋体"/>
                <w:kern w:val="0"/>
                <w:sz w:val="18"/>
                <w:szCs w:val="21"/>
              </w:rPr>
            </w:pPr>
            <w:r>
              <w:rPr>
                <w:rFonts w:ascii="宋体" w:hAnsi="宋体"/>
                <w:kern w:val="0"/>
                <w:sz w:val="18"/>
                <w:szCs w:val="21"/>
              </w:rPr>
              <w:t>18.8</w:t>
            </w:r>
          </w:p>
        </w:tc>
        <w:tc>
          <w:tcPr>
            <w:tcW w:w="297" w:type="pct"/>
            <w:shd w:val="clear" w:color="auto" w:fill="auto"/>
            <w:noWrap/>
            <w:vAlign w:val="center"/>
          </w:tcPr>
          <w:p w14:paraId="78C56052">
            <w:pPr>
              <w:pStyle w:val="23"/>
              <w:jc w:val="center"/>
              <w:rPr>
                <w:rFonts w:ascii="宋体" w:hAnsi="宋体"/>
                <w:kern w:val="0"/>
                <w:sz w:val="18"/>
                <w:szCs w:val="21"/>
              </w:rPr>
            </w:pPr>
            <w:r>
              <w:rPr>
                <w:rFonts w:ascii="宋体" w:hAnsi="宋体"/>
                <w:kern w:val="0"/>
                <w:sz w:val="18"/>
                <w:szCs w:val="21"/>
              </w:rPr>
              <w:t>9.8</w:t>
            </w:r>
          </w:p>
        </w:tc>
        <w:tc>
          <w:tcPr>
            <w:tcW w:w="297" w:type="pct"/>
            <w:shd w:val="clear" w:color="auto" w:fill="auto"/>
            <w:noWrap/>
            <w:vAlign w:val="center"/>
          </w:tcPr>
          <w:p w14:paraId="065FF685">
            <w:pPr>
              <w:pStyle w:val="23"/>
              <w:jc w:val="center"/>
              <w:rPr>
                <w:rFonts w:ascii="宋体" w:hAnsi="宋体"/>
                <w:kern w:val="0"/>
                <w:sz w:val="18"/>
                <w:szCs w:val="21"/>
              </w:rPr>
            </w:pPr>
            <w:r>
              <w:rPr>
                <w:rFonts w:ascii="宋体" w:hAnsi="宋体"/>
                <w:kern w:val="0"/>
                <w:sz w:val="18"/>
                <w:szCs w:val="21"/>
              </w:rPr>
              <w:t>6.6</w:t>
            </w:r>
          </w:p>
        </w:tc>
        <w:tc>
          <w:tcPr>
            <w:tcW w:w="297" w:type="pct"/>
            <w:shd w:val="clear" w:color="auto" w:fill="auto"/>
            <w:noWrap/>
            <w:vAlign w:val="center"/>
          </w:tcPr>
          <w:p w14:paraId="0A2A878C">
            <w:pPr>
              <w:pStyle w:val="23"/>
              <w:jc w:val="center"/>
              <w:rPr>
                <w:rFonts w:ascii="宋体" w:hAnsi="宋体"/>
                <w:kern w:val="0"/>
                <w:sz w:val="18"/>
                <w:szCs w:val="21"/>
              </w:rPr>
            </w:pPr>
            <w:r>
              <w:rPr>
                <w:rFonts w:ascii="宋体" w:hAnsi="宋体"/>
                <w:kern w:val="0"/>
                <w:sz w:val="18"/>
                <w:szCs w:val="21"/>
              </w:rPr>
              <w:t>8.5</w:t>
            </w:r>
          </w:p>
        </w:tc>
        <w:tc>
          <w:tcPr>
            <w:tcW w:w="297" w:type="pct"/>
            <w:shd w:val="clear" w:color="auto" w:fill="auto"/>
            <w:noWrap/>
            <w:vAlign w:val="center"/>
          </w:tcPr>
          <w:p w14:paraId="5524D8AE">
            <w:pPr>
              <w:pStyle w:val="23"/>
              <w:jc w:val="center"/>
              <w:rPr>
                <w:rFonts w:ascii="宋体" w:hAnsi="宋体"/>
                <w:kern w:val="0"/>
                <w:sz w:val="18"/>
                <w:szCs w:val="21"/>
              </w:rPr>
            </w:pPr>
            <w:r>
              <w:rPr>
                <w:rFonts w:ascii="宋体" w:hAnsi="宋体"/>
                <w:kern w:val="0"/>
                <w:sz w:val="18"/>
                <w:szCs w:val="21"/>
              </w:rPr>
              <w:t>6.0</w:t>
            </w:r>
          </w:p>
        </w:tc>
        <w:tc>
          <w:tcPr>
            <w:tcW w:w="297" w:type="pct"/>
            <w:shd w:val="clear" w:color="auto" w:fill="auto"/>
            <w:noWrap/>
            <w:vAlign w:val="center"/>
          </w:tcPr>
          <w:p w14:paraId="7238DFDC">
            <w:pPr>
              <w:pStyle w:val="23"/>
              <w:jc w:val="center"/>
              <w:rPr>
                <w:rFonts w:ascii="宋体" w:hAnsi="宋体"/>
                <w:kern w:val="0"/>
                <w:sz w:val="18"/>
                <w:szCs w:val="21"/>
              </w:rPr>
            </w:pPr>
            <w:r>
              <w:rPr>
                <w:rFonts w:ascii="宋体" w:hAnsi="宋体"/>
                <w:kern w:val="0"/>
                <w:sz w:val="18"/>
                <w:szCs w:val="21"/>
              </w:rPr>
              <w:t>5.4</w:t>
            </w:r>
          </w:p>
        </w:tc>
        <w:tc>
          <w:tcPr>
            <w:tcW w:w="297" w:type="pct"/>
            <w:shd w:val="clear" w:color="auto" w:fill="auto"/>
            <w:noWrap/>
            <w:vAlign w:val="center"/>
          </w:tcPr>
          <w:p w14:paraId="21031503">
            <w:pPr>
              <w:pStyle w:val="23"/>
              <w:jc w:val="center"/>
              <w:rPr>
                <w:rFonts w:ascii="宋体" w:hAnsi="宋体"/>
                <w:kern w:val="0"/>
                <w:sz w:val="18"/>
                <w:szCs w:val="21"/>
              </w:rPr>
            </w:pPr>
          </w:p>
        </w:tc>
        <w:tc>
          <w:tcPr>
            <w:tcW w:w="297" w:type="pct"/>
            <w:shd w:val="clear" w:color="auto" w:fill="auto"/>
            <w:noWrap/>
            <w:vAlign w:val="center"/>
          </w:tcPr>
          <w:p w14:paraId="5EFD9407">
            <w:pPr>
              <w:pStyle w:val="23"/>
              <w:jc w:val="center"/>
              <w:rPr>
                <w:rFonts w:ascii="宋体" w:hAnsi="宋体"/>
                <w:kern w:val="0"/>
                <w:sz w:val="18"/>
                <w:szCs w:val="21"/>
              </w:rPr>
            </w:pPr>
          </w:p>
        </w:tc>
        <w:tc>
          <w:tcPr>
            <w:tcW w:w="427" w:type="pct"/>
            <w:vMerge w:val="continue"/>
            <w:vAlign w:val="center"/>
          </w:tcPr>
          <w:p w14:paraId="65166F21">
            <w:pPr>
              <w:pStyle w:val="23"/>
              <w:jc w:val="center"/>
              <w:rPr>
                <w:rFonts w:ascii="宋体" w:hAnsi="宋体"/>
                <w:kern w:val="0"/>
                <w:sz w:val="18"/>
                <w:szCs w:val="21"/>
              </w:rPr>
            </w:pPr>
          </w:p>
        </w:tc>
      </w:tr>
      <w:tr w14:paraId="486338A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711" w:type="pct"/>
            <w:gridSpan w:val="2"/>
            <w:shd w:val="clear" w:color="auto" w:fill="auto"/>
            <w:noWrap/>
            <w:vAlign w:val="center"/>
          </w:tcPr>
          <w:p w14:paraId="1AD7BAD8">
            <w:pPr>
              <w:pStyle w:val="23"/>
              <w:jc w:val="center"/>
              <w:rPr>
                <w:rFonts w:ascii="宋体" w:hAnsi="宋体"/>
                <w:kern w:val="0"/>
                <w:sz w:val="18"/>
                <w:szCs w:val="21"/>
              </w:rPr>
            </w:pPr>
            <w:r>
              <w:rPr>
                <w:rFonts w:ascii="宋体" w:hAnsi="宋体"/>
                <w:kern w:val="0"/>
                <w:sz w:val="18"/>
                <w:szCs w:val="21"/>
              </w:rPr>
              <w:t>备注</w:t>
            </w:r>
          </w:p>
        </w:tc>
        <w:tc>
          <w:tcPr>
            <w:tcW w:w="4289" w:type="pct"/>
            <w:gridSpan w:val="14"/>
            <w:shd w:val="clear" w:color="auto" w:fill="auto"/>
            <w:noWrap/>
            <w:vAlign w:val="center"/>
          </w:tcPr>
          <w:p w14:paraId="77FE2A8C">
            <w:pPr>
              <w:pStyle w:val="23"/>
              <w:rPr>
                <w:rFonts w:ascii="宋体" w:hAnsi="宋体"/>
                <w:kern w:val="0"/>
                <w:sz w:val="18"/>
                <w:szCs w:val="21"/>
              </w:rPr>
            </w:pPr>
            <w:r>
              <w:rPr>
                <w:rFonts w:ascii="宋体" w:hAnsi="宋体"/>
                <w:kern w:val="0"/>
                <w:sz w:val="18"/>
                <w:szCs w:val="21"/>
              </w:rPr>
              <w:t>L表示低于最低检出限。</w:t>
            </w:r>
          </w:p>
        </w:tc>
      </w:tr>
    </w:tbl>
    <w:p w14:paraId="347D3CA9">
      <w:pPr>
        <w:autoSpaceDE w:val="0"/>
        <w:autoSpaceDN w:val="0"/>
        <w:adjustRightInd w:val="0"/>
        <w:ind w:firstLine="0" w:firstLineChars="0"/>
        <w:jc w:val="center"/>
        <w:rPr>
          <w:rFonts w:ascii="宋体" w:hAnsi="宋体" w:cs="HiddenHorzOCR"/>
          <w:b/>
          <w:color w:val="161516"/>
          <w:kern w:val="0"/>
          <w:szCs w:val="21"/>
        </w:rPr>
      </w:pPr>
      <w:r>
        <w:rPr>
          <w:rFonts w:hint="eastAsia" w:ascii="宋体" w:hAnsi="宋体" w:cs="HiddenHorzOCR"/>
          <w:b/>
          <w:color w:val="161516"/>
          <w:kern w:val="0"/>
          <w:szCs w:val="21"/>
        </w:rPr>
        <w:t>表</w:t>
      </w:r>
      <w:r>
        <w:rPr>
          <w:rFonts w:ascii="宋体" w:hAnsi="宋体" w:cs="HiddenHorzOCR"/>
          <w:b/>
          <w:color w:val="161516"/>
          <w:kern w:val="0"/>
          <w:szCs w:val="21"/>
        </w:rPr>
        <w:t>1</w:t>
      </w:r>
      <w:r>
        <w:rPr>
          <w:rFonts w:hint="eastAsia" w:ascii="宋体" w:hAnsi="宋体" w:cs="HiddenHorzOCR"/>
          <w:b/>
          <w:color w:val="161516"/>
          <w:kern w:val="0"/>
          <w:szCs w:val="21"/>
        </w:rPr>
        <w:t xml:space="preserve">9 </w:t>
      </w:r>
      <w:r>
        <w:rPr>
          <w:rFonts w:ascii="宋体" w:hAnsi="宋体" w:cs="HiddenHorzOCR"/>
          <w:b/>
          <w:color w:val="161516"/>
          <w:kern w:val="0"/>
          <w:szCs w:val="21"/>
        </w:rPr>
        <w:t>2011</w:t>
      </w:r>
      <w:r>
        <w:rPr>
          <w:rFonts w:hint="eastAsia" w:ascii="宋体" w:hAnsi="宋体" w:cs="HiddenHorzOCR"/>
          <w:b/>
          <w:color w:val="161516"/>
          <w:kern w:val="0"/>
          <w:szCs w:val="21"/>
        </w:rPr>
        <w:t>年南雄市地表水浈</w:t>
      </w:r>
      <w:r>
        <w:rPr>
          <w:rFonts w:hint="eastAsia" w:ascii="宋体" w:hAnsi="宋体" w:cs="MS Gothic"/>
          <w:b/>
          <w:color w:val="161516"/>
          <w:kern w:val="0"/>
          <w:szCs w:val="21"/>
        </w:rPr>
        <w:t>江河和凌江河水</w:t>
      </w:r>
      <w:r>
        <w:rPr>
          <w:rFonts w:hint="eastAsia" w:ascii="宋体" w:hAnsi="宋体" w:cs="宋体"/>
          <w:b/>
          <w:color w:val="161516"/>
          <w:kern w:val="0"/>
          <w:szCs w:val="21"/>
        </w:rPr>
        <w:t>质监测结</w:t>
      </w:r>
      <w:r>
        <w:rPr>
          <w:rFonts w:hint="eastAsia" w:ascii="宋体" w:hAnsi="宋体" w:cs="MS Gothic"/>
          <w:b/>
          <w:color w:val="161516"/>
          <w:kern w:val="0"/>
          <w:szCs w:val="21"/>
        </w:rPr>
        <w:t>果</w:t>
      </w:r>
      <w:r>
        <w:rPr>
          <w:rFonts w:hint="eastAsia" w:ascii="宋体" w:hAnsi="宋体" w:cs="宋体"/>
          <w:b/>
          <w:color w:val="161516"/>
          <w:kern w:val="0"/>
          <w:szCs w:val="21"/>
        </w:rPr>
        <w:t>评</w:t>
      </w:r>
      <w:r>
        <w:rPr>
          <w:rFonts w:hint="eastAsia" w:ascii="宋体" w:hAnsi="宋体" w:cs="MS Gothic"/>
          <w:b/>
          <w:color w:val="161516"/>
          <w:kern w:val="0"/>
          <w:szCs w:val="21"/>
        </w:rPr>
        <w:t>价表</w:t>
      </w:r>
    </w:p>
    <w:p w14:paraId="6773B875">
      <w:pPr>
        <w:ind w:firstLine="422"/>
        <w:jc w:val="right"/>
        <w:rPr>
          <w:rFonts w:ascii="宋体" w:hAnsi="宋体" w:cs="HiddenHorzOCR"/>
          <w:b/>
          <w:color w:val="353535"/>
          <w:kern w:val="0"/>
          <w:szCs w:val="21"/>
        </w:rPr>
      </w:pPr>
      <w:r>
        <w:rPr>
          <w:rFonts w:hint="eastAsia" w:ascii="宋体" w:hAnsi="宋体" w:cs="宋体"/>
          <w:b/>
          <w:color w:val="161516"/>
          <w:kern w:val="0"/>
          <w:szCs w:val="21"/>
        </w:rPr>
        <w:t>单</w:t>
      </w:r>
      <w:r>
        <w:rPr>
          <w:rFonts w:hint="eastAsia" w:ascii="宋体" w:hAnsi="宋体" w:cs="MS Gothic"/>
          <w:b/>
          <w:color w:val="161516"/>
          <w:kern w:val="0"/>
          <w:szCs w:val="21"/>
        </w:rPr>
        <w:t>位：</w:t>
      </w:r>
      <w:r>
        <w:rPr>
          <w:rFonts w:ascii="宋体" w:hAnsi="宋体" w:cs="HiddenHorzOCR"/>
          <w:b/>
          <w:color w:val="161516"/>
          <w:kern w:val="0"/>
          <w:szCs w:val="21"/>
        </w:rPr>
        <w:t>mg</w:t>
      </w:r>
      <w:r>
        <w:rPr>
          <w:rFonts w:ascii="宋体" w:hAnsi="宋体" w:cs="HiddenHorzOCR"/>
          <w:b/>
          <w:color w:val="5A5B5A"/>
          <w:kern w:val="0"/>
          <w:szCs w:val="21"/>
        </w:rPr>
        <w:t>/</w:t>
      </w:r>
      <w:r>
        <w:rPr>
          <w:rFonts w:ascii="宋体" w:hAnsi="宋体" w:cs="HiddenHorzOCR"/>
          <w:b/>
          <w:color w:val="252525"/>
          <w:kern w:val="0"/>
          <w:szCs w:val="21"/>
        </w:rPr>
        <w:t>L</w:t>
      </w:r>
      <w:r>
        <w:rPr>
          <w:rFonts w:hint="eastAsia" w:ascii="宋体" w:hAnsi="宋体" w:cs="HiddenHorzOCR"/>
          <w:b/>
          <w:color w:val="252525"/>
          <w:kern w:val="0"/>
          <w:szCs w:val="21"/>
        </w:rPr>
        <w:t>（水温：</w:t>
      </w:r>
      <w:r>
        <w:rPr>
          <w:rFonts w:hint="eastAsia" w:ascii="宋体" w:hAnsi="宋体" w:cs="HiddenHorzOCR"/>
          <w:b/>
          <w:color w:val="474747"/>
          <w:kern w:val="0"/>
          <w:szCs w:val="21"/>
        </w:rPr>
        <w:t>℃</w:t>
      </w:r>
      <w:r>
        <w:rPr>
          <w:rFonts w:ascii="宋体" w:hAnsi="宋体" w:cs="HiddenHorzOCR"/>
          <w:b/>
          <w:color w:val="161516"/>
          <w:kern w:val="0"/>
          <w:szCs w:val="21"/>
        </w:rPr>
        <w:t>;pH</w:t>
      </w:r>
      <w:r>
        <w:rPr>
          <w:rFonts w:hint="eastAsia" w:ascii="宋体" w:hAnsi="宋体" w:cs="宋体"/>
          <w:b/>
          <w:color w:val="161516"/>
          <w:kern w:val="0"/>
          <w:szCs w:val="21"/>
        </w:rPr>
        <w:t>值</w:t>
      </w:r>
      <w:r>
        <w:rPr>
          <w:rFonts w:hint="eastAsia" w:ascii="宋体" w:hAnsi="宋体" w:cs="HiddenHorzOCR"/>
          <w:b/>
          <w:color w:val="353535"/>
          <w:kern w:val="0"/>
          <w:szCs w:val="21"/>
        </w:rPr>
        <w:t>：</w:t>
      </w:r>
      <w:r>
        <w:rPr>
          <w:rFonts w:hint="eastAsia" w:ascii="宋体" w:hAnsi="宋体" w:cs="HiddenHorzOCR"/>
          <w:b/>
          <w:color w:val="161516"/>
          <w:kern w:val="0"/>
          <w:szCs w:val="21"/>
        </w:rPr>
        <w:t>无量</w:t>
      </w:r>
      <w:r>
        <w:rPr>
          <w:rFonts w:hint="eastAsia" w:ascii="宋体" w:hAnsi="宋体" w:cs="宋体"/>
          <w:b/>
          <w:color w:val="161516"/>
          <w:kern w:val="0"/>
          <w:szCs w:val="21"/>
        </w:rPr>
        <w:t>纲</w:t>
      </w:r>
      <w:r>
        <w:rPr>
          <w:rFonts w:hint="eastAsia" w:ascii="宋体" w:hAnsi="宋体" w:cs="HiddenHorzOCR"/>
          <w:b/>
          <w:color w:val="353535"/>
          <w:kern w:val="0"/>
          <w:szCs w:val="21"/>
        </w:rPr>
        <w:t>；</w:t>
      </w:r>
      <w:r>
        <w:rPr>
          <w:rFonts w:hint="eastAsia" w:ascii="宋体" w:hAnsi="宋体" w:cs="宋体"/>
          <w:b/>
          <w:color w:val="353535"/>
          <w:kern w:val="0"/>
          <w:szCs w:val="21"/>
        </w:rPr>
        <w:t>粪</w:t>
      </w:r>
      <w:r>
        <w:rPr>
          <w:rFonts w:hint="eastAsia" w:ascii="宋体" w:hAnsi="宋体" w:cs="HiddenHorzOCR"/>
          <w:b/>
          <w:color w:val="161516"/>
          <w:kern w:val="0"/>
          <w:szCs w:val="21"/>
        </w:rPr>
        <w:t>大</w:t>
      </w:r>
      <w:r>
        <w:rPr>
          <w:rFonts w:hint="eastAsia" w:ascii="宋体" w:hAnsi="宋体" w:cs="宋体"/>
          <w:b/>
          <w:color w:val="161516"/>
          <w:kern w:val="0"/>
          <w:szCs w:val="21"/>
        </w:rPr>
        <w:t>肠</w:t>
      </w:r>
      <w:r>
        <w:rPr>
          <w:rFonts w:hint="eastAsia" w:ascii="宋体" w:hAnsi="宋体" w:cs="MS Gothic"/>
          <w:b/>
          <w:color w:val="161516"/>
          <w:kern w:val="0"/>
          <w:szCs w:val="21"/>
        </w:rPr>
        <w:t>菌群：个</w:t>
      </w:r>
      <w:r>
        <w:rPr>
          <w:rFonts w:hint="eastAsia" w:ascii="宋体" w:hAnsi="宋体" w:cs="HiddenHorzOCR"/>
          <w:b/>
          <w:color w:val="353535"/>
          <w:kern w:val="0"/>
          <w:szCs w:val="21"/>
        </w:rPr>
        <w:t>／</w:t>
      </w:r>
      <w:r>
        <w:rPr>
          <w:rFonts w:hint="eastAsia" w:ascii="宋体" w:hAnsi="宋体" w:cs="HiddenHorzOCR"/>
          <w:b/>
          <w:color w:val="161516"/>
          <w:kern w:val="0"/>
          <w:szCs w:val="21"/>
        </w:rPr>
        <w:t>升</w:t>
      </w:r>
      <w:r>
        <w:rPr>
          <w:rFonts w:hint="eastAsia" w:ascii="宋体" w:hAnsi="宋体" w:cs="HiddenHorzOCR"/>
          <w:b/>
          <w:color w:val="353535"/>
          <w:kern w:val="0"/>
          <w:szCs w:val="21"/>
        </w:rPr>
        <w:t>）</w:t>
      </w:r>
    </w:p>
    <w:tbl>
      <w:tblPr>
        <w:tblStyle w:val="14"/>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34"/>
        <w:gridCol w:w="864"/>
        <w:gridCol w:w="430"/>
        <w:gridCol w:w="428"/>
        <w:gridCol w:w="537"/>
        <w:gridCol w:w="858"/>
        <w:gridCol w:w="751"/>
        <w:gridCol w:w="751"/>
        <w:gridCol w:w="464"/>
        <w:gridCol w:w="464"/>
        <w:gridCol w:w="537"/>
        <w:gridCol w:w="537"/>
        <w:gridCol w:w="751"/>
        <w:gridCol w:w="644"/>
        <w:gridCol w:w="554"/>
        <w:gridCol w:w="858"/>
      </w:tblGrid>
      <w:tr w14:paraId="24B1DE4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305" w:type="pct"/>
            <w:shd w:val="clear" w:color="auto" w:fill="auto"/>
            <w:noWrap/>
            <w:vAlign w:val="center"/>
          </w:tcPr>
          <w:p w14:paraId="6CAB1C76">
            <w:pPr>
              <w:pStyle w:val="23"/>
              <w:jc w:val="center"/>
              <w:rPr>
                <w:b/>
                <w:kern w:val="0"/>
                <w:sz w:val="18"/>
              </w:rPr>
            </w:pPr>
            <w:r>
              <w:rPr>
                <w:b/>
                <w:kern w:val="0"/>
                <w:sz w:val="18"/>
              </w:rPr>
              <w:t>断面</w:t>
            </w:r>
          </w:p>
        </w:tc>
        <w:tc>
          <w:tcPr>
            <w:tcW w:w="426" w:type="pct"/>
            <w:shd w:val="clear" w:color="auto" w:fill="auto"/>
            <w:noWrap/>
            <w:vAlign w:val="center"/>
          </w:tcPr>
          <w:p w14:paraId="2816D9D6">
            <w:pPr>
              <w:pStyle w:val="23"/>
              <w:jc w:val="center"/>
              <w:rPr>
                <w:b/>
                <w:kern w:val="0"/>
                <w:sz w:val="18"/>
              </w:rPr>
            </w:pPr>
            <w:r>
              <w:rPr>
                <w:b/>
                <w:kern w:val="0"/>
                <w:sz w:val="18"/>
              </w:rPr>
              <w:t>指标</w:t>
            </w:r>
          </w:p>
        </w:tc>
        <w:tc>
          <w:tcPr>
            <w:tcW w:w="305" w:type="pct"/>
            <w:shd w:val="clear" w:color="auto" w:fill="auto"/>
            <w:noWrap/>
            <w:vAlign w:val="center"/>
          </w:tcPr>
          <w:p w14:paraId="374EE045">
            <w:pPr>
              <w:pStyle w:val="23"/>
              <w:jc w:val="center"/>
              <w:rPr>
                <w:b/>
                <w:kern w:val="0"/>
                <w:sz w:val="18"/>
              </w:rPr>
            </w:pPr>
            <w:r>
              <w:rPr>
                <w:b/>
                <w:kern w:val="0"/>
                <w:sz w:val="18"/>
              </w:rPr>
              <w:t>水温</w:t>
            </w:r>
          </w:p>
        </w:tc>
        <w:tc>
          <w:tcPr>
            <w:tcW w:w="305" w:type="pct"/>
            <w:shd w:val="clear" w:color="auto" w:fill="auto"/>
            <w:noWrap/>
            <w:vAlign w:val="center"/>
          </w:tcPr>
          <w:p w14:paraId="6AB3119B">
            <w:pPr>
              <w:pStyle w:val="23"/>
              <w:jc w:val="center"/>
              <w:rPr>
                <w:b/>
                <w:kern w:val="0"/>
                <w:sz w:val="18"/>
              </w:rPr>
            </w:pPr>
            <w:r>
              <w:rPr>
                <w:b/>
                <w:kern w:val="0"/>
                <w:sz w:val="18"/>
              </w:rPr>
              <w:t>H值</w:t>
            </w:r>
          </w:p>
        </w:tc>
        <w:tc>
          <w:tcPr>
            <w:tcW w:w="305" w:type="pct"/>
            <w:shd w:val="clear" w:color="auto" w:fill="auto"/>
            <w:noWrap/>
            <w:vAlign w:val="center"/>
          </w:tcPr>
          <w:p w14:paraId="261E6C80">
            <w:pPr>
              <w:pStyle w:val="23"/>
              <w:jc w:val="center"/>
              <w:rPr>
                <w:b/>
                <w:kern w:val="0"/>
                <w:sz w:val="18"/>
              </w:rPr>
            </w:pPr>
            <w:r>
              <w:rPr>
                <w:b/>
                <w:kern w:val="0"/>
                <w:sz w:val="18"/>
              </w:rPr>
              <w:t>溶解氧</w:t>
            </w:r>
          </w:p>
        </w:tc>
        <w:tc>
          <w:tcPr>
            <w:tcW w:w="305" w:type="pct"/>
            <w:shd w:val="clear" w:color="auto" w:fill="auto"/>
            <w:noWrap/>
            <w:vAlign w:val="center"/>
          </w:tcPr>
          <w:p w14:paraId="6C68A719">
            <w:pPr>
              <w:pStyle w:val="23"/>
              <w:jc w:val="center"/>
              <w:rPr>
                <w:b/>
                <w:kern w:val="0"/>
                <w:sz w:val="18"/>
              </w:rPr>
            </w:pPr>
            <w:r>
              <w:rPr>
                <w:b/>
                <w:kern w:val="0"/>
                <w:sz w:val="18"/>
              </w:rPr>
              <w:t>高锰酸盐指数</w:t>
            </w:r>
          </w:p>
        </w:tc>
        <w:tc>
          <w:tcPr>
            <w:tcW w:w="305" w:type="pct"/>
            <w:shd w:val="clear" w:color="auto" w:fill="auto"/>
            <w:noWrap/>
            <w:vAlign w:val="center"/>
          </w:tcPr>
          <w:p w14:paraId="785FB7BC">
            <w:pPr>
              <w:pStyle w:val="23"/>
              <w:jc w:val="center"/>
              <w:rPr>
                <w:b/>
                <w:kern w:val="0"/>
                <w:sz w:val="18"/>
              </w:rPr>
            </w:pPr>
            <w:r>
              <w:rPr>
                <w:b/>
                <w:kern w:val="0"/>
                <w:sz w:val="18"/>
              </w:rPr>
              <w:t>化学需氧量</w:t>
            </w:r>
          </w:p>
        </w:tc>
        <w:tc>
          <w:tcPr>
            <w:tcW w:w="305" w:type="pct"/>
            <w:shd w:val="clear" w:color="auto" w:fill="auto"/>
            <w:noWrap/>
            <w:vAlign w:val="center"/>
          </w:tcPr>
          <w:p w14:paraId="3D97B191">
            <w:pPr>
              <w:pStyle w:val="23"/>
              <w:jc w:val="center"/>
              <w:rPr>
                <w:b/>
                <w:kern w:val="0"/>
                <w:sz w:val="18"/>
              </w:rPr>
            </w:pPr>
            <w:r>
              <w:rPr>
                <w:b/>
                <w:kern w:val="0"/>
                <w:sz w:val="18"/>
              </w:rPr>
              <w:t>生化需氧量</w:t>
            </w:r>
          </w:p>
        </w:tc>
        <w:tc>
          <w:tcPr>
            <w:tcW w:w="305" w:type="pct"/>
            <w:shd w:val="clear" w:color="auto" w:fill="auto"/>
            <w:noWrap/>
            <w:vAlign w:val="center"/>
          </w:tcPr>
          <w:p w14:paraId="6B819033">
            <w:pPr>
              <w:pStyle w:val="23"/>
              <w:jc w:val="center"/>
              <w:rPr>
                <w:b/>
                <w:kern w:val="0"/>
                <w:sz w:val="18"/>
              </w:rPr>
            </w:pPr>
            <w:r>
              <w:rPr>
                <w:b/>
                <w:kern w:val="0"/>
                <w:sz w:val="18"/>
              </w:rPr>
              <w:t>氨氮</w:t>
            </w:r>
          </w:p>
        </w:tc>
        <w:tc>
          <w:tcPr>
            <w:tcW w:w="305" w:type="pct"/>
            <w:shd w:val="clear" w:color="auto" w:fill="auto"/>
            <w:noWrap/>
            <w:vAlign w:val="center"/>
          </w:tcPr>
          <w:p w14:paraId="2B9CD959">
            <w:pPr>
              <w:pStyle w:val="23"/>
              <w:jc w:val="center"/>
              <w:rPr>
                <w:b/>
                <w:kern w:val="0"/>
                <w:sz w:val="18"/>
              </w:rPr>
            </w:pPr>
            <w:r>
              <w:rPr>
                <w:b/>
                <w:kern w:val="0"/>
                <w:sz w:val="18"/>
              </w:rPr>
              <w:t>总磷</w:t>
            </w:r>
          </w:p>
        </w:tc>
        <w:tc>
          <w:tcPr>
            <w:tcW w:w="305" w:type="pct"/>
            <w:shd w:val="clear" w:color="auto" w:fill="auto"/>
            <w:noWrap/>
            <w:vAlign w:val="center"/>
          </w:tcPr>
          <w:p w14:paraId="127DC3B5">
            <w:pPr>
              <w:pStyle w:val="23"/>
              <w:jc w:val="center"/>
              <w:rPr>
                <w:b/>
                <w:kern w:val="0"/>
                <w:sz w:val="18"/>
              </w:rPr>
            </w:pPr>
            <w:r>
              <w:rPr>
                <w:b/>
                <w:kern w:val="0"/>
                <w:sz w:val="18"/>
              </w:rPr>
              <w:t>氟化物</w:t>
            </w:r>
          </w:p>
        </w:tc>
        <w:tc>
          <w:tcPr>
            <w:tcW w:w="305" w:type="pct"/>
            <w:shd w:val="clear" w:color="auto" w:fill="auto"/>
            <w:noWrap/>
            <w:vAlign w:val="center"/>
          </w:tcPr>
          <w:p w14:paraId="022A67F8">
            <w:pPr>
              <w:pStyle w:val="23"/>
              <w:jc w:val="center"/>
              <w:rPr>
                <w:b/>
                <w:kern w:val="0"/>
                <w:sz w:val="18"/>
              </w:rPr>
            </w:pPr>
            <w:r>
              <w:rPr>
                <w:b/>
                <w:kern w:val="0"/>
                <w:sz w:val="18"/>
              </w:rPr>
              <w:t>挥发酚</w:t>
            </w:r>
          </w:p>
        </w:tc>
        <w:tc>
          <w:tcPr>
            <w:tcW w:w="305" w:type="pct"/>
            <w:shd w:val="clear" w:color="auto" w:fill="auto"/>
            <w:noWrap/>
            <w:vAlign w:val="center"/>
          </w:tcPr>
          <w:p w14:paraId="561D271B">
            <w:pPr>
              <w:pStyle w:val="23"/>
              <w:jc w:val="center"/>
              <w:rPr>
                <w:b/>
                <w:kern w:val="0"/>
                <w:sz w:val="18"/>
              </w:rPr>
            </w:pPr>
            <w:r>
              <w:rPr>
                <w:b/>
                <w:kern w:val="0"/>
                <w:sz w:val="18"/>
              </w:rPr>
              <w:t>粪大肠菌群</w:t>
            </w:r>
          </w:p>
        </w:tc>
        <w:tc>
          <w:tcPr>
            <w:tcW w:w="305" w:type="pct"/>
            <w:shd w:val="clear" w:color="auto" w:fill="auto"/>
            <w:noWrap/>
            <w:vAlign w:val="center"/>
          </w:tcPr>
          <w:p w14:paraId="325FA63C">
            <w:pPr>
              <w:pStyle w:val="23"/>
              <w:jc w:val="center"/>
              <w:rPr>
                <w:b/>
                <w:kern w:val="0"/>
                <w:sz w:val="18"/>
              </w:rPr>
            </w:pPr>
            <w:r>
              <w:rPr>
                <w:b/>
                <w:kern w:val="0"/>
                <w:sz w:val="18"/>
              </w:rPr>
              <w:t>超标项目</w:t>
            </w:r>
          </w:p>
        </w:tc>
        <w:tc>
          <w:tcPr>
            <w:tcW w:w="305" w:type="pct"/>
            <w:shd w:val="clear" w:color="auto" w:fill="auto"/>
            <w:noWrap/>
            <w:vAlign w:val="center"/>
          </w:tcPr>
          <w:p w14:paraId="21A85835">
            <w:pPr>
              <w:pStyle w:val="23"/>
              <w:jc w:val="center"/>
              <w:rPr>
                <w:b/>
                <w:kern w:val="0"/>
                <w:sz w:val="18"/>
              </w:rPr>
            </w:pPr>
            <w:r>
              <w:rPr>
                <w:b/>
                <w:kern w:val="0"/>
                <w:sz w:val="18"/>
              </w:rPr>
              <w:t>标率(%)</w:t>
            </w:r>
          </w:p>
        </w:tc>
        <w:tc>
          <w:tcPr>
            <w:tcW w:w="305" w:type="pct"/>
            <w:shd w:val="clear" w:color="auto" w:fill="auto"/>
            <w:noWrap/>
            <w:vAlign w:val="center"/>
          </w:tcPr>
          <w:p w14:paraId="38E41C77">
            <w:pPr>
              <w:pStyle w:val="23"/>
              <w:jc w:val="center"/>
              <w:rPr>
                <w:b/>
                <w:kern w:val="0"/>
                <w:sz w:val="18"/>
              </w:rPr>
            </w:pPr>
            <w:r>
              <w:rPr>
                <w:b/>
                <w:kern w:val="0"/>
                <w:sz w:val="18"/>
              </w:rPr>
              <w:t>平均污染指数</w:t>
            </w:r>
          </w:p>
        </w:tc>
      </w:tr>
      <w:tr w14:paraId="6E7CA98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305" w:type="pct"/>
            <w:vMerge w:val="restart"/>
            <w:shd w:val="clear" w:color="auto" w:fill="auto"/>
            <w:noWrap/>
            <w:vAlign w:val="center"/>
          </w:tcPr>
          <w:p w14:paraId="2B92D94F">
            <w:pPr>
              <w:pStyle w:val="23"/>
              <w:jc w:val="center"/>
              <w:rPr>
                <w:kern w:val="0"/>
                <w:sz w:val="18"/>
              </w:rPr>
            </w:pPr>
            <w:r>
              <w:rPr>
                <w:kern w:val="0"/>
                <w:sz w:val="18"/>
              </w:rPr>
              <w:t>河南桥</w:t>
            </w:r>
          </w:p>
        </w:tc>
        <w:tc>
          <w:tcPr>
            <w:tcW w:w="426" w:type="pct"/>
            <w:shd w:val="clear" w:color="auto" w:fill="auto"/>
            <w:noWrap/>
            <w:vAlign w:val="center"/>
          </w:tcPr>
          <w:p w14:paraId="284B0FFA">
            <w:pPr>
              <w:pStyle w:val="23"/>
              <w:jc w:val="center"/>
              <w:rPr>
                <w:kern w:val="0"/>
                <w:sz w:val="18"/>
              </w:rPr>
            </w:pPr>
            <w:r>
              <w:rPr>
                <w:kern w:val="0"/>
                <w:sz w:val="18"/>
              </w:rPr>
              <w:t>样品数</w:t>
            </w:r>
          </w:p>
        </w:tc>
        <w:tc>
          <w:tcPr>
            <w:tcW w:w="305" w:type="pct"/>
            <w:shd w:val="clear" w:color="auto" w:fill="auto"/>
            <w:noWrap/>
            <w:vAlign w:val="center"/>
          </w:tcPr>
          <w:p w14:paraId="70B4F9C5">
            <w:pPr>
              <w:pStyle w:val="23"/>
              <w:jc w:val="center"/>
              <w:rPr>
                <w:kern w:val="0"/>
                <w:sz w:val="18"/>
              </w:rPr>
            </w:pPr>
            <w:r>
              <w:rPr>
                <w:kern w:val="0"/>
                <w:sz w:val="18"/>
              </w:rPr>
              <w:t>6</w:t>
            </w:r>
          </w:p>
        </w:tc>
        <w:tc>
          <w:tcPr>
            <w:tcW w:w="305" w:type="pct"/>
            <w:shd w:val="clear" w:color="auto" w:fill="auto"/>
            <w:noWrap/>
            <w:vAlign w:val="center"/>
          </w:tcPr>
          <w:p w14:paraId="03C0F4BA">
            <w:pPr>
              <w:pStyle w:val="23"/>
              <w:jc w:val="center"/>
              <w:rPr>
                <w:kern w:val="0"/>
                <w:sz w:val="18"/>
              </w:rPr>
            </w:pPr>
            <w:r>
              <w:rPr>
                <w:kern w:val="0"/>
                <w:sz w:val="18"/>
              </w:rPr>
              <w:t>6</w:t>
            </w:r>
          </w:p>
        </w:tc>
        <w:tc>
          <w:tcPr>
            <w:tcW w:w="305" w:type="pct"/>
            <w:shd w:val="clear" w:color="auto" w:fill="auto"/>
            <w:noWrap/>
            <w:vAlign w:val="center"/>
          </w:tcPr>
          <w:p w14:paraId="50B10B2C">
            <w:pPr>
              <w:pStyle w:val="23"/>
              <w:jc w:val="center"/>
              <w:rPr>
                <w:kern w:val="0"/>
                <w:sz w:val="18"/>
              </w:rPr>
            </w:pPr>
            <w:r>
              <w:rPr>
                <w:kern w:val="0"/>
                <w:sz w:val="18"/>
              </w:rPr>
              <w:t>6</w:t>
            </w:r>
          </w:p>
        </w:tc>
        <w:tc>
          <w:tcPr>
            <w:tcW w:w="305" w:type="pct"/>
            <w:shd w:val="clear" w:color="auto" w:fill="auto"/>
            <w:noWrap/>
            <w:vAlign w:val="center"/>
          </w:tcPr>
          <w:p w14:paraId="48E11A1C">
            <w:pPr>
              <w:pStyle w:val="23"/>
              <w:jc w:val="center"/>
              <w:rPr>
                <w:kern w:val="0"/>
                <w:sz w:val="18"/>
              </w:rPr>
            </w:pPr>
            <w:r>
              <w:rPr>
                <w:kern w:val="0"/>
                <w:sz w:val="18"/>
              </w:rPr>
              <w:t>6</w:t>
            </w:r>
          </w:p>
        </w:tc>
        <w:tc>
          <w:tcPr>
            <w:tcW w:w="305" w:type="pct"/>
            <w:shd w:val="clear" w:color="auto" w:fill="auto"/>
            <w:noWrap/>
            <w:vAlign w:val="center"/>
          </w:tcPr>
          <w:p w14:paraId="463BB0AE">
            <w:pPr>
              <w:pStyle w:val="23"/>
              <w:jc w:val="center"/>
              <w:rPr>
                <w:kern w:val="0"/>
                <w:sz w:val="18"/>
              </w:rPr>
            </w:pPr>
            <w:r>
              <w:rPr>
                <w:kern w:val="0"/>
                <w:sz w:val="18"/>
              </w:rPr>
              <w:t>4</w:t>
            </w:r>
          </w:p>
        </w:tc>
        <w:tc>
          <w:tcPr>
            <w:tcW w:w="305" w:type="pct"/>
            <w:shd w:val="clear" w:color="auto" w:fill="auto"/>
            <w:noWrap/>
            <w:vAlign w:val="center"/>
          </w:tcPr>
          <w:p w14:paraId="478310F8">
            <w:pPr>
              <w:pStyle w:val="23"/>
              <w:jc w:val="center"/>
              <w:rPr>
                <w:kern w:val="0"/>
                <w:sz w:val="18"/>
              </w:rPr>
            </w:pPr>
            <w:r>
              <w:rPr>
                <w:kern w:val="0"/>
                <w:sz w:val="18"/>
              </w:rPr>
              <w:t>6</w:t>
            </w:r>
          </w:p>
        </w:tc>
        <w:tc>
          <w:tcPr>
            <w:tcW w:w="305" w:type="pct"/>
            <w:shd w:val="clear" w:color="auto" w:fill="auto"/>
            <w:noWrap/>
            <w:vAlign w:val="center"/>
          </w:tcPr>
          <w:p w14:paraId="41BE2E48">
            <w:pPr>
              <w:pStyle w:val="23"/>
              <w:jc w:val="center"/>
              <w:rPr>
                <w:kern w:val="0"/>
                <w:sz w:val="18"/>
              </w:rPr>
            </w:pPr>
            <w:r>
              <w:rPr>
                <w:kern w:val="0"/>
                <w:sz w:val="18"/>
              </w:rPr>
              <w:t>6</w:t>
            </w:r>
          </w:p>
        </w:tc>
        <w:tc>
          <w:tcPr>
            <w:tcW w:w="305" w:type="pct"/>
            <w:shd w:val="clear" w:color="auto" w:fill="auto"/>
            <w:noWrap/>
            <w:vAlign w:val="center"/>
          </w:tcPr>
          <w:p w14:paraId="0F98002D">
            <w:pPr>
              <w:pStyle w:val="23"/>
              <w:jc w:val="center"/>
              <w:rPr>
                <w:kern w:val="0"/>
                <w:sz w:val="18"/>
              </w:rPr>
            </w:pPr>
            <w:r>
              <w:rPr>
                <w:kern w:val="0"/>
                <w:sz w:val="18"/>
              </w:rPr>
              <w:t>6</w:t>
            </w:r>
          </w:p>
        </w:tc>
        <w:tc>
          <w:tcPr>
            <w:tcW w:w="305" w:type="pct"/>
            <w:shd w:val="clear" w:color="auto" w:fill="auto"/>
            <w:noWrap/>
            <w:vAlign w:val="center"/>
          </w:tcPr>
          <w:p w14:paraId="4D40E0F6">
            <w:pPr>
              <w:pStyle w:val="23"/>
              <w:jc w:val="center"/>
              <w:rPr>
                <w:kern w:val="0"/>
                <w:sz w:val="18"/>
              </w:rPr>
            </w:pPr>
            <w:r>
              <w:rPr>
                <w:kern w:val="0"/>
                <w:sz w:val="18"/>
              </w:rPr>
              <w:t>6</w:t>
            </w:r>
          </w:p>
        </w:tc>
        <w:tc>
          <w:tcPr>
            <w:tcW w:w="305" w:type="pct"/>
            <w:shd w:val="clear" w:color="auto" w:fill="auto"/>
            <w:noWrap/>
            <w:vAlign w:val="center"/>
          </w:tcPr>
          <w:p w14:paraId="4D821BD4">
            <w:pPr>
              <w:pStyle w:val="23"/>
              <w:jc w:val="center"/>
              <w:rPr>
                <w:kern w:val="0"/>
                <w:sz w:val="18"/>
              </w:rPr>
            </w:pPr>
            <w:r>
              <w:rPr>
                <w:kern w:val="0"/>
                <w:sz w:val="18"/>
              </w:rPr>
              <w:t>6</w:t>
            </w:r>
          </w:p>
        </w:tc>
        <w:tc>
          <w:tcPr>
            <w:tcW w:w="305" w:type="pct"/>
            <w:shd w:val="clear" w:color="auto" w:fill="auto"/>
            <w:noWrap/>
            <w:vAlign w:val="center"/>
          </w:tcPr>
          <w:p w14:paraId="1442E56C">
            <w:pPr>
              <w:pStyle w:val="23"/>
              <w:jc w:val="center"/>
              <w:rPr>
                <w:kern w:val="0"/>
                <w:sz w:val="18"/>
              </w:rPr>
            </w:pPr>
            <w:r>
              <w:rPr>
                <w:kern w:val="0"/>
                <w:sz w:val="18"/>
              </w:rPr>
              <w:t>6</w:t>
            </w:r>
          </w:p>
        </w:tc>
        <w:tc>
          <w:tcPr>
            <w:tcW w:w="305" w:type="pct"/>
            <w:shd w:val="clear" w:color="auto" w:fill="auto"/>
            <w:noWrap/>
            <w:vAlign w:val="center"/>
          </w:tcPr>
          <w:p w14:paraId="62936341">
            <w:pPr>
              <w:pStyle w:val="23"/>
              <w:jc w:val="center"/>
              <w:rPr>
                <w:kern w:val="0"/>
                <w:sz w:val="18"/>
              </w:rPr>
            </w:pPr>
          </w:p>
        </w:tc>
        <w:tc>
          <w:tcPr>
            <w:tcW w:w="305" w:type="pct"/>
            <w:shd w:val="clear" w:color="auto" w:fill="auto"/>
            <w:noWrap/>
            <w:vAlign w:val="center"/>
          </w:tcPr>
          <w:p w14:paraId="110D276C">
            <w:pPr>
              <w:pStyle w:val="23"/>
              <w:jc w:val="center"/>
              <w:rPr>
                <w:kern w:val="0"/>
                <w:sz w:val="18"/>
              </w:rPr>
            </w:pPr>
            <w:r>
              <w:rPr>
                <w:kern w:val="0"/>
                <w:sz w:val="18"/>
              </w:rPr>
              <w:t>一</w:t>
            </w:r>
          </w:p>
        </w:tc>
        <w:tc>
          <w:tcPr>
            <w:tcW w:w="305" w:type="pct"/>
            <w:vMerge w:val="restart"/>
            <w:shd w:val="clear" w:color="auto" w:fill="auto"/>
            <w:noWrap/>
            <w:vAlign w:val="center"/>
          </w:tcPr>
          <w:p w14:paraId="119970FD">
            <w:pPr>
              <w:pStyle w:val="23"/>
              <w:jc w:val="center"/>
              <w:rPr>
                <w:kern w:val="0"/>
                <w:sz w:val="18"/>
              </w:rPr>
            </w:pPr>
            <w:r>
              <w:rPr>
                <w:kern w:val="0"/>
                <w:sz w:val="18"/>
              </w:rPr>
              <w:t>0.32</w:t>
            </w:r>
          </w:p>
        </w:tc>
      </w:tr>
      <w:tr w14:paraId="7EFBAD6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305" w:type="pct"/>
            <w:vMerge w:val="continue"/>
            <w:vAlign w:val="center"/>
          </w:tcPr>
          <w:p w14:paraId="168877FF">
            <w:pPr>
              <w:pStyle w:val="23"/>
              <w:jc w:val="center"/>
              <w:rPr>
                <w:kern w:val="0"/>
                <w:sz w:val="18"/>
              </w:rPr>
            </w:pPr>
          </w:p>
        </w:tc>
        <w:tc>
          <w:tcPr>
            <w:tcW w:w="426" w:type="pct"/>
            <w:shd w:val="clear" w:color="auto" w:fill="auto"/>
            <w:noWrap/>
            <w:vAlign w:val="center"/>
          </w:tcPr>
          <w:p w14:paraId="13F7ADC9">
            <w:pPr>
              <w:pStyle w:val="23"/>
              <w:jc w:val="center"/>
              <w:rPr>
                <w:kern w:val="0"/>
                <w:sz w:val="18"/>
              </w:rPr>
            </w:pPr>
            <w:r>
              <w:rPr>
                <w:kern w:val="0"/>
                <w:sz w:val="18"/>
              </w:rPr>
              <w:t>最大值</w:t>
            </w:r>
          </w:p>
        </w:tc>
        <w:tc>
          <w:tcPr>
            <w:tcW w:w="305" w:type="pct"/>
            <w:shd w:val="clear" w:color="auto" w:fill="auto"/>
            <w:noWrap/>
            <w:vAlign w:val="center"/>
          </w:tcPr>
          <w:p w14:paraId="689E4BCE">
            <w:pPr>
              <w:pStyle w:val="23"/>
              <w:jc w:val="center"/>
              <w:rPr>
                <w:kern w:val="0"/>
                <w:sz w:val="18"/>
              </w:rPr>
            </w:pPr>
            <w:r>
              <w:rPr>
                <w:kern w:val="0"/>
                <w:sz w:val="18"/>
              </w:rPr>
              <w:t>30</w:t>
            </w:r>
          </w:p>
        </w:tc>
        <w:tc>
          <w:tcPr>
            <w:tcW w:w="305" w:type="pct"/>
            <w:shd w:val="clear" w:color="auto" w:fill="auto"/>
            <w:noWrap/>
            <w:vAlign w:val="center"/>
          </w:tcPr>
          <w:p w14:paraId="2F32168B">
            <w:pPr>
              <w:pStyle w:val="23"/>
              <w:jc w:val="center"/>
              <w:rPr>
                <w:kern w:val="0"/>
                <w:sz w:val="18"/>
              </w:rPr>
            </w:pPr>
            <w:r>
              <w:rPr>
                <w:kern w:val="0"/>
                <w:sz w:val="18"/>
              </w:rPr>
              <w:t>7.76</w:t>
            </w:r>
          </w:p>
        </w:tc>
        <w:tc>
          <w:tcPr>
            <w:tcW w:w="305" w:type="pct"/>
            <w:shd w:val="clear" w:color="auto" w:fill="auto"/>
            <w:noWrap/>
            <w:vAlign w:val="center"/>
          </w:tcPr>
          <w:p w14:paraId="5C3DFBB6">
            <w:pPr>
              <w:pStyle w:val="23"/>
              <w:jc w:val="center"/>
              <w:rPr>
                <w:kern w:val="0"/>
                <w:sz w:val="18"/>
              </w:rPr>
            </w:pPr>
            <w:r>
              <w:rPr>
                <w:kern w:val="0"/>
                <w:sz w:val="18"/>
              </w:rPr>
              <w:t>9.2</w:t>
            </w:r>
          </w:p>
        </w:tc>
        <w:tc>
          <w:tcPr>
            <w:tcW w:w="305" w:type="pct"/>
            <w:shd w:val="clear" w:color="auto" w:fill="auto"/>
            <w:noWrap/>
            <w:vAlign w:val="center"/>
          </w:tcPr>
          <w:p w14:paraId="3826F1B1">
            <w:pPr>
              <w:pStyle w:val="23"/>
              <w:jc w:val="center"/>
              <w:rPr>
                <w:kern w:val="0"/>
                <w:sz w:val="18"/>
              </w:rPr>
            </w:pPr>
            <w:r>
              <w:rPr>
                <w:kern w:val="0"/>
                <w:sz w:val="18"/>
              </w:rPr>
              <w:t>4.3</w:t>
            </w:r>
          </w:p>
        </w:tc>
        <w:tc>
          <w:tcPr>
            <w:tcW w:w="305" w:type="pct"/>
            <w:shd w:val="clear" w:color="auto" w:fill="auto"/>
            <w:noWrap/>
            <w:vAlign w:val="center"/>
          </w:tcPr>
          <w:p w14:paraId="49A1D2AC">
            <w:pPr>
              <w:pStyle w:val="23"/>
              <w:jc w:val="center"/>
              <w:rPr>
                <w:kern w:val="0"/>
                <w:sz w:val="18"/>
              </w:rPr>
            </w:pPr>
            <w:r>
              <w:rPr>
                <w:kern w:val="0"/>
                <w:sz w:val="18"/>
              </w:rPr>
              <w:t>12.9</w:t>
            </w:r>
          </w:p>
        </w:tc>
        <w:tc>
          <w:tcPr>
            <w:tcW w:w="305" w:type="pct"/>
            <w:shd w:val="clear" w:color="auto" w:fill="auto"/>
            <w:noWrap/>
            <w:vAlign w:val="center"/>
          </w:tcPr>
          <w:p w14:paraId="6598B7F3">
            <w:pPr>
              <w:pStyle w:val="23"/>
              <w:jc w:val="center"/>
              <w:rPr>
                <w:kern w:val="0"/>
                <w:sz w:val="18"/>
              </w:rPr>
            </w:pPr>
            <w:r>
              <w:rPr>
                <w:kern w:val="0"/>
                <w:sz w:val="18"/>
              </w:rPr>
              <w:t>3.9</w:t>
            </w:r>
          </w:p>
        </w:tc>
        <w:tc>
          <w:tcPr>
            <w:tcW w:w="305" w:type="pct"/>
            <w:shd w:val="clear" w:color="auto" w:fill="auto"/>
            <w:noWrap/>
            <w:vAlign w:val="center"/>
          </w:tcPr>
          <w:p w14:paraId="01CE4E05">
            <w:pPr>
              <w:pStyle w:val="23"/>
              <w:jc w:val="center"/>
              <w:rPr>
                <w:kern w:val="0"/>
                <w:sz w:val="18"/>
              </w:rPr>
            </w:pPr>
            <w:r>
              <w:rPr>
                <w:kern w:val="0"/>
                <w:sz w:val="18"/>
              </w:rPr>
              <w:t>1.140</w:t>
            </w:r>
          </w:p>
        </w:tc>
        <w:tc>
          <w:tcPr>
            <w:tcW w:w="305" w:type="pct"/>
            <w:shd w:val="clear" w:color="auto" w:fill="auto"/>
            <w:noWrap/>
            <w:vAlign w:val="center"/>
          </w:tcPr>
          <w:p w14:paraId="32878E2A">
            <w:pPr>
              <w:pStyle w:val="23"/>
              <w:jc w:val="center"/>
              <w:rPr>
                <w:kern w:val="0"/>
                <w:sz w:val="18"/>
              </w:rPr>
            </w:pPr>
            <w:r>
              <w:rPr>
                <w:kern w:val="0"/>
                <w:sz w:val="18"/>
              </w:rPr>
              <w:t>0.21</w:t>
            </w:r>
          </w:p>
        </w:tc>
        <w:tc>
          <w:tcPr>
            <w:tcW w:w="305" w:type="pct"/>
            <w:shd w:val="clear" w:color="auto" w:fill="auto"/>
            <w:noWrap/>
            <w:vAlign w:val="center"/>
          </w:tcPr>
          <w:p w14:paraId="75209DA1">
            <w:pPr>
              <w:pStyle w:val="23"/>
              <w:jc w:val="center"/>
              <w:rPr>
                <w:kern w:val="0"/>
                <w:sz w:val="18"/>
              </w:rPr>
            </w:pPr>
            <w:r>
              <w:rPr>
                <w:kern w:val="0"/>
                <w:sz w:val="18"/>
              </w:rPr>
              <w:t>0.376</w:t>
            </w:r>
          </w:p>
        </w:tc>
        <w:tc>
          <w:tcPr>
            <w:tcW w:w="305" w:type="pct"/>
            <w:shd w:val="clear" w:color="auto" w:fill="auto"/>
            <w:noWrap/>
            <w:vAlign w:val="center"/>
          </w:tcPr>
          <w:p w14:paraId="1F609482">
            <w:pPr>
              <w:pStyle w:val="23"/>
              <w:jc w:val="center"/>
              <w:rPr>
                <w:kern w:val="0"/>
                <w:sz w:val="18"/>
              </w:rPr>
            </w:pPr>
            <w:r>
              <w:rPr>
                <w:kern w:val="0"/>
                <w:sz w:val="18"/>
              </w:rPr>
              <w:t>0.002</w:t>
            </w:r>
          </w:p>
        </w:tc>
        <w:tc>
          <w:tcPr>
            <w:tcW w:w="305" w:type="pct"/>
            <w:shd w:val="clear" w:color="auto" w:fill="auto"/>
            <w:noWrap/>
            <w:vAlign w:val="center"/>
          </w:tcPr>
          <w:p w14:paraId="28874C76">
            <w:pPr>
              <w:pStyle w:val="23"/>
              <w:jc w:val="center"/>
              <w:rPr>
                <w:kern w:val="0"/>
                <w:sz w:val="18"/>
              </w:rPr>
            </w:pPr>
            <w:r>
              <w:rPr>
                <w:kern w:val="0"/>
                <w:sz w:val="18"/>
              </w:rPr>
              <w:t>3300</w:t>
            </w:r>
          </w:p>
        </w:tc>
        <w:tc>
          <w:tcPr>
            <w:tcW w:w="305" w:type="pct"/>
            <w:shd w:val="clear" w:color="auto" w:fill="auto"/>
            <w:noWrap/>
            <w:vAlign w:val="center"/>
          </w:tcPr>
          <w:p w14:paraId="2F854FAA">
            <w:pPr>
              <w:pStyle w:val="23"/>
              <w:jc w:val="center"/>
              <w:rPr>
                <w:kern w:val="0"/>
                <w:sz w:val="18"/>
              </w:rPr>
            </w:pPr>
          </w:p>
        </w:tc>
        <w:tc>
          <w:tcPr>
            <w:tcW w:w="305" w:type="pct"/>
            <w:shd w:val="clear" w:color="auto" w:fill="auto"/>
            <w:noWrap/>
            <w:vAlign w:val="center"/>
          </w:tcPr>
          <w:p w14:paraId="530A071A">
            <w:pPr>
              <w:pStyle w:val="23"/>
              <w:jc w:val="center"/>
              <w:rPr>
                <w:kern w:val="0"/>
                <w:sz w:val="18"/>
              </w:rPr>
            </w:pPr>
          </w:p>
        </w:tc>
        <w:tc>
          <w:tcPr>
            <w:tcW w:w="305" w:type="pct"/>
            <w:vMerge w:val="continue"/>
            <w:vAlign w:val="center"/>
          </w:tcPr>
          <w:p w14:paraId="4E01B745">
            <w:pPr>
              <w:pStyle w:val="23"/>
              <w:jc w:val="center"/>
              <w:rPr>
                <w:kern w:val="0"/>
                <w:sz w:val="18"/>
              </w:rPr>
            </w:pPr>
          </w:p>
        </w:tc>
      </w:tr>
      <w:tr w14:paraId="348E664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305" w:type="pct"/>
            <w:vMerge w:val="continue"/>
            <w:vAlign w:val="center"/>
          </w:tcPr>
          <w:p w14:paraId="343F21B8">
            <w:pPr>
              <w:pStyle w:val="23"/>
              <w:jc w:val="center"/>
              <w:rPr>
                <w:kern w:val="0"/>
                <w:sz w:val="18"/>
              </w:rPr>
            </w:pPr>
          </w:p>
        </w:tc>
        <w:tc>
          <w:tcPr>
            <w:tcW w:w="426" w:type="pct"/>
            <w:shd w:val="clear" w:color="auto" w:fill="auto"/>
            <w:noWrap/>
            <w:vAlign w:val="center"/>
          </w:tcPr>
          <w:p w14:paraId="605D8E3C">
            <w:pPr>
              <w:pStyle w:val="23"/>
              <w:jc w:val="center"/>
              <w:rPr>
                <w:kern w:val="0"/>
                <w:sz w:val="18"/>
              </w:rPr>
            </w:pPr>
            <w:r>
              <w:rPr>
                <w:kern w:val="0"/>
                <w:sz w:val="18"/>
              </w:rPr>
              <w:t>最小值</w:t>
            </w:r>
          </w:p>
        </w:tc>
        <w:tc>
          <w:tcPr>
            <w:tcW w:w="305" w:type="pct"/>
            <w:shd w:val="clear" w:color="auto" w:fill="auto"/>
            <w:noWrap/>
            <w:vAlign w:val="center"/>
          </w:tcPr>
          <w:p w14:paraId="213C6B58">
            <w:pPr>
              <w:pStyle w:val="23"/>
              <w:jc w:val="center"/>
              <w:rPr>
                <w:kern w:val="0"/>
                <w:sz w:val="18"/>
              </w:rPr>
            </w:pPr>
            <w:r>
              <w:rPr>
                <w:kern w:val="0"/>
                <w:sz w:val="18"/>
              </w:rPr>
              <w:t>7</w:t>
            </w:r>
          </w:p>
        </w:tc>
        <w:tc>
          <w:tcPr>
            <w:tcW w:w="305" w:type="pct"/>
            <w:shd w:val="clear" w:color="auto" w:fill="auto"/>
            <w:noWrap/>
            <w:vAlign w:val="center"/>
          </w:tcPr>
          <w:p w14:paraId="4B9E39B0">
            <w:pPr>
              <w:pStyle w:val="23"/>
              <w:jc w:val="center"/>
              <w:rPr>
                <w:kern w:val="0"/>
                <w:sz w:val="18"/>
              </w:rPr>
            </w:pPr>
            <w:r>
              <w:rPr>
                <w:kern w:val="0"/>
                <w:sz w:val="18"/>
              </w:rPr>
              <w:t>7.26</w:t>
            </w:r>
          </w:p>
        </w:tc>
        <w:tc>
          <w:tcPr>
            <w:tcW w:w="305" w:type="pct"/>
            <w:shd w:val="clear" w:color="auto" w:fill="auto"/>
            <w:noWrap/>
            <w:vAlign w:val="center"/>
          </w:tcPr>
          <w:p w14:paraId="72D9E18F">
            <w:pPr>
              <w:pStyle w:val="23"/>
              <w:jc w:val="center"/>
              <w:rPr>
                <w:kern w:val="0"/>
                <w:sz w:val="18"/>
              </w:rPr>
            </w:pPr>
            <w:r>
              <w:rPr>
                <w:kern w:val="0"/>
                <w:sz w:val="18"/>
              </w:rPr>
              <w:t>6.7</w:t>
            </w:r>
          </w:p>
        </w:tc>
        <w:tc>
          <w:tcPr>
            <w:tcW w:w="305" w:type="pct"/>
            <w:shd w:val="clear" w:color="auto" w:fill="auto"/>
            <w:noWrap/>
            <w:vAlign w:val="center"/>
          </w:tcPr>
          <w:p w14:paraId="78CD6ECD">
            <w:pPr>
              <w:pStyle w:val="23"/>
              <w:jc w:val="center"/>
              <w:rPr>
                <w:kern w:val="0"/>
                <w:sz w:val="18"/>
              </w:rPr>
            </w:pPr>
            <w:r>
              <w:rPr>
                <w:kern w:val="0"/>
                <w:sz w:val="18"/>
              </w:rPr>
              <w:t>2.1</w:t>
            </w:r>
          </w:p>
        </w:tc>
        <w:tc>
          <w:tcPr>
            <w:tcW w:w="305" w:type="pct"/>
            <w:shd w:val="clear" w:color="auto" w:fill="auto"/>
            <w:noWrap/>
            <w:vAlign w:val="center"/>
          </w:tcPr>
          <w:p w14:paraId="22400F76">
            <w:pPr>
              <w:pStyle w:val="23"/>
              <w:jc w:val="center"/>
              <w:rPr>
                <w:kern w:val="0"/>
                <w:sz w:val="18"/>
              </w:rPr>
            </w:pPr>
            <w:r>
              <w:rPr>
                <w:kern w:val="0"/>
                <w:sz w:val="18"/>
              </w:rPr>
              <w:t>6.5</w:t>
            </w:r>
          </w:p>
        </w:tc>
        <w:tc>
          <w:tcPr>
            <w:tcW w:w="305" w:type="pct"/>
            <w:shd w:val="clear" w:color="auto" w:fill="auto"/>
            <w:noWrap/>
            <w:vAlign w:val="center"/>
          </w:tcPr>
          <w:p w14:paraId="1E7BC2FE">
            <w:pPr>
              <w:pStyle w:val="23"/>
              <w:jc w:val="center"/>
              <w:rPr>
                <w:kern w:val="0"/>
                <w:sz w:val="18"/>
              </w:rPr>
            </w:pPr>
            <w:r>
              <w:rPr>
                <w:kern w:val="0"/>
                <w:sz w:val="18"/>
              </w:rPr>
              <w:t>2.0</w:t>
            </w:r>
          </w:p>
        </w:tc>
        <w:tc>
          <w:tcPr>
            <w:tcW w:w="305" w:type="pct"/>
            <w:shd w:val="clear" w:color="auto" w:fill="auto"/>
            <w:noWrap/>
            <w:vAlign w:val="center"/>
          </w:tcPr>
          <w:p w14:paraId="303A5A41">
            <w:pPr>
              <w:pStyle w:val="23"/>
              <w:jc w:val="center"/>
              <w:rPr>
                <w:kern w:val="0"/>
                <w:sz w:val="18"/>
              </w:rPr>
            </w:pPr>
            <w:r>
              <w:rPr>
                <w:kern w:val="0"/>
                <w:sz w:val="18"/>
              </w:rPr>
              <w:t>0.197</w:t>
            </w:r>
          </w:p>
        </w:tc>
        <w:tc>
          <w:tcPr>
            <w:tcW w:w="305" w:type="pct"/>
            <w:shd w:val="clear" w:color="auto" w:fill="auto"/>
            <w:noWrap/>
            <w:vAlign w:val="center"/>
          </w:tcPr>
          <w:p w14:paraId="26EA90D0">
            <w:pPr>
              <w:pStyle w:val="23"/>
              <w:jc w:val="center"/>
              <w:rPr>
                <w:kern w:val="0"/>
                <w:sz w:val="18"/>
              </w:rPr>
            </w:pPr>
            <w:r>
              <w:rPr>
                <w:kern w:val="0"/>
                <w:sz w:val="18"/>
              </w:rPr>
              <w:t>0.12</w:t>
            </w:r>
          </w:p>
        </w:tc>
        <w:tc>
          <w:tcPr>
            <w:tcW w:w="305" w:type="pct"/>
            <w:shd w:val="clear" w:color="auto" w:fill="auto"/>
            <w:noWrap/>
            <w:vAlign w:val="center"/>
          </w:tcPr>
          <w:p w14:paraId="3DAEB27E">
            <w:pPr>
              <w:pStyle w:val="23"/>
              <w:jc w:val="center"/>
              <w:rPr>
                <w:kern w:val="0"/>
                <w:sz w:val="18"/>
              </w:rPr>
            </w:pPr>
            <w:r>
              <w:rPr>
                <w:kern w:val="0"/>
                <w:sz w:val="18"/>
              </w:rPr>
              <w:t>0.266</w:t>
            </w:r>
          </w:p>
        </w:tc>
        <w:tc>
          <w:tcPr>
            <w:tcW w:w="305" w:type="pct"/>
            <w:shd w:val="clear" w:color="auto" w:fill="auto"/>
            <w:noWrap/>
            <w:vAlign w:val="center"/>
          </w:tcPr>
          <w:p w14:paraId="7ECACAA6">
            <w:pPr>
              <w:pStyle w:val="23"/>
              <w:jc w:val="center"/>
              <w:rPr>
                <w:kern w:val="0"/>
                <w:sz w:val="18"/>
              </w:rPr>
            </w:pPr>
            <w:r>
              <w:rPr>
                <w:kern w:val="0"/>
                <w:sz w:val="18"/>
              </w:rPr>
              <w:t>0.0009</w:t>
            </w:r>
          </w:p>
        </w:tc>
        <w:tc>
          <w:tcPr>
            <w:tcW w:w="305" w:type="pct"/>
            <w:shd w:val="clear" w:color="auto" w:fill="auto"/>
            <w:noWrap/>
            <w:vAlign w:val="center"/>
          </w:tcPr>
          <w:p w14:paraId="0ACE0A3F">
            <w:pPr>
              <w:pStyle w:val="23"/>
              <w:jc w:val="center"/>
              <w:rPr>
                <w:kern w:val="0"/>
                <w:sz w:val="18"/>
              </w:rPr>
            </w:pPr>
            <w:r>
              <w:rPr>
                <w:kern w:val="0"/>
                <w:sz w:val="18"/>
              </w:rPr>
              <w:t>1700</w:t>
            </w:r>
          </w:p>
        </w:tc>
        <w:tc>
          <w:tcPr>
            <w:tcW w:w="305" w:type="pct"/>
            <w:shd w:val="clear" w:color="auto" w:fill="auto"/>
            <w:noWrap/>
            <w:vAlign w:val="center"/>
          </w:tcPr>
          <w:p w14:paraId="116A9620">
            <w:pPr>
              <w:pStyle w:val="23"/>
              <w:jc w:val="center"/>
              <w:rPr>
                <w:kern w:val="0"/>
                <w:sz w:val="18"/>
              </w:rPr>
            </w:pPr>
          </w:p>
        </w:tc>
        <w:tc>
          <w:tcPr>
            <w:tcW w:w="305" w:type="pct"/>
            <w:shd w:val="clear" w:color="auto" w:fill="auto"/>
            <w:noWrap/>
            <w:vAlign w:val="center"/>
          </w:tcPr>
          <w:p w14:paraId="05096809">
            <w:pPr>
              <w:pStyle w:val="23"/>
              <w:jc w:val="center"/>
              <w:rPr>
                <w:kern w:val="0"/>
                <w:sz w:val="18"/>
              </w:rPr>
            </w:pPr>
          </w:p>
        </w:tc>
        <w:tc>
          <w:tcPr>
            <w:tcW w:w="305" w:type="pct"/>
            <w:vMerge w:val="continue"/>
            <w:vAlign w:val="center"/>
          </w:tcPr>
          <w:p w14:paraId="4F77BDE3">
            <w:pPr>
              <w:pStyle w:val="23"/>
              <w:jc w:val="center"/>
              <w:rPr>
                <w:kern w:val="0"/>
                <w:sz w:val="18"/>
              </w:rPr>
            </w:pPr>
          </w:p>
        </w:tc>
      </w:tr>
      <w:tr w14:paraId="04B8FC5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305" w:type="pct"/>
            <w:vMerge w:val="continue"/>
            <w:vAlign w:val="center"/>
          </w:tcPr>
          <w:p w14:paraId="32846D50">
            <w:pPr>
              <w:pStyle w:val="23"/>
              <w:jc w:val="center"/>
              <w:rPr>
                <w:kern w:val="0"/>
                <w:sz w:val="18"/>
              </w:rPr>
            </w:pPr>
          </w:p>
        </w:tc>
        <w:tc>
          <w:tcPr>
            <w:tcW w:w="426" w:type="pct"/>
            <w:shd w:val="clear" w:color="auto" w:fill="auto"/>
            <w:noWrap/>
            <w:vAlign w:val="center"/>
          </w:tcPr>
          <w:p w14:paraId="4101A6FA">
            <w:pPr>
              <w:pStyle w:val="23"/>
              <w:jc w:val="center"/>
              <w:rPr>
                <w:kern w:val="0"/>
                <w:sz w:val="18"/>
              </w:rPr>
            </w:pPr>
            <w:r>
              <w:rPr>
                <w:kern w:val="0"/>
                <w:sz w:val="18"/>
              </w:rPr>
              <w:t>平均值</w:t>
            </w:r>
          </w:p>
        </w:tc>
        <w:tc>
          <w:tcPr>
            <w:tcW w:w="305" w:type="pct"/>
            <w:shd w:val="clear" w:color="auto" w:fill="auto"/>
            <w:noWrap/>
            <w:vAlign w:val="center"/>
          </w:tcPr>
          <w:p w14:paraId="48EBC6B8">
            <w:pPr>
              <w:pStyle w:val="23"/>
              <w:jc w:val="center"/>
              <w:rPr>
                <w:kern w:val="0"/>
                <w:sz w:val="18"/>
              </w:rPr>
            </w:pPr>
            <w:r>
              <w:rPr>
                <w:kern w:val="0"/>
                <w:sz w:val="18"/>
              </w:rPr>
              <w:t>20</w:t>
            </w:r>
          </w:p>
        </w:tc>
        <w:tc>
          <w:tcPr>
            <w:tcW w:w="305" w:type="pct"/>
            <w:shd w:val="clear" w:color="auto" w:fill="auto"/>
            <w:noWrap/>
            <w:vAlign w:val="center"/>
          </w:tcPr>
          <w:p w14:paraId="41C3A726">
            <w:pPr>
              <w:pStyle w:val="23"/>
              <w:jc w:val="center"/>
              <w:rPr>
                <w:kern w:val="0"/>
                <w:sz w:val="18"/>
              </w:rPr>
            </w:pPr>
            <w:r>
              <w:rPr>
                <w:kern w:val="0"/>
                <w:sz w:val="18"/>
              </w:rPr>
              <w:t>7.46</w:t>
            </w:r>
          </w:p>
        </w:tc>
        <w:tc>
          <w:tcPr>
            <w:tcW w:w="305" w:type="pct"/>
            <w:shd w:val="clear" w:color="auto" w:fill="auto"/>
            <w:noWrap/>
            <w:vAlign w:val="center"/>
          </w:tcPr>
          <w:p w14:paraId="249E04F7">
            <w:pPr>
              <w:pStyle w:val="23"/>
              <w:jc w:val="center"/>
              <w:rPr>
                <w:kern w:val="0"/>
                <w:sz w:val="18"/>
              </w:rPr>
            </w:pPr>
            <w:r>
              <w:rPr>
                <w:kern w:val="0"/>
                <w:sz w:val="18"/>
              </w:rPr>
              <w:t>7.8</w:t>
            </w:r>
          </w:p>
        </w:tc>
        <w:tc>
          <w:tcPr>
            <w:tcW w:w="305" w:type="pct"/>
            <w:shd w:val="clear" w:color="auto" w:fill="auto"/>
            <w:noWrap/>
            <w:vAlign w:val="center"/>
          </w:tcPr>
          <w:p w14:paraId="793C6CDA">
            <w:pPr>
              <w:pStyle w:val="23"/>
              <w:jc w:val="center"/>
              <w:rPr>
                <w:kern w:val="0"/>
                <w:sz w:val="18"/>
              </w:rPr>
            </w:pPr>
            <w:r>
              <w:rPr>
                <w:kern w:val="0"/>
                <w:sz w:val="18"/>
              </w:rPr>
              <w:t>3.2</w:t>
            </w:r>
          </w:p>
        </w:tc>
        <w:tc>
          <w:tcPr>
            <w:tcW w:w="305" w:type="pct"/>
            <w:shd w:val="clear" w:color="auto" w:fill="auto"/>
            <w:noWrap/>
            <w:vAlign w:val="center"/>
          </w:tcPr>
          <w:p w14:paraId="0CA4A619">
            <w:pPr>
              <w:pStyle w:val="23"/>
              <w:jc w:val="center"/>
              <w:rPr>
                <w:kern w:val="0"/>
                <w:sz w:val="18"/>
              </w:rPr>
            </w:pPr>
            <w:r>
              <w:rPr>
                <w:kern w:val="0"/>
                <w:sz w:val="18"/>
              </w:rPr>
              <w:t>9.9</w:t>
            </w:r>
          </w:p>
        </w:tc>
        <w:tc>
          <w:tcPr>
            <w:tcW w:w="305" w:type="pct"/>
            <w:shd w:val="clear" w:color="auto" w:fill="auto"/>
            <w:noWrap/>
            <w:vAlign w:val="center"/>
          </w:tcPr>
          <w:p w14:paraId="2EC8C2D5">
            <w:pPr>
              <w:pStyle w:val="23"/>
              <w:jc w:val="center"/>
              <w:rPr>
                <w:kern w:val="0"/>
                <w:sz w:val="18"/>
              </w:rPr>
            </w:pPr>
            <w:r>
              <w:rPr>
                <w:kern w:val="0"/>
                <w:sz w:val="18"/>
              </w:rPr>
              <w:t>2.6</w:t>
            </w:r>
          </w:p>
        </w:tc>
        <w:tc>
          <w:tcPr>
            <w:tcW w:w="305" w:type="pct"/>
            <w:shd w:val="clear" w:color="auto" w:fill="auto"/>
            <w:noWrap/>
            <w:vAlign w:val="center"/>
          </w:tcPr>
          <w:p w14:paraId="2CF36B22">
            <w:pPr>
              <w:pStyle w:val="23"/>
              <w:jc w:val="center"/>
              <w:rPr>
                <w:kern w:val="0"/>
                <w:sz w:val="18"/>
              </w:rPr>
            </w:pPr>
            <w:r>
              <w:rPr>
                <w:kern w:val="0"/>
                <w:sz w:val="18"/>
              </w:rPr>
              <w:t>0.493</w:t>
            </w:r>
          </w:p>
        </w:tc>
        <w:tc>
          <w:tcPr>
            <w:tcW w:w="305" w:type="pct"/>
            <w:shd w:val="clear" w:color="auto" w:fill="auto"/>
            <w:noWrap/>
            <w:vAlign w:val="center"/>
          </w:tcPr>
          <w:p w14:paraId="6CBD0935">
            <w:pPr>
              <w:pStyle w:val="23"/>
              <w:jc w:val="center"/>
              <w:rPr>
                <w:kern w:val="0"/>
                <w:sz w:val="18"/>
              </w:rPr>
            </w:pPr>
            <w:r>
              <w:rPr>
                <w:kern w:val="0"/>
                <w:sz w:val="18"/>
              </w:rPr>
              <w:t>0.16</w:t>
            </w:r>
          </w:p>
        </w:tc>
        <w:tc>
          <w:tcPr>
            <w:tcW w:w="305" w:type="pct"/>
            <w:shd w:val="clear" w:color="auto" w:fill="auto"/>
            <w:noWrap/>
            <w:vAlign w:val="center"/>
          </w:tcPr>
          <w:p w14:paraId="3D771E41">
            <w:pPr>
              <w:pStyle w:val="23"/>
              <w:jc w:val="center"/>
              <w:rPr>
                <w:kern w:val="0"/>
                <w:sz w:val="18"/>
              </w:rPr>
            </w:pPr>
            <w:r>
              <w:rPr>
                <w:kern w:val="0"/>
                <w:sz w:val="18"/>
              </w:rPr>
              <w:t>0.31</w:t>
            </w:r>
          </w:p>
        </w:tc>
        <w:tc>
          <w:tcPr>
            <w:tcW w:w="305" w:type="pct"/>
            <w:shd w:val="clear" w:color="auto" w:fill="auto"/>
            <w:noWrap/>
            <w:vAlign w:val="center"/>
          </w:tcPr>
          <w:p w14:paraId="7CC7EE61">
            <w:pPr>
              <w:pStyle w:val="23"/>
              <w:jc w:val="center"/>
              <w:rPr>
                <w:kern w:val="0"/>
                <w:sz w:val="18"/>
              </w:rPr>
            </w:pPr>
            <w:r>
              <w:rPr>
                <w:kern w:val="0"/>
                <w:sz w:val="18"/>
              </w:rPr>
              <w:t>0.0023</w:t>
            </w:r>
          </w:p>
        </w:tc>
        <w:tc>
          <w:tcPr>
            <w:tcW w:w="305" w:type="pct"/>
            <w:shd w:val="clear" w:color="auto" w:fill="auto"/>
            <w:noWrap/>
            <w:vAlign w:val="center"/>
          </w:tcPr>
          <w:p w14:paraId="51AD4A58">
            <w:pPr>
              <w:pStyle w:val="23"/>
              <w:jc w:val="center"/>
              <w:rPr>
                <w:kern w:val="0"/>
                <w:sz w:val="18"/>
              </w:rPr>
            </w:pPr>
            <w:r>
              <w:rPr>
                <w:kern w:val="0"/>
                <w:sz w:val="18"/>
              </w:rPr>
              <w:t>2483</w:t>
            </w:r>
          </w:p>
        </w:tc>
        <w:tc>
          <w:tcPr>
            <w:tcW w:w="305" w:type="pct"/>
            <w:shd w:val="clear" w:color="auto" w:fill="auto"/>
            <w:noWrap/>
            <w:vAlign w:val="center"/>
          </w:tcPr>
          <w:p w14:paraId="54151B14">
            <w:pPr>
              <w:pStyle w:val="23"/>
              <w:jc w:val="center"/>
              <w:rPr>
                <w:kern w:val="0"/>
                <w:sz w:val="18"/>
              </w:rPr>
            </w:pPr>
          </w:p>
        </w:tc>
        <w:tc>
          <w:tcPr>
            <w:tcW w:w="305" w:type="pct"/>
            <w:shd w:val="clear" w:color="auto" w:fill="auto"/>
            <w:noWrap/>
            <w:vAlign w:val="center"/>
          </w:tcPr>
          <w:p w14:paraId="4EF9A4E5">
            <w:pPr>
              <w:pStyle w:val="23"/>
              <w:jc w:val="center"/>
              <w:rPr>
                <w:kern w:val="0"/>
                <w:sz w:val="18"/>
              </w:rPr>
            </w:pPr>
          </w:p>
        </w:tc>
        <w:tc>
          <w:tcPr>
            <w:tcW w:w="305" w:type="pct"/>
            <w:vMerge w:val="continue"/>
            <w:vAlign w:val="center"/>
          </w:tcPr>
          <w:p w14:paraId="0719DFCA">
            <w:pPr>
              <w:pStyle w:val="23"/>
              <w:jc w:val="center"/>
              <w:rPr>
                <w:kern w:val="0"/>
                <w:sz w:val="18"/>
              </w:rPr>
            </w:pPr>
          </w:p>
        </w:tc>
      </w:tr>
      <w:tr w14:paraId="4758B35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305" w:type="pct"/>
            <w:vMerge w:val="continue"/>
            <w:vAlign w:val="center"/>
          </w:tcPr>
          <w:p w14:paraId="6AAE8A7B">
            <w:pPr>
              <w:pStyle w:val="23"/>
              <w:jc w:val="center"/>
              <w:rPr>
                <w:kern w:val="0"/>
                <w:sz w:val="18"/>
              </w:rPr>
            </w:pPr>
          </w:p>
        </w:tc>
        <w:tc>
          <w:tcPr>
            <w:tcW w:w="426" w:type="pct"/>
            <w:shd w:val="clear" w:color="auto" w:fill="auto"/>
            <w:noWrap/>
            <w:vAlign w:val="center"/>
          </w:tcPr>
          <w:p w14:paraId="1A273B73">
            <w:pPr>
              <w:pStyle w:val="23"/>
              <w:jc w:val="center"/>
              <w:rPr>
                <w:kern w:val="0"/>
                <w:sz w:val="18"/>
              </w:rPr>
            </w:pPr>
            <w:r>
              <w:rPr>
                <w:kern w:val="0"/>
                <w:sz w:val="18"/>
              </w:rPr>
              <w:t>超标率(%)</w:t>
            </w:r>
          </w:p>
        </w:tc>
        <w:tc>
          <w:tcPr>
            <w:tcW w:w="305" w:type="pct"/>
            <w:shd w:val="clear" w:color="auto" w:fill="auto"/>
            <w:noWrap/>
            <w:vAlign w:val="center"/>
          </w:tcPr>
          <w:p w14:paraId="64194CD5">
            <w:pPr>
              <w:pStyle w:val="23"/>
              <w:jc w:val="center"/>
              <w:rPr>
                <w:kern w:val="0"/>
                <w:sz w:val="18"/>
              </w:rPr>
            </w:pPr>
          </w:p>
        </w:tc>
        <w:tc>
          <w:tcPr>
            <w:tcW w:w="305" w:type="pct"/>
            <w:shd w:val="clear" w:color="auto" w:fill="auto"/>
            <w:noWrap/>
            <w:vAlign w:val="center"/>
          </w:tcPr>
          <w:p w14:paraId="36D3DEE1">
            <w:pPr>
              <w:pStyle w:val="23"/>
              <w:jc w:val="center"/>
              <w:rPr>
                <w:kern w:val="0"/>
                <w:sz w:val="18"/>
              </w:rPr>
            </w:pPr>
            <w:r>
              <w:rPr>
                <w:kern w:val="0"/>
                <w:sz w:val="18"/>
              </w:rPr>
              <w:t>0.0</w:t>
            </w:r>
          </w:p>
        </w:tc>
        <w:tc>
          <w:tcPr>
            <w:tcW w:w="305" w:type="pct"/>
            <w:shd w:val="clear" w:color="auto" w:fill="auto"/>
            <w:noWrap/>
            <w:vAlign w:val="center"/>
          </w:tcPr>
          <w:p w14:paraId="10CFEABB">
            <w:pPr>
              <w:pStyle w:val="23"/>
              <w:jc w:val="center"/>
              <w:rPr>
                <w:kern w:val="0"/>
                <w:sz w:val="18"/>
              </w:rPr>
            </w:pPr>
            <w:r>
              <w:rPr>
                <w:kern w:val="0"/>
                <w:sz w:val="18"/>
              </w:rPr>
              <w:t>0.0</w:t>
            </w:r>
          </w:p>
        </w:tc>
        <w:tc>
          <w:tcPr>
            <w:tcW w:w="305" w:type="pct"/>
            <w:shd w:val="clear" w:color="auto" w:fill="auto"/>
            <w:noWrap/>
            <w:vAlign w:val="center"/>
          </w:tcPr>
          <w:p w14:paraId="1929BA23">
            <w:pPr>
              <w:pStyle w:val="23"/>
              <w:jc w:val="center"/>
              <w:rPr>
                <w:kern w:val="0"/>
                <w:sz w:val="18"/>
              </w:rPr>
            </w:pPr>
            <w:r>
              <w:rPr>
                <w:kern w:val="0"/>
                <w:sz w:val="18"/>
              </w:rPr>
              <w:t>0.0</w:t>
            </w:r>
          </w:p>
        </w:tc>
        <w:tc>
          <w:tcPr>
            <w:tcW w:w="305" w:type="pct"/>
            <w:shd w:val="clear" w:color="auto" w:fill="auto"/>
            <w:noWrap/>
            <w:vAlign w:val="center"/>
          </w:tcPr>
          <w:p w14:paraId="77C81286">
            <w:pPr>
              <w:pStyle w:val="23"/>
              <w:jc w:val="center"/>
              <w:rPr>
                <w:kern w:val="0"/>
                <w:sz w:val="18"/>
              </w:rPr>
            </w:pPr>
            <w:r>
              <w:rPr>
                <w:kern w:val="0"/>
                <w:sz w:val="18"/>
              </w:rPr>
              <w:t>0.0</w:t>
            </w:r>
          </w:p>
        </w:tc>
        <w:tc>
          <w:tcPr>
            <w:tcW w:w="305" w:type="pct"/>
            <w:shd w:val="clear" w:color="auto" w:fill="auto"/>
            <w:noWrap/>
            <w:vAlign w:val="center"/>
          </w:tcPr>
          <w:p w14:paraId="1BC895CE">
            <w:pPr>
              <w:pStyle w:val="23"/>
              <w:jc w:val="center"/>
              <w:rPr>
                <w:kern w:val="0"/>
                <w:sz w:val="18"/>
              </w:rPr>
            </w:pPr>
            <w:r>
              <w:rPr>
                <w:kern w:val="0"/>
                <w:sz w:val="18"/>
              </w:rPr>
              <w:t>0.0</w:t>
            </w:r>
          </w:p>
        </w:tc>
        <w:tc>
          <w:tcPr>
            <w:tcW w:w="305" w:type="pct"/>
            <w:shd w:val="clear" w:color="auto" w:fill="auto"/>
            <w:noWrap/>
            <w:vAlign w:val="center"/>
          </w:tcPr>
          <w:p w14:paraId="0FFF2712">
            <w:pPr>
              <w:pStyle w:val="23"/>
              <w:jc w:val="center"/>
              <w:rPr>
                <w:kern w:val="0"/>
                <w:sz w:val="18"/>
              </w:rPr>
            </w:pPr>
            <w:r>
              <w:rPr>
                <w:kern w:val="0"/>
                <w:sz w:val="18"/>
              </w:rPr>
              <w:t>0.0</w:t>
            </w:r>
          </w:p>
        </w:tc>
        <w:tc>
          <w:tcPr>
            <w:tcW w:w="305" w:type="pct"/>
            <w:shd w:val="clear" w:color="auto" w:fill="auto"/>
            <w:noWrap/>
            <w:vAlign w:val="center"/>
          </w:tcPr>
          <w:p w14:paraId="56A55CF7">
            <w:pPr>
              <w:pStyle w:val="23"/>
              <w:jc w:val="center"/>
              <w:rPr>
                <w:kern w:val="0"/>
                <w:sz w:val="18"/>
              </w:rPr>
            </w:pPr>
            <w:r>
              <w:rPr>
                <w:kern w:val="0"/>
                <w:sz w:val="18"/>
              </w:rPr>
              <w:t>0.0</w:t>
            </w:r>
          </w:p>
        </w:tc>
        <w:tc>
          <w:tcPr>
            <w:tcW w:w="305" w:type="pct"/>
            <w:shd w:val="clear" w:color="auto" w:fill="auto"/>
            <w:noWrap/>
            <w:vAlign w:val="center"/>
          </w:tcPr>
          <w:p w14:paraId="2036DEF6">
            <w:pPr>
              <w:pStyle w:val="23"/>
              <w:jc w:val="center"/>
              <w:rPr>
                <w:kern w:val="0"/>
                <w:sz w:val="18"/>
              </w:rPr>
            </w:pPr>
            <w:r>
              <w:rPr>
                <w:kern w:val="0"/>
                <w:sz w:val="18"/>
              </w:rPr>
              <w:t>0.0</w:t>
            </w:r>
          </w:p>
        </w:tc>
        <w:tc>
          <w:tcPr>
            <w:tcW w:w="305" w:type="pct"/>
            <w:shd w:val="clear" w:color="auto" w:fill="auto"/>
            <w:noWrap/>
            <w:vAlign w:val="center"/>
          </w:tcPr>
          <w:p w14:paraId="60E37DF2">
            <w:pPr>
              <w:pStyle w:val="23"/>
              <w:jc w:val="center"/>
              <w:rPr>
                <w:kern w:val="0"/>
                <w:sz w:val="18"/>
              </w:rPr>
            </w:pPr>
            <w:r>
              <w:rPr>
                <w:kern w:val="0"/>
                <w:sz w:val="18"/>
              </w:rPr>
              <w:t>0.0</w:t>
            </w:r>
          </w:p>
        </w:tc>
        <w:tc>
          <w:tcPr>
            <w:tcW w:w="305" w:type="pct"/>
            <w:shd w:val="clear" w:color="auto" w:fill="auto"/>
            <w:noWrap/>
            <w:vAlign w:val="center"/>
          </w:tcPr>
          <w:p w14:paraId="51B5C8F8">
            <w:pPr>
              <w:pStyle w:val="23"/>
              <w:jc w:val="center"/>
              <w:rPr>
                <w:kern w:val="0"/>
                <w:sz w:val="18"/>
              </w:rPr>
            </w:pPr>
            <w:r>
              <w:rPr>
                <w:kern w:val="0"/>
                <w:sz w:val="18"/>
              </w:rPr>
              <w:t>0.0</w:t>
            </w:r>
          </w:p>
        </w:tc>
        <w:tc>
          <w:tcPr>
            <w:tcW w:w="305" w:type="pct"/>
            <w:shd w:val="clear" w:color="auto" w:fill="auto"/>
            <w:noWrap/>
            <w:vAlign w:val="center"/>
          </w:tcPr>
          <w:p w14:paraId="060CE57E">
            <w:pPr>
              <w:pStyle w:val="23"/>
              <w:jc w:val="center"/>
              <w:rPr>
                <w:kern w:val="0"/>
                <w:sz w:val="18"/>
              </w:rPr>
            </w:pPr>
          </w:p>
        </w:tc>
        <w:tc>
          <w:tcPr>
            <w:tcW w:w="305" w:type="pct"/>
            <w:shd w:val="clear" w:color="auto" w:fill="auto"/>
            <w:noWrap/>
            <w:vAlign w:val="center"/>
          </w:tcPr>
          <w:p w14:paraId="4F1BCDCA">
            <w:pPr>
              <w:pStyle w:val="23"/>
              <w:jc w:val="center"/>
              <w:rPr>
                <w:kern w:val="0"/>
                <w:sz w:val="18"/>
              </w:rPr>
            </w:pPr>
          </w:p>
        </w:tc>
        <w:tc>
          <w:tcPr>
            <w:tcW w:w="305" w:type="pct"/>
            <w:vMerge w:val="continue"/>
            <w:vAlign w:val="center"/>
          </w:tcPr>
          <w:p w14:paraId="33A1AF74">
            <w:pPr>
              <w:pStyle w:val="23"/>
              <w:jc w:val="center"/>
              <w:rPr>
                <w:kern w:val="0"/>
                <w:sz w:val="18"/>
              </w:rPr>
            </w:pPr>
          </w:p>
        </w:tc>
      </w:tr>
      <w:tr w14:paraId="6EE4298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305" w:type="pct"/>
            <w:vMerge w:val="continue"/>
            <w:vAlign w:val="center"/>
          </w:tcPr>
          <w:p w14:paraId="50F87E1B">
            <w:pPr>
              <w:pStyle w:val="23"/>
              <w:jc w:val="center"/>
              <w:rPr>
                <w:kern w:val="0"/>
                <w:sz w:val="18"/>
              </w:rPr>
            </w:pPr>
          </w:p>
        </w:tc>
        <w:tc>
          <w:tcPr>
            <w:tcW w:w="426" w:type="pct"/>
            <w:shd w:val="clear" w:color="auto" w:fill="auto"/>
            <w:noWrap/>
            <w:vAlign w:val="center"/>
          </w:tcPr>
          <w:p w14:paraId="0FA4EC97">
            <w:pPr>
              <w:pStyle w:val="23"/>
              <w:jc w:val="center"/>
              <w:rPr>
                <w:kern w:val="0"/>
                <w:sz w:val="18"/>
              </w:rPr>
            </w:pPr>
            <w:r>
              <w:rPr>
                <w:kern w:val="0"/>
                <w:sz w:val="18"/>
              </w:rPr>
              <w:t>污染指数</w:t>
            </w:r>
          </w:p>
        </w:tc>
        <w:tc>
          <w:tcPr>
            <w:tcW w:w="305" w:type="pct"/>
            <w:shd w:val="clear" w:color="auto" w:fill="auto"/>
            <w:noWrap/>
            <w:vAlign w:val="center"/>
          </w:tcPr>
          <w:p w14:paraId="663E47E1">
            <w:pPr>
              <w:pStyle w:val="23"/>
              <w:jc w:val="center"/>
              <w:rPr>
                <w:kern w:val="0"/>
                <w:sz w:val="18"/>
              </w:rPr>
            </w:pPr>
          </w:p>
        </w:tc>
        <w:tc>
          <w:tcPr>
            <w:tcW w:w="305" w:type="pct"/>
            <w:shd w:val="clear" w:color="auto" w:fill="auto"/>
            <w:noWrap/>
            <w:vAlign w:val="center"/>
          </w:tcPr>
          <w:p w14:paraId="6514D15A">
            <w:pPr>
              <w:pStyle w:val="23"/>
              <w:jc w:val="center"/>
              <w:rPr>
                <w:kern w:val="0"/>
                <w:sz w:val="18"/>
              </w:rPr>
            </w:pPr>
            <w:r>
              <w:rPr>
                <w:kern w:val="0"/>
                <w:sz w:val="18"/>
              </w:rPr>
              <w:t>0.23</w:t>
            </w:r>
          </w:p>
        </w:tc>
        <w:tc>
          <w:tcPr>
            <w:tcW w:w="305" w:type="pct"/>
            <w:shd w:val="clear" w:color="auto" w:fill="auto"/>
            <w:noWrap/>
            <w:vAlign w:val="center"/>
          </w:tcPr>
          <w:p w14:paraId="51B79A37">
            <w:pPr>
              <w:pStyle w:val="23"/>
              <w:jc w:val="center"/>
              <w:rPr>
                <w:kern w:val="0"/>
                <w:sz w:val="18"/>
              </w:rPr>
            </w:pPr>
            <w:r>
              <w:rPr>
                <w:kern w:val="0"/>
                <w:sz w:val="18"/>
              </w:rPr>
              <w:t>0.4</w:t>
            </w:r>
          </w:p>
        </w:tc>
        <w:tc>
          <w:tcPr>
            <w:tcW w:w="305" w:type="pct"/>
            <w:shd w:val="clear" w:color="auto" w:fill="auto"/>
            <w:noWrap/>
            <w:vAlign w:val="center"/>
          </w:tcPr>
          <w:p w14:paraId="40B0BFF6">
            <w:pPr>
              <w:pStyle w:val="23"/>
              <w:jc w:val="center"/>
              <w:rPr>
                <w:kern w:val="0"/>
                <w:sz w:val="18"/>
              </w:rPr>
            </w:pPr>
            <w:r>
              <w:rPr>
                <w:kern w:val="0"/>
                <w:sz w:val="18"/>
              </w:rPr>
              <w:t>0.32</w:t>
            </w:r>
          </w:p>
        </w:tc>
        <w:tc>
          <w:tcPr>
            <w:tcW w:w="305" w:type="pct"/>
            <w:shd w:val="clear" w:color="auto" w:fill="auto"/>
            <w:noWrap/>
            <w:vAlign w:val="center"/>
          </w:tcPr>
          <w:p w14:paraId="4DF67A93">
            <w:pPr>
              <w:pStyle w:val="23"/>
              <w:jc w:val="center"/>
              <w:rPr>
                <w:kern w:val="0"/>
                <w:sz w:val="18"/>
              </w:rPr>
            </w:pPr>
            <w:r>
              <w:rPr>
                <w:kern w:val="0"/>
                <w:sz w:val="18"/>
              </w:rPr>
              <w:t>0.33</w:t>
            </w:r>
          </w:p>
        </w:tc>
        <w:tc>
          <w:tcPr>
            <w:tcW w:w="305" w:type="pct"/>
            <w:shd w:val="clear" w:color="auto" w:fill="auto"/>
            <w:noWrap/>
            <w:vAlign w:val="center"/>
          </w:tcPr>
          <w:p w14:paraId="3ED8F74C">
            <w:pPr>
              <w:pStyle w:val="23"/>
              <w:jc w:val="center"/>
              <w:rPr>
                <w:kern w:val="0"/>
                <w:sz w:val="18"/>
              </w:rPr>
            </w:pPr>
            <w:r>
              <w:rPr>
                <w:kern w:val="0"/>
                <w:sz w:val="18"/>
              </w:rPr>
              <w:t>0.44</w:t>
            </w:r>
          </w:p>
        </w:tc>
        <w:tc>
          <w:tcPr>
            <w:tcW w:w="305" w:type="pct"/>
            <w:shd w:val="clear" w:color="auto" w:fill="auto"/>
            <w:noWrap/>
            <w:vAlign w:val="center"/>
          </w:tcPr>
          <w:p w14:paraId="553E1966">
            <w:pPr>
              <w:pStyle w:val="23"/>
              <w:jc w:val="center"/>
              <w:rPr>
                <w:kern w:val="0"/>
                <w:sz w:val="18"/>
              </w:rPr>
            </w:pPr>
            <w:r>
              <w:rPr>
                <w:kern w:val="0"/>
                <w:sz w:val="18"/>
              </w:rPr>
              <w:t>0.33</w:t>
            </w:r>
          </w:p>
        </w:tc>
        <w:tc>
          <w:tcPr>
            <w:tcW w:w="305" w:type="pct"/>
            <w:shd w:val="clear" w:color="auto" w:fill="auto"/>
            <w:noWrap/>
            <w:vAlign w:val="center"/>
          </w:tcPr>
          <w:p w14:paraId="3FAD2B12">
            <w:pPr>
              <w:pStyle w:val="23"/>
              <w:jc w:val="center"/>
              <w:rPr>
                <w:kern w:val="0"/>
                <w:sz w:val="18"/>
              </w:rPr>
            </w:pPr>
            <w:r>
              <w:rPr>
                <w:kern w:val="0"/>
                <w:sz w:val="18"/>
              </w:rPr>
              <w:t>0.54</w:t>
            </w:r>
          </w:p>
        </w:tc>
        <w:tc>
          <w:tcPr>
            <w:tcW w:w="305" w:type="pct"/>
            <w:shd w:val="clear" w:color="auto" w:fill="auto"/>
            <w:noWrap/>
            <w:vAlign w:val="center"/>
          </w:tcPr>
          <w:p w14:paraId="5EB2E36C">
            <w:pPr>
              <w:pStyle w:val="23"/>
              <w:jc w:val="center"/>
              <w:rPr>
                <w:kern w:val="0"/>
                <w:sz w:val="18"/>
              </w:rPr>
            </w:pPr>
            <w:r>
              <w:rPr>
                <w:kern w:val="0"/>
                <w:sz w:val="18"/>
              </w:rPr>
              <w:t>0.21</w:t>
            </w:r>
          </w:p>
        </w:tc>
        <w:tc>
          <w:tcPr>
            <w:tcW w:w="305" w:type="pct"/>
            <w:shd w:val="clear" w:color="auto" w:fill="auto"/>
            <w:noWrap/>
            <w:vAlign w:val="center"/>
          </w:tcPr>
          <w:p w14:paraId="0C5D9060">
            <w:pPr>
              <w:pStyle w:val="23"/>
              <w:jc w:val="center"/>
              <w:rPr>
                <w:kern w:val="0"/>
                <w:sz w:val="18"/>
              </w:rPr>
            </w:pPr>
            <w:r>
              <w:rPr>
                <w:kern w:val="0"/>
                <w:sz w:val="18"/>
              </w:rPr>
              <w:t>023</w:t>
            </w:r>
          </w:p>
        </w:tc>
        <w:tc>
          <w:tcPr>
            <w:tcW w:w="305" w:type="pct"/>
            <w:shd w:val="clear" w:color="auto" w:fill="auto"/>
            <w:noWrap/>
            <w:vAlign w:val="center"/>
          </w:tcPr>
          <w:p w14:paraId="332D1D27">
            <w:pPr>
              <w:pStyle w:val="23"/>
              <w:jc w:val="center"/>
              <w:rPr>
                <w:kern w:val="0"/>
                <w:sz w:val="18"/>
              </w:rPr>
            </w:pPr>
            <w:r>
              <w:rPr>
                <w:kern w:val="0"/>
                <w:sz w:val="18"/>
              </w:rPr>
              <w:t>0.12</w:t>
            </w:r>
          </w:p>
        </w:tc>
        <w:tc>
          <w:tcPr>
            <w:tcW w:w="305" w:type="pct"/>
            <w:shd w:val="clear" w:color="auto" w:fill="auto"/>
            <w:noWrap/>
            <w:vAlign w:val="center"/>
          </w:tcPr>
          <w:p w14:paraId="7A190CFC">
            <w:pPr>
              <w:pStyle w:val="23"/>
              <w:jc w:val="center"/>
              <w:rPr>
                <w:kern w:val="0"/>
                <w:sz w:val="18"/>
              </w:rPr>
            </w:pPr>
          </w:p>
        </w:tc>
        <w:tc>
          <w:tcPr>
            <w:tcW w:w="305" w:type="pct"/>
            <w:shd w:val="clear" w:color="auto" w:fill="auto"/>
            <w:noWrap/>
            <w:vAlign w:val="center"/>
          </w:tcPr>
          <w:p w14:paraId="044B6C98">
            <w:pPr>
              <w:pStyle w:val="23"/>
              <w:jc w:val="center"/>
              <w:rPr>
                <w:kern w:val="0"/>
                <w:sz w:val="18"/>
              </w:rPr>
            </w:pPr>
          </w:p>
        </w:tc>
        <w:tc>
          <w:tcPr>
            <w:tcW w:w="305" w:type="pct"/>
            <w:vMerge w:val="continue"/>
            <w:vAlign w:val="center"/>
          </w:tcPr>
          <w:p w14:paraId="65EFD46B">
            <w:pPr>
              <w:pStyle w:val="23"/>
              <w:jc w:val="center"/>
              <w:rPr>
                <w:kern w:val="0"/>
                <w:sz w:val="18"/>
              </w:rPr>
            </w:pPr>
          </w:p>
        </w:tc>
      </w:tr>
      <w:tr w14:paraId="648AF64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305" w:type="pct"/>
            <w:vMerge w:val="continue"/>
            <w:vAlign w:val="center"/>
          </w:tcPr>
          <w:p w14:paraId="7395E975">
            <w:pPr>
              <w:pStyle w:val="23"/>
              <w:jc w:val="center"/>
              <w:rPr>
                <w:kern w:val="0"/>
                <w:sz w:val="18"/>
              </w:rPr>
            </w:pPr>
          </w:p>
        </w:tc>
        <w:tc>
          <w:tcPr>
            <w:tcW w:w="426" w:type="pct"/>
            <w:shd w:val="clear" w:color="auto" w:fill="auto"/>
            <w:noWrap/>
            <w:vAlign w:val="center"/>
          </w:tcPr>
          <w:p w14:paraId="08E1DC04">
            <w:pPr>
              <w:pStyle w:val="23"/>
              <w:jc w:val="center"/>
              <w:rPr>
                <w:kern w:val="0"/>
                <w:sz w:val="18"/>
              </w:rPr>
            </w:pPr>
            <w:r>
              <w:rPr>
                <w:kern w:val="0"/>
                <w:sz w:val="18"/>
              </w:rPr>
              <w:t>污染分担率(%)</w:t>
            </w:r>
          </w:p>
        </w:tc>
        <w:tc>
          <w:tcPr>
            <w:tcW w:w="305" w:type="pct"/>
            <w:shd w:val="clear" w:color="auto" w:fill="auto"/>
            <w:noWrap/>
            <w:vAlign w:val="center"/>
          </w:tcPr>
          <w:p w14:paraId="42B51E12">
            <w:pPr>
              <w:pStyle w:val="23"/>
              <w:jc w:val="center"/>
              <w:rPr>
                <w:kern w:val="0"/>
                <w:sz w:val="18"/>
              </w:rPr>
            </w:pPr>
          </w:p>
        </w:tc>
        <w:tc>
          <w:tcPr>
            <w:tcW w:w="305" w:type="pct"/>
            <w:shd w:val="clear" w:color="auto" w:fill="auto"/>
            <w:noWrap/>
            <w:vAlign w:val="center"/>
          </w:tcPr>
          <w:p w14:paraId="03008804">
            <w:pPr>
              <w:pStyle w:val="23"/>
              <w:jc w:val="center"/>
              <w:rPr>
                <w:kern w:val="0"/>
                <w:sz w:val="18"/>
              </w:rPr>
            </w:pPr>
            <w:r>
              <w:rPr>
                <w:kern w:val="0"/>
                <w:sz w:val="18"/>
              </w:rPr>
              <w:t>7.2</w:t>
            </w:r>
          </w:p>
        </w:tc>
        <w:tc>
          <w:tcPr>
            <w:tcW w:w="305" w:type="pct"/>
            <w:shd w:val="clear" w:color="auto" w:fill="auto"/>
            <w:noWrap/>
            <w:vAlign w:val="center"/>
          </w:tcPr>
          <w:p w14:paraId="6CB6FAD0">
            <w:pPr>
              <w:pStyle w:val="23"/>
              <w:jc w:val="center"/>
              <w:rPr>
                <w:kern w:val="0"/>
                <w:sz w:val="18"/>
              </w:rPr>
            </w:pPr>
            <w:r>
              <w:rPr>
                <w:kern w:val="0"/>
                <w:sz w:val="18"/>
              </w:rPr>
              <w:t>13.1</w:t>
            </w:r>
          </w:p>
        </w:tc>
        <w:tc>
          <w:tcPr>
            <w:tcW w:w="305" w:type="pct"/>
            <w:shd w:val="clear" w:color="auto" w:fill="auto"/>
            <w:noWrap/>
            <w:vAlign w:val="center"/>
          </w:tcPr>
          <w:p w14:paraId="7FA81EF3">
            <w:pPr>
              <w:pStyle w:val="23"/>
              <w:jc w:val="center"/>
              <w:rPr>
                <w:kern w:val="0"/>
                <w:sz w:val="18"/>
              </w:rPr>
            </w:pPr>
            <w:r>
              <w:rPr>
                <w:kern w:val="0"/>
                <w:sz w:val="18"/>
              </w:rPr>
              <w:t>10.1</w:t>
            </w:r>
          </w:p>
        </w:tc>
        <w:tc>
          <w:tcPr>
            <w:tcW w:w="305" w:type="pct"/>
            <w:shd w:val="clear" w:color="auto" w:fill="auto"/>
            <w:noWrap/>
            <w:vAlign w:val="center"/>
          </w:tcPr>
          <w:p w14:paraId="5403CDC7">
            <w:pPr>
              <w:pStyle w:val="23"/>
              <w:jc w:val="center"/>
              <w:rPr>
                <w:kern w:val="0"/>
                <w:sz w:val="18"/>
              </w:rPr>
            </w:pPr>
            <w:r>
              <w:rPr>
                <w:kern w:val="0"/>
                <w:sz w:val="18"/>
              </w:rPr>
              <w:t>10.5</w:t>
            </w:r>
          </w:p>
        </w:tc>
        <w:tc>
          <w:tcPr>
            <w:tcW w:w="305" w:type="pct"/>
            <w:shd w:val="clear" w:color="auto" w:fill="auto"/>
            <w:noWrap/>
            <w:vAlign w:val="center"/>
          </w:tcPr>
          <w:p w14:paraId="3E788352">
            <w:pPr>
              <w:pStyle w:val="23"/>
              <w:jc w:val="center"/>
              <w:rPr>
                <w:kern w:val="0"/>
                <w:sz w:val="18"/>
              </w:rPr>
            </w:pPr>
            <w:r>
              <w:rPr>
                <w:kern w:val="0"/>
                <w:sz w:val="18"/>
              </w:rPr>
              <w:t>14.0</w:t>
            </w:r>
          </w:p>
        </w:tc>
        <w:tc>
          <w:tcPr>
            <w:tcW w:w="305" w:type="pct"/>
            <w:shd w:val="clear" w:color="auto" w:fill="auto"/>
            <w:noWrap/>
            <w:vAlign w:val="center"/>
          </w:tcPr>
          <w:p w14:paraId="0F61BB9B">
            <w:pPr>
              <w:pStyle w:val="23"/>
              <w:jc w:val="center"/>
              <w:rPr>
                <w:kern w:val="0"/>
                <w:sz w:val="18"/>
              </w:rPr>
            </w:pPr>
            <w:r>
              <w:rPr>
                <w:kern w:val="0"/>
                <w:sz w:val="18"/>
              </w:rPr>
              <w:t>10.4</w:t>
            </w:r>
          </w:p>
        </w:tc>
        <w:tc>
          <w:tcPr>
            <w:tcW w:w="305" w:type="pct"/>
            <w:shd w:val="clear" w:color="auto" w:fill="auto"/>
            <w:noWrap/>
            <w:vAlign w:val="center"/>
          </w:tcPr>
          <w:p w14:paraId="6CA300C3">
            <w:pPr>
              <w:pStyle w:val="23"/>
              <w:jc w:val="center"/>
              <w:rPr>
                <w:kern w:val="0"/>
                <w:sz w:val="18"/>
              </w:rPr>
            </w:pPr>
            <w:r>
              <w:rPr>
                <w:kern w:val="0"/>
                <w:sz w:val="18"/>
              </w:rPr>
              <w:t>17.0</w:t>
            </w:r>
          </w:p>
        </w:tc>
        <w:tc>
          <w:tcPr>
            <w:tcW w:w="305" w:type="pct"/>
            <w:shd w:val="clear" w:color="auto" w:fill="auto"/>
            <w:noWrap/>
            <w:vAlign w:val="center"/>
          </w:tcPr>
          <w:p w14:paraId="0468B392">
            <w:pPr>
              <w:pStyle w:val="23"/>
              <w:jc w:val="center"/>
              <w:rPr>
                <w:kern w:val="0"/>
                <w:sz w:val="18"/>
              </w:rPr>
            </w:pPr>
            <w:r>
              <w:rPr>
                <w:kern w:val="0"/>
                <w:sz w:val="18"/>
              </w:rPr>
              <w:t>6.6</w:t>
            </w:r>
          </w:p>
        </w:tc>
        <w:tc>
          <w:tcPr>
            <w:tcW w:w="305" w:type="pct"/>
            <w:shd w:val="clear" w:color="auto" w:fill="auto"/>
            <w:noWrap/>
            <w:vAlign w:val="center"/>
          </w:tcPr>
          <w:p w14:paraId="0251D64F">
            <w:pPr>
              <w:pStyle w:val="23"/>
              <w:jc w:val="center"/>
              <w:rPr>
                <w:kern w:val="0"/>
                <w:sz w:val="18"/>
              </w:rPr>
            </w:pPr>
            <w:r>
              <w:rPr>
                <w:kern w:val="0"/>
                <w:sz w:val="18"/>
              </w:rPr>
              <w:t>7.2</w:t>
            </w:r>
          </w:p>
        </w:tc>
        <w:tc>
          <w:tcPr>
            <w:tcW w:w="305" w:type="pct"/>
            <w:shd w:val="clear" w:color="auto" w:fill="auto"/>
            <w:noWrap/>
            <w:vAlign w:val="center"/>
          </w:tcPr>
          <w:p w14:paraId="260204D0">
            <w:pPr>
              <w:pStyle w:val="23"/>
              <w:jc w:val="center"/>
              <w:rPr>
                <w:kern w:val="0"/>
                <w:sz w:val="18"/>
              </w:rPr>
            </w:pPr>
            <w:r>
              <w:rPr>
                <w:kern w:val="0"/>
                <w:sz w:val="18"/>
              </w:rPr>
              <w:t>3.9</w:t>
            </w:r>
          </w:p>
        </w:tc>
        <w:tc>
          <w:tcPr>
            <w:tcW w:w="305" w:type="pct"/>
            <w:shd w:val="clear" w:color="auto" w:fill="auto"/>
            <w:noWrap/>
            <w:vAlign w:val="center"/>
          </w:tcPr>
          <w:p w14:paraId="23844907">
            <w:pPr>
              <w:pStyle w:val="23"/>
              <w:jc w:val="center"/>
              <w:rPr>
                <w:kern w:val="0"/>
                <w:sz w:val="18"/>
              </w:rPr>
            </w:pPr>
            <w:r>
              <w:rPr>
                <w:kern w:val="0"/>
                <w:sz w:val="18"/>
              </w:rPr>
              <w:t>-</w:t>
            </w:r>
          </w:p>
        </w:tc>
        <w:tc>
          <w:tcPr>
            <w:tcW w:w="305" w:type="pct"/>
            <w:shd w:val="clear" w:color="auto" w:fill="auto"/>
            <w:noWrap/>
            <w:vAlign w:val="center"/>
          </w:tcPr>
          <w:p w14:paraId="71AFC583">
            <w:pPr>
              <w:pStyle w:val="23"/>
              <w:jc w:val="center"/>
              <w:rPr>
                <w:kern w:val="0"/>
                <w:sz w:val="18"/>
              </w:rPr>
            </w:pPr>
          </w:p>
        </w:tc>
        <w:tc>
          <w:tcPr>
            <w:tcW w:w="305" w:type="pct"/>
            <w:vMerge w:val="continue"/>
            <w:vAlign w:val="center"/>
          </w:tcPr>
          <w:p w14:paraId="66E44604">
            <w:pPr>
              <w:pStyle w:val="23"/>
              <w:jc w:val="center"/>
              <w:rPr>
                <w:kern w:val="0"/>
                <w:sz w:val="18"/>
              </w:rPr>
            </w:pPr>
          </w:p>
        </w:tc>
      </w:tr>
      <w:tr w14:paraId="3529A53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305" w:type="pct"/>
            <w:vMerge w:val="restart"/>
            <w:shd w:val="clear" w:color="auto" w:fill="auto"/>
            <w:noWrap/>
            <w:vAlign w:val="center"/>
          </w:tcPr>
          <w:p w14:paraId="6D9C3647">
            <w:pPr>
              <w:pStyle w:val="23"/>
              <w:jc w:val="center"/>
              <w:rPr>
                <w:kern w:val="0"/>
                <w:sz w:val="18"/>
              </w:rPr>
            </w:pPr>
            <w:r>
              <w:rPr>
                <w:kern w:val="0"/>
                <w:sz w:val="18"/>
              </w:rPr>
              <w:t>江口</w:t>
            </w:r>
          </w:p>
        </w:tc>
        <w:tc>
          <w:tcPr>
            <w:tcW w:w="426" w:type="pct"/>
            <w:shd w:val="clear" w:color="auto" w:fill="auto"/>
            <w:noWrap/>
            <w:vAlign w:val="center"/>
          </w:tcPr>
          <w:p w14:paraId="3F9ECE5A">
            <w:pPr>
              <w:pStyle w:val="23"/>
              <w:jc w:val="center"/>
              <w:rPr>
                <w:kern w:val="0"/>
                <w:sz w:val="18"/>
              </w:rPr>
            </w:pPr>
            <w:r>
              <w:rPr>
                <w:kern w:val="0"/>
                <w:sz w:val="18"/>
              </w:rPr>
              <w:t>样品数</w:t>
            </w:r>
          </w:p>
        </w:tc>
        <w:tc>
          <w:tcPr>
            <w:tcW w:w="305" w:type="pct"/>
            <w:shd w:val="clear" w:color="auto" w:fill="auto"/>
            <w:noWrap/>
            <w:vAlign w:val="center"/>
          </w:tcPr>
          <w:p w14:paraId="5C33FE31">
            <w:pPr>
              <w:pStyle w:val="23"/>
              <w:jc w:val="center"/>
              <w:rPr>
                <w:kern w:val="0"/>
                <w:sz w:val="18"/>
              </w:rPr>
            </w:pPr>
            <w:r>
              <w:rPr>
                <w:kern w:val="0"/>
                <w:sz w:val="18"/>
              </w:rPr>
              <w:t>6</w:t>
            </w:r>
          </w:p>
        </w:tc>
        <w:tc>
          <w:tcPr>
            <w:tcW w:w="305" w:type="pct"/>
            <w:shd w:val="clear" w:color="auto" w:fill="auto"/>
            <w:noWrap/>
            <w:vAlign w:val="center"/>
          </w:tcPr>
          <w:p w14:paraId="1C132167">
            <w:pPr>
              <w:pStyle w:val="23"/>
              <w:jc w:val="center"/>
              <w:rPr>
                <w:kern w:val="0"/>
                <w:sz w:val="18"/>
              </w:rPr>
            </w:pPr>
            <w:r>
              <w:rPr>
                <w:kern w:val="0"/>
                <w:sz w:val="18"/>
              </w:rPr>
              <w:t>6</w:t>
            </w:r>
          </w:p>
        </w:tc>
        <w:tc>
          <w:tcPr>
            <w:tcW w:w="305" w:type="pct"/>
            <w:shd w:val="clear" w:color="auto" w:fill="auto"/>
            <w:noWrap/>
            <w:vAlign w:val="center"/>
          </w:tcPr>
          <w:p w14:paraId="4E5C6B2B">
            <w:pPr>
              <w:pStyle w:val="23"/>
              <w:jc w:val="center"/>
              <w:rPr>
                <w:kern w:val="0"/>
                <w:sz w:val="18"/>
              </w:rPr>
            </w:pPr>
            <w:r>
              <w:rPr>
                <w:kern w:val="0"/>
                <w:sz w:val="18"/>
              </w:rPr>
              <w:t>6</w:t>
            </w:r>
          </w:p>
        </w:tc>
        <w:tc>
          <w:tcPr>
            <w:tcW w:w="305" w:type="pct"/>
            <w:shd w:val="clear" w:color="auto" w:fill="auto"/>
            <w:noWrap/>
            <w:vAlign w:val="center"/>
          </w:tcPr>
          <w:p w14:paraId="7E2D275A">
            <w:pPr>
              <w:pStyle w:val="23"/>
              <w:jc w:val="center"/>
              <w:rPr>
                <w:kern w:val="0"/>
                <w:sz w:val="18"/>
              </w:rPr>
            </w:pPr>
            <w:r>
              <w:rPr>
                <w:kern w:val="0"/>
                <w:sz w:val="18"/>
              </w:rPr>
              <w:t>6</w:t>
            </w:r>
          </w:p>
        </w:tc>
        <w:tc>
          <w:tcPr>
            <w:tcW w:w="305" w:type="pct"/>
            <w:shd w:val="clear" w:color="auto" w:fill="auto"/>
            <w:noWrap/>
            <w:vAlign w:val="center"/>
          </w:tcPr>
          <w:p w14:paraId="3B0A63C1">
            <w:pPr>
              <w:pStyle w:val="23"/>
              <w:jc w:val="center"/>
              <w:rPr>
                <w:kern w:val="0"/>
                <w:sz w:val="18"/>
              </w:rPr>
            </w:pPr>
            <w:r>
              <w:rPr>
                <w:kern w:val="0"/>
                <w:sz w:val="18"/>
              </w:rPr>
              <w:t>4</w:t>
            </w:r>
          </w:p>
        </w:tc>
        <w:tc>
          <w:tcPr>
            <w:tcW w:w="305" w:type="pct"/>
            <w:shd w:val="clear" w:color="auto" w:fill="auto"/>
            <w:noWrap/>
            <w:vAlign w:val="center"/>
          </w:tcPr>
          <w:p w14:paraId="489555A9">
            <w:pPr>
              <w:pStyle w:val="23"/>
              <w:jc w:val="center"/>
              <w:rPr>
                <w:kern w:val="0"/>
                <w:sz w:val="18"/>
              </w:rPr>
            </w:pPr>
            <w:r>
              <w:rPr>
                <w:kern w:val="0"/>
                <w:sz w:val="18"/>
              </w:rPr>
              <w:t>4</w:t>
            </w:r>
          </w:p>
        </w:tc>
        <w:tc>
          <w:tcPr>
            <w:tcW w:w="305" w:type="pct"/>
            <w:shd w:val="clear" w:color="auto" w:fill="auto"/>
            <w:noWrap/>
            <w:vAlign w:val="center"/>
          </w:tcPr>
          <w:p w14:paraId="6F77BD27">
            <w:pPr>
              <w:pStyle w:val="23"/>
              <w:jc w:val="center"/>
              <w:rPr>
                <w:kern w:val="0"/>
                <w:sz w:val="18"/>
              </w:rPr>
            </w:pPr>
            <w:r>
              <w:rPr>
                <w:kern w:val="0"/>
                <w:sz w:val="18"/>
              </w:rPr>
              <w:t>6</w:t>
            </w:r>
          </w:p>
        </w:tc>
        <w:tc>
          <w:tcPr>
            <w:tcW w:w="305" w:type="pct"/>
            <w:shd w:val="clear" w:color="auto" w:fill="auto"/>
            <w:noWrap/>
            <w:vAlign w:val="center"/>
          </w:tcPr>
          <w:p w14:paraId="55F03BC5">
            <w:pPr>
              <w:pStyle w:val="23"/>
              <w:jc w:val="center"/>
              <w:rPr>
                <w:kern w:val="0"/>
                <w:sz w:val="18"/>
              </w:rPr>
            </w:pPr>
            <w:r>
              <w:rPr>
                <w:kern w:val="0"/>
                <w:sz w:val="18"/>
              </w:rPr>
              <w:t>6</w:t>
            </w:r>
          </w:p>
        </w:tc>
        <w:tc>
          <w:tcPr>
            <w:tcW w:w="305" w:type="pct"/>
            <w:shd w:val="clear" w:color="auto" w:fill="auto"/>
            <w:noWrap/>
            <w:vAlign w:val="center"/>
          </w:tcPr>
          <w:p w14:paraId="546C475D">
            <w:pPr>
              <w:pStyle w:val="23"/>
              <w:jc w:val="center"/>
              <w:rPr>
                <w:kern w:val="0"/>
                <w:sz w:val="18"/>
              </w:rPr>
            </w:pPr>
            <w:r>
              <w:rPr>
                <w:kern w:val="0"/>
                <w:sz w:val="18"/>
              </w:rPr>
              <w:t>6</w:t>
            </w:r>
          </w:p>
        </w:tc>
        <w:tc>
          <w:tcPr>
            <w:tcW w:w="305" w:type="pct"/>
            <w:shd w:val="clear" w:color="auto" w:fill="auto"/>
            <w:noWrap/>
            <w:vAlign w:val="center"/>
          </w:tcPr>
          <w:p w14:paraId="76809BD7">
            <w:pPr>
              <w:pStyle w:val="23"/>
              <w:jc w:val="center"/>
              <w:rPr>
                <w:kern w:val="0"/>
                <w:sz w:val="18"/>
              </w:rPr>
            </w:pPr>
            <w:r>
              <w:rPr>
                <w:kern w:val="0"/>
                <w:sz w:val="18"/>
              </w:rPr>
              <w:t>6</w:t>
            </w:r>
          </w:p>
        </w:tc>
        <w:tc>
          <w:tcPr>
            <w:tcW w:w="305" w:type="pct"/>
            <w:shd w:val="clear" w:color="auto" w:fill="auto"/>
            <w:noWrap/>
            <w:vAlign w:val="center"/>
          </w:tcPr>
          <w:p w14:paraId="1AF60EC3">
            <w:pPr>
              <w:pStyle w:val="23"/>
              <w:jc w:val="center"/>
              <w:rPr>
                <w:kern w:val="0"/>
                <w:sz w:val="18"/>
              </w:rPr>
            </w:pPr>
            <w:r>
              <w:rPr>
                <w:kern w:val="0"/>
                <w:sz w:val="18"/>
              </w:rPr>
              <w:t>4</w:t>
            </w:r>
          </w:p>
        </w:tc>
        <w:tc>
          <w:tcPr>
            <w:tcW w:w="305" w:type="pct"/>
            <w:shd w:val="clear" w:color="auto" w:fill="auto"/>
            <w:noWrap/>
            <w:vAlign w:val="center"/>
          </w:tcPr>
          <w:p w14:paraId="61AFA5B6">
            <w:pPr>
              <w:pStyle w:val="23"/>
              <w:jc w:val="center"/>
              <w:rPr>
                <w:kern w:val="0"/>
                <w:sz w:val="18"/>
              </w:rPr>
            </w:pPr>
            <w:r>
              <w:rPr>
                <w:kern w:val="0"/>
                <w:sz w:val="18"/>
              </w:rPr>
              <w:t>-</w:t>
            </w:r>
          </w:p>
        </w:tc>
        <w:tc>
          <w:tcPr>
            <w:tcW w:w="305" w:type="pct"/>
            <w:shd w:val="clear" w:color="auto" w:fill="auto"/>
            <w:noWrap/>
            <w:vAlign w:val="center"/>
          </w:tcPr>
          <w:p w14:paraId="66C3A05A">
            <w:pPr>
              <w:pStyle w:val="23"/>
              <w:jc w:val="center"/>
              <w:rPr>
                <w:kern w:val="0"/>
                <w:sz w:val="18"/>
              </w:rPr>
            </w:pPr>
          </w:p>
        </w:tc>
        <w:tc>
          <w:tcPr>
            <w:tcW w:w="305" w:type="pct"/>
            <w:vMerge w:val="restart"/>
            <w:shd w:val="clear" w:color="auto" w:fill="auto"/>
            <w:noWrap/>
            <w:vAlign w:val="center"/>
          </w:tcPr>
          <w:p w14:paraId="5E6E4A0A">
            <w:pPr>
              <w:pStyle w:val="23"/>
              <w:jc w:val="center"/>
              <w:rPr>
                <w:kern w:val="0"/>
                <w:sz w:val="18"/>
              </w:rPr>
            </w:pPr>
            <w:r>
              <w:rPr>
                <w:kern w:val="0"/>
                <w:sz w:val="18"/>
              </w:rPr>
              <w:t>0.37</w:t>
            </w:r>
          </w:p>
        </w:tc>
      </w:tr>
      <w:tr w14:paraId="6C3F889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305" w:type="pct"/>
            <w:vMerge w:val="continue"/>
            <w:vAlign w:val="center"/>
          </w:tcPr>
          <w:p w14:paraId="7EF4D2D7">
            <w:pPr>
              <w:pStyle w:val="23"/>
              <w:jc w:val="center"/>
              <w:rPr>
                <w:kern w:val="0"/>
                <w:sz w:val="18"/>
              </w:rPr>
            </w:pPr>
          </w:p>
        </w:tc>
        <w:tc>
          <w:tcPr>
            <w:tcW w:w="426" w:type="pct"/>
            <w:shd w:val="clear" w:color="auto" w:fill="auto"/>
            <w:noWrap/>
            <w:vAlign w:val="center"/>
          </w:tcPr>
          <w:p w14:paraId="70DFBF5A">
            <w:pPr>
              <w:pStyle w:val="23"/>
              <w:jc w:val="center"/>
              <w:rPr>
                <w:kern w:val="0"/>
                <w:sz w:val="18"/>
              </w:rPr>
            </w:pPr>
            <w:r>
              <w:rPr>
                <w:kern w:val="0"/>
                <w:sz w:val="18"/>
              </w:rPr>
              <w:t>最大值</w:t>
            </w:r>
          </w:p>
        </w:tc>
        <w:tc>
          <w:tcPr>
            <w:tcW w:w="305" w:type="pct"/>
            <w:shd w:val="clear" w:color="auto" w:fill="auto"/>
            <w:noWrap/>
            <w:vAlign w:val="center"/>
          </w:tcPr>
          <w:p w14:paraId="3B0DBBEF">
            <w:pPr>
              <w:pStyle w:val="23"/>
              <w:jc w:val="center"/>
              <w:rPr>
                <w:kern w:val="0"/>
                <w:sz w:val="18"/>
              </w:rPr>
            </w:pPr>
            <w:r>
              <w:rPr>
                <w:kern w:val="0"/>
                <w:sz w:val="18"/>
              </w:rPr>
              <w:t>30</w:t>
            </w:r>
          </w:p>
        </w:tc>
        <w:tc>
          <w:tcPr>
            <w:tcW w:w="305" w:type="pct"/>
            <w:shd w:val="clear" w:color="auto" w:fill="auto"/>
            <w:noWrap/>
            <w:vAlign w:val="center"/>
          </w:tcPr>
          <w:p w14:paraId="10F1C003">
            <w:pPr>
              <w:pStyle w:val="23"/>
              <w:jc w:val="center"/>
              <w:rPr>
                <w:kern w:val="0"/>
                <w:sz w:val="18"/>
              </w:rPr>
            </w:pPr>
            <w:r>
              <w:rPr>
                <w:kern w:val="0"/>
                <w:sz w:val="18"/>
              </w:rPr>
              <w:t>7.63</w:t>
            </w:r>
          </w:p>
        </w:tc>
        <w:tc>
          <w:tcPr>
            <w:tcW w:w="305" w:type="pct"/>
            <w:shd w:val="clear" w:color="auto" w:fill="auto"/>
            <w:noWrap/>
            <w:vAlign w:val="center"/>
          </w:tcPr>
          <w:p w14:paraId="29474AB4">
            <w:pPr>
              <w:pStyle w:val="23"/>
              <w:jc w:val="center"/>
              <w:rPr>
                <w:kern w:val="0"/>
                <w:sz w:val="18"/>
              </w:rPr>
            </w:pPr>
            <w:r>
              <w:rPr>
                <w:kern w:val="0"/>
                <w:sz w:val="18"/>
              </w:rPr>
              <w:t>9.2</w:t>
            </w:r>
          </w:p>
        </w:tc>
        <w:tc>
          <w:tcPr>
            <w:tcW w:w="305" w:type="pct"/>
            <w:shd w:val="clear" w:color="auto" w:fill="auto"/>
            <w:noWrap/>
            <w:vAlign w:val="center"/>
          </w:tcPr>
          <w:p w14:paraId="5AEC5320">
            <w:pPr>
              <w:pStyle w:val="23"/>
              <w:jc w:val="center"/>
              <w:rPr>
                <w:kern w:val="0"/>
                <w:sz w:val="18"/>
              </w:rPr>
            </w:pPr>
            <w:r>
              <w:rPr>
                <w:kern w:val="0"/>
                <w:sz w:val="18"/>
              </w:rPr>
              <w:t>4.1</w:t>
            </w:r>
          </w:p>
        </w:tc>
        <w:tc>
          <w:tcPr>
            <w:tcW w:w="305" w:type="pct"/>
            <w:shd w:val="clear" w:color="auto" w:fill="auto"/>
            <w:noWrap/>
            <w:vAlign w:val="center"/>
          </w:tcPr>
          <w:p w14:paraId="1EB0B82A">
            <w:pPr>
              <w:pStyle w:val="23"/>
              <w:jc w:val="center"/>
              <w:rPr>
                <w:kern w:val="0"/>
                <w:sz w:val="18"/>
              </w:rPr>
            </w:pPr>
            <w:r>
              <w:rPr>
                <w:kern w:val="0"/>
                <w:sz w:val="18"/>
              </w:rPr>
              <w:t>1.0</w:t>
            </w:r>
          </w:p>
        </w:tc>
        <w:tc>
          <w:tcPr>
            <w:tcW w:w="305" w:type="pct"/>
            <w:shd w:val="clear" w:color="auto" w:fill="auto"/>
            <w:noWrap/>
            <w:vAlign w:val="center"/>
          </w:tcPr>
          <w:p w14:paraId="41CC526D">
            <w:pPr>
              <w:pStyle w:val="23"/>
              <w:jc w:val="center"/>
              <w:rPr>
                <w:kern w:val="0"/>
                <w:sz w:val="18"/>
              </w:rPr>
            </w:pPr>
            <w:r>
              <w:rPr>
                <w:kern w:val="0"/>
                <w:sz w:val="18"/>
              </w:rPr>
              <w:t>2L)</w:t>
            </w:r>
          </w:p>
        </w:tc>
        <w:tc>
          <w:tcPr>
            <w:tcW w:w="305" w:type="pct"/>
            <w:shd w:val="clear" w:color="auto" w:fill="auto"/>
            <w:noWrap/>
            <w:vAlign w:val="center"/>
          </w:tcPr>
          <w:p w14:paraId="279294B7">
            <w:pPr>
              <w:pStyle w:val="23"/>
              <w:jc w:val="center"/>
              <w:rPr>
                <w:kern w:val="0"/>
                <w:sz w:val="18"/>
              </w:rPr>
            </w:pPr>
            <w:r>
              <w:rPr>
                <w:kern w:val="0"/>
                <w:sz w:val="18"/>
              </w:rPr>
              <w:t>0.498</w:t>
            </w:r>
          </w:p>
        </w:tc>
        <w:tc>
          <w:tcPr>
            <w:tcW w:w="305" w:type="pct"/>
            <w:shd w:val="clear" w:color="auto" w:fill="auto"/>
            <w:noWrap/>
            <w:vAlign w:val="center"/>
          </w:tcPr>
          <w:p w14:paraId="7F5F3B52">
            <w:pPr>
              <w:pStyle w:val="23"/>
              <w:jc w:val="center"/>
              <w:rPr>
                <w:kern w:val="0"/>
                <w:sz w:val="18"/>
              </w:rPr>
            </w:pPr>
            <w:r>
              <w:rPr>
                <w:kern w:val="0"/>
                <w:sz w:val="18"/>
              </w:rPr>
              <w:t>0.175</w:t>
            </w:r>
          </w:p>
        </w:tc>
        <w:tc>
          <w:tcPr>
            <w:tcW w:w="305" w:type="pct"/>
            <w:shd w:val="clear" w:color="auto" w:fill="auto"/>
            <w:noWrap/>
            <w:vAlign w:val="center"/>
          </w:tcPr>
          <w:p w14:paraId="25814FC8">
            <w:pPr>
              <w:pStyle w:val="23"/>
              <w:jc w:val="center"/>
              <w:rPr>
                <w:kern w:val="0"/>
                <w:sz w:val="18"/>
              </w:rPr>
            </w:pPr>
            <w:r>
              <w:rPr>
                <w:kern w:val="0"/>
                <w:sz w:val="18"/>
              </w:rPr>
              <w:t>0.644</w:t>
            </w:r>
          </w:p>
        </w:tc>
        <w:tc>
          <w:tcPr>
            <w:tcW w:w="305" w:type="pct"/>
            <w:shd w:val="clear" w:color="auto" w:fill="auto"/>
            <w:noWrap/>
            <w:vAlign w:val="center"/>
          </w:tcPr>
          <w:p w14:paraId="017EAB94">
            <w:pPr>
              <w:pStyle w:val="23"/>
              <w:jc w:val="center"/>
              <w:rPr>
                <w:kern w:val="0"/>
                <w:sz w:val="18"/>
              </w:rPr>
            </w:pPr>
            <w:r>
              <w:rPr>
                <w:kern w:val="0"/>
                <w:sz w:val="18"/>
              </w:rPr>
              <w:t>0.002</w:t>
            </w:r>
          </w:p>
        </w:tc>
        <w:tc>
          <w:tcPr>
            <w:tcW w:w="305" w:type="pct"/>
            <w:shd w:val="clear" w:color="auto" w:fill="auto"/>
            <w:noWrap/>
            <w:vAlign w:val="center"/>
          </w:tcPr>
          <w:p w14:paraId="774D4EBB">
            <w:pPr>
              <w:pStyle w:val="23"/>
              <w:jc w:val="center"/>
              <w:rPr>
                <w:kern w:val="0"/>
                <w:sz w:val="18"/>
              </w:rPr>
            </w:pPr>
            <w:r>
              <w:rPr>
                <w:kern w:val="0"/>
                <w:sz w:val="18"/>
              </w:rPr>
              <w:t>790</w:t>
            </w:r>
          </w:p>
        </w:tc>
        <w:tc>
          <w:tcPr>
            <w:tcW w:w="305" w:type="pct"/>
            <w:shd w:val="clear" w:color="auto" w:fill="auto"/>
            <w:noWrap/>
            <w:vAlign w:val="center"/>
          </w:tcPr>
          <w:p w14:paraId="397A9F2F">
            <w:pPr>
              <w:pStyle w:val="23"/>
              <w:jc w:val="center"/>
              <w:rPr>
                <w:kern w:val="0"/>
                <w:sz w:val="18"/>
              </w:rPr>
            </w:pPr>
            <w:r>
              <w:rPr>
                <w:kern w:val="0"/>
                <w:sz w:val="18"/>
              </w:rPr>
              <w:t>-</w:t>
            </w:r>
          </w:p>
        </w:tc>
        <w:tc>
          <w:tcPr>
            <w:tcW w:w="305" w:type="pct"/>
            <w:shd w:val="clear" w:color="auto" w:fill="auto"/>
            <w:noWrap/>
            <w:vAlign w:val="center"/>
          </w:tcPr>
          <w:p w14:paraId="3F406964">
            <w:pPr>
              <w:pStyle w:val="23"/>
              <w:jc w:val="center"/>
              <w:rPr>
                <w:kern w:val="0"/>
                <w:sz w:val="18"/>
              </w:rPr>
            </w:pPr>
          </w:p>
        </w:tc>
        <w:tc>
          <w:tcPr>
            <w:tcW w:w="305" w:type="pct"/>
            <w:vMerge w:val="continue"/>
            <w:vAlign w:val="center"/>
          </w:tcPr>
          <w:p w14:paraId="7E911E92">
            <w:pPr>
              <w:pStyle w:val="23"/>
              <w:jc w:val="center"/>
              <w:rPr>
                <w:kern w:val="0"/>
                <w:sz w:val="18"/>
              </w:rPr>
            </w:pPr>
          </w:p>
        </w:tc>
      </w:tr>
      <w:tr w14:paraId="5C3802A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305" w:type="pct"/>
            <w:vMerge w:val="continue"/>
            <w:vAlign w:val="center"/>
          </w:tcPr>
          <w:p w14:paraId="1D36FC67">
            <w:pPr>
              <w:pStyle w:val="23"/>
              <w:jc w:val="center"/>
              <w:rPr>
                <w:kern w:val="0"/>
                <w:sz w:val="18"/>
              </w:rPr>
            </w:pPr>
          </w:p>
        </w:tc>
        <w:tc>
          <w:tcPr>
            <w:tcW w:w="426" w:type="pct"/>
            <w:shd w:val="clear" w:color="auto" w:fill="auto"/>
            <w:noWrap/>
            <w:vAlign w:val="center"/>
          </w:tcPr>
          <w:p w14:paraId="08A217DA">
            <w:pPr>
              <w:pStyle w:val="23"/>
              <w:jc w:val="center"/>
              <w:rPr>
                <w:kern w:val="0"/>
                <w:sz w:val="18"/>
              </w:rPr>
            </w:pPr>
          </w:p>
        </w:tc>
        <w:tc>
          <w:tcPr>
            <w:tcW w:w="305" w:type="pct"/>
            <w:shd w:val="clear" w:color="auto" w:fill="auto"/>
            <w:noWrap/>
            <w:vAlign w:val="center"/>
          </w:tcPr>
          <w:p w14:paraId="4CB6C71E">
            <w:pPr>
              <w:pStyle w:val="23"/>
              <w:jc w:val="center"/>
              <w:rPr>
                <w:kern w:val="0"/>
                <w:sz w:val="18"/>
              </w:rPr>
            </w:pPr>
            <w:r>
              <w:rPr>
                <w:kern w:val="0"/>
                <w:sz w:val="18"/>
              </w:rPr>
              <w:t>7</w:t>
            </w:r>
          </w:p>
        </w:tc>
        <w:tc>
          <w:tcPr>
            <w:tcW w:w="305" w:type="pct"/>
            <w:shd w:val="clear" w:color="auto" w:fill="auto"/>
            <w:noWrap/>
            <w:vAlign w:val="center"/>
          </w:tcPr>
          <w:p w14:paraId="1A84C738">
            <w:pPr>
              <w:pStyle w:val="23"/>
              <w:jc w:val="center"/>
              <w:rPr>
                <w:kern w:val="0"/>
                <w:sz w:val="18"/>
              </w:rPr>
            </w:pPr>
            <w:r>
              <w:rPr>
                <w:kern w:val="0"/>
                <w:sz w:val="18"/>
              </w:rPr>
              <w:t>7.23</w:t>
            </w:r>
          </w:p>
        </w:tc>
        <w:tc>
          <w:tcPr>
            <w:tcW w:w="305" w:type="pct"/>
            <w:shd w:val="clear" w:color="auto" w:fill="auto"/>
            <w:noWrap/>
            <w:vAlign w:val="center"/>
          </w:tcPr>
          <w:p w14:paraId="7933C015">
            <w:pPr>
              <w:pStyle w:val="23"/>
              <w:jc w:val="center"/>
              <w:rPr>
                <w:kern w:val="0"/>
                <w:sz w:val="18"/>
              </w:rPr>
            </w:pPr>
            <w:r>
              <w:rPr>
                <w:kern w:val="0"/>
                <w:sz w:val="18"/>
              </w:rPr>
              <w:t>7.0</w:t>
            </w:r>
          </w:p>
        </w:tc>
        <w:tc>
          <w:tcPr>
            <w:tcW w:w="305" w:type="pct"/>
            <w:shd w:val="clear" w:color="auto" w:fill="auto"/>
            <w:noWrap/>
            <w:vAlign w:val="center"/>
          </w:tcPr>
          <w:p w14:paraId="687F5DE4">
            <w:pPr>
              <w:pStyle w:val="23"/>
              <w:jc w:val="center"/>
              <w:rPr>
                <w:kern w:val="0"/>
                <w:sz w:val="18"/>
              </w:rPr>
            </w:pPr>
            <w:r>
              <w:rPr>
                <w:kern w:val="0"/>
                <w:sz w:val="18"/>
              </w:rPr>
              <w:t>1.9</w:t>
            </w:r>
          </w:p>
        </w:tc>
        <w:tc>
          <w:tcPr>
            <w:tcW w:w="305" w:type="pct"/>
            <w:shd w:val="clear" w:color="auto" w:fill="auto"/>
            <w:noWrap/>
            <w:vAlign w:val="center"/>
          </w:tcPr>
          <w:p w14:paraId="566B66F5">
            <w:pPr>
              <w:pStyle w:val="23"/>
              <w:jc w:val="center"/>
              <w:rPr>
                <w:kern w:val="0"/>
                <w:sz w:val="18"/>
              </w:rPr>
            </w:pPr>
            <w:r>
              <w:rPr>
                <w:kern w:val="0"/>
                <w:sz w:val="18"/>
              </w:rPr>
              <w:t>5.2</w:t>
            </w:r>
          </w:p>
        </w:tc>
        <w:tc>
          <w:tcPr>
            <w:tcW w:w="305" w:type="pct"/>
            <w:shd w:val="clear" w:color="auto" w:fill="auto"/>
            <w:noWrap/>
            <w:vAlign w:val="center"/>
          </w:tcPr>
          <w:p w14:paraId="3B5C8277">
            <w:pPr>
              <w:pStyle w:val="23"/>
              <w:jc w:val="center"/>
              <w:rPr>
                <w:kern w:val="0"/>
                <w:sz w:val="18"/>
              </w:rPr>
            </w:pPr>
            <w:r>
              <w:rPr>
                <w:kern w:val="0"/>
                <w:sz w:val="18"/>
              </w:rPr>
              <w:t>2)</w:t>
            </w:r>
          </w:p>
        </w:tc>
        <w:tc>
          <w:tcPr>
            <w:tcW w:w="305" w:type="pct"/>
            <w:shd w:val="clear" w:color="auto" w:fill="auto"/>
            <w:noWrap/>
            <w:vAlign w:val="center"/>
          </w:tcPr>
          <w:p w14:paraId="65FD6B7B">
            <w:pPr>
              <w:pStyle w:val="23"/>
              <w:jc w:val="center"/>
              <w:rPr>
                <w:kern w:val="0"/>
                <w:sz w:val="18"/>
              </w:rPr>
            </w:pPr>
            <w:r>
              <w:rPr>
                <w:kern w:val="0"/>
                <w:sz w:val="18"/>
              </w:rPr>
              <w:t>0.389</w:t>
            </w:r>
          </w:p>
        </w:tc>
        <w:tc>
          <w:tcPr>
            <w:tcW w:w="305" w:type="pct"/>
            <w:shd w:val="clear" w:color="auto" w:fill="auto"/>
            <w:noWrap/>
            <w:vAlign w:val="center"/>
          </w:tcPr>
          <w:p w14:paraId="0E884D60">
            <w:pPr>
              <w:pStyle w:val="23"/>
              <w:jc w:val="center"/>
              <w:rPr>
                <w:kern w:val="0"/>
                <w:sz w:val="18"/>
              </w:rPr>
            </w:pPr>
            <w:r>
              <w:rPr>
                <w:kern w:val="0"/>
                <w:sz w:val="18"/>
              </w:rPr>
              <w:t>0.111</w:t>
            </w:r>
          </w:p>
        </w:tc>
        <w:tc>
          <w:tcPr>
            <w:tcW w:w="305" w:type="pct"/>
            <w:shd w:val="clear" w:color="auto" w:fill="auto"/>
            <w:noWrap/>
            <w:vAlign w:val="center"/>
          </w:tcPr>
          <w:p w14:paraId="1E36EDD8">
            <w:pPr>
              <w:pStyle w:val="23"/>
              <w:jc w:val="center"/>
              <w:rPr>
                <w:kern w:val="0"/>
                <w:sz w:val="18"/>
              </w:rPr>
            </w:pPr>
            <w:r>
              <w:rPr>
                <w:kern w:val="0"/>
                <w:sz w:val="18"/>
              </w:rPr>
              <w:t>0.240</w:t>
            </w:r>
          </w:p>
        </w:tc>
        <w:tc>
          <w:tcPr>
            <w:tcW w:w="305" w:type="pct"/>
            <w:shd w:val="clear" w:color="auto" w:fill="auto"/>
            <w:noWrap/>
            <w:vAlign w:val="center"/>
          </w:tcPr>
          <w:p w14:paraId="535121D2">
            <w:pPr>
              <w:pStyle w:val="23"/>
              <w:jc w:val="center"/>
              <w:rPr>
                <w:kern w:val="0"/>
                <w:sz w:val="18"/>
              </w:rPr>
            </w:pPr>
            <w:r>
              <w:rPr>
                <w:kern w:val="0"/>
                <w:sz w:val="18"/>
              </w:rPr>
              <w:t>0.00</w:t>
            </w:r>
          </w:p>
        </w:tc>
        <w:tc>
          <w:tcPr>
            <w:tcW w:w="305" w:type="pct"/>
            <w:shd w:val="clear" w:color="auto" w:fill="auto"/>
            <w:noWrap/>
            <w:vAlign w:val="center"/>
          </w:tcPr>
          <w:p w14:paraId="533A2CBE">
            <w:pPr>
              <w:pStyle w:val="23"/>
              <w:jc w:val="center"/>
              <w:rPr>
                <w:kern w:val="0"/>
                <w:sz w:val="18"/>
              </w:rPr>
            </w:pPr>
            <w:r>
              <w:rPr>
                <w:kern w:val="0"/>
                <w:sz w:val="18"/>
              </w:rPr>
              <w:t>170</w:t>
            </w:r>
          </w:p>
        </w:tc>
        <w:tc>
          <w:tcPr>
            <w:tcW w:w="305" w:type="pct"/>
            <w:shd w:val="clear" w:color="auto" w:fill="auto"/>
            <w:noWrap/>
            <w:vAlign w:val="center"/>
          </w:tcPr>
          <w:p w14:paraId="51976B43">
            <w:pPr>
              <w:pStyle w:val="23"/>
              <w:jc w:val="center"/>
              <w:rPr>
                <w:kern w:val="0"/>
                <w:sz w:val="18"/>
              </w:rPr>
            </w:pPr>
          </w:p>
        </w:tc>
        <w:tc>
          <w:tcPr>
            <w:tcW w:w="305" w:type="pct"/>
            <w:shd w:val="clear" w:color="auto" w:fill="auto"/>
            <w:noWrap/>
            <w:vAlign w:val="center"/>
          </w:tcPr>
          <w:p w14:paraId="69468051">
            <w:pPr>
              <w:pStyle w:val="23"/>
              <w:jc w:val="center"/>
              <w:rPr>
                <w:kern w:val="0"/>
                <w:sz w:val="18"/>
              </w:rPr>
            </w:pPr>
          </w:p>
        </w:tc>
        <w:tc>
          <w:tcPr>
            <w:tcW w:w="305" w:type="pct"/>
            <w:vMerge w:val="continue"/>
            <w:vAlign w:val="center"/>
          </w:tcPr>
          <w:p w14:paraId="38D4F1C1">
            <w:pPr>
              <w:pStyle w:val="23"/>
              <w:jc w:val="center"/>
              <w:rPr>
                <w:kern w:val="0"/>
                <w:sz w:val="18"/>
              </w:rPr>
            </w:pPr>
          </w:p>
        </w:tc>
      </w:tr>
      <w:tr w14:paraId="21E10F5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305" w:type="pct"/>
            <w:vMerge w:val="continue"/>
            <w:vAlign w:val="center"/>
          </w:tcPr>
          <w:p w14:paraId="5483D2D7">
            <w:pPr>
              <w:pStyle w:val="23"/>
              <w:jc w:val="center"/>
              <w:rPr>
                <w:kern w:val="0"/>
                <w:sz w:val="18"/>
              </w:rPr>
            </w:pPr>
          </w:p>
        </w:tc>
        <w:tc>
          <w:tcPr>
            <w:tcW w:w="426" w:type="pct"/>
            <w:shd w:val="clear" w:color="auto" w:fill="auto"/>
            <w:noWrap/>
            <w:vAlign w:val="center"/>
          </w:tcPr>
          <w:p w14:paraId="0B4B2E65">
            <w:pPr>
              <w:pStyle w:val="23"/>
              <w:jc w:val="center"/>
              <w:rPr>
                <w:kern w:val="0"/>
                <w:sz w:val="18"/>
              </w:rPr>
            </w:pPr>
            <w:r>
              <w:rPr>
                <w:kern w:val="0"/>
                <w:sz w:val="18"/>
              </w:rPr>
              <w:t>平均值</w:t>
            </w:r>
          </w:p>
        </w:tc>
        <w:tc>
          <w:tcPr>
            <w:tcW w:w="305" w:type="pct"/>
            <w:shd w:val="clear" w:color="auto" w:fill="auto"/>
            <w:noWrap/>
            <w:vAlign w:val="center"/>
          </w:tcPr>
          <w:p w14:paraId="0D1A1530">
            <w:pPr>
              <w:pStyle w:val="23"/>
              <w:jc w:val="center"/>
              <w:rPr>
                <w:kern w:val="0"/>
                <w:sz w:val="18"/>
              </w:rPr>
            </w:pPr>
            <w:r>
              <w:rPr>
                <w:kern w:val="0"/>
                <w:sz w:val="18"/>
              </w:rPr>
              <w:t>21</w:t>
            </w:r>
          </w:p>
        </w:tc>
        <w:tc>
          <w:tcPr>
            <w:tcW w:w="305" w:type="pct"/>
            <w:shd w:val="clear" w:color="auto" w:fill="auto"/>
            <w:noWrap/>
            <w:vAlign w:val="center"/>
          </w:tcPr>
          <w:p w14:paraId="2AB30CB2">
            <w:pPr>
              <w:pStyle w:val="23"/>
              <w:jc w:val="center"/>
              <w:rPr>
                <w:kern w:val="0"/>
                <w:sz w:val="18"/>
              </w:rPr>
            </w:pPr>
            <w:r>
              <w:rPr>
                <w:kern w:val="0"/>
                <w:sz w:val="18"/>
              </w:rPr>
              <w:t>7.41</w:t>
            </w:r>
          </w:p>
        </w:tc>
        <w:tc>
          <w:tcPr>
            <w:tcW w:w="305" w:type="pct"/>
            <w:shd w:val="clear" w:color="auto" w:fill="auto"/>
            <w:noWrap/>
            <w:vAlign w:val="center"/>
          </w:tcPr>
          <w:p w14:paraId="3AA6D7EE">
            <w:pPr>
              <w:pStyle w:val="23"/>
              <w:jc w:val="center"/>
              <w:rPr>
                <w:kern w:val="0"/>
                <w:sz w:val="18"/>
              </w:rPr>
            </w:pPr>
            <w:r>
              <w:rPr>
                <w:kern w:val="0"/>
                <w:sz w:val="18"/>
              </w:rPr>
              <w:t>7.8</w:t>
            </w:r>
          </w:p>
        </w:tc>
        <w:tc>
          <w:tcPr>
            <w:tcW w:w="305" w:type="pct"/>
            <w:shd w:val="clear" w:color="auto" w:fill="auto"/>
            <w:noWrap/>
            <w:vAlign w:val="center"/>
          </w:tcPr>
          <w:p w14:paraId="5197F9AE">
            <w:pPr>
              <w:pStyle w:val="23"/>
              <w:jc w:val="center"/>
              <w:rPr>
                <w:kern w:val="0"/>
                <w:sz w:val="18"/>
              </w:rPr>
            </w:pPr>
            <w:r>
              <w:rPr>
                <w:kern w:val="0"/>
                <w:sz w:val="18"/>
              </w:rPr>
              <w:t>2.9</w:t>
            </w:r>
          </w:p>
        </w:tc>
        <w:tc>
          <w:tcPr>
            <w:tcW w:w="305" w:type="pct"/>
            <w:shd w:val="clear" w:color="auto" w:fill="auto"/>
            <w:noWrap/>
            <w:vAlign w:val="center"/>
          </w:tcPr>
          <w:p w14:paraId="6FA7CAF3">
            <w:pPr>
              <w:pStyle w:val="23"/>
              <w:jc w:val="center"/>
              <w:rPr>
                <w:kern w:val="0"/>
                <w:sz w:val="18"/>
              </w:rPr>
            </w:pPr>
            <w:r>
              <w:rPr>
                <w:kern w:val="0"/>
                <w:sz w:val="18"/>
              </w:rPr>
              <w:t>11.0</w:t>
            </w:r>
          </w:p>
        </w:tc>
        <w:tc>
          <w:tcPr>
            <w:tcW w:w="305" w:type="pct"/>
            <w:shd w:val="clear" w:color="auto" w:fill="auto"/>
            <w:noWrap/>
            <w:vAlign w:val="center"/>
          </w:tcPr>
          <w:p w14:paraId="0585FF32">
            <w:pPr>
              <w:pStyle w:val="23"/>
              <w:jc w:val="center"/>
              <w:rPr>
                <w:kern w:val="0"/>
                <w:sz w:val="18"/>
              </w:rPr>
            </w:pPr>
            <w:r>
              <w:rPr>
                <w:kern w:val="0"/>
                <w:sz w:val="18"/>
              </w:rPr>
              <w:t>2(L)</w:t>
            </w:r>
          </w:p>
        </w:tc>
        <w:tc>
          <w:tcPr>
            <w:tcW w:w="305" w:type="pct"/>
            <w:shd w:val="clear" w:color="auto" w:fill="auto"/>
            <w:noWrap/>
            <w:vAlign w:val="center"/>
          </w:tcPr>
          <w:p w14:paraId="4F1960BB">
            <w:pPr>
              <w:pStyle w:val="23"/>
              <w:jc w:val="center"/>
              <w:rPr>
                <w:kern w:val="0"/>
                <w:sz w:val="18"/>
              </w:rPr>
            </w:pPr>
            <w:r>
              <w:rPr>
                <w:kern w:val="0"/>
                <w:sz w:val="18"/>
              </w:rPr>
              <w:t>0.437</w:t>
            </w:r>
          </w:p>
        </w:tc>
        <w:tc>
          <w:tcPr>
            <w:tcW w:w="305" w:type="pct"/>
            <w:shd w:val="clear" w:color="auto" w:fill="auto"/>
            <w:noWrap/>
            <w:vAlign w:val="center"/>
          </w:tcPr>
          <w:p w14:paraId="111F6D91">
            <w:pPr>
              <w:pStyle w:val="23"/>
              <w:jc w:val="center"/>
              <w:rPr>
                <w:kern w:val="0"/>
                <w:sz w:val="18"/>
              </w:rPr>
            </w:pPr>
            <w:r>
              <w:rPr>
                <w:kern w:val="0"/>
                <w:sz w:val="18"/>
              </w:rPr>
              <w:t>0.150</w:t>
            </w:r>
          </w:p>
        </w:tc>
        <w:tc>
          <w:tcPr>
            <w:tcW w:w="305" w:type="pct"/>
            <w:shd w:val="clear" w:color="auto" w:fill="auto"/>
            <w:noWrap/>
            <w:vAlign w:val="center"/>
          </w:tcPr>
          <w:p w14:paraId="7604BB2F">
            <w:pPr>
              <w:pStyle w:val="23"/>
              <w:jc w:val="center"/>
              <w:rPr>
                <w:kern w:val="0"/>
                <w:sz w:val="18"/>
              </w:rPr>
            </w:pPr>
            <w:r>
              <w:rPr>
                <w:kern w:val="0"/>
                <w:sz w:val="18"/>
              </w:rPr>
              <w:t>0.379</w:t>
            </w:r>
          </w:p>
        </w:tc>
        <w:tc>
          <w:tcPr>
            <w:tcW w:w="305" w:type="pct"/>
            <w:shd w:val="clear" w:color="auto" w:fill="auto"/>
            <w:noWrap/>
            <w:vAlign w:val="center"/>
          </w:tcPr>
          <w:p w14:paraId="71E016CD">
            <w:pPr>
              <w:pStyle w:val="23"/>
              <w:jc w:val="center"/>
              <w:rPr>
                <w:kern w:val="0"/>
                <w:sz w:val="18"/>
              </w:rPr>
            </w:pPr>
            <w:r>
              <w:rPr>
                <w:kern w:val="0"/>
                <w:sz w:val="18"/>
              </w:rPr>
              <w:t>0.002</w:t>
            </w:r>
          </w:p>
        </w:tc>
        <w:tc>
          <w:tcPr>
            <w:tcW w:w="305" w:type="pct"/>
            <w:shd w:val="clear" w:color="auto" w:fill="auto"/>
            <w:noWrap/>
            <w:vAlign w:val="center"/>
          </w:tcPr>
          <w:p w14:paraId="3EDCE3B8">
            <w:pPr>
              <w:pStyle w:val="23"/>
              <w:jc w:val="center"/>
              <w:rPr>
                <w:kern w:val="0"/>
                <w:sz w:val="18"/>
              </w:rPr>
            </w:pPr>
            <w:r>
              <w:rPr>
                <w:kern w:val="0"/>
                <w:sz w:val="18"/>
              </w:rPr>
              <w:t>480</w:t>
            </w:r>
          </w:p>
        </w:tc>
        <w:tc>
          <w:tcPr>
            <w:tcW w:w="305" w:type="pct"/>
            <w:shd w:val="clear" w:color="auto" w:fill="auto"/>
            <w:noWrap/>
            <w:vAlign w:val="center"/>
          </w:tcPr>
          <w:p w14:paraId="13D5823B">
            <w:pPr>
              <w:pStyle w:val="23"/>
              <w:jc w:val="center"/>
              <w:rPr>
                <w:kern w:val="0"/>
                <w:sz w:val="18"/>
              </w:rPr>
            </w:pPr>
          </w:p>
        </w:tc>
        <w:tc>
          <w:tcPr>
            <w:tcW w:w="305" w:type="pct"/>
            <w:shd w:val="clear" w:color="auto" w:fill="auto"/>
            <w:noWrap/>
            <w:vAlign w:val="center"/>
          </w:tcPr>
          <w:p w14:paraId="52803A27">
            <w:pPr>
              <w:pStyle w:val="23"/>
              <w:jc w:val="center"/>
              <w:rPr>
                <w:kern w:val="0"/>
                <w:sz w:val="18"/>
              </w:rPr>
            </w:pPr>
          </w:p>
        </w:tc>
        <w:tc>
          <w:tcPr>
            <w:tcW w:w="305" w:type="pct"/>
            <w:vMerge w:val="continue"/>
            <w:vAlign w:val="center"/>
          </w:tcPr>
          <w:p w14:paraId="0D86D2A3">
            <w:pPr>
              <w:pStyle w:val="23"/>
              <w:jc w:val="center"/>
              <w:rPr>
                <w:kern w:val="0"/>
                <w:sz w:val="18"/>
              </w:rPr>
            </w:pPr>
          </w:p>
        </w:tc>
      </w:tr>
      <w:tr w14:paraId="110C506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305" w:type="pct"/>
            <w:vMerge w:val="continue"/>
            <w:vAlign w:val="center"/>
          </w:tcPr>
          <w:p w14:paraId="0021E9D4">
            <w:pPr>
              <w:pStyle w:val="23"/>
              <w:jc w:val="center"/>
              <w:rPr>
                <w:kern w:val="0"/>
                <w:sz w:val="18"/>
              </w:rPr>
            </w:pPr>
          </w:p>
        </w:tc>
        <w:tc>
          <w:tcPr>
            <w:tcW w:w="426" w:type="pct"/>
            <w:shd w:val="clear" w:color="auto" w:fill="auto"/>
            <w:noWrap/>
            <w:vAlign w:val="center"/>
          </w:tcPr>
          <w:p w14:paraId="4E59FF38">
            <w:pPr>
              <w:pStyle w:val="23"/>
              <w:jc w:val="center"/>
              <w:rPr>
                <w:kern w:val="0"/>
                <w:sz w:val="18"/>
              </w:rPr>
            </w:pPr>
            <w:r>
              <w:rPr>
                <w:kern w:val="0"/>
                <w:sz w:val="18"/>
              </w:rPr>
              <w:t>超标率(%)</w:t>
            </w:r>
          </w:p>
        </w:tc>
        <w:tc>
          <w:tcPr>
            <w:tcW w:w="305" w:type="pct"/>
            <w:shd w:val="clear" w:color="auto" w:fill="auto"/>
            <w:noWrap/>
            <w:vAlign w:val="center"/>
          </w:tcPr>
          <w:p w14:paraId="37EE1245">
            <w:pPr>
              <w:pStyle w:val="23"/>
              <w:jc w:val="center"/>
              <w:rPr>
                <w:kern w:val="0"/>
                <w:sz w:val="18"/>
              </w:rPr>
            </w:pPr>
          </w:p>
        </w:tc>
        <w:tc>
          <w:tcPr>
            <w:tcW w:w="305" w:type="pct"/>
            <w:shd w:val="clear" w:color="auto" w:fill="auto"/>
            <w:noWrap/>
            <w:vAlign w:val="center"/>
          </w:tcPr>
          <w:p w14:paraId="41C85445">
            <w:pPr>
              <w:pStyle w:val="23"/>
              <w:jc w:val="center"/>
              <w:rPr>
                <w:kern w:val="0"/>
                <w:sz w:val="18"/>
              </w:rPr>
            </w:pPr>
            <w:r>
              <w:rPr>
                <w:kern w:val="0"/>
                <w:sz w:val="18"/>
              </w:rPr>
              <w:t>0.0</w:t>
            </w:r>
          </w:p>
        </w:tc>
        <w:tc>
          <w:tcPr>
            <w:tcW w:w="305" w:type="pct"/>
            <w:shd w:val="clear" w:color="auto" w:fill="auto"/>
            <w:noWrap/>
            <w:vAlign w:val="center"/>
          </w:tcPr>
          <w:p w14:paraId="45B1D8F6">
            <w:pPr>
              <w:pStyle w:val="23"/>
              <w:jc w:val="center"/>
              <w:rPr>
                <w:kern w:val="0"/>
                <w:sz w:val="18"/>
              </w:rPr>
            </w:pPr>
            <w:r>
              <w:rPr>
                <w:kern w:val="0"/>
                <w:sz w:val="18"/>
              </w:rPr>
              <w:t>0.0</w:t>
            </w:r>
          </w:p>
        </w:tc>
        <w:tc>
          <w:tcPr>
            <w:tcW w:w="305" w:type="pct"/>
            <w:shd w:val="clear" w:color="auto" w:fill="auto"/>
            <w:noWrap/>
            <w:vAlign w:val="center"/>
          </w:tcPr>
          <w:p w14:paraId="1930A98F">
            <w:pPr>
              <w:pStyle w:val="23"/>
              <w:jc w:val="center"/>
              <w:rPr>
                <w:kern w:val="0"/>
                <w:sz w:val="18"/>
              </w:rPr>
            </w:pPr>
            <w:r>
              <w:rPr>
                <w:kern w:val="0"/>
                <w:sz w:val="18"/>
              </w:rPr>
              <w:t>0.0</w:t>
            </w:r>
          </w:p>
        </w:tc>
        <w:tc>
          <w:tcPr>
            <w:tcW w:w="305" w:type="pct"/>
            <w:shd w:val="clear" w:color="auto" w:fill="auto"/>
            <w:noWrap/>
            <w:vAlign w:val="center"/>
          </w:tcPr>
          <w:p w14:paraId="2E6FC285">
            <w:pPr>
              <w:pStyle w:val="23"/>
              <w:jc w:val="center"/>
              <w:rPr>
                <w:kern w:val="0"/>
                <w:sz w:val="18"/>
              </w:rPr>
            </w:pPr>
            <w:r>
              <w:rPr>
                <w:kern w:val="0"/>
                <w:sz w:val="18"/>
              </w:rPr>
              <w:t>0.0</w:t>
            </w:r>
          </w:p>
        </w:tc>
        <w:tc>
          <w:tcPr>
            <w:tcW w:w="305" w:type="pct"/>
            <w:shd w:val="clear" w:color="auto" w:fill="auto"/>
            <w:noWrap/>
            <w:vAlign w:val="center"/>
          </w:tcPr>
          <w:p w14:paraId="1AAEDA08">
            <w:pPr>
              <w:pStyle w:val="23"/>
              <w:jc w:val="center"/>
              <w:rPr>
                <w:kern w:val="0"/>
                <w:sz w:val="18"/>
              </w:rPr>
            </w:pPr>
            <w:r>
              <w:rPr>
                <w:kern w:val="0"/>
                <w:sz w:val="18"/>
              </w:rPr>
              <w:t>0.0</w:t>
            </w:r>
          </w:p>
        </w:tc>
        <w:tc>
          <w:tcPr>
            <w:tcW w:w="305" w:type="pct"/>
            <w:shd w:val="clear" w:color="auto" w:fill="auto"/>
            <w:noWrap/>
            <w:vAlign w:val="center"/>
          </w:tcPr>
          <w:p w14:paraId="578FE71A">
            <w:pPr>
              <w:pStyle w:val="23"/>
              <w:jc w:val="center"/>
              <w:rPr>
                <w:kern w:val="0"/>
                <w:sz w:val="18"/>
              </w:rPr>
            </w:pPr>
            <w:r>
              <w:rPr>
                <w:kern w:val="0"/>
                <w:sz w:val="18"/>
              </w:rPr>
              <w:t>0.0</w:t>
            </w:r>
          </w:p>
        </w:tc>
        <w:tc>
          <w:tcPr>
            <w:tcW w:w="305" w:type="pct"/>
            <w:shd w:val="clear" w:color="auto" w:fill="auto"/>
            <w:noWrap/>
            <w:vAlign w:val="center"/>
          </w:tcPr>
          <w:p w14:paraId="27478F47">
            <w:pPr>
              <w:pStyle w:val="23"/>
              <w:jc w:val="center"/>
              <w:rPr>
                <w:kern w:val="0"/>
                <w:sz w:val="18"/>
              </w:rPr>
            </w:pPr>
            <w:r>
              <w:rPr>
                <w:kern w:val="0"/>
                <w:sz w:val="18"/>
              </w:rPr>
              <w:t>0.0</w:t>
            </w:r>
          </w:p>
        </w:tc>
        <w:tc>
          <w:tcPr>
            <w:tcW w:w="305" w:type="pct"/>
            <w:shd w:val="clear" w:color="auto" w:fill="auto"/>
            <w:noWrap/>
            <w:vAlign w:val="center"/>
          </w:tcPr>
          <w:p w14:paraId="7ECD06FE">
            <w:pPr>
              <w:pStyle w:val="23"/>
              <w:jc w:val="center"/>
              <w:rPr>
                <w:kern w:val="0"/>
                <w:sz w:val="18"/>
              </w:rPr>
            </w:pPr>
            <w:r>
              <w:rPr>
                <w:kern w:val="0"/>
                <w:sz w:val="18"/>
              </w:rPr>
              <w:t>0.0</w:t>
            </w:r>
          </w:p>
        </w:tc>
        <w:tc>
          <w:tcPr>
            <w:tcW w:w="305" w:type="pct"/>
            <w:shd w:val="clear" w:color="auto" w:fill="auto"/>
            <w:noWrap/>
            <w:vAlign w:val="center"/>
          </w:tcPr>
          <w:p w14:paraId="29F71C53">
            <w:pPr>
              <w:pStyle w:val="23"/>
              <w:jc w:val="center"/>
              <w:rPr>
                <w:kern w:val="0"/>
                <w:sz w:val="18"/>
              </w:rPr>
            </w:pPr>
            <w:r>
              <w:rPr>
                <w:kern w:val="0"/>
                <w:sz w:val="18"/>
              </w:rPr>
              <w:t>0.0</w:t>
            </w:r>
          </w:p>
        </w:tc>
        <w:tc>
          <w:tcPr>
            <w:tcW w:w="305" w:type="pct"/>
            <w:shd w:val="clear" w:color="auto" w:fill="auto"/>
            <w:noWrap/>
            <w:vAlign w:val="center"/>
          </w:tcPr>
          <w:p w14:paraId="04C03950">
            <w:pPr>
              <w:pStyle w:val="23"/>
              <w:jc w:val="center"/>
              <w:rPr>
                <w:kern w:val="0"/>
                <w:sz w:val="18"/>
              </w:rPr>
            </w:pPr>
            <w:r>
              <w:rPr>
                <w:kern w:val="0"/>
                <w:sz w:val="18"/>
              </w:rPr>
              <w:t>0.0</w:t>
            </w:r>
          </w:p>
        </w:tc>
        <w:tc>
          <w:tcPr>
            <w:tcW w:w="305" w:type="pct"/>
            <w:shd w:val="clear" w:color="auto" w:fill="auto"/>
            <w:noWrap/>
            <w:vAlign w:val="center"/>
          </w:tcPr>
          <w:p w14:paraId="7FD10DB2">
            <w:pPr>
              <w:pStyle w:val="23"/>
              <w:jc w:val="center"/>
              <w:rPr>
                <w:kern w:val="0"/>
                <w:sz w:val="18"/>
              </w:rPr>
            </w:pPr>
            <w:r>
              <w:rPr>
                <w:kern w:val="0"/>
                <w:sz w:val="18"/>
              </w:rPr>
              <w:t>--</w:t>
            </w:r>
          </w:p>
        </w:tc>
        <w:tc>
          <w:tcPr>
            <w:tcW w:w="305" w:type="pct"/>
            <w:shd w:val="clear" w:color="auto" w:fill="auto"/>
            <w:noWrap/>
            <w:vAlign w:val="center"/>
          </w:tcPr>
          <w:p w14:paraId="2ABF1F06">
            <w:pPr>
              <w:pStyle w:val="23"/>
              <w:jc w:val="center"/>
              <w:rPr>
                <w:kern w:val="0"/>
                <w:sz w:val="18"/>
              </w:rPr>
            </w:pPr>
          </w:p>
        </w:tc>
        <w:tc>
          <w:tcPr>
            <w:tcW w:w="305" w:type="pct"/>
            <w:vMerge w:val="continue"/>
            <w:vAlign w:val="center"/>
          </w:tcPr>
          <w:p w14:paraId="614A9026">
            <w:pPr>
              <w:pStyle w:val="23"/>
              <w:jc w:val="center"/>
              <w:rPr>
                <w:kern w:val="0"/>
                <w:sz w:val="18"/>
              </w:rPr>
            </w:pPr>
          </w:p>
        </w:tc>
      </w:tr>
      <w:tr w14:paraId="26190FB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305" w:type="pct"/>
            <w:vMerge w:val="continue"/>
            <w:vAlign w:val="center"/>
          </w:tcPr>
          <w:p w14:paraId="5BB2BD07">
            <w:pPr>
              <w:pStyle w:val="23"/>
              <w:jc w:val="center"/>
              <w:rPr>
                <w:kern w:val="0"/>
                <w:sz w:val="18"/>
              </w:rPr>
            </w:pPr>
          </w:p>
        </w:tc>
        <w:tc>
          <w:tcPr>
            <w:tcW w:w="426" w:type="pct"/>
            <w:shd w:val="clear" w:color="auto" w:fill="auto"/>
            <w:noWrap/>
            <w:vAlign w:val="center"/>
          </w:tcPr>
          <w:p w14:paraId="1BDF6A8D">
            <w:pPr>
              <w:pStyle w:val="23"/>
              <w:jc w:val="center"/>
              <w:rPr>
                <w:kern w:val="0"/>
                <w:sz w:val="18"/>
              </w:rPr>
            </w:pPr>
            <w:r>
              <w:rPr>
                <w:kern w:val="0"/>
                <w:sz w:val="18"/>
              </w:rPr>
              <w:t>污染指数</w:t>
            </w:r>
          </w:p>
        </w:tc>
        <w:tc>
          <w:tcPr>
            <w:tcW w:w="305" w:type="pct"/>
            <w:shd w:val="clear" w:color="auto" w:fill="auto"/>
            <w:noWrap/>
            <w:vAlign w:val="center"/>
          </w:tcPr>
          <w:p w14:paraId="636CFF68">
            <w:pPr>
              <w:pStyle w:val="23"/>
              <w:jc w:val="center"/>
              <w:rPr>
                <w:kern w:val="0"/>
                <w:sz w:val="18"/>
              </w:rPr>
            </w:pPr>
          </w:p>
        </w:tc>
        <w:tc>
          <w:tcPr>
            <w:tcW w:w="305" w:type="pct"/>
            <w:shd w:val="clear" w:color="auto" w:fill="auto"/>
            <w:noWrap/>
            <w:vAlign w:val="center"/>
          </w:tcPr>
          <w:p w14:paraId="182AE2E2">
            <w:pPr>
              <w:pStyle w:val="23"/>
              <w:jc w:val="center"/>
              <w:rPr>
                <w:kern w:val="0"/>
                <w:sz w:val="18"/>
              </w:rPr>
            </w:pPr>
            <w:r>
              <w:rPr>
                <w:kern w:val="0"/>
                <w:sz w:val="18"/>
              </w:rPr>
              <w:t>0.21</w:t>
            </w:r>
          </w:p>
        </w:tc>
        <w:tc>
          <w:tcPr>
            <w:tcW w:w="305" w:type="pct"/>
            <w:shd w:val="clear" w:color="auto" w:fill="auto"/>
            <w:noWrap/>
            <w:vAlign w:val="center"/>
          </w:tcPr>
          <w:p w14:paraId="0D2E3435">
            <w:pPr>
              <w:pStyle w:val="23"/>
              <w:jc w:val="center"/>
              <w:rPr>
                <w:kern w:val="0"/>
                <w:sz w:val="18"/>
              </w:rPr>
            </w:pPr>
            <w:r>
              <w:rPr>
                <w:kern w:val="0"/>
                <w:sz w:val="18"/>
              </w:rPr>
              <w:t>0.4</w:t>
            </w:r>
          </w:p>
        </w:tc>
        <w:tc>
          <w:tcPr>
            <w:tcW w:w="305" w:type="pct"/>
            <w:shd w:val="clear" w:color="auto" w:fill="auto"/>
            <w:noWrap/>
            <w:vAlign w:val="center"/>
          </w:tcPr>
          <w:p w14:paraId="17E0258D">
            <w:pPr>
              <w:pStyle w:val="23"/>
              <w:jc w:val="center"/>
              <w:rPr>
                <w:kern w:val="0"/>
                <w:sz w:val="18"/>
              </w:rPr>
            </w:pPr>
            <w:r>
              <w:rPr>
                <w:kern w:val="0"/>
                <w:sz w:val="18"/>
              </w:rPr>
              <w:t>0.48</w:t>
            </w:r>
          </w:p>
        </w:tc>
        <w:tc>
          <w:tcPr>
            <w:tcW w:w="305" w:type="pct"/>
            <w:shd w:val="clear" w:color="auto" w:fill="auto"/>
            <w:noWrap/>
            <w:vAlign w:val="center"/>
          </w:tcPr>
          <w:p w14:paraId="1561EF34">
            <w:pPr>
              <w:pStyle w:val="23"/>
              <w:jc w:val="center"/>
              <w:rPr>
                <w:kern w:val="0"/>
                <w:sz w:val="18"/>
              </w:rPr>
            </w:pPr>
            <w:r>
              <w:rPr>
                <w:kern w:val="0"/>
                <w:sz w:val="18"/>
              </w:rPr>
              <w:t>0.55</w:t>
            </w:r>
          </w:p>
        </w:tc>
        <w:tc>
          <w:tcPr>
            <w:tcW w:w="305" w:type="pct"/>
            <w:shd w:val="clear" w:color="auto" w:fill="auto"/>
            <w:noWrap/>
            <w:vAlign w:val="center"/>
          </w:tcPr>
          <w:p w14:paraId="32432306">
            <w:pPr>
              <w:pStyle w:val="23"/>
              <w:jc w:val="center"/>
              <w:rPr>
                <w:kern w:val="0"/>
                <w:sz w:val="18"/>
              </w:rPr>
            </w:pPr>
            <w:r>
              <w:rPr>
                <w:kern w:val="0"/>
                <w:sz w:val="18"/>
              </w:rPr>
              <w:t>0.00</w:t>
            </w:r>
          </w:p>
        </w:tc>
        <w:tc>
          <w:tcPr>
            <w:tcW w:w="305" w:type="pct"/>
            <w:shd w:val="clear" w:color="auto" w:fill="auto"/>
            <w:noWrap/>
            <w:vAlign w:val="center"/>
          </w:tcPr>
          <w:p w14:paraId="5023FA44">
            <w:pPr>
              <w:pStyle w:val="23"/>
              <w:jc w:val="center"/>
              <w:rPr>
                <w:kern w:val="0"/>
                <w:sz w:val="18"/>
              </w:rPr>
            </w:pPr>
            <w:r>
              <w:rPr>
                <w:kern w:val="0"/>
                <w:sz w:val="18"/>
              </w:rPr>
              <w:t>0.44</w:t>
            </w:r>
          </w:p>
        </w:tc>
        <w:tc>
          <w:tcPr>
            <w:tcW w:w="305" w:type="pct"/>
            <w:shd w:val="clear" w:color="auto" w:fill="auto"/>
            <w:noWrap/>
            <w:vAlign w:val="center"/>
          </w:tcPr>
          <w:p w14:paraId="083C8565">
            <w:pPr>
              <w:pStyle w:val="23"/>
              <w:jc w:val="center"/>
              <w:rPr>
                <w:kern w:val="0"/>
                <w:sz w:val="18"/>
              </w:rPr>
            </w:pPr>
            <w:r>
              <w:rPr>
                <w:kern w:val="0"/>
                <w:sz w:val="18"/>
              </w:rPr>
              <w:t>0.75</w:t>
            </w:r>
          </w:p>
        </w:tc>
        <w:tc>
          <w:tcPr>
            <w:tcW w:w="305" w:type="pct"/>
            <w:shd w:val="clear" w:color="auto" w:fill="auto"/>
            <w:noWrap/>
            <w:vAlign w:val="center"/>
          </w:tcPr>
          <w:p w14:paraId="2BA16D53">
            <w:pPr>
              <w:pStyle w:val="23"/>
              <w:jc w:val="center"/>
              <w:rPr>
                <w:kern w:val="0"/>
                <w:sz w:val="18"/>
              </w:rPr>
            </w:pPr>
            <w:r>
              <w:rPr>
                <w:kern w:val="0"/>
                <w:sz w:val="18"/>
              </w:rPr>
              <w:t>0.38</w:t>
            </w:r>
          </w:p>
        </w:tc>
        <w:tc>
          <w:tcPr>
            <w:tcW w:w="305" w:type="pct"/>
            <w:shd w:val="clear" w:color="auto" w:fill="auto"/>
            <w:noWrap/>
            <w:vAlign w:val="center"/>
          </w:tcPr>
          <w:p w14:paraId="2ED7E166">
            <w:pPr>
              <w:pStyle w:val="23"/>
              <w:jc w:val="center"/>
              <w:rPr>
                <w:kern w:val="0"/>
                <w:sz w:val="18"/>
              </w:rPr>
            </w:pPr>
            <w:r>
              <w:rPr>
                <w:kern w:val="0"/>
                <w:sz w:val="18"/>
              </w:rPr>
              <w:t>0.40</w:t>
            </w:r>
          </w:p>
        </w:tc>
        <w:tc>
          <w:tcPr>
            <w:tcW w:w="305" w:type="pct"/>
            <w:shd w:val="clear" w:color="auto" w:fill="auto"/>
            <w:noWrap/>
            <w:vAlign w:val="center"/>
          </w:tcPr>
          <w:p w14:paraId="6C56B280">
            <w:pPr>
              <w:pStyle w:val="23"/>
              <w:jc w:val="center"/>
              <w:rPr>
                <w:kern w:val="0"/>
                <w:sz w:val="18"/>
              </w:rPr>
            </w:pPr>
            <w:r>
              <w:rPr>
                <w:kern w:val="0"/>
                <w:sz w:val="18"/>
              </w:rPr>
              <w:t>0.05</w:t>
            </w:r>
          </w:p>
        </w:tc>
        <w:tc>
          <w:tcPr>
            <w:tcW w:w="305" w:type="pct"/>
            <w:shd w:val="clear" w:color="auto" w:fill="auto"/>
            <w:noWrap/>
            <w:vAlign w:val="center"/>
          </w:tcPr>
          <w:p w14:paraId="160F0A6D">
            <w:pPr>
              <w:pStyle w:val="23"/>
              <w:jc w:val="center"/>
              <w:rPr>
                <w:kern w:val="0"/>
                <w:sz w:val="18"/>
              </w:rPr>
            </w:pPr>
            <w:r>
              <w:rPr>
                <w:kern w:val="0"/>
                <w:sz w:val="18"/>
              </w:rPr>
              <w:t>--</w:t>
            </w:r>
          </w:p>
        </w:tc>
        <w:tc>
          <w:tcPr>
            <w:tcW w:w="305" w:type="pct"/>
            <w:shd w:val="clear" w:color="auto" w:fill="auto"/>
            <w:noWrap/>
            <w:vAlign w:val="center"/>
          </w:tcPr>
          <w:p w14:paraId="6237857F">
            <w:pPr>
              <w:pStyle w:val="23"/>
              <w:jc w:val="center"/>
              <w:rPr>
                <w:kern w:val="0"/>
                <w:sz w:val="18"/>
              </w:rPr>
            </w:pPr>
          </w:p>
        </w:tc>
        <w:tc>
          <w:tcPr>
            <w:tcW w:w="305" w:type="pct"/>
            <w:vMerge w:val="continue"/>
            <w:vAlign w:val="center"/>
          </w:tcPr>
          <w:p w14:paraId="41447449">
            <w:pPr>
              <w:pStyle w:val="23"/>
              <w:jc w:val="center"/>
              <w:rPr>
                <w:kern w:val="0"/>
                <w:sz w:val="18"/>
              </w:rPr>
            </w:pPr>
          </w:p>
        </w:tc>
      </w:tr>
      <w:tr w14:paraId="79A93B3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305" w:type="pct"/>
            <w:vMerge w:val="continue"/>
            <w:vAlign w:val="center"/>
          </w:tcPr>
          <w:p w14:paraId="3D88EC7D">
            <w:pPr>
              <w:pStyle w:val="23"/>
              <w:jc w:val="center"/>
              <w:rPr>
                <w:kern w:val="0"/>
                <w:sz w:val="18"/>
              </w:rPr>
            </w:pPr>
          </w:p>
        </w:tc>
        <w:tc>
          <w:tcPr>
            <w:tcW w:w="426" w:type="pct"/>
            <w:shd w:val="clear" w:color="auto" w:fill="auto"/>
            <w:noWrap/>
            <w:vAlign w:val="center"/>
          </w:tcPr>
          <w:p w14:paraId="5FF6496A">
            <w:pPr>
              <w:pStyle w:val="23"/>
              <w:jc w:val="center"/>
              <w:rPr>
                <w:kern w:val="0"/>
                <w:sz w:val="18"/>
              </w:rPr>
            </w:pPr>
            <w:r>
              <w:rPr>
                <w:kern w:val="0"/>
                <w:sz w:val="18"/>
              </w:rPr>
              <w:t>污染分担率(%)</w:t>
            </w:r>
          </w:p>
        </w:tc>
        <w:tc>
          <w:tcPr>
            <w:tcW w:w="305" w:type="pct"/>
            <w:shd w:val="clear" w:color="auto" w:fill="auto"/>
            <w:noWrap/>
            <w:vAlign w:val="center"/>
          </w:tcPr>
          <w:p w14:paraId="639DEC97">
            <w:pPr>
              <w:pStyle w:val="23"/>
              <w:jc w:val="center"/>
              <w:rPr>
                <w:kern w:val="0"/>
                <w:sz w:val="18"/>
              </w:rPr>
            </w:pPr>
          </w:p>
        </w:tc>
        <w:tc>
          <w:tcPr>
            <w:tcW w:w="305" w:type="pct"/>
            <w:shd w:val="clear" w:color="auto" w:fill="auto"/>
            <w:noWrap/>
            <w:vAlign w:val="center"/>
          </w:tcPr>
          <w:p w14:paraId="08544ED4">
            <w:pPr>
              <w:pStyle w:val="23"/>
              <w:jc w:val="center"/>
              <w:rPr>
                <w:kern w:val="0"/>
                <w:sz w:val="18"/>
              </w:rPr>
            </w:pPr>
            <w:r>
              <w:rPr>
                <w:kern w:val="0"/>
                <w:sz w:val="18"/>
              </w:rPr>
              <w:t>5.6</w:t>
            </w:r>
          </w:p>
        </w:tc>
        <w:tc>
          <w:tcPr>
            <w:tcW w:w="305" w:type="pct"/>
            <w:shd w:val="clear" w:color="auto" w:fill="auto"/>
            <w:noWrap/>
            <w:vAlign w:val="center"/>
          </w:tcPr>
          <w:p w14:paraId="501AD4DF">
            <w:pPr>
              <w:pStyle w:val="23"/>
              <w:jc w:val="center"/>
              <w:rPr>
                <w:kern w:val="0"/>
                <w:sz w:val="18"/>
              </w:rPr>
            </w:pPr>
            <w:r>
              <w:rPr>
                <w:kern w:val="0"/>
                <w:sz w:val="18"/>
              </w:rPr>
              <w:t>10.5</w:t>
            </w:r>
          </w:p>
        </w:tc>
        <w:tc>
          <w:tcPr>
            <w:tcW w:w="305" w:type="pct"/>
            <w:shd w:val="clear" w:color="auto" w:fill="auto"/>
            <w:noWrap/>
            <w:vAlign w:val="center"/>
          </w:tcPr>
          <w:p w14:paraId="5876204E">
            <w:pPr>
              <w:pStyle w:val="23"/>
              <w:jc w:val="center"/>
              <w:rPr>
                <w:kern w:val="0"/>
                <w:sz w:val="18"/>
              </w:rPr>
            </w:pPr>
            <w:r>
              <w:rPr>
                <w:kern w:val="0"/>
                <w:sz w:val="18"/>
              </w:rPr>
              <w:t>13.0</w:t>
            </w:r>
          </w:p>
        </w:tc>
        <w:tc>
          <w:tcPr>
            <w:tcW w:w="305" w:type="pct"/>
            <w:shd w:val="clear" w:color="auto" w:fill="auto"/>
            <w:noWrap/>
            <w:vAlign w:val="center"/>
          </w:tcPr>
          <w:p w14:paraId="7B92CBBA">
            <w:pPr>
              <w:pStyle w:val="23"/>
              <w:jc w:val="center"/>
              <w:rPr>
                <w:kern w:val="0"/>
                <w:sz w:val="18"/>
              </w:rPr>
            </w:pPr>
            <w:r>
              <w:rPr>
                <w:kern w:val="0"/>
                <w:sz w:val="18"/>
              </w:rPr>
              <w:t>14.8</w:t>
            </w:r>
          </w:p>
        </w:tc>
        <w:tc>
          <w:tcPr>
            <w:tcW w:w="305" w:type="pct"/>
            <w:shd w:val="clear" w:color="auto" w:fill="auto"/>
            <w:noWrap/>
            <w:vAlign w:val="center"/>
          </w:tcPr>
          <w:p w14:paraId="09811BE4">
            <w:pPr>
              <w:pStyle w:val="23"/>
              <w:jc w:val="center"/>
              <w:rPr>
                <w:kern w:val="0"/>
                <w:sz w:val="18"/>
              </w:rPr>
            </w:pPr>
            <w:r>
              <w:rPr>
                <w:kern w:val="0"/>
                <w:sz w:val="18"/>
              </w:rPr>
              <w:t>0.0</w:t>
            </w:r>
          </w:p>
        </w:tc>
        <w:tc>
          <w:tcPr>
            <w:tcW w:w="305" w:type="pct"/>
            <w:shd w:val="clear" w:color="auto" w:fill="auto"/>
            <w:noWrap/>
            <w:vAlign w:val="center"/>
          </w:tcPr>
          <w:p w14:paraId="0DB745EA">
            <w:pPr>
              <w:pStyle w:val="23"/>
              <w:jc w:val="center"/>
              <w:rPr>
                <w:kern w:val="0"/>
                <w:sz w:val="18"/>
              </w:rPr>
            </w:pPr>
            <w:r>
              <w:rPr>
                <w:kern w:val="0"/>
                <w:sz w:val="18"/>
              </w:rPr>
              <w:t>11.8</w:t>
            </w:r>
          </w:p>
        </w:tc>
        <w:tc>
          <w:tcPr>
            <w:tcW w:w="305" w:type="pct"/>
            <w:shd w:val="clear" w:color="auto" w:fill="auto"/>
            <w:noWrap/>
            <w:vAlign w:val="center"/>
          </w:tcPr>
          <w:p w14:paraId="16D2A13C">
            <w:pPr>
              <w:pStyle w:val="23"/>
              <w:jc w:val="center"/>
              <w:rPr>
                <w:kern w:val="0"/>
                <w:sz w:val="18"/>
              </w:rPr>
            </w:pPr>
            <w:r>
              <w:rPr>
                <w:kern w:val="0"/>
                <w:sz w:val="18"/>
              </w:rPr>
              <w:t>20.2</w:t>
            </w:r>
          </w:p>
        </w:tc>
        <w:tc>
          <w:tcPr>
            <w:tcW w:w="305" w:type="pct"/>
            <w:shd w:val="clear" w:color="auto" w:fill="auto"/>
            <w:noWrap/>
            <w:vAlign w:val="center"/>
          </w:tcPr>
          <w:p w14:paraId="30AA4905">
            <w:pPr>
              <w:pStyle w:val="23"/>
              <w:jc w:val="center"/>
              <w:rPr>
                <w:kern w:val="0"/>
                <w:sz w:val="18"/>
              </w:rPr>
            </w:pPr>
            <w:r>
              <w:rPr>
                <w:kern w:val="0"/>
                <w:sz w:val="18"/>
              </w:rPr>
              <w:t>11.2</w:t>
            </w:r>
          </w:p>
        </w:tc>
        <w:tc>
          <w:tcPr>
            <w:tcW w:w="305" w:type="pct"/>
            <w:shd w:val="clear" w:color="auto" w:fill="auto"/>
            <w:noWrap/>
            <w:vAlign w:val="center"/>
          </w:tcPr>
          <w:p w14:paraId="32B9AE3A">
            <w:pPr>
              <w:pStyle w:val="23"/>
              <w:jc w:val="center"/>
              <w:rPr>
                <w:kern w:val="0"/>
                <w:sz w:val="18"/>
              </w:rPr>
            </w:pPr>
            <w:r>
              <w:rPr>
                <w:kern w:val="0"/>
                <w:sz w:val="18"/>
              </w:rPr>
              <w:t>11.8</w:t>
            </w:r>
          </w:p>
        </w:tc>
        <w:tc>
          <w:tcPr>
            <w:tcW w:w="305" w:type="pct"/>
            <w:shd w:val="clear" w:color="auto" w:fill="auto"/>
            <w:noWrap/>
            <w:vAlign w:val="center"/>
          </w:tcPr>
          <w:p w14:paraId="3771CC22">
            <w:pPr>
              <w:pStyle w:val="23"/>
              <w:jc w:val="center"/>
              <w:rPr>
                <w:kern w:val="0"/>
                <w:sz w:val="18"/>
              </w:rPr>
            </w:pPr>
            <w:r>
              <w:rPr>
                <w:kern w:val="0"/>
                <w:sz w:val="18"/>
              </w:rPr>
              <w:t>1.4</w:t>
            </w:r>
          </w:p>
        </w:tc>
        <w:tc>
          <w:tcPr>
            <w:tcW w:w="305" w:type="pct"/>
            <w:shd w:val="clear" w:color="auto" w:fill="auto"/>
            <w:noWrap/>
            <w:vAlign w:val="center"/>
          </w:tcPr>
          <w:p w14:paraId="1F1F3491">
            <w:pPr>
              <w:pStyle w:val="23"/>
              <w:jc w:val="center"/>
              <w:rPr>
                <w:kern w:val="0"/>
                <w:sz w:val="18"/>
              </w:rPr>
            </w:pPr>
            <w:r>
              <w:rPr>
                <w:kern w:val="0"/>
                <w:sz w:val="18"/>
              </w:rPr>
              <w:t>--</w:t>
            </w:r>
          </w:p>
        </w:tc>
        <w:tc>
          <w:tcPr>
            <w:tcW w:w="305" w:type="pct"/>
            <w:shd w:val="clear" w:color="auto" w:fill="auto"/>
            <w:noWrap/>
            <w:vAlign w:val="center"/>
          </w:tcPr>
          <w:p w14:paraId="1CB33EDE">
            <w:pPr>
              <w:pStyle w:val="23"/>
              <w:jc w:val="center"/>
              <w:rPr>
                <w:kern w:val="0"/>
                <w:sz w:val="18"/>
              </w:rPr>
            </w:pPr>
          </w:p>
        </w:tc>
        <w:tc>
          <w:tcPr>
            <w:tcW w:w="305" w:type="pct"/>
            <w:vMerge w:val="continue"/>
            <w:vAlign w:val="center"/>
          </w:tcPr>
          <w:p w14:paraId="3BA2E7BB">
            <w:pPr>
              <w:pStyle w:val="23"/>
              <w:jc w:val="center"/>
              <w:rPr>
                <w:kern w:val="0"/>
                <w:sz w:val="18"/>
              </w:rPr>
            </w:pPr>
          </w:p>
        </w:tc>
      </w:tr>
    </w:tbl>
    <w:p w14:paraId="52DAFF8E">
      <w:pPr>
        <w:autoSpaceDE w:val="0"/>
        <w:autoSpaceDN w:val="0"/>
        <w:adjustRightInd w:val="0"/>
        <w:ind w:firstLine="0" w:firstLineChars="0"/>
        <w:jc w:val="center"/>
        <w:rPr>
          <w:rFonts w:ascii="宋体" w:hAnsi="宋体" w:cs="HiddenHorzOCR"/>
          <w:b/>
          <w:color w:val="161516"/>
          <w:kern w:val="0"/>
          <w:szCs w:val="21"/>
        </w:rPr>
      </w:pPr>
      <w:r>
        <w:rPr>
          <w:rFonts w:hint="eastAsia" w:ascii="宋体" w:hAnsi="宋体" w:cs="HiddenHorzOCR"/>
          <w:b/>
          <w:color w:val="161516"/>
          <w:kern w:val="0"/>
          <w:szCs w:val="21"/>
        </w:rPr>
        <w:t xml:space="preserve">表20 </w:t>
      </w:r>
      <w:r>
        <w:rPr>
          <w:rFonts w:ascii="宋体" w:hAnsi="宋体" w:cs="HiddenHorzOCR"/>
          <w:b/>
          <w:color w:val="161516"/>
          <w:kern w:val="0"/>
          <w:szCs w:val="21"/>
        </w:rPr>
        <w:t>2011</w:t>
      </w:r>
      <w:r>
        <w:rPr>
          <w:rFonts w:hint="eastAsia" w:ascii="宋体" w:hAnsi="宋体" w:cs="HiddenHorzOCR"/>
          <w:b/>
          <w:color w:val="161516"/>
          <w:kern w:val="0"/>
          <w:szCs w:val="21"/>
        </w:rPr>
        <w:t>年南雄市地表水浈</w:t>
      </w:r>
      <w:r>
        <w:rPr>
          <w:rFonts w:hint="eastAsia" w:ascii="宋体" w:hAnsi="宋体" w:cs="MS Gothic"/>
          <w:b/>
          <w:color w:val="161516"/>
          <w:kern w:val="0"/>
          <w:szCs w:val="21"/>
        </w:rPr>
        <w:t>江河水</w:t>
      </w:r>
      <w:r>
        <w:rPr>
          <w:rFonts w:hint="eastAsia" w:ascii="宋体" w:hAnsi="宋体" w:cs="宋体"/>
          <w:b/>
          <w:color w:val="161516"/>
          <w:kern w:val="0"/>
          <w:szCs w:val="21"/>
        </w:rPr>
        <w:t>质监测结</w:t>
      </w:r>
      <w:r>
        <w:rPr>
          <w:rFonts w:hint="eastAsia" w:ascii="宋体" w:hAnsi="宋体" w:cs="MS Gothic"/>
          <w:b/>
          <w:color w:val="161516"/>
          <w:kern w:val="0"/>
          <w:szCs w:val="21"/>
        </w:rPr>
        <w:t>果</w:t>
      </w:r>
      <w:r>
        <w:rPr>
          <w:rFonts w:hint="eastAsia" w:ascii="宋体" w:hAnsi="宋体" w:cs="宋体"/>
          <w:b/>
          <w:color w:val="161516"/>
          <w:kern w:val="0"/>
          <w:szCs w:val="21"/>
        </w:rPr>
        <w:t>评</w:t>
      </w:r>
      <w:r>
        <w:rPr>
          <w:rFonts w:hint="eastAsia" w:ascii="宋体" w:hAnsi="宋体" w:cs="MS Gothic"/>
          <w:b/>
          <w:color w:val="161516"/>
          <w:kern w:val="0"/>
          <w:szCs w:val="21"/>
        </w:rPr>
        <w:t>价表</w:t>
      </w:r>
    </w:p>
    <w:p w14:paraId="42F53796">
      <w:pPr>
        <w:ind w:firstLine="422"/>
        <w:jc w:val="right"/>
        <w:rPr>
          <w:rFonts w:ascii="宋体" w:hAnsi="宋体" w:cs="HiddenHorzOCR"/>
          <w:b/>
          <w:color w:val="353535"/>
          <w:kern w:val="0"/>
          <w:szCs w:val="21"/>
        </w:rPr>
      </w:pPr>
      <w:r>
        <w:rPr>
          <w:rFonts w:hint="eastAsia" w:ascii="宋体" w:hAnsi="宋体" w:cs="宋体"/>
          <w:b/>
          <w:color w:val="161516"/>
          <w:kern w:val="0"/>
          <w:szCs w:val="21"/>
        </w:rPr>
        <w:t>单</w:t>
      </w:r>
      <w:r>
        <w:rPr>
          <w:rFonts w:hint="eastAsia" w:ascii="宋体" w:hAnsi="宋体" w:cs="MS Gothic"/>
          <w:b/>
          <w:color w:val="161516"/>
          <w:kern w:val="0"/>
          <w:szCs w:val="21"/>
        </w:rPr>
        <w:t>位：</w:t>
      </w:r>
      <w:r>
        <w:rPr>
          <w:rFonts w:ascii="宋体" w:hAnsi="宋体" w:cs="HiddenHorzOCR"/>
          <w:b/>
          <w:color w:val="161516"/>
          <w:kern w:val="0"/>
          <w:szCs w:val="21"/>
        </w:rPr>
        <w:t>mg</w:t>
      </w:r>
      <w:r>
        <w:rPr>
          <w:rFonts w:ascii="宋体" w:hAnsi="宋体" w:cs="HiddenHorzOCR"/>
          <w:b/>
          <w:color w:val="5A5B5A"/>
          <w:kern w:val="0"/>
          <w:szCs w:val="21"/>
        </w:rPr>
        <w:t>/</w:t>
      </w:r>
      <w:r>
        <w:rPr>
          <w:rFonts w:ascii="宋体" w:hAnsi="宋体" w:cs="HiddenHorzOCR"/>
          <w:b/>
          <w:color w:val="252525"/>
          <w:kern w:val="0"/>
          <w:szCs w:val="21"/>
        </w:rPr>
        <w:t>L</w:t>
      </w:r>
      <w:r>
        <w:rPr>
          <w:rFonts w:hint="eastAsia" w:ascii="宋体" w:hAnsi="宋体" w:cs="HiddenHorzOCR"/>
          <w:b/>
          <w:color w:val="252525"/>
          <w:kern w:val="0"/>
          <w:szCs w:val="21"/>
        </w:rPr>
        <w:t>（水温：</w:t>
      </w:r>
      <w:r>
        <w:rPr>
          <w:rFonts w:hint="eastAsia" w:ascii="宋体" w:hAnsi="宋体" w:cs="HiddenHorzOCR"/>
          <w:b/>
          <w:color w:val="474747"/>
          <w:kern w:val="0"/>
          <w:szCs w:val="21"/>
        </w:rPr>
        <w:t>℃</w:t>
      </w:r>
      <w:r>
        <w:rPr>
          <w:rFonts w:ascii="宋体" w:hAnsi="宋体" w:cs="HiddenHorzOCR"/>
          <w:b/>
          <w:color w:val="161516"/>
          <w:kern w:val="0"/>
          <w:szCs w:val="21"/>
        </w:rPr>
        <w:t>;pH</w:t>
      </w:r>
      <w:r>
        <w:rPr>
          <w:rFonts w:hint="eastAsia" w:ascii="宋体" w:hAnsi="宋体" w:cs="宋体"/>
          <w:b/>
          <w:color w:val="161516"/>
          <w:kern w:val="0"/>
          <w:szCs w:val="21"/>
        </w:rPr>
        <w:t>值</w:t>
      </w:r>
      <w:r>
        <w:rPr>
          <w:rFonts w:hint="eastAsia" w:ascii="宋体" w:hAnsi="宋体" w:cs="HiddenHorzOCR"/>
          <w:b/>
          <w:color w:val="353535"/>
          <w:kern w:val="0"/>
          <w:szCs w:val="21"/>
        </w:rPr>
        <w:t>：</w:t>
      </w:r>
      <w:r>
        <w:rPr>
          <w:rFonts w:hint="eastAsia" w:ascii="宋体" w:hAnsi="宋体" w:cs="HiddenHorzOCR"/>
          <w:b/>
          <w:color w:val="161516"/>
          <w:kern w:val="0"/>
          <w:szCs w:val="21"/>
        </w:rPr>
        <w:t>无量</w:t>
      </w:r>
      <w:r>
        <w:rPr>
          <w:rFonts w:hint="eastAsia" w:ascii="宋体" w:hAnsi="宋体" w:cs="宋体"/>
          <w:b/>
          <w:color w:val="161516"/>
          <w:kern w:val="0"/>
          <w:szCs w:val="21"/>
        </w:rPr>
        <w:t>纲</w:t>
      </w:r>
      <w:r>
        <w:rPr>
          <w:rFonts w:hint="eastAsia" w:ascii="宋体" w:hAnsi="宋体" w:cs="HiddenHorzOCR"/>
          <w:b/>
          <w:color w:val="353535"/>
          <w:kern w:val="0"/>
          <w:szCs w:val="21"/>
        </w:rPr>
        <w:t>；</w:t>
      </w:r>
      <w:r>
        <w:rPr>
          <w:rFonts w:hint="eastAsia" w:ascii="宋体" w:hAnsi="宋体" w:cs="宋体"/>
          <w:b/>
          <w:color w:val="353535"/>
          <w:kern w:val="0"/>
          <w:szCs w:val="21"/>
        </w:rPr>
        <w:t>粪</w:t>
      </w:r>
      <w:r>
        <w:rPr>
          <w:rFonts w:hint="eastAsia" w:ascii="宋体" w:hAnsi="宋体" w:cs="HiddenHorzOCR"/>
          <w:b/>
          <w:color w:val="161516"/>
          <w:kern w:val="0"/>
          <w:szCs w:val="21"/>
        </w:rPr>
        <w:t>大</w:t>
      </w:r>
      <w:r>
        <w:rPr>
          <w:rFonts w:hint="eastAsia" w:ascii="宋体" w:hAnsi="宋体" w:cs="宋体"/>
          <w:b/>
          <w:color w:val="161516"/>
          <w:kern w:val="0"/>
          <w:szCs w:val="21"/>
        </w:rPr>
        <w:t>肠</w:t>
      </w:r>
      <w:r>
        <w:rPr>
          <w:rFonts w:hint="eastAsia" w:ascii="宋体" w:hAnsi="宋体" w:cs="MS Gothic"/>
          <w:b/>
          <w:color w:val="161516"/>
          <w:kern w:val="0"/>
          <w:szCs w:val="21"/>
        </w:rPr>
        <w:t>菌群：个</w:t>
      </w:r>
      <w:r>
        <w:rPr>
          <w:rFonts w:hint="eastAsia" w:ascii="宋体" w:hAnsi="宋体" w:cs="HiddenHorzOCR"/>
          <w:b/>
          <w:color w:val="353535"/>
          <w:kern w:val="0"/>
          <w:szCs w:val="21"/>
        </w:rPr>
        <w:t>／</w:t>
      </w:r>
      <w:r>
        <w:rPr>
          <w:rFonts w:hint="eastAsia" w:ascii="宋体" w:hAnsi="宋体" w:cs="HiddenHorzOCR"/>
          <w:b/>
          <w:color w:val="161516"/>
          <w:kern w:val="0"/>
          <w:szCs w:val="21"/>
        </w:rPr>
        <w:t>升</w:t>
      </w:r>
      <w:r>
        <w:rPr>
          <w:rFonts w:hint="eastAsia" w:ascii="宋体" w:hAnsi="宋体" w:cs="HiddenHorzOCR"/>
          <w:b/>
          <w:color w:val="353535"/>
          <w:kern w:val="0"/>
          <w:szCs w:val="21"/>
        </w:rPr>
        <w:t>）</w:t>
      </w:r>
    </w:p>
    <w:tbl>
      <w:tblPr>
        <w:tblStyle w:val="14"/>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39"/>
        <w:gridCol w:w="616"/>
        <w:gridCol w:w="339"/>
        <w:gridCol w:w="355"/>
        <w:gridCol w:w="402"/>
        <w:gridCol w:w="587"/>
        <w:gridCol w:w="526"/>
        <w:gridCol w:w="526"/>
        <w:gridCol w:w="370"/>
        <w:gridCol w:w="370"/>
        <w:gridCol w:w="402"/>
        <w:gridCol w:w="402"/>
        <w:gridCol w:w="526"/>
        <w:gridCol w:w="432"/>
        <w:gridCol w:w="463"/>
        <w:gridCol w:w="402"/>
        <w:gridCol w:w="432"/>
        <w:gridCol w:w="463"/>
        <w:gridCol w:w="402"/>
        <w:gridCol w:w="464"/>
        <w:gridCol w:w="557"/>
        <w:gridCol w:w="587"/>
      </w:tblGrid>
      <w:tr w14:paraId="1D4CF4E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23" w:type="pct"/>
            <w:shd w:val="clear" w:color="auto" w:fill="auto"/>
            <w:noWrap/>
            <w:vAlign w:val="center"/>
          </w:tcPr>
          <w:p w14:paraId="7EB0CAF6">
            <w:pPr>
              <w:pStyle w:val="23"/>
              <w:jc w:val="center"/>
              <w:rPr>
                <w:rFonts w:ascii="宋体" w:hAnsi="宋体"/>
                <w:b/>
                <w:kern w:val="0"/>
                <w:sz w:val="18"/>
                <w:szCs w:val="21"/>
              </w:rPr>
            </w:pPr>
            <w:r>
              <w:rPr>
                <w:rFonts w:ascii="宋体" w:hAnsi="宋体"/>
                <w:b/>
                <w:kern w:val="0"/>
                <w:sz w:val="18"/>
                <w:szCs w:val="21"/>
              </w:rPr>
              <w:t>断面</w:t>
            </w:r>
          </w:p>
        </w:tc>
        <w:tc>
          <w:tcPr>
            <w:tcW w:w="312" w:type="pct"/>
            <w:shd w:val="clear" w:color="auto" w:fill="auto"/>
            <w:noWrap/>
            <w:vAlign w:val="center"/>
          </w:tcPr>
          <w:p w14:paraId="1C93A561">
            <w:pPr>
              <w:pStyle w:val="23"/>
              <w:jc w:val="center"/>
              <w:rPr>
                <w:rFonts w:ascii="宋体" w:hAnsi="宋体"/>
                <w:b/>
                <w:kern w:val="0"/>
                <w:sz w:val="18"/>
                <w:szCs w:val="21"/>
              </w:rPr>
            </w:pPr>
            <w:r>
              <w:rPr>
                <w:rFonts w:ascii="宋体" w:hAnsi="宋体"/>
                <w:b/>
                <w:kern w:val="0"/>
                <w:sz w:val="18"/>
                <w:szCs w:val="21"/>
              </w:rPr>
              <w:t>指标</w:t>
            </w:r>
          </w:p>
        </w:tc>
        <w:tc>
          <w:tcPr>
            <w:tcW w:w="223" w:type="pct"/>
            <w:shd w:val="clear" w:color="auto" w:fill="auto"/>
            <w:noWrap/>
            <w:vAlign w:val="center"/>
          </w:tcPr>
          <w:p w14:paraId="73307149">
            <w:pPr>
              <w:pStyle w:val="23"/>
              <w:jc w:val="center"/>
              <w:rPr>
                <w:rFonts w:ascii="宋体" w:hAnsi="宋体"/>
                <w:b/>
                <w:kern w:val="0"/>
                <w:sz w:val="18"/>
                <w:szCs w:val="21"/>
              </w:rPr>
            </w:pPr>
            <w:r>
              <w:rPr>
                <w:rFonts w:ascii="宋体" w:hAnsi="宋体"/>
                <w:b/>
                <w:kern w:val="0"/>
                <w:sz w:val="18"/>
                <w:szCs w:val="21"/>
              </w:rPr>
              <w:t>水温</w:t>
            </w:r>
          </w:p>
        </w:tc>
        <w:tc>
          <w:tcPr>
            <w:tcW w:w="223" w:type="pct"/>
            <w:shd w:val="clear" w:color="auto" w:fill="auto"/>
            <w:noWrap/>
            <w:vAlign w:val="center"/>
          </w:tcPr>
          <w:p w14:paraId="3932E2CE">
            <w:pPr>
              <w:pStyle w:val="23"/>
              <w:jc w:val="center"/>
              <w:rPr>
                <w:rFonts w:ascii="宋体" w:hAnsi="宋体"/>
                <w:b/>
                <w:kern w:val="0"/>
                <w:sz w:val="18"/>
                <w:szCs w:val="21"/>
              </w:rPr>
            </w:pPr>
            <w:r>
              <w:rPr>
                <w:rFonts w:ascii="宋体" w:hAnsi="宋体"/>
                <w:b/>
                <w:kern w:val="0"/>
                <w:sz w:val="18"/>
                <w:szCs w:val="21"/>
              </w:rPr>
              <w:t>pH值</w:t>
            </w:r>
          </w:p>
        </w:tc>
        <w:tc>
          <w:tcPr>
            <w:tcW w:w="223" w:type="pct"/>
            <w:shd w:val="clear" w:color="auto" w:fill="auto"/>
            <w:noWrap/>
            <w:vAlign w:val="center"/>
          </w:tcPr>
          <w:p w14:paraId="6748FB37">
            <w:pPr>
              <w:pStyle w:val="23"/>
              <w:jc w:val="center"/>
              <w:rPr>
                <w:rFonts w:ascii="宋体" w:hAnsi="宋体"/>
                <w:b/>
                <w:kern w:val="0"/>
                <w:sz w:val="18"/>
                <w:szCs w:val="21"/>
              </w:rPr>
            </w:pPr>
            <w:r>
              <w:rPr>
                <w:rFonts w:ascii="宋体" w:hAnsi="宋体"/>
                <w:b/>
                <w:kern w:val="0"/>
                <w:sz w:val="18"/>
                <w:szCs w:val="21"/>
              </w:rPr>
              <w:t>溶氧解</w:t>
            </w:r>
          </w:p>
        </w:tc>
        <w:tc>
          <w:tcPr>
            <w:tcW w:w="223" w:type="pct"/>
            <w:shd w:val="clear" w:color="auto" w:fill="auto"/>
            <w:noWrap/>
            <w:vAlign w:val="center"/>
          </w:tcPr>
          <w:p w14:paraId="6D5AB914">
            <w:pPr>
              <w:pStyle w:val="23"/>
              <w:jc w:val="center"/>
              <w:rPr>
                <w:rFonts w:ascii="宋体" w:hAnsi="宋体"/>
                <w:b/>
                <w:kern w:val="0"/>
                <w:sz w:val="18"/>
                <w:szCs w:val="21"/>
              </w:rPr>
            </w:pPr>
            <w:r>
              <w:rPr>
                <w:rFonts w:ascii="宋体" w:hAnsi="宋体"/>
                <w:b/>
                <w:kern w:val="0"/>
                <w:sz w:val="18"/>
                <w:szCs w:val="21"/>
              </w:rPr>
              <w:t>高锰指数酸盐</w:t>
            </w:r>
          </w:p>
        </w:tc>
        <w:tc>
          <w:tcPr>
            <w:tcW w:w="223" w:type="pct"/>
            <w:shd w:val="clear" w:color="auto" w:fill="auto"/>
            <w:noWrap/>
            <w:vAlign w:val="center"/>
          </w:tcPr>
          <w:p w14:paraId="07EE423B">
            <w:pPr>
              <w:pStyle w:val="23"/>
              <w:jc w:val="center"/>
              <w:rPr>
                <w:rFonts w:ascii="宋体" w:hAnsi="宋体"/>
                <w:b/>
                <w:kern w:val="0"/>
                <w:sz w:val="18"/>
                <w:szCs w:val="21"/>
              </w:rPr>
            </w:pPr>
            <w:r>
              <w:rPr>
                <w:rFonts w:ascii="宋体" w:hAnsi="宋体"/>
                <w:b/>
                <w:kern w:val="0"/>
                <w:sz w:val="18"/>
                <w:szCs w:val="21"/>
              </w:rPr>
              <w:t>化学量需氧</w:t>
            </w:r>
          </w:p>
        </w:tc>
        <w:tc>
          <w:tcPr>
            <w:tcW w:w="223" w:type="pct"/>
            <w:shd w:val="clear" w:color="auto" w:fill="auto"/>
            <w:noWrap/>
            <w:vAlign w:val="center"/>
          </w:tcPr>
          <w:p w14:paraId="16DF03D8">
            <w:pPr>
              <w:pStyle w:val="23"/>
              <w:jc w:val="center"/>
              <w:rPr>
                <w:rFonts w:ascii="宋体" w:hAnsi="宋体"/>
                <w:b/>
                <w:kern w:val="0"/>
                <w:sz w:val="18"/>
                <w:szCs w:val="21"/>
              </w:rPr>
            </w:pPr>
            <w:r>
              <w:rPr>
                <w:rFonts w:ascii="宋体" w:hAnsi="宋体"/>
                <w:b/>
                <w:kern w:val="0"/>
                <w:sz w:val="18"/>
                <w:szCs w:val="21"/>
              </w:rPr>
              <w:t>生化量需氧</w:t>
            </w:r>
          </w:p>
        </w:tc>
        <w:tc>
          <w:tcPr>
            <w:tcW w:w="223" w:type="pct"/>
            <w:shd w:val="clear" w:color="auto" w:fill="auto"/>
            <w:noWrap/>
            <w:vAlign w:val="center"/>
          </w:tcPr>
          <w:p w14:paraId="2C92584A">
            <w:pPr>
              <w:pStyle w:val="23"/>
              <w:jc w:val="center"/>
              <w:rPr>
                <w:rFonts w:ascii="宋体" w:hAnsi="宋体"/>
                <w:b/>
                <w:kern w:val="0"/>
                <w:sz w:val="18"/>
                <w:szCs w:val="21"/>
              </w:rPr>
            </w:pPr>
            <w:r>
              <w:rPr>
                <w:rFonts w:ascii="宋体" w:hAnsi="宋体"/>
                <w:b/>
                <w:kern w:val="0"/>
                <w:sz w:val="18"/>
                <w:szCs w:val="21"/>
              </w:rPr>
              <w:t>氨氮</w:t>
            </w:r>
          </w:p>
        </w:tc>
        <w:tc>
          <w:tcPr>
            <w:tcW w:w="223" w:type="pct"/>
            <w:shd w:val="clear" w:color="auto" w:fill="auto"/>
            <w:noWrap/>
            <w:vAlign w:val="center"/>
          </w:tcPr>
          <w:p w14:paraId="101705EE">
            <w:pPr>
              <w:pStyle w:val="23"/>
              <w:jc w:val="center"/>
              <w:rPr>
                <w:rFonts w:ascii="宋体" w:hAnsi="宋体"/>
                <w:b/>
                <w:kern w:val="0"/>
                <w:sz w:val="18"/>
                <w:szCs w:val="21"/>
              </w:rPr>
            </w:pPr>
            <w:r>
              <w:rPr>
                <w:rFonts w:ascii="宋体" w:hAnsi="宋体"/>
                <w:b/>
                <w:kern w:val="0"/>
                <w:sz w:val="18"/>
                <w:szCs w:val="21"/>
              </w:rPr>
              <w:t>总磷</w:t>
            </w:r>
          </w:p>
        </w:tc>
        <w:tc>
          <w:tcPr>
            <w:tcW w:w="223" w:type="pct"/>
            <w:shd w:val="clear" w:color="auto" w:fill="auto"/>
            <w:noWrap/>
            <w:vAlign w:val="center"/>
          </w:tcPr>
          <w:p w14:paraId="46AD93B4">
            <w:pPr>
              <w:pStyle w:val="23"/>
              <w:jc w:val="center"/>
              <w:rPr>
                <w:rFonts w:ascii="宋体" w:hAnsi="宋体"/>
                <w:b/>
                <w:kern w:val="0"/>
                <w:sz w:val="18"/>
                <w:szCs w:val="21"/>
              </w:rPr>
            </w:pPr>
            <w:r>
              <w:rPr>
                <w:rFonts w:ascii="宋体" w:hAnsi="宋体"/>
                <w:b/>
                <w:kern w:val="0"/>
                <w:sz w:val="18"/>
                <w:szCs w:val="21"/>
              </w:rPr>
              <w:t>氟物化</w:t>
            </w:r>
          </w:p>
        </w:tc>
        <w:tc>
          <w:tcPr>
            <w:tcW w:w="223" w:type="pct"/>
            <w:shd w:val="clear" w:color="auto" w:fill="auto"/>
            <w:noWrap/>
            <w:vAlign w:val="center"/>
          </w:tcPr>
          <w:p w14:paraId="45FE6E87">
            <w:pPr>
              <w:pStyle w:val="23"/>
              <w:jc w:val="center"/>
              <w:rPr>
                <w:rFonts w:ascii="宋体" w:hAnsi="宋体"/>
                <w:b/>
                <w:kern w:val="0"/>
                <w:sz w:val="18"/>
                <w:szCs w:val="21"/>
              </w:rPr>
            </w:pPr>
            <w:r>
              <w:rPr>
                <w:rFonts w:ascii="宋体" w:hAnsi="宋体"/>
                <w:b/>
                <w:kern w:val="0"/>
                <w:sz w:val="18"/>
                <w:szCs w:val="21"/>
              </w:rPr>
              <w:t>挥酚发</w:t>
            </w:r>
          </w:p>
        </w:tc>
        <w:tc>
          <w:tcPr>
            <w:tcW w:w="223" w:type="pct"/>
            <w:shd w:val="clear" w:color="auto" w:fill="auto"/>
            <w:noWrap/>
            <w:vAlign w:val="center"/>
          </w:tcPr>
          <w:p w14:paraId="176F096E">
            <w:pPr>
              <w:pStyle w:val="23"/>
              <w:jc w:val="center"/>
              <w:rPr>
                <w:rFonts w:ascii="宋体" w:hAnsi="宋体"/>
                <w:b/>
                <w:kern w:val="0"/>
                <w:sz w:val="18"/>
                <w:szCs w:val="21"/>
              </w:rPr>
            </w:pPr>
            <w:r>
              <w:rPr>
                <w:rFonts w:ascii="宋体" w:hAnsi="宋体"/>
                <w:b/>
                <w:kern w:val="0"/>
                <w:sz w:val="18"/>
                <w:szCs w:val="21"/>
              </w:rPr>
              <w:t>粪大肠菌群</w:t>
            </w:r>
          </w:p>
        </w:tc>
        <w:tc>
          <w:tcPr>
            <w:tcW w:w="223" w:type="pct"/>
            <w:shd w:val="clear" w:color="auto" w:fill="auto"/>
            <w:noWrap/>
            <w:vAlign w:val="center"/>
          </w:tcPr>
          <w:p w14:paraId="00BF3DD9">
            <w:pPr>
              <w:pStyle w:val="23"/>
              <w:jc w:val="center"/>
              <w:rPr>
                <w:rFonts w:ascii="宋体" w:hAnsi="宋体"/>
                <w:b/>
                <w:kern w:val="0"/>
                <w:sz w:val="18"/>
                <w:szCs w:val="21"/>
              </w:rPr>
            </w:pPr>
            <w:r>
              <w:rPr>
                <w:rFonts w:ascii="宋体" w:hAnsi="宋体"/>
                <w:b/>
                <w:kern w:val="0"/>
                <w:sz w:val="18"/>
                <w:szCs w:val="21"/>
              </w:rPr>
              <w:t>汞</w:t>
            </w:r>
          </w:p>
        </w:tc>
        <w:tc>
          <w:tcPr>
            <w:tcW w:w="223" w:type="pct"/>
            <w:shd w:val="clear" w:color="auto" w:fill="auto"/>
            <w:noWrap/>
            <w:vAlign w:val="center"/>
          </w:tcPr>
          <w:p w14:paraId="6ED19355">
            <w:pPr>
              <w:pStyle w:val="23"/>
              <w:jc w:val="center"/>
              <w:rPr>
                <w:rFonts w:ascii="宋体" w:hAnsi="宋体"/>
                <w:b/>
                <w:kern w:val="0"/>
                <w:sz w:val="18"/>
                <w:szCs w:val="21"/>
              </w:rPr>
            </w:pPr>
            <w:r>
              <w:rPr>
                <w:rFonts w:ascii="宋体" w:hAnsi="宋体"/>
                <w:b/>
                <w:kern w:val="0"/>
                <w:sz w:val="18"/>
                <w:szCs w:val="21"/>
              </w:rPr>
              <w:t>镉</w:t>
            </w:r>
          </w:p>
        </w:tc>
        <w:tc>
          <w:tcPr>
            <w:tcW w:w="223" w:type="pct"/>
            <w:shd w:val="clear" w:color="auto" w:fill="auto"/>
            <w:noWrap/>
            <w:vAlign w:val="center"/>
          </w:tcPr>
          <w:p w14:paraId="219556AA">
            <w:pPr>
              <w:pStyle w:val="23"/>
              <w:jc w:val="center"/>
              <w:rPr>
                <w:rFonts w:ascii="宋体" w:hAnsi="宋体"/>
                <w:b/>
                <w:kern w:val="0"/>
                <w:sz w:val="18"/>
                <w:szCs w:val="21"/>
              </w:rPr>
            </w:pPr>
            <w:r>
              <w:rPr>
                <w:rFonts w:ascii="宋体" w:hAnsi="宋体"/>
                <w:b/>
                <w:kern w:val="0"/>
                <w:sz w:val="18"/>
                <w:szCs w:val="21"/>
              </w:rPr>
              <w:t>六价铬</w:t>
            </w:r>
          </w:p>
        </w:tc>
        <w:tc>
          <w:tcPr>
            <w:tcW w:w="223" w:type="pct"/>
            <w:shd w:val="clear" w:color="auto" w:fill="auto"/>
            <w:noWrap/>
            <w:vAlign w:val="center"/>
          </w:tcPr>
          <w:p w14:paraId="3A638D76">
            <w:pPr>
              <w:pStyle w:val="23"/>
              <w:jc w:val="center"/>
              <w:rPr>
                <w:rFonts w:ascii="宋体" w:hAnsi="宋体"/>
                <w:b/>
                <w:kern w:val="0"/>
                <w:sz w:val="18"/>
                <w:szCs w:val="21"/>
              </w:rPr>
            </w:pPr>
            <w:r>
              <w:rPr>
                <w:rFonts w:ascii="宋体" w:hAnsi="宋体"/>
                <w:b/>
                <w:kern w:val="0"/>
                <w:sz w:val="18"/>
                <w:szCs w:val="21"/>
              </w:rPr>
              <w:t>铅</w:t>
            </w:r>
          </w:p>
        </w:tc>
        <w:tc>
          <w:tcPr>
            <w:tcW w:w="223" w:type="pct"/>
            <w:shd w:val="clear" w:color="auto" w:fill="auto"/>
            <w:noWrap/>
            <w:vAlign w:val="center"/>
          </w:tcPr>
          <w:p w14:paraId="38C75A41">
            <w:pPr>
              <w:pStyle w:val="23"/>
              <w:jc w:val="center"/>
              <w:rPr>
                <w:rFonts w:ascii="宋体" w:hAnsi="宋体"/>
                <w:b/>
                <w:kern w:val="0"/>
                <w:sz w:val="18"/>
                <w:szCs w:val="21"/>
              </w:rPr>
            </w:pPr>
            <w:r>
              <w:rPr>
                <w:rFonts w:ascii="宋体" w:hAnsi="宋体"/>
                <w:b/>
                <w:kern w:val="0"/>
                <w:sz w:val="18"/>
                <w:szCs w:val="21"/>
              </w:rPr>
              <w:t>氰化物</w:t>
            </w:r>
          </w:p>
        </w:tc>
        <w:tc>
          <w:tcPr>
            <w:tcW w:w="223" w:type="pct"/>
            <w:shd w:val="clear" w:color="auto" w:fill="auto"/>
            <w:noWrap/>
            <w:vAlign w:val="center"/>
          </w:tcPr>
          <w:p w14:paraId="20D0CBED">
            <w:pPr>
              <w:pStyle w:val="23"/>
              <w:jc w:val="center"/>
              <w:rPr>
                <w:rFonts w:ascii="宋体" w:hAnsi="宋体"/>
                <w:b/>
                <w:kern w:val="0"/>
                <w:sz w:val="18"/>
                <w:szCs w:val="21"/>
              </w:rPr>
            </w:pPr>
            <w:r>
              <w:rPr>
                <w:rFonts w:ascii="宋体" w:hAnsi="宋体"/>
                <w:b/>
                <w:kern w:val="0"/>
                <w:sz w:val="18"/>
                <w:szCs w:val="21"/>
              </w:rPr>
              <w:t>硫化物</w:t>
            </w:r>
          </w:p>
        </w:tc>
        <w:tc>
          <w:tcPr>
            <w:tcW w:w="223" w:type="pct"/>
            <w:shd w:val="clear" w:color="auto" w:fill="auto"/>
            <w:noWrap/>
            <w:vAlign w:val="center"/>
          </w:tcPr>
          <w:p w14:paraId="17FC3280">
            <w:pPr>
              <w:pStyle w:val="23"/>
              <w:jc w:val="center"/>
              <w:rPr>
                <w:rFonts w:ascii="宋体" w:hAnsi="宋体"/>
                <w:b/>
                <w:kern w:val="0"/>
                <w:sz w:val="18"/>
                <w:szCs w:val="21"/>
              </w:rPr>
            </w:pPr>
            <w:r>
              <w:rPr>
                <w:rFonts w:ascii="宋体" w:hAnsi="宋体"/>
                <w:b/>
                <w:kern w:val="0"/>
                <w:sz w:val="18"/>
                <w:szCs w:val="21"/>
              </w:rPr>
              <w:t>超标项目</w:t>
            </w:r>
          </w:p>
        </w:tc>
        <w:tc>
          <w:tcPr>
            <w:tcW w:w="223" w:type="pct"/>
            <w:shd w:val="clear" w:color="auto" w:fill="auto"/>
            <w:noWrap/>
            <w:vAlign w:val="center"/>
          </w:tcPr>
          <w:p w14:paraId="182CC335">
            <w:pPr>
              <w:pStyle w:val="23"/>
              <w:jc w:val="center"/>
              <w:rPr>
                <w:rFonts w:ascii="宋体" w:hAnsi="宋体"/>
                <w:b/>
                <w:kern w:val="0"/>
                <w:sz w:val="18"/>
                <w:szCs w:val="21"/>
              </w:rPr>
            </w:pPr>
            <w:r>
              <w:rPr>
                <w:rFonts w:ascii="宋体" w:hAnsi="宋体"/>
                <w:b/>
                <w:kern w:val="0"/>
                <w:sz w:val="18"/>
                <w:szCs w:val="21"/>
              </w:rPr>
              <w:t>总超标率(%)</w:t>
            </w:r>
          </w:p>
        </w:tc>
        <w:tc>
          <w:tcPr>
            <w:tcW w:w="223" w:type="pct"/>
            <w:shd w:val="clear" w:color="auto" w:fill="auto"/>
            <w:noWrap/>
            <w:vAlign w:val="center"/>
          </w:tcPr>
          <w:p w14:paraId="13BA3E51">
            <w:pPr>
              <w:pStyle w:val="23"/>
              <w:jc w:val="center"/>
              <w:rPr>
                <w:rFonts w:ascii="宋体" w:hAnsi="宋体"/>
                <w:b/>
                <w:kern w:val="0"/>
                <w:sz w:val="18"/>
                <w:szCs w:val="21"/>
              </w:rPr>
            </w:pPr>
            <w:r>
              <w:rPr>
                <w:rFonts w:ascii="宋体" w:hAnsi="宋体"/>
                <w:b/>
                <w:kern w:val="0"/>
                <w:sz w:val="18"/>
                <w:szCs w:val="21"/>
              </w:rPr>
              <w:t>平均污染指数</w:t>
            </w:r>
          </w:p>
        </w:tc>
      </w:tr>
      <w:tr w14:paraId="5700BAF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23" w:type="pct"/>
            <w:vMerge w:val="restart"/>
            <w:shd w:val="clear" w:color="auto" w:fill="auto"/>
            <w:noWrap/>
            <w:vAlign w:val="center"/>
          </w:tcPr>
          <w:p w14:paraId="254FF6F0">
            <w:pPr>
              <w:pStyle w:val="23"/>
              <w:jc w:val="center"/>
              <w:rPr>
                <w:rFonts w:ascii="宋体" w:hAnsi="宋体"/>
                <w:kern w:val="0"/>
                <w:sz w:val="18"/>
                <w:szCs w:val="21"/>
              </w:rPr>
            </w:pPr>
            <w:r>
              <w:rPr>
                <w:rFonts w:ascii="宋体" w:hAnsi="宋体"/>
                <w:kern w:val="0"/>
                <w:sz w:val="18"/>
                <w:szCs w:val="21"/>
              </w:rPr>
              <w:t>古市</w:t>
            </w:r>
          </w:p>
        </w:tc>
        <w:tc>
          <w:tcPr>
            <w:tcW w:w="312" w:type="pct"/>
            <w:shd w:val="clear" w:color="auto" w:fill="auto"/>
            <w:noWrap/>
            <w:vAlign w:val="center"/>
          </w:tcPr>
          <w:p w14:paraId="26BB489A">
            <w:pPr>
              <w:pStyle w:val="23"/>
              <w:jc w:val="center"/>
              <w:rPr>
                <w:rFonts w:ascii="宋体" w:hAnsi="宋体"/>
                <w:kern w:val="0"/>
                <w:sz w:val="18"/>
                <w:szCs w:val="21"/>
              </w:rPr>
            </w:pPr>
            <w:r>
              <w:rPr>
                <w:rFonts w:ascii="宋体" w:hAnsi="宋体"/>
                <w:kern w:val="0"/>
                <w:sz w:val="18"/>
                <w:szCs w:val="21"/>
              </w:rPr>
              <w:t>样品数</w:t>
            </w:r>
          </w:p>
        </w:tc>
        <w:tc>
          <w:tcPr>
            <w:tcW w:w="223" w:type="pct"/>
            <w:shd w:val="clear" w:color="auto" w:fill="auto"/>
            <w:noWrap/>
            <w:vAlign w:val="center"/>
          </w:tcPr>
          <w:p w14:paraId="50D7BE94">
            <w:pPr>
              <w:pStyle w:val="23"/>
              <w:jc w:val="center"/>
              <w:rPr>
                <w:rFonts w:ascii="宋体" w:hAnsi="宋体"/>
                <w:kern w:val="0"/>
                <w:sz w:val="18"/>
                <w:szCs w:val="21"/>
              </w:rPr>
            </w:pPr>
            <w:r>
              <w:rPr>
                <w:rFonts w:ascii="宋体" w:hAnsi="宋体"/>
                <w:kern w:val="0"/>
                <w:sz w:val="18"/>
                <w:szCs w:val="21"/>
              </w:rPr>
              <w:t>6</w:t>
            </w:r>
          </w:p>
        </w:tc>
        <w:tc>
          <w:tcPr>
            <w:tcW w:w="223" w:type="pct"/>
            <w:shd w:val="clear" w:color="auto" w:fill="auto"/>
            <w:noWrap/>
            <w:vAlign w:val="center"/>
          </w:tcPr>
          <w:p w14:paraId="62C48C36">
            <w:pPr>
              <w:pStyle w:val="23"/>
              <w:jc w:val="center"/>
              <w:rPr>
                <w:rFonts w:ascii="宋体" w:hAnsi="宋体"/>
                <w:kern w:val="0"/>
                <w:sz w:val="18"/>
                <w:szCs w:val="21"/>
              </w:rPr>
            </w:pPr>
            <w:r>
              <w:rPr>
                <w:rFonts w:ascii="宋体" w:hAnsi="宋体"/>
                <w:kern w:val="0"/>
                <w:sz w:val="18"/>
                <w:szCs w:val="21"/>
              </w:rPr>
              <w:t>6</w:t>
            </w:r>
          </w:p>
        </w:tc>
        <w:tc>
          <w:tcPr>
            <w:tcW w:w="223" w:type="pct"/>
            <w:shd w:val="clear" w:color="auto" w:fill="auto"/>
            <w:noWrap/>
            <w:vAlign w:val="center"/>
          </w:tcPr>
          <w:p w14:paraId="23E2C467">
            <w:pPr>
              <w:pStyle w:val="23"/>
              <w:jc w:val="center"/>
              <w:rPr>
                <w:rFonts w:ascii="宋体" w:hAnsi="宋体"/>
                <w:kern w:val="0"/>
                <w:sz w:val="18"/>
                <w:szCs w:val="21"/>
              </w:rPr>
            </w:pPr>
            <w:r>
              <w:rPr>
                <w:rFonts w:ascii="宋体" w:hAnsi="宋体"/>
                <w:kern w:val="0"/>
                <w:sz w:val="18"/>
                <w:szCs w:val="21"/>
              </w:rPr>
              <w:t>6</w:t>
            </w:r>
          </w:p>
        </w:tc>
        <w:tc>
          <w:tcPr>
            <w:tcW w:w="223" w:type="pct"/>
            <w:shd w:val="clear" w:color="auto" w:fill="auto"/>
            <w:noWrap/>
            <w:vAlign w:val="center"/>
          </w:tcPr>
          <w:p w14:paraId="1B2936CE">
            <w:pPr>
              <w:pStyle w:val="23"/>
              <w:jc w:val="center"/>
              <w:rPr>
                <w:rFonts w:ascii="宋体" w:hAnsi="宋体"/>
                <w:kern w:val="0"/>
                <w:sz w:val="18"/>
                <w:szCs w:val="21"/>
              </w:rPr>
            </w:pPr>
            <w:r>
              <w:rPr>
                <w:rFonts w:ascii="宋体" w:hAnsi="宋体"/>
                <w:kern w:val="0"/>
                <w:sz w:val="18"/>
                <w:szCs w:val="21"/>
              </w:rPr>
              <w:t>6</w:t>
            </w:r>
          </w:p>
        </w:tc>
        <w:tc>
          <w:tcPr>
            <w:tcW w:w="223" w:type="pct"/>
            <w:shd w:val="clear" w:color="auto" w:fill="auto"/>
            <w:noWrap/>
            <w:vAlign w:val="center"/>
          </w:tcPr>
          <w:p w14:paraId="38F4FF25">
            <w:pPr>
              <w:pStyle w:val="23"/>
              <w:jc w:val="center"/>
              <w:rPr>
                <w:rFonts w:ascii="宋体" w:hAnsi="宋体"/>
                <w:kern w:val="0"/>
                <w:sz w:val="18"/>
                <w:szCs w:val="21"/>
              </w:rPr>
            </w:pPr>
            <w:r>
              <w:rPr>
                <w:rFonts w:ascii="宋体" w:hAnsi="宋体"/>
                <w:kern w:val="0"/>
                <w:sz w:val="18"/>
                <w:szCs w:val="21"/>
              </w:rPr>
              <w:t>6</w:t>
            </w:r>
          </w:p>
        </w:tc>
        <w:tc>
          <w:tcPr>
            <w:tcW w:w="223" w:type="pct"/>
            <w:shd w:val="clear" w:color="auto" w:fill="auto"/>
            <w:noWrap/>
            <w:vAlign w:val="center"/>
          </w:tcPr>
          <w:p w14:paraId="2FCF5044">
            <w:pPr>
              <w:pStyle w:val="23"/>
              <w:jc w:val="center"/>
              <w:rPr>
                <w:rFonts w:ascii="宋体" w:hAnsi="宋体"/>
                <w:kern w:val="0"/>
                <w:sz w:val="18"/>
                <w:szCs w:val="21"/>
              </w:rPr>
            </w:pPr>
            <w:r>
              <w:rPr>
                <w:rFonts w:ascii="宋体" w:hAnsi="宋体"/>
                <w:kern w:val="0"/>
                <w:sz w:val="18"/>
                <w:szCs w:val="21"/>
              </w:rPr>
              <w:t>6</w:t>
            </w:r>
          </w:p>
        </w:tc>
        <w:tc>
          <w:tcPr>
            <w:tcW w:w="223" w:type="pct"/>
            <w:shd w:val="clear" w:color="auto" w:fill="auto"/>
            <w:noWrap/>
            <w:vAlign w:val="center"/>
          </w:tcPr>
          <w:p w14:paraId="28518E4B">
            <w:pPr>
              <w:pStyle w:val="23"/>
              <w:jc w:val="center"/>
              <w:rPr>
                <w:rFonts w:ascii="宋体" w:hAnsi="宋体"/>
                <w:kern w:val="0"/>
                <w:sz w:val="18"/>
                <w:szCs w:val="21"/>
              </w:rPr>
            </w:pPr>
            <w:r>
              <w:rPr>
                <w:rFonts w:ascii="宋体" w:hAnsi="宋体"/>
                <w:kern w:val="0"/>
                <w:sz w:val="18"/>
                <w:szCs w:val="21"/>
              </w:rPr>
              <w:t>6</w:t>
            </w:r>
          </w:p>
        </w:tc>
        <w:tc>
          <w:tcPr>
            <w:tcW w:w="223" w:type="pct"/>
            <w:shd w:val="clear" w:color="auto" w:fill="auto"/>
            <w:noWrap/>
            <w:vAlign w:val="center"/>
          </w:tcPr>
          <w:p w14:paraId="1530D308">
            <w:pPr>
              <w:pStyle w:val="23"/>
              <w:jc w:val="center"/>
              <w:rPr>
                <w:rFonts w:ascii="宋体" w:hAnsi="宋体"/>
                <w:kern w:val="0"/>
                <w:sz w:val="18"/>
                <w:szCs w:val="21"/>
              </w:rPr>
            </w:pPr>
            <w:r>
              <w:rPr>
                <w:rFonts w:ascii="宋体" w:hAnsi="宋体"/>
                <w:kern w:val="0"/>
                <w:sz w:val="18"/>
                <w:szCs w:val="21"/>
              </w:rPr>
              <w:t>6</w:t>
            </w:r>
          </w:p>
        </w:tc>
        <w:tc>
          <w:tcPr>
            <w:tcW w:w="223" w:type="pct"/>
            <w:shd w:val="clear" w:color="auto" w:fill="auto"/>
            <w:noWrap/>
            <w:vAlign w:val="center"/>
          </w:tcPr>
          <w:p w14:paraId="74B36DA1">
            <w:pPr>
              <w:pStyle w:val="23"/>
              <w:jc w:val="center"/>
              <w:rPr>
                <w:rFonts w:ascii="宋体" w:hAnsi="宋体"/>
                <w:kern w:val="0"/>
                <w:sz w:val="18"/>
                <w:szCs w:val="21"/>
              </w:rPr>
            </w:pPr>
            <w:r>
              <w:rPr>
                <w:rFonts w:ascii="宋体" w:hAnsi="宋体"/>
                <w:kern w:val="0"/>
                <w:sz w:val="18"/>
                <w:szCs w:val="21"/>
              </w:rPr>
              <w:t>6</w:t>
            </w:r>
          </w:p>
        </w:tc>
        <w:tc>
          <w:tcPr>
            <w:tcW w:w="223" w:type="pct"/>
            <w:shd w:val="clear" w:color="auto" w:fill="auto"/>
            <w:noWrap/>
            <w:vAlign w:val="center"/>
          </w:tcPr>
          <w:p w14:paraId="12404E7A">
            <w:pPr>
              <w:pStyle w:val="23"/>
              <w:jc w:val="center"/>
              <w:rPr>
                <w:rFonts w:ascii="宋体" w:hAnsi="宋体"/>
                <w:kern w:val="0"/>
                <w:sz w:val="18"/>
                <w:szCs w:val="21"/>
              </w:rPr>
            </w:pPr>
            <w:r>
              <w:rPr>
                <w:rFonts w:ascii="宋体" w:hAnsi="宋体"/>
                <w:kern w:val="0"/>
                <w:sz w:val="18"/>
                <w:szCs w:val="21"/>
              </w:rPr>
              <w:t>6</w:t>
            </w:r>
          </w:p>
        </w:tc>
        <w:tc>
          <w:tcPr>
            <w:tcW w:w="223" w:type="pct"/>
            <w:shd w:val="clear" w:color="auto" w:fill="auto"/>
            <w:noWrap/>
            <w:vAlign w:val="center"/>
          </w:tcPr>
          <w:p w14:paraId="2B195612">
            <w:pPr>
              <w:pStyle w:val="23"/>
              <w:jc w:val="center"/>
              <w:rPr>
                <w:rFonts w:ascii="宋体" w:hAnsi="宋体"/>
                <w:kern w:val="0"/>
                <w:sz w:val="18"/>
                <w:szCs w:val="21"/>
              </w:rPr>
            </w:pPr>
            <w:r>
              <w:rPr>
                <w:rFonts w:ascii="宋体" w:hAnsi="宋体"/>
                <w:kern w:val="0"/>
                <w:sz w:val="18"/>
                <w:szCs w:val="21"/>
              </w:rPr>
              <w:t>6</w:t>
            </w:r>
          </w:p>
        </w:tc>
        <w:tc>
          <w:tcPr>
            <w:tcW w:w="223" w:type="pct"/>
            <w:shd w:val="clear" w:color="auto" w:fill="auto"/>
            <w:noWrap/>
            <w:vAlign w:val="center"/>
          </w:tcPr>
          <w:p w14:paraId="5E487C23">
            <w:pPr>
              <w:pStyle w:val="23"/>
              <w:jc w:val="center"/>
              <w:rPr>
                <w:rFonts w:ascii="宋体" w:hAnsi="宋体"/>
                <w:kern w:val="0"/>
                <w:sz w:val="18"/>
                <w:szCs w:val="21"/>
              </w:rPr>
            </w:pPr>
            <w:r>
              <w:rPr>
                <w:rFonts w:ascii="宋体" w:hAnsi="宋体"/>
                <w:kern w:val="0"/>
                <w:sz w:val="18"/>
                <w:szCs w:val="21"/>
              </w:rPr>
              <w:t>6</w:t>
            </w:r>
          </w:p>
        </w:tc>
        <w:tc>
          <w:tcPr>
            <w:tcW w:w="223" w:type="pct"/>
            <w:shd w:val="clear" w:color="auto" w:fill="auto"/>
            <w:noWrap/>
            <w:vAlign w:val="center"/>
          </w:tcPr>
          <w:p w14:paraId="69B70CB4">
            <w:pPr>
              <w:pStyle w:val="23"/>
              <w:jc w:val="center"/>
              <w:rPr>
                <w:rFonts w:ascii="宋体" w:hAnsi="宋体"/>
                <w:kern w:val="0"/>
                <w:sz w:val="18"/>
                <w:szCs w:val="21"/>
              </w:rPr>
            </w:pPr>
            <w:r>
              <w:rPr>
                <w:rFonts w:ascii="宋体" w:hAnsi="宋体"/>
                <w:kern w:val="0"/>
                <w:sz w:val="18"/>
                <w:szCs w:val="21"/>
              </w:rPr>
              <w:t>6</w:t>
            </w:r>
          </w:p>
        </w:tc>
        <w:tc>
          <w:tcPr>
            <w:tcW w:w="223" w:type="pct"/>
            <w:shd w:val="clear" w:color="auto" w:fill="auto"/>
            <w:noWrap/>
            <w:vAlign w:val="center"/>
          </w:tcPr>
          <w:p w14:paraId="22702579">
            <w:pPr>
              <w:pStyle w:val="23"/>
              <w:jc w:val="center"/>
              <w:rPr>
                <w:rFonts w:ascii="宋体" w:hAnsi="宋体"/>
                <w:kern w:val="0"/>
                <w:sz w:val="18"/>
                <w:szCs w:val="21"/>
              </w:rPr>
            </w:pPr>
            <w:r>
              <w:rPr>
                <w:rFonts w:ascii="宋体" w:hAnsi="宋体"/>
                <w:kern w:val="0"/>
                <w:sz w:val="18"/>
                <w:szCs w:val="21"/>
              </w:rPr>
              <w:t>6</w:t>
            </w:r>
          </w:p>
        </w:tc>
        <w:tc>
          <w:tcPr>
            <w:tcW w:w="223" w:type="pct"/>
            <w:shd w:val="clear" w:color="auto" w:fill="auto"/>
            <w:noWrap/>
            <w:vAlign w:val="center"/>
          </w:tcPr>
          <w:p w14:paraId="2A212524">
            <w:pPr>
              <w:pStyle w:val="23"/>
              <w:jc w:val="center"/>
              <w:rPr>
                <w:rFonts w:ascii="宋体" w:hAnsi="宋体"/>
                <w:kern w:val="0"/>
                <w:sz w:val="18"/>
                <w:szCs w:val="21"/>
              </w:rPr>
            </w:pPr>
            <w:r>
              <w:rPr>
                <w:rFonts w:ascii="宋体" w:hAnsi="宋体"/>
                <w:kern w:val="0"/>
                <w:sz w:val="18"/>
                <w:szCs w:val="21"/>
              </w:rPr>
              <w:t>6</w:t>
            </w:r>
          </w:p>
        </w:tc>
        <w:tc>
          <w:tcPr>
            <w:tcW w:w="223" w:type="pct"/>
            <w:shd w:val="clear" w:color="auto" w:fill="auto"/>
            <w:noWrap/>
            <w:vAlign w:val="center"/>
          </w:tcPr>
          <w:p w14:paraId="28153D91">
            <w:pPr>
              <w:pStyle w:val="23"/>
              <w:jc w:val="center"/>
              <w:rPr>
                <w:rFonts w:ascii="宋体" w:hAnsi="宋体"/>
                <w:kern w:val="0"/>
                <w:sz w:val="18"/>
                <w:szCs w:val="21"/>
              </w:rPr>
            </w:pPr>
            <w:r>
              <w:rPr>
                <w:rFonts w:ascii="宋体" w:hAnsi="宋体"/>
                <w:kern w:val="0"/>
                <w:sz w:val="18"/>
                <w:szCs w:val="21"/>
              </w:rPr>
              <w:t>6</w:t>
            </w:r>
          </w:p>
        </w:tc>
        <w:tc>
          <w:tcPr>
            <w:tcW w:w="223" w:type="pct"/>
            <w:shd w:val="clear" w:color="auto" w:fill="auto"/>
            <w:noWrap/>
            <w:vAlign w:val="center"/>
          </w:tcPr>
          <w:p w14:paraId="7424DA9F">
            <w:pPr>
              <w:pStyle w:val="23"/>
              <w:jc w:val="center"/>
              <w:rPr>
                <w:rFonts w:ascii="宋体" w:hAnsi="宋体"/>
                <w:kern w:val="0"/>
                <w:sz w:val="18"/>
                <w:szCs w:val="21"/>
              </w:rPr>
            </w:pPr>
            <w:r>
              <w:rPr>
                <w:rFonts w:ascii="宋体" w:hAnsi="宋体"/>
                <w:kern w:val="0"/>
                <w:sz w:val="18"/>
                <w:szCs w:val="21"/>
              </w:rPr>
              <w:t>2</w:t>
            </w:r>
          </w:p>
        </w:tc>
        <w:tc>
          <w:tcPr>
            <w:tcW w:w="223" w:type="pct"/>
            <w:shd w:val="clear" w:color="auto" w:fill="auto"/>
            <w:noWrap/>
            <w:vAlign w:val="center"/>
          </w:tcPr>
          <w:p w14:paraId="603505FA">
            <w:pPr>
              <w:pStyle w:val="23"/>
              <w:jc w:val="center"/>
              <w:rPr>
                <w:rFonts w:ascii="宋体" w:hAnsi="宋体"/>
                <w:kern w:val="0"/>
                <w:sz w:val="18"/>
                <w:szCs w:val="21"/>
              </w:rPr>
            </w:pPr>
            <w:r>
              <w:rPr>
                <w:rFonts w:ascii="宋体" w:hAnsi="宋体"/>
                <w:kern w:val="0"/>
                <w:sz w:val="18"/>
                <w:szCs w:val="21"/>
              </w:rPr>
              <w:t>-</w:t>
            </w:r>
          </w:p>
        </w:tc>
        <w:tc>
          <w:tcPr>
            <w:tcW w:w="223" w:type="pct"/>
            <w:shd w:val="clear" w:color="auto" w:fill="auto"/>
            <w:noWrap/>
            <w:vAlign w:val="center"/>
          </w:tcPr>
          <w:p w14:paraId="3861C84E">
            <w:pPr>
              <w:pStyle w:val="23"/>
              <w:jc w:val="center"/>
              <w:rPr>
                <w:rFonts w:ascii="宋体" w:hAnsi="宋体"/>
                <w:kern w:val="0"/>
                <w:sz w:val="18"/>
                <w:szCs w:val="21"/>
              </w:rPr>
            </w:pPr>
          </w:p>
        </w:tc>
        <w:tc>
          <w:tcPr>
            <w:tcW w:w="223" w:type="pct"/>
            <w:vMerge w:val="restart"/>
            <w:shd w:val="clear" w:color="auto" w:fill="auto"/>
            <w:noWrap/>
            <w:vAlign w:val="center"/>
          </w:tcPr>
          <w:p w14:paraId="22E35EE8">
            <w:pPr>
              <w:pStyle w:val="23"/>
              <w:jc w:val="center"/>
              <w:rPr>
                <w:rFonts w:ascii="宋体" w:hAnsi="宋体"/>
                <w:kern w:val="0"/>
                <w:sz w:val="18"/>
                <w:szCs w:val="21"/>
              </w:rPr>
            </w:pPr>
            <w:r>
              <w:rPr>
                <w:rFonts w:ascii="宋体" w:hAnsi="宋体"/>
                <w:kern w:val="0"/>
                <w:sz w:val="18"/>
                <w:szCs w:val="21"/>
              </w:rPr>
              <w:t>0.24</w:t>
            </w:r>
          </w:p>
        </w:tc>
      </w:tr>
      <w:tr w14:paraId="0F80654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23" w:type="pct"/>
            <w:vMerge w:val="continue"/>
            <w:vAlign w:val="center"/>
          </w:tcPr>
          <w:p w14:paraId="1D59DFB0">
            <w:pPr>
              <w:pStyle w:val="23"/>
              <w:jc w:val="center"/>
              <w:rPr>
                <w:rFonts w:ascii="宋体" w:hAnsi="宋体"/>
                <w:kern w:val="0"/>
                <w:sz w:val="18"/>
                <w:szCs w:val="21"/>
              </w:rPr>
            </w:pPr>
          </w:p>
        </w:tc>
        <w:tc>
          <w:tcPr>
            <w:tcW w:w="312" w:type="pct"/>
            <w:shd w:val="clear" w:color="auto" w:fill="auto"/>
            <w:noWrap/>
            <w:vAlign w:val="center"/>
          </w:tcPr>
          <w:p w14:paraId="39525ED3">
            <w:pPr>
              <w:pStyle w:val="23"/>
              <w:jc w:val="center"/>
              <w:rPr>
                <w:rFonts w:ascii="宋体" w:hAnsi="宋体"/>
                <w:kern w:val="0"/>
                <w:sz w:val="18"/>
                <w:szCs w:val="21"/>
              </w:rPr>
            </w:pPr>
            <w:r>
              <w:rPr>
                <w:rFonts w:ascii="宋体" w:hAnsi="宋体"/>
                <w:kern w:val="0"/>
                <w:sz w:val="18"/>
                <w:szCs w:val="21"/>
              </w:rPr>
              <w:t>最大值</w:t>
            </w:r>
          </w:p>
        </w:tc>
        <w:tc>
          <w:tcPr>
            <w:tcW w:w="223" w:type="pct"/>
            <w:shd w:val="clear" w:color="auto" w:fill="auto"/>
            <w:noWrap/>
            <w:vAlign w:val="center"/>
          </w:tcPr>
          <w:p w14:paraId="10B4E591">
            <w:pPr>
              <w:pStyle w:val="23"/>
              <w:jc w:val="center"/>
              <w:rPr>
                <w:rFonts w:ascii="宋体" w:hAnsi="宋体"/>
                <w:kern w:val="0"/>
                <w:sz w:val="18"/>
                <w:szCs w:val="21"/>
              </w:rPr>
            </w:pPr>
            <w:r>
              <w:rPr>
                <w:rFonts w:ascii="宋体" w:hAnsi="宋体"/>
                <w:kern w:val="0"/>
                <w:sz w:val="18"/>
                <w:szCs w:val="21"/>
              </w:rPr>
              <w:t>30</w:t>
            </w:r>
          </w:p>
        </w:tc>
        <w:tc>
          <w:tcPr>
            <w:tcW w:w="223" w:type="pct"/>
            <w:shd w:val="clear" w:color="auto" w:fill="auto"/>
            <w:noWrap/>
            <w:vAlign w:val="center"/>
          </w:tcPr>
          <w:p w14:paraId="4E916E3B">
            <w:pPr>
              <w:pStyle w:val="23"/>
              <w:jc w:val="center"/>
              <w:rPr>
                <w:rFonts w:ascii="宋体" w:hAnsi="宋体"/>
                <w:kern w:val="0"/>
                <w:sz w:val="18"/>
                <w:szCs w:val="21"/>
              </w:rPr>
            </w:pPr>
            <w:r>
              <w:rPr>
                <w:rFonts w:ascii="宋体" w:hAnsi="宋体"/>
                <w:kern w:val="0"/>
                <w:sz w:val="18"/>
                <w:szCs w:val="21"/>
              </w:rPr>
              <w:t>7.61</w:t>
            </w:r>
          </w:p>
        </w:tc>
        <w:tc>
          <w:tcPr>
            <w:tcW w:w="223" w:type="pct"/>
            <w:shd w:val="clear" w:color="auto" w:fill="auto"/>
            <w:noWrap/>
            <w:vAlign w:val="center"/>
          </w:tcPr>
          <w:p w14:paraId="4A894FB7">
            <w:pPr>
              <w:pStyle w:val="23"/>
              <w:jc w:val="center"/>
              <w:rPr>
                <w:rFonts w:ascii="宋体" w:hAnsi="宋体"/>
                <w:kern w:val="0"/>
                <w:sz w:val="18"/>
                <w:szCs w:val="21"/>
              </w:rPr>
            </w:pPr>
            <w:r>
              <w:rPr>
                <w:rFonts w:ascii="宋体" w:hAnsi="宋体"/>
                <w:kern w:val="0"/>
                <w:sz w:val="18"/>
                <w:szCs w:val="21"/>
              </w:rPr>
              <w:t>9.1</w:t>
            </w:r>
          </w:p>
        </w:tc>
        <w:tc>
          <w:tcPr>
            <w:tcW w:w="223" w:type="pct"/>
            <w:shd w:val="clear" w:color="auto" w:fill="auto"/>
            <w:noWrap/>
            <w:vAlign w:val="center"/>
          </w:tcPr>
          <w:p w14:paraId="3B9F8408">
            <w:pPr>
              <w:pStyle w:val="23"/>
              <w:jc w:val="center"/>
              <w:rPr>
                <w:rFonts w:ascii="宋体" w:hAnsi="宋体"/>
                <w:kern w:val="0"/>
                <w:sz w:val="18"/>
                <w:szCs w:val="21"/>
              </w:rPr>
            </w:pPr>
            <w:r>
              <w:rPr>
                <w:rFonts w:ascii="宋体" w:hAnsi="宋体"/>
                <w:kern w:val="0"/>
                <w:sz w:val="18"/>
                <w:szCs w:val="21"/>
              </w:rPr>
              <w:t>4.2</w:t>
            </w:r>
          </w:p>
        </w:tc>
        <w:tc>
          <w:tcPr>
            <w:tcW w:w="223" w:type="pct"/>
            <w:shd w:val="clear" w:color="auto" w:fill="auto"/>
            <w:noWrap/>
            <w:vAlign w:val="center"/>
          </w:tcPr>
          <w:p w14:paraId="0D5EC8AA">
            <w:pPr>
              <w:pStyle w:val="23"/>
              <w:jc w:val="center"/>
              <w:rPr>
                <w:rFonts w:ascii="宋体" w:hAnsi="宋体"/>
                <w:kern w:val="0"/>
                <w:sz w:val="18"/>
                <w:szCs w:val="21"/>
              </w:rPr>
            </w:pPr>
            <w:r>
              <w:rPr>
                <w:rFonts w:ascii="宋体" w:hAnsi="宋体"/>
                <w:kern w:val="0"/>
                <w:sz w:val="18"/>
                <w:szCs w:val="21"/>
              </w:rPr>
              <w:t>14.7</w:t>
            </w:r>
          </w:p>
        </w:tc>
        <w:tc>
          <w:tcPr>
            <w:tcW w:w="223" w:type="pct"/>
            <w:shd w:val="clear" w:color="auto" w:fill="auto"/>
            <w:noWrap/>
            <w:vAlign w:val="center"/>
          </w:tcPr>
          <w:p w14:paraId="236F6F0D">
            <w:pPr>
              <w:pStyle w:val="23"/>
              <w:jc w:val="center"/>
              <w:rPr>
                <w:rFonts w:ascii="宋体" w:hAnsi="宋体"/>
                <w:kern w:val="0"/>
                <w:sz w:val="18"/>
                <w:szCs w:val="21"/>
              </w:rPr>
            </w:pPr>
            <w:r>
              <w:rPr>
                <w:rFonts w:ascii="宋体" w:hAnsi="宋体"/>
                <w:kern w:val="0"/>
                <w:sz w:val="18"/>
                <w:szCs w:val="21"/>
              </w:rPr>
              <w:t>3.4</w:t>
            </w:r>
          </w:p>
        </w:tc>
        <w:tc>
          <w:tcPr>
            <w:tcW w:w="223" w:type="pct"/>
            <w:shd w:val="clear" w:color="auto" w:fill="auto"/>
            <w:noWrap/>
            <w:vAlign w:val="center"/>
          </w:tcPr>
          <w:p w14:paraId="4769E23C">
            <w:pPr>
              <w:pStyle w:val="23"/>
              <w:jc w:val="center"/>
              <w:rPr>
                <w:rFonts w:ascii="宋体" w:hAnsi="宋体"/>
                <w:kern w:val="0"/>
                <w:sz w:val="18"/>
                <w:szCs w:val="21"/>
              </w:rPr>
            </w:pPr>
            <w:r>
              <w:rPr>
                <w:rFonts w:ascii="宋体" w:hAnsi="宋体"/>
                <w:kern w:val="0"/>
                <w:sz w:val="18"/>
                <w:szCs w:val="21"/>
              </w:rPr>
              <w:t>1.00</w:t>
            </w:r>
          </w:p>
        </w:tc>
        <w:tc>
          <w:tcPr>
            <w:tcW w:w="223" w:type="pct"/>
            <w:shd w:val="clear" w:color="auto" w:fill="auto"/>
            <w:noWrap/>
            <w:vAlign w:val="center"/>
          </w:tcPr>
          <w:p w14:paraId="0F9ECFEA">
            <w:pPr>
              <w:pStyle w:val="23"/>
              <w:jc w:val="center"/>
              <w:rPr>
                <w:rFonts w:ascii="宋体" w:hAnsi="宋体"/>
                <w:kern w:val="0"/>
                <w:sz w:val="18"/>
                <w:szCs w:val="21"/>
              </w:rPr>
            </w:pPr>
            <w:r>
              <w:rPr>
                <w:rFonts w:ascii="宋体" w:hAnsi="宋体"/>
                <w:kern w:val="0"/>
                <w:sz w:val="18"/>
                <w:szCs w:val="21"/>
              </w:rPr>
              <w:t>0.231</w:t>
            </w:r>
          </w:p>
        </w:tc>
        <w:tc>
          <w:tcPr>
            <w:tcW w:w="223" w:type="pct"/>
            <w:shd w:val="clear" w:color="auto" w:fill="auto"/>
            <w:noWrap/>
            <w:vAlign w:val="center"/>
          </w:tcPr>
          <w:p w14:paraId="53B14790">
            <w:pPr>
              <w:pStyle w:val="23"/>
              <w:jc w:val="center"/>
              <w:rPr>
                <w:rFonts w:ascii="宋体" w:hAnsi="宋体"/>
                <w:kern w:val="0"/>
                <w:sz w:val="18"/>
                <w:szCs w:val="21"/>
              </w:rPr>
            </w:pPr>
            <w:r>
              <w:rPr>
                <w:rFonts w:ascii="宋体" w:hAnsi="宋体"/>
                <w:kern w:val="0"/>
                <w:sz w:val="18"/>
                <w:szCs w:val="21"/>
              </w:rPr>
              <w:t>0.3980</w:t>
            </w:r>
          </w:p>
        </w:tc>
        <w:tc>
          <w:tcPr>
            <w:tcW w:w="223" w:type="pct"/>
            <w:shd w:val="clear" w:color="auto" w:fill="auto"/>
            <w:noWrap/>
            <w:vAlign w:val="center"/>
          </w:tcPr>
          <w:p w14:paraId="0CDA67A9">
            <w:pPr>
              <w:pStyle w:val="23"/>
              <w:jc w:val="center"/>
              <w:rPr>
                <w:rFonts w:ascii="宋体" w:hAnsi="宋体"/>
                <w:kern w:val="0"/>
                <w:sz w:val="18"/>
                <w:szCs w:val="21"/>
              </w:rPr>
            </w:pPr>
            <w:r>
              <w:rPr>
                <w:rFonts w:ascii="宋体" w:hAnsi="宋体"/>
                <w:kern w:val="0"/>
                <w:sz w:val="18"/>
                <w:szCs w:val="21"/>
              </w:rPr>
              <w:t>.0097</w:t>
            </w:r>
          </w:p>
        </w:tc>
        <w:tc>
          <w:tcPr>
            <w:tcW w:w="223" w:type="pct"/>
            <w:shd w:val="clear" w:color="auto" w:fill="auto"/>
            <w:noWrap/>
            <w:vAlign w:val="center"/>
          </w:tcPr>
          <w:p w14:paraId="31E68822">
            <w:pPr>
              <w:pStyle w:val="23"/>
              <w:jc w:val="center"/>
              <w:rPr>
                <w:rFonts w:ascii="宋体" w:hAnsi="宋体"/>
                <w:kern w:val="0"/>
                <w:sz w:val="18"/>
                <w:szCs w:val="21"/>
              </w:rPr>
            </w:pPr>
            <w:r>
              <w:rPr>
                <w:rFonts w:ascii="宋体" w:hAnsi="宋体"/>
                <w:kern w:val="0"/>
                <w:sz w:val="18"/>
                <w:szCs w:val="21"/>
              </w:rPr>
              <w:t>35000</w:t>
            </w:r>
          </w:p>
        </w:tc>
        <w:tc>
          <w:tcPr>
            <w:tcW w:w="223" w:type="pct"/>
            <w:shd w:val="clear" w:color="auto" w:fill="auto"/>
            <w:noWrap/>
            <w:vAlign w:val="center"/>
          </w:tcPr>
          <w:p w14:paraId="1A9E4650">
            <w:pPr>
              <w:pStyle w:val="23"/>
              <w:jc w:val="center"/>
              <w:rPr>
                <w:rFonts w:ascii="宋体" w:hAnsi="宋体"/>
                <w:kern w:val="0"/>
                <w:sz w:val="18"/>
                <w:szCs w:val="21"/>
              </w:rPr>
            </w:pPr>
            <w:r>
              <w:rPr>
                <w:rFonts w:ascii="宋体" w:hAnsi="宋体"/>
                <w:kern w:val="0"/>
                <w:sz w:val="18"/>
                <w:szCs w:val="21"/>
              </w:rPr>
              <w:t>.0002)</w:t>
            </w:r>
          </w:p>
        </w:tc>
        <w:tc>
          <w:tcPr>
            <w:tcW w:w="223" w:type="pct"/>
            <w:shd w:val="clear" w:color="auto" w:fill="auto"/>
            <w:noWrap/>
            <w:vAlign w:val="center"/>
          </w:tcPr>
          <w:p w14:paraId="4E9593CC">
            <w:pPr>
              <w:pStyle w:val="23"/>
              <w:jc w:val="center"/>
              <w:rPr>
                <w:rFonts w:ascii="宋体" w:hAnsi="宋体"/>
                <w:kern w:val="0"/>
                <w:sz w:val="18"/>
                <w:szCs w:val="21"/>
              </w:rPr>
            </w:pPr>
            <w:r>
              <w:rPr>
                <w:rFonts w:ascii="宋体" w:hAnsi="宋体"/>
                <w:kern w:val="0"/>
                <w:sz w:val="18"/>
                <w:szCs w:val="21"/>
              </w:rPr>
              <w:t>0004(L)</w:t>
            </w:r>
          </w:p>
        </w:tc>
        <w:tc>
          <w:tcPr>
            <w:tcW w:w="223" w:type="pct"/>
            <w:shd w:val="clear" w:color="auto" w:fill="auto"/>
            <w:noWrap/>
            <w:vAlign w:val="center"/>
          </w:tcPr>
          <w:p w14:paraId="2E57203C">
            <w:pPr>
              <w:pStyle w:val="23"/>
              <w:jc w:val="center"/>
              <w:rPr>
                <w:rFonts w:ascii="宋体" w:hAnsi="宋体"/>
                <w:kern w:val="0"/>
                <w:sz w:val="18"/>
                <w:szCs w:val="21"/>
              </w:rPr>
            </w:pPr>
            <w:r>
              <w:rPr>
                <w:rFonts w:ascii="宋体" w:hAnsi="宋体"/>
                <w:kern w:val="0"/>
                <w:sz w:val="18"/>
                <w:szCs w:val="21"/>
              </w:rPr>
              <w:t>0.035</w:t>
            </w:r>
          </w:p>
        </w:tc>
        <w:tc>
          <w:tcPr>
            <w:tcW w:w="223" w:type="pct"/>
            <w:shd w:val="clear" w:color="auto" w:fill="auto"/>
            <w:noWrap/>
            <w:vAlign w:val="center"/>
          </w:tcPr>
          <w:p w14:paraId="7F312CCA">
            <w:pPr>
              <w:pStyle w:val="23"/>
              <w:jc w:val="center"/>
              <w:rPr>
                <w:rFonts w:ascii="宋体" w:hAnsi="宋体"/>
                <w:kern w:val="0"/>
                <w:sz w:val="18"/>
                <w:szCs w:val="21"/>
              </w:rPr>
            </w:pPr>
            <w:r>
              <w:rPr>
                <w:rFonts w:ascii="宋体" w:hAnsi="宋体"/>
                <w:kern w:val="0"/>
                <w:sz w:val="18"/>
                <w:szCs w:val="21"/>
              </w:rPr>
              <w:t>0.01(L)</w:t>
            </w:r>
          </w:p>
        </w:tc>
        <w:tc>
          <w:tcPr>
            <w:tcW w:w="223" w:type="pct"/>
            <w:shd w:val="clear" w:color="auto" w:fill="auto"/>
            <w:noWrap/>
            <w:vAlign w:val="center"/>
          </w:tcPr>
          <w:p w14:paraId="06384D82">
            <w:pPr>
              <w:pStyle w:val="23"/>
              <w:jc w:val="center"/>
              <w:rPr>
                <w:rFonts w:ascii="宋体" w:hAnsi="宋体"/>
                <w:kern w:val="0"/>
                <w:sz w:val="18"/>
                <w:szCs w:val="21"/>
              </w:rPr>
            </w:pPr>
            <w:r>
              <w:rPr>
                <w:rFonts w:ascii="宋体" w:hAnsi="宋体"/>
                <w:kern w:val="0"/>
                <w:sz w:val="18"/>
                <w:szCs w:val="21"/>
              </w:rPr>
              <w:t>0.004(L)</w:t>
            </w:r>
          </w:p>
        </w:tc>
        <w:tc>
          <w:tcPr>
            <w:tcW w:w="223" w:type="pct"/>
            <w:shd w:val="clear" w:color="auto" w:fill="auto"/>
            <w:noWrap/>
            <w:vAlign w:val="center"/>
          </w:tcPr>
          <w:p w14:paraId="3B8035BE">
            <w:pPr>
              <w:pStyle w:val="23"/>
              <w:jc w:val="center"/>
              <w:rPr>
                <w:rFonts w:ascii="宋体" w:hAnsi="宋体"/>
                <w:kern w:val="0"/>
                <w:sz w:val="18"/>
                <w:szCs w:val="21"/>
              </w:rPr>
            </w:pPr>
            <w:r>
              <w:rPr>
                <w:rFonts w:ascii="宋体" w:hAnsi="宋体"/>
                <w:kern w:val="0"/>
                <w:sz w:val="18"/>
                <w:szCs w:val="21"/>
              </w:rPr>
              <w:t>0.034</w:t>
            </w:r>
          </w:p>
        </w:tc>
        <w:tc>
          <w:tcPr>
            <w:tcW w:w="223" w:type="pct"/>
            <w:shd w:val="clear" w:color="auto" w:fill="auto"/>
            <w:noWrap/>
            <w:vAlign w:val="center"/>
          </w:tcPr>
          <w:p w14:paraId="2D815B2C">
            <w:pPr>
              <w:pStyle w:val="23"/>
              <w:jc w:val="center"/>
              <w:rPr>
                <w:rFonts w:ascii="宋体" w:hAnsi="宋体"/>
                <w:kern w:val="0"/>
                <w:sz w:val="18"/>
                <w:szCs w:val="21"/>
              </w:rPr>
            </w:pPr>
          </w:p>
        </w:tc>
        <w:tc>
          <w:tcPr>
            <w:tcW w:w="223" w:type="pct"/>
            <w:shd w:val="clear" w:color="auto" w:fill="auto"/>
            <w:noWrap/>
            <w:vAlign w:val="center"/>
          </w:tcPr>
          <w:p w14:paraId="39E8399F">
            <w:pPr>
              <w:pStyle w:val="23"/>
              <w:jc w:val="center"/>
              <w:rPr>
                <w:rFonts w:ascii="宋体" w:hAnsi="宋体"/>
                <w:kern w:val="0"/>
                <w:sz w:val="18"/>
                <w:szCs w:val="21"/>
              </w:rPr>
            </w:pPr>
          </w:p>
        </w:tc>
        <w:tc>
          <w:tcPr>
            <w:tcW w:w="223" w:type="pct"/>
            <w:vMerge w:val="continue"/>
            <w:vAlign w:val="center"/>
          </w:tcPr>
          <w:p w14:paraId="27D27F33">
            <w:pPr>
              <w:pStyle w:val="23"/>
              <w:jc w:val="center"/>
              <w:rPr>
                <w:rFonts w:ascii="宋体" w:hAnsi="宋体"/>
                <w:kern w:val="0"/>
                <w:sz w:val="18"/>
                <w:szCs w:val="21"/>
              </w:rPr>
            </w:pPr>
          </w:p>
        </w:tc>
      </w:tr>
      <w:tr w14:paraId="0ABF510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23" w:type="pct"/>
            <w:vMerge w:val="continue"/>
            <w:vAlign w:val="center"/>
          </w:tcPr>
          <w:p w14:paraId="5501FC80">
            <w:pPr>
              <w:pStyle w:val="23"/>
              <w:jc w:val="center"/>
              <w:rPr>
                <w:rFonts w:ascii="宋体" w:hAnsi="宋体"/>
                <w:kern w:val="0"/>
                <w:sz w:val="18"/>
                <w:szCs w:val="21"/>
              </w:rPr>
            </w:pPr>
          </w:p>
        </w:tc>
        <w:tc>
          <w:tcPr>
            <w:tcW w:w="312" w:type="pct"/>
            <w:shd w:val="clear" w:color="auto" w:fill="auto"/>
            <w:noWrap/>
            <w:vAlign w:val="center"/>
          </w:tcPr>
          <w:p w14:paraId="0597DD42">
            <w:pPr>
              <w:pStyle w:val="23"/>
              <w:jc w:val="center"/>
              <w:rPr>
                <w:rFonts w:ascii="宋体" w:hAnsi="宋体"/>
                <w:kern w:val="0"/>
                <w:sz w:val="18"/>
                <w:szCs w:val="21"/>
              </w:rPr>
            </w:pPr>
            <w:r>
              <w:rPr>
                <w:rFonts w:ascii="宋体" w:hAnsi="宋体"/>
                <w:kern w:val="0"/>
                <w:sz w:val="18"/>
                <w:szCs w:val="21"/>
              </w:rPr>
              <w:t>最小值</w:t>
            </w:r>
          </w:p>
        </w:tc>
        <w:tc>
          <w:tcPr>
            <w:tcW w:w="223" w:type="pct"/>
            <w:shd w:val="clear" w:color="auto" w:fill="auto"/>
            <w:noWrap/>
            <w:vAlign w:val="center"/>
          </w:tcPr>
          <w:p w14:paraId="7DCEE2AD">
            <w:pPr>
              <w:pStyle w:val="23"/>
              <w:jc w:val="center"/>
              <w:rPr>
                <w:rFonts w:ascii="宋体" w:hAnsi="宋体"/>
                <w:kern w:val="0"/>
                <w:sz w:val="18"/>
                <w:szCs w:val="21"/>
              </w:rPr>
            </w:pPr>
            <w:r>
              <w:rPr>
                <w:rFonts w:ascii="宋体" w:hAnsi="宋体"/>
                <w:kern w:val="0"/>
                <w:sz w:val="18"/>
                <w:szCs w:val="21"/>
              </w:rPr>
              <w:t>7</w:t>
            </w:r>
          </w:p>
        </w:tc>
        <w:tc>
          <w:tcPr>
            <w:tcW w:w="223" w:type="pct"/>
            <w:shd w:val="clear" w:color="auto" w:fill="auto"/>
            <w:noWrap/>
            <w:vAlign w:val="center"/>
          </w:tcPr>
          <w:p w14:paraId="45F3B1EE">
            <w:pPr>
              <w:pStyle w:val="23"/>
              <w:jc w:val="center"/>
              <w:rPr>
                <w:rFonts w:ascii="宋体" w:hAnsi="宋体"/>
                <w:kern w:val="0"/>
                <w:sz w:val="18"/>
                <w:szCs w:val="21"/>
              </w:rPr>
            </w:pPr>
            <w:r>
              <w:rPr>
                <w:rFonts w:ascii="宋体" w:hAnsi="宋体"/>
                <w:kern w:val="0"/>
                <w:sz w:val="18"/>
                <w:szCs w:val="21"/>
              </w:rPr>
              <w:t>7.22</w:t>
            </w:r>
          </w:p>
        </w:tc>
        <w:tc>
          <w:tcPr>
            <w:tcW w:w="223" w:type="pct"/>
            <w:shd w:val="clear" w:color="auto" w:fill="auto"/>
            <w:noWrap/>
            <w:vAlign w:val="center"/>
          </w:tcPr>
          <w:p w14:paraId="35CD4973">
            <w:pPr>
              <w:pStyle w:val="23"/>
              <w:jc w:val="center"/>
              <w:rPr>
                <w:rFonts w:ascii="宋体" w:hAnsi="宋体"/>
                <w:kern w:val="0"/>
                <w:sz w:val="18"/>
                <w:szCs w:val="21"/>
              </w:rPr>
            </w:pPr>
            <w:r>
              <w:rPr>
                <w:rFonts w:ascii="宋体" w:hAnsi="宋体"/>
                <w:kern w:val="0"/>
                <w:sz w:val="18"/>
                <w:szCs w:val="21"/>
              </w:rPr>
              <w:t>7.2</w:t>
            </w:r>
          </w:p>
        </w:tc>
        <w:tc>
          <w:tcPr>
            <w:tcW w:w="223" w:type="pct"/>
            <w:shd w:val="clear" w:color="auto" w:fill="auto"/>
            <w:noWrap/>
            <w:vAlign w:val="center"/>
          </w:tcPr>
          <w:p w14:paraId="66F54ADE">
            <w:pPr>
              <w:pStyle w:val="23"/>
              <w:jc w:val="center"/>
              <w:rPr>
                <w:rFonts w:ascii="宋体" w:hAnsi="宋体"/>
                <w:kern w:val="0"/>
                <w:sz w:val="18"/>
                <w:szCs w:val="21"/>
              </w:rPr>
            </w:pPr>
            <w:r>
              <w:rPr>
                <w:rFonts w:ascii="宋体" w:hAnsi="宋体"/>
                <w:kern w:val="0"/>
                <w:sz w:val="18"/>
                <w:szCs w:val="21"/>
              </w:rPr>
              <w:t>1.7</w:t>
            </w:r>
          </w:p>
        </w:tc>
        <w:tc>
          <w:tcPr>
            <w:tcW w:w="223" w:type="pct"/>
            <w:shd w:val="clear" w:color="auto" w:fill="auto"/>
            <w:noWrap/>
            <w:vAlign w:val="center"/>
          </w:tcPr>
          <w:p w14:paraId="3504AB12">
            <w:pPr>
              <w:pStyle w:val="23"/>
              <w:jc w:val="center"/>
              <w:rPr>
                <w:rFonts w:ascii="宋体" w:hAnsi="宋体"/>
                <w:kern w:val="0"/>
                <w:sz w:val="18"/>
                <w:szCs w:val="21"/>
              </w:rPr>
            </w:pPr>
            <w:r>
              <w:rPr>
                <w:rFonts w:ascii="宋体" w:hAnsi="宋体"/>
                <w:kern w:val="0"/>
                <w:sz w:val="18"/>
                <w:szCs w:val="21"/>
              </w:rPr>
              <w:t>8.6</w:t>
            </w:r>
          </w:p>
        </w:tc>
        <w:tc>
          <w:tcPr>
            <w:tcW w:w="223" w:type="pct"/>
            <w:shd w:val="clear" w:color="auto" w:fill="auto"/>
            <w:noWrap/>
            <w:vAlign w:val="center"/>
          </w:tcPr>
          <w:p w14:paraId="00CD7394">
            <w:pPr>
              <w:pStyle w:val="23"/>
              <w:jc w:val="center"/>
              <w:rPr>
                <w:rFonts w:ascii="宋体" w:hAnsi="宋体"/>
                <w:kern w:val="0"/>
                <w:sz w:val="18"/>
                <w:szCs w:val="21"/>
              </w:rPr>
            </w:pPr>
            <w:r>
              <w:rPr>
                <w:rFonts w:ascii="宋体" w:hAnsi="宋体"/>
                <w:kern w:val="0"/>
                <w:sz w:val="18"/>
                <w:szCs w:val="21"/>
              </w:rPr>
              <w:t>2.0</w:t>
            </w:r>
          </w:p>
        </w:tc>
        <w:tc>
          <w:tcPr>
            <w:tcW w:w="223" w:type="pct"/>
            <w:shd w:val="clear" w:color="auto" w:fill="auto"/>
            <w:noWrap/>
            <w:vAlign w:val="center"/>
          </w:tcPr>
          <w:p w14:paraId="4AF5D292">
            <w:pPr>
              <w:pStyle w:val="23"/>
              <w:jc w:val="center"/>
              <w:rPr>
                <w:rFonts w:ascii="宋体" w:hAnsi="宋体"/>
                <w:kern w:val="0"/>
                <w:sz w:val="18"/>
                <w:szCs w:val="21"/>
              </w:rPr>
            </w:pPr>
            <w:r>
              <w:rPr>
                <w:rFonts w:ascii="宋体" w:hAnsi="宋体"/>
                <w:kern w:val="0"/>
                <w:sz w:val="18"/>
                <w:szCs w:val="21"/>
              </w:rPr>
              <w:t>0257</w:t>
            </w:r>
          </w:p>
        </w:tc>
        <w:tc>
          <w:tcPr>
            <w:tcW w:w="223" w:type="pct"/>
            <w:shd w:val="clear" w:color="auto" w:fill="auto"/>
            <w:noWrap/>
            <w:vAlign w:val="center"/>
          </w:tcPr>
          <w:p w14:paraId="06B89BF4">
            <w:pPr>
              <w:pStyle w:val="23"/>
              <w:jc w:val="center"/>
              <w:rPr>
                <w:rFonts w:ascii="宋体" w:hAnsi="宋体"/>
                <w:kern w:val="0"/>
                <w:sz w:val="18"/>
                <w:szCs w:val="21"/>
              </w:rPr>
            </w:pPr>
            <w:r>
              <w:rPr>
                <w:rFonts w:ascii="宋体" w:hAnsi="宋体"/>
                <w:kern w:val="0"/>
                <w:sz w:val="18"/>
                <w:szCs w:val="21"/>
              </w:rPr>
              <w:t>0.128</w:t>
            </w:r>
          </w:p>
        </w:tc>
        <w:tc>
          <w:tcPr>
            <w:tcW w:w="223" w:type="pct"/>
            <w:shd w:val="clear" w:color="auto" w:fill="auto"/>
            <w:noWrap/>
            <w:vAlign w:val="center"/>
          </w:tcPr>
          <w:p w14:paraId="05ECB8F0">
            <w:pPr>
              <w:pStyle w:val="23"/>
              <w:jc w:val="center"/>
              <w:rPr>
                <w:rFonts w:ascii="宋体" w:hAnsi="宋体"/>
                <w:kern w:val="0"/>
                <w:sz w:val="18"/>
                <w:szCs w:val="21"/>
              </w:rPr>
            </w:pPr>
            <w:r>
              <w:rPr>
                <w:rFonts w:ascii="宋体" w:hAnsi="宋体"/>
                <w:kern w:val="0"/>
                <w:sz w:val="18"/>
                <w:szCs w:val="21"/>
              </w:rPr>
              <w:t>0.29</w:t>
            </w:r>
          </w:p>
        </w:tc>
        <w:tc>
          <w:tcPr>
            <w:tcW w:w="223" w:type="pct"/>
            <w:shd w:val="clear" w:color="auto" w:fill="auto"/>
            <w:noWrap/>
            <w:vAlign w:val="center"/>
          </w:tcPr>
          <w:p w14:paraId="1AC73CEA">
            <w:pPr>
              <w:pStyle w:val="23"/>
              <w:jc w:val="center"/>
              <w:rPr>
                <w:rFonts w:ascii="宋体" w:hAnsi="宋体"/>
                <w:kern w:val="0"/>
                <w:sz w:val="18"/>
                <w:szCs w:val="21"/>
              </w:rPr>
            </w:pPr>
            <w:r>
              <w:rPr>
                <w:rFonts w:ascii="宋体" w:hAnsi="宋体"/>
                <w:kern w:val="0"/>
                <w:sz w:val="18"/>
                <w:szCs w:val="21"/>
              </w:rPr>
              <w:t>0.001</w:t>
            </w:r>
          </w:p>
        </w:tc>
        <w:tc>
          <w:tcPr>
            <w:tcW w:w="223" w:type="pct"/>
            <w:shd w:val="clear" w:color="auto" w:fill="auto"/>
            <w:noWrap/>
            <w:vAlign w:val="center"/>
          </w:tcPr>
          <w:p w14:paraId="78241C55">
            <w:pPr>
              <w:pStyle w:val="23"/>
              <w:jc w:val="center"/>
              <w:rPr>
                <w:rFonts w:ascii="宋体" w:hAnsi="宋体"/>
                <w:kern w:val="0"/>
                <w:sz w:val="18"/>
                <w:szCs w:val="21"/>
              </w:rPr>
            </w:pPr>
            <w:r>
              <w:rPr>
                <w:rFonts w:ascii="宋体" w:hAnsi="宋体"/>
                <w:kern w:val="0"/>
                <w:sz w:val="18"/>
                <w:szCs w:val="21"/>
              </w:rPr>
              <w:t>17000</w:t>
            </w:r>
          </w:p>
        </w:tc>
        <w:tc>
          <w:tcPr>
            <w:tcW w:w="223" w:type="pct"/>
            <w:shd w:val="clear" w:color="auto" w:fill="auto"/>
            <w:noWrap/>
            <w:vAlign w:val="center"/>
          </w:tcPr>
          <w:p w14:paraId="179E0304">
            <w:pPr>
              <w:pStyle w:val="23"/>
              <w:jc w:val="center"/>
              <w:rPr>
                <w:rFonts w:ascii="宋体" w:hAnsi="宋体"/>
                <w:kern w:val="0"/>
                <w:sz w:val="18"/>
                <w:szCs w:val="21"/>
              </w:rPr>
            </w:pPr>
            <w:r>
              <w:rPr>
                <w:rFonts w:ascii="宋体" w:hAnsi="宋体"/>
                <w:kern w:val="0"/>
                <w:sz w:val="18"/>
                <w:szCs w:val="21"/>
              </w:rPr>
              <w:t>.00002)</w:t>
            </w:r>
          </w:p>
        </w:tc>
        <w:tc>
          <w:tcPr>
            <w:tcW w:w="223" w:type="pct"/>
            <w:shd w:val="clear" w:color="auto" w:fill="auto"/>
            <w:noWrap/>
            <w:vAlign w:val="center"/>
          </w:tcPr>
          <w:p w14:paraId="1901690A">
            <w:pPr>
              <w:pStyle w:val="23"/>
              <w:jc w:val="center"/>
              <w:rPr>
                <w:rFonts w:ascii="宋体" w:hAnsi="宋体"/>
                <w:kern w:val="0"/>
                <w:sz w:val="18"/>
                <w:szCs w:val="21"/>
              </w:rPr>
            </w:pPr>
            <w:r>
              <w:rPr>
                <w:rFonts w:ascii="宋体" w:hAnsi="宋体"/>
                <w:kern w:val="0"/>
                <w:sz w:val="18"/>
                <w:szCs w:val="21"/>
              </w:rPr>
              <w:t>0.004(L)</w:t>
            </w:r>
          </w:p>
        </w:tc>
        <w:tc>
          <w:tcPr>
            <w:tcW w:w="223" w:type="pct"/>
            <w:shd w:val="clear" w:color="auto" w:fill="auto"/>
            <w:noWrap/>
            <w:vAlign w:val="center"/>
          </w:tcPr>
          <w:p w14:paraId="51E62E94">
            <w:pPr>
              <w:pStyle w:val="23"/>
              <w:jc w:val="center"/>
              <w:rPr>
                <w:rFonts w:ascii="宋体" w:hAnsi="宋体"/>
                <w:kern w:val="0"/>
                <w:sz w:val="18"/>
                <w:szCs w:val="21"/>
              </w:rPr>
            </w:pPr>
            <w:r>
              <w:rPr>
                <w:rFonts w:ascii="宋体" w:hAnsi="宋体"/>
                <w:kern w:val="0"/>
                <w:sz w:val="18"/>
                <w:szCs w:val="21"/>
              </w:rPr>
              <w:t>0.00</w:t>
            </w:r>
          </w:p>
        </w:tc>
        <w:tc>
          <w:tcPr>
            <w:tcW w:w="223" w:type="pct"/>
            <w:shd w:val="clear" w:color="auto" w:fill="auto"/>
            <w:noWrap/>
            <w:vAlign w:val="center"/>
          </w:tcPr>
          <w:p w14:paraId="5A32C04D">
            <w:pPr>
              <w:pStyle w:val="23"/>
              <w:jc w:val="center"/>
              <w:rPr>
                <w:rFonts w:ascii="宋体" w:hAnsi="宋体"/>
                <w:kern w:val="0"/>
                <w:sz w:val="18"/>
                <w:szCs w:val="21"/>
              </w:rPr>
            </w:pPr>
            <w:r>
              <w:rPr>
                <w:rFonts w:ascii="宋体" w:hAnsi="宋体"/>
                <w:kern w:val="0"/>
                <w:sz w:val="18"/>
                <w:szCs w:val="21"/>
              </w:rPr>
              <w:t>0.010</w:t>
            </w:r>
          </w:p>
        </w:tc>
        <w:tc>
          <w:tcPr>
            <w:tcW w:w="223" w:type="pct"/>
            <w:shd w:val="clear" w:color="auto" w:fill="auto"/>
            <w:noWrap/>
            <w:vAlign w:val="center"/>
          </w:tcPr>
          <w:p w14:paraId="2068CA47">
            <w:pPr>
              <w:pStyle w:val="23"/>
              <w:jc w:val="center"/>
              <w:rPr>
                <w:rFonts w:ascii="宋体" w:hAnsi="宋体"/>
                <w:kern w:val="0"/>
                <w:sz w:val="18"/>
                <w:szCs w:val="21"/>
              </w:rPr>
            </w:pPr>
            <w:r>
              <w:rPr>
                <w:rFonts w:ascii="宋体" w:hAnsi="宋体"/>
                <w:kern w:val="0"/>
                <w:sz w:val="18"/>
                <w:szCs w:val="21"/>
              </w:rPr>
              <w:t>.004(L)</w:t>
            </w:r>
          </w:p>
        </w:tc>
        <w:tc>
          <w:tcPr>
            <w:tcW w:w="223" w:type="pct"/>
            <w:shd w:val="clear" w:color="auto" w:fill="auto"/>
            <w:noWrap/>
            <w:vAlign w:val="center"/>
          </w:tcPr>
          <w:p w14:paraId="36A9FFA9">
            <w:pPr>
              <w:pStyle w:val="23"/>
              <w:jc w:val="center"/>
              <w:rPr>
                <w:rFonts w:ascii="宋体" w:hAnsi="宋体"/>
                <w:kern w:val="0"/>
                <w:sz w:val="18"/>
                <w:szCs w:val="21"/>
              </w:rPr>
            </w:pPr>
            <w:r>
              <w:rPr>
                <w:rFonts w:ascii="宋体" w:hAnsi="宋体"/>
                <w:kern w:val="0"/>
                <w:sz w:val="18"/>
                <w:szCs w:val="21"/>
              </w:rPr>
              <w:t>0.034</w:t>
            </w:r>
          </w:p>
        </w:tc>
        <w:tc>
          <w:tcPr>
            <w:tcW w:w="223" w:type="pct"/>
            <w:shd w:val="clear" w:color="auto" w:fill="auto"/>
            <w:noWrap/>
            <w:vAlign w:val="center"/>
          </w:tcPr>
          <w:p w14:paraId="66A30C57">
            <w:pPr>
              <w:pStyle w:val="23"/>
              <w:jc w:val="center"/>
              <w:rPr>
                <w:rFonts w:ascii="宋体" w:hAnsi="宋体"/>
                <w:kern w:val="0"/>
                <w:sz w:val="18"/>
                <w:szCs w:val="21"/>
              </w:rPr>
            </w:pPr>
          </w:p>
        </w:tc>
        <w:tc>
          <w:tcPr>
            <w:tcW w:w="223" w:type="pct"/>
            <w:shd w:val="clear" w:color="auto" w:fill="auto"/>
            <w:noWrap/>
            <w:vAlign w:val="center"/>
          </w:tcPr>
          <w:p w14:paraId="071D9AC7">
            <w:pPr>
              <w:pStyle w:val="23"/>
              <w:jc w:val="center"/>
              <w:rPr>
                <w:rFonts w:ascii="宋体" w:hAnsi="宋体"/>
                <w:kern w:val="0"/>
                <w:sz w:val="18"/>
                <w:szCs w:val="21"/>
              </w:rPr>
            </w:pPr>
          </w:p>
        </w:tc>
        <w:tc>
          <w:tcPr>
            <w:tcW w:w="223" w:type="pct"/>
            <w:vMerge w:val="continue"/>
            <w:vAlign w:val="center"/>
          </w:tcPr>
          <w:p w14:paraId="52D1285B">
            <w:pPr>
              <w:pStyle w:val="23"/>
              <w:jc w:val="center"/>
              <w:rPr>
                <w:rFonts w:ascii="宋体" w:hAnsi="宋体"/>
                <w:kern w:val="0"/>
                <w:sz w:val="18"/>
                <w:szCs w:val="21"/>
              </w:rPr>
            </w:pPr>
          </w:p>
        </w:tc>
      </w:tr>
      <w:tr w14:paraId="490BF24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23" w:type="pct"/>
            <w:vMerge w:val="continue"/>
            <w:vAlign w:val="center"/>
          </w:tcPr>
          <w:p w14:paraId="7A21EDC7">
            <w:pPr>
              <w:pStyle w:val="23"/>
              <w:jc w:val="center"/>
              <w:rPr>
                <w:rFonts w:ascii="宋体" w:hAnsi="宋体"/>
                <w:kern w:val="0"/>
                <w:sz w:val="18"/>
                <w:szCs w:val="21"/>
              </w:rPr>
            </w:pPr>
          </w:p>
        </w:tc>
        <w:tc>
          <w:tcPr>
            <w:tcW w:w="312" w:type="pct"/>
            <w:shd w:val="clear" w:color="auto" w:fill="auto"/>
            <w:noWrap/>
            <w:vAlign w:val="center"/>
          </w:tcPr>
          <w:p w14:paraId="2C1E7C54">
            <w:pPr>
              <w:pStyle w:val="23"/>
              <w:jc w:val="center"/>
              <w:rPr>
                <w:rFonts w:ascii="宋体" w:hAnsi="宋体"/>
                <w:kern w:val="0"/>
                <w:sz w:val="18"/>
                <w:szCs w:val="21"/>
              </w:rPr>
            </w:pPr>
            <w:r>
              <w:rPr>
                <w:rFonts w:ascii="宋体" w:hAnsi="宋体"/>
                <w:kern w:val="0"/>
                <w:sz w:val="18"/>
                <w:szCs w:val="21"/>
              </w:rPr>
              <w:t>平均值</w:t>
            </w:r>
          </w:p>
        </w:tc>
        <w:tc>
          <w:tcPr>
            <w:tcW w:w="223" w:type="pct"/>
            <w:shd w:val="clear" w:color="auto" w:fill="auto"/>
            <w:noWrap/>
            <w:vAlign w:val="center"/>
          </w:tcPr>
          <w:p w14:paraId="56C55BB9">
            <w:pPr>
              <w:pStyle w:val="23"/>
              <w:jc w:val="center"/>
              <w:rPr>
                <w:rFonts w:ascii="宋体" w:hAnsi="宋体"/>
                <w:kern w:val="0"/>
                <w:sz w:val="18"/>
                <w:szCs w:val="21"/>
              </w:rPr>
            </w:pPr>
            <w:r>
              <w:rPr>
                <w:rFonts w:ascii="宋体" w:hAnsi="宋体"/>
                <w:kern w:val="0"/>
                <w:sz w:val="18"/>
                <w:szCs w:val="21"/>
              </w:rPr>
              <w:t>21</w:t>
            </w:r>
          </w:p>
        </w:tc>
        <w:tc>
          <w:tcPr>
            <w:tcW w:w="223" w:type="pct"/>
            <w:shd w:val="clear" w:color="auto" w:fill="auto"/>
            <w:noWrap/>
            <w:vAlign w:val="center"/>
          </w:tcPr>
          <w:p w14:paraId="4C6718EC">
            <w:pPr>
              <w:pStyle w:val="23"/>
              <w:jc w:val="center"/>
              <w:rPr>
                <w:rFonts w:ascii="宋体" w:hAnsi="宋体"/>
                <w:kern w:val="0"/>
                <w:sz w:val="18"/>
                <w:szCs w:val="21"/>
              </w:rPr>
            </w:pPr>
            <w:r>
              <w:rPr>
                <w:rFonts w:ascii="宋体" w:hAnsi="宋体"/>
                <w:kern w:val="0"/>
                <w:sz w:val="18"/>
                <w:szCs w:val="21"/>
              </w:rPr>
              <w:t>7.48</w:t>
            </w:r>
          </w:p>
        </w:tc>
        <w:tc>
          <w:tcPr>
            <w:tcW w:w="223" w:type="pct"/>
            <w:shd w:val="clear" w:color="auto" w:fill="auto"/>
            <w:noWrap/>
            <w:vAlign w:val="center"/>
          </w:tcPr>
          <w:p w14:paraId="4ED573DB">
            <w:pPr>
              <w:pStyle w:val="23"/>
              <w:jc w:val="center"/>
              <w:rPr>
                <w:rFonts w:ascii="宋体" w:hAnsi="宋体"/>
                <w:kern w:val="0"/>
                <w:sz w:val="18"/>
                <w:szCs w:val="21"/>
              </w:rPr>
            </w:pPr>
            <w:r>
              <w:rPr>
                <w:rFonts w:ascii="宋体" w:hAnsi="宋体"/>
                <w:kern w:val="0"/>
                <w:sz w:val="18"/>
                <w:szCs w:val="21"/>
              </w:rPr>
              <w:t>8.1</w:t>
            </w:r>
          </w:p>
        </w:tc>
        <w:tc>
          <w:tcPr>
            <w:tcW w:w="223" w:type="pct"/>
            <w:shd w:val="clear" w:color="auto" w:fill="auto"/>
            <w:noWrap/>
            <w:vAlign w:val="center"/>
          </w:tcPr>
          <w:p w14:paraId="60144872">
            <w:pPr>
              <w:pStyle w:val="23"/>
              <w:jc w:val="center"/>
              <w:rPr>
                <w:rFonts w:ascii="宋体" w:hAnsi="宋体"/>
                <w:kern w:val="0"/>
                <w:sz w:val="18"/>
                <w:szCs w:val="21"/>
              </w:rPr>
            </w:pPr>
            <w:r>
              <w:rPr>
                <w:rFonts w:ascii="宋体" w:hAnsi="宋体"/>
                <w:kern w:val="0"/>
                <w:sz w:val="18"/>
                <w:szCs w:val="21"/>
              </w:rPr>
              <w:t>2.8</w:t>
            </w:r>
          </w:p>
        </w:tc>
        <w:tc>
          <w:tcPr>
            <w:tcW w:w="223" w:type="pct"/>
            <w:shd w:val="clear" w:color="auto" w:fill="auto"/>
            <w:noWrap/>
            <w:vAlign w:val="center"/>
          </w:tcPr>
          <w:p w14:paraId="4C4DC39D">
            <w:pPr>
              <w:pStyle w:val="23"/>
              <w:jc w:val="center"/>
              <w:rPr>
                <w:rFonts w:ascii="宋体" w:hAnsi="宋体"/>
                <w:kern w:val="0"/>
                <w:sz w:val="18"/>
                <w:szCs w:val="21"/>
              </w:rPr>
            </w:pPr>
            <w:r>
              <w:rPr>
                <w:rFonts w:ascii="宋体" w:hAnsi="宋体"/>
                <w:kern w:val="0"/>
                <w:sz w:val="18"/>
                <w:szCs w:val="21"/>
              </w:rPr>
              <w:t>12.7</w:t>
            </w:r>
          </w:p>
        </w:tc>
        <w:tc>
          <w:tcPr>
            <w:tcW w:w="223" w:type="pct"/>
            <w:shd w:val="clear" w:color="auto" w:fill="auto"/>
            <w:noWrap/>
            <w:vAlign w:val="center"/>
          </w:tcPr>
          <w:p w14:paraId="15930416">
            <w:pPr>
              <w:pStyle w:val="23"/>
              <w:jc w:val="center"/>
              <w:rPr>
                <w:rFonts w:ascii="宋体" w:hAnsi="宋体"/>
                <w:kern w:val="0"/>
                <w:sz w:val="18"/>
                <w:szCs w:val="21"/>
              </w:rPr>
            </w:pPr>
            <w:r>
              <w:rPr>
                <w:rFonts w:ascii="宋体" w:hAnsi="宋体"/>
                <w:kern w:val="0"/>
                <w:sz w:val="18"/>
                <w:szCs w:val="21"/>
              </w:rPr>
              <w:t>2.7</w:t>
            </w:r>
          </w:p>
        </w:tc>
        <w:tc>
          <w:tcPr>
            <w:tcW w:w="223" w:type="pct"/>
            <w:shd w:val="clear" w:color="auto" w:fill="auto"/>
            <w:noWrap/>
            <w:vAlign w:val="center"/>
          </w:tcPr>
          <w:p w14:paraId="4AF92CF1">
            <w:pPr>
              <w:pStyle w:val="23"/>
              <w:jc w:val="center"/>
              <w:rPr>
                <w:rFonts w:ascii="宋体" w:hAnsi="宋体"/>
                <w:kern w:val="0"/>
                <w:sz w:val="18"/>
                <w:szCs w:val="21"/>
              </w:rPr>
            </w:pPr>
            <w:r>
              <w:rPr>
                <w:rFonts w:ascii="宋体" w:hAnsi="宋体"/>
                <w:kern w:val="0"/>
                <w:sz w:val="18"/>
                <w:szCs w:val="21"/>
              </w:rPr>
              <w:t>0.482</w:t>
            </w:r>
          </w:p>
        </w:tc>
        <w:tc>
          <w:tcPr>
            <w:tcW w:w="223" w:type="pct"/>
            <w:shd w:val="clear" w:color="auto" w:fill="auto"/>
            <w:noWrap/>
            <w:vAlign w:val="center"/>
          </w:tcPr>
          <w:p w14:paraId="45A73023">
            <w:pPr>
              <w:pStyle w:val="23"/>
              <w:jc w:val="center"/>
              <w:rPr>
                <w:rFonts w:ascii="宋体" w:hAnsi="宋体"/>
                <w:kern w:val="0"/>
                <w:sz w:val="18"/>
                <w:szCs w:val="21"/>
              </w:rPr>
            </w:pPr>
            <w:r>
              <w:rPr>
                <w:rFonts w:ascii="宋体" w:hAnsi="宋体"/>
                <w:kern w:val="0"/>
                <w:sz w:val="18"/>
                <w:szCs w:val="21"/>
              </w:rPr>
              <w:t>0177</w:t>
            </w:r>
          </w:p>
        </w:tc>
        <w:tc>
          <w:tcPr>
            <w:tcW w:w="223" w:type="pct"/>
            <w:shd w:val="clear" w:color="auto" w:fill="auto"/>
            <w:noWrap/>
            <w:vAlign w:val="center"/>
          </w:tcPr>
          <w:p w14:paraId="2A819A05">
            <w:pPr>
              <w:pStyle w:val="23"/>
              <w:jc w:val="center"/>
              <w:rPr>
                <w:rFonts w:ascii="宋体" w:hAnsi="宋体"/>
                <w:kern w:val="0"/>
                <w:sz w:val="18"/>
                <w:szCs w:val="21"/>
              </w:rPr>
            </w:pPr>
            <w:r>
              <w:rPr>
                <w:rFonts w:ascii="宋体" w:hAnsi="宋体"/>
                <w:kern w:val="0"/>
                <w:sz w:val="18"/>
                <w:szCs w:val="21"/>
              </w:rPr>
              <w:t>.36</w:t>
            </w:r>
          </w:p>
        </w:tc>
        <w:tc>
          <w:tcPr>
            <w:tcW w:w="223" w:type="pct"/>
            <w:shd w:val="clear" w:color="auto" w:fill="auto"/>
            <w:noWrap/>
            <w:vAlign w:val="center"/>
          </w:tcPr>
          <w:p w14:paraId="598315B2">
            <w:pPr>
              <w:pStyle w:val="23"/>
              <w:jc w:val="center"/>
              <w:rPr>
                <w:rFonts w:ascii="宋体" w:hAnsi="宋体"/>
                <w:kern w:val="0"/>
                <w:sz w:val="18"/>
                <w:szCs w:val="21"/>
              </w:rPr>
            </w:pPr>
            <w:r>
              <w:rPr>
                <w:rFonts w:ascii="宋体" w:hAnsi="宋体"/>
                <w:kern w:val="0"/>
                <w:sz w:val="18"/>
                <w:szCs w:val="21"/>
              </w:rPr>
              <w:t>00</w:t>
            </w:r>
          </w:p>
        </w:tc>
        <w:tc>
          <w:tcPr>
            <w:tcW w:w="223" w:type="pct"/>
            <w:shd w:val="clear" w:color="auto" w:fill="auto"/>
            <w:noWrap/>
            <w:vAlign w:val="center"/>
          </w:tcPr>
          <w:p w14:paraId="497C0A9C">
            <w:pPr>
              <w:pStyle w:val="23"/>
              <w:jc w:val="center"/>
              <w:rPr>
                <w:rFonts w:ascii="宋体" w:hAnsi="宋体"/>
                <w:kern w:val="0"/>
                <w:sz w:val="18"/>
                <w:szCs w:val="21"/>
              </w:rPr>
            </w:pPr>
            <w:r>
              <w:rPr>
                <w:rFonts w:ascii="宋体" w:hAnsi="宋体"/>
                <w:kern w:val="0"/>
                <w:sz w:val="18"/>
                <w:szCs w:val="21"/>
              </w:rPr>
              <w:t>50</w:t>
            </w:r>
          </w:p>
        </w:tc>
        <w:tc>
          <w:tcPr>
            <w:tcW w:w="223" w:type="pct"/>
            <w:shd w:val="clear" w:color="auto" w:fill="auto"/>
            <w:noWrap/>
            <w:vAlign w:val="center"/>
          </w:tcPr>
          <w:p w14:paraId="62BFCDAE">
            <w:pPr>
              <w:pStyle w:val="23"/>
              <w:jc w:val="center"/>
              <w:rPr>
                <w:rFonts w:ascii="宋体" w:hAnsi="宋体"/>
                <w:kern w:val="0"/>
                <w:sz w:val="18"/>
                <w:szCs w:val="21"/>
              </w:rPr>
            </w:pPr>
            <w:r>
              <w:rPr>
                <w:rFonts w:ascii="宋体" w:hAnsi="宋体"/>
                <w:kern w:val="0"/>
                <w:sz w:val="18"/>
                <w:szCs w:val="21"/>
              </w:rPr>
              <w:t>00</w:t>
            </w:r>
          </w:p>
        </w:tc>
        <w:tc>
          <w:tcPr>
            <w:tcW w:w="223" w:type="pct"/>
            <w:shd w:val="clear" w:color="auto" w:fill="auto"/>
            <w:noWrap/>
            <w:vAlign w:val="center"/>
          </w:tcPr>
          <w:p w14:paraId="63DAFD0A">
            <w:pPr>
              <w:pStyle w:val="23"/>
              <w:jc w:val="center"/>
              <w:rPr>
                <w:rFonts w:ascii="宋体" w:hAnsi="宋体"/>
                <w:kern w:val="0"/>
                <w:sz w:val="18"/>
                <w:szCs w:val="21"/>
              </w:rPr>
            </w:pPr>
            <w:r>
              <w:rPr>
                <w:rFonts w:ascii="宋体" w:hAnsi="宋体"/>
                <w:kern w:val="0"/>
                <w:sz w:val="18"/>
                <w:szCs w:val="21"/>
              </w:rPr>
              <w:t>00a</w:t>
            </w:r>
          </w:p>
        </w:tc>
        <w:tc>
          <w:tcPr>
            <w:tcW w:w="223" w:type="pct"/>
            <w:shd w:val="clear" w:color="auto" w:fill="auto"/>
            <w:noWrap/>
            <w:vAlign w:val="center"/>
          </w:tcPr>
          <w:p w14:paraId="6D09050E">
            <w:pPr>
              <w:pStyle w:val="23"/>
              <w:jc w:val="center"/>
              <w:rPr>
                <w:rFonts w:ascii="宋体" w:hAnsi="宋体"/>
                <w:kern w:val="0"/>
                <w:sz w:val="18"/>
                <w:szCs w:val="21"/>
              </w:rPr>
            </w:pPr>
            <w:r>
              <w:rPr>
                <w:rFonts w:ascii="宋体" w:hAnsi="宋体"/>
                <w:kern w:val="0"/>
                <w:sz w:val="18"/>
                <w:szCs w:val="21"/>
              </w:rPr>
              <w:t>090</w:t>
            </w:r>
          </w:p>
        </w:tc>
        <w:tc>
          <w:tcPr>
            <w:tcW w:w="223" w:type="pct"/>
            <w:shd w:val="clear" w:color="auto" w:fill="auto"/>
            <w:noWrap/>
            <w:vAlign w:val="center"/>
          </w:tcPr>
          <w:p w14:paraId="1183F00A">
            <w:pPr>
              <w:pStyle w:val="23"/>
              <w:jc w:val="center"/>
              <w:rPr>
                <w:rFonts w:ascii="宋体" w:hAnsi="宋体"/>
                <w:kern w:val="0"/>
                <w:sz w:val="18"/>
                <w:szCs w:val="21"/>
              </w:rPr>
            </w:pPr>
            <w:r>
              <w:rPr>
                <w:rFonts w:ascii="宋体" w:hAnsi="宋体"/>
                <w:kern w:val="0"/>
                <w:sz w:val="18"/>
                <w:szCs w:val="21"/>
              </w:rPr>
              <w:t>0</w:t>
            </w:r>
          </w:p>
        </w:tc>
        <w:tc>
          <w:tcPr>
            <w:tcW w:w="223" w:type="pct"/>
            <w:shd w:val="clear" w:color="auto" w:fill="auto"/>
            <w:noWrap/>
            <w:vAlign w:val="center"/>
          </w:tcPr>
          <w:p w14:paraId="286A5A2F">
            <w:pPr>
              <w:pStyle w:val="23"/>
              <w:jc w:val="center"/>
              <w:rPr>
                <w:rFonts w:ascii="宋体" w:hAnsi="宋体"/>
                <w:kern w:val="0"/>
                <w:sz w:val="18"/>
                <w:szCs w:val="21"/>
              </w:rPr>
            </w:pPr>
            <w:r>
              <w:rPr>
                <w:rFonts w:ascii="宋体" w:hAnsi="宋体"/>
                <w:kern w:val="0"/>
                <w:sz w:val="18"/>
                <w:szCs w:val="21"/>
              </w:rPr>
              <w:t>0</w:t>
            </w:r>
          </w:p>
        </w:tc>
        <w:tc>
          <w:tcPr>
            <w:tcW w:w="223" w:type="pct"/>
            <w:shd w:val="clear" w:color="auto" w:fill="auto"/>
            <w:noWrap/>
            <w:vAlign w:val="center"/>
          </w:tcPr>
          <w:p w14:paraId="72E8695A">
            <w:pPr>
              <w:pStyle w:val="23"/>
              <w:jc w:val="center"/>
              <w:rPr>
                <w:rFonts w:ascii="宋体" w:hAnsi="宋体"/>
                <w:kern w:val="0"/>
                <w:sz w:val="18"/>
                <w:szCs w:val="21"/>
              </w:rPr>
            </w:pPr>
            <w:r>
              <w:rPr>
                <w:rFonts w:ascii="宋体" w:hAnsi="宋体"/>
                <w:kern w:val="0"/>
                <w:sz w:val="18"/>
                <w:szCs w:val="21"/>
              </w:rPr>
              <w:t>034</w:t>
            </w:r>
          </w:p>
        </w:tc>
        <w:tc>
          <w:tcPr>
            <w:tcW w:w="223" w:type="pct"/>
            <w:shd w:val="clear" w:color="auto" w:fill="auto"/>
            <w:noWrap/>
            <w:vAlign w:val="center"/>
          </w:tcPr>
          <w:p w14:paraId="3C9933EF">
            <w:pPr>
              <w:pStyle w:val="23"/>
              <w:jc w:val="center"/>
              <w:rPr>
                <w:rFonts w:ascii="宋体" w:hAnsi="宋体"/>
                <w:kern w:val="0"/>
                <w:sz w:val="18"/>
                <w:szCs w:val="21"/>
              </w:rPr>
            </w:pPr>
          </w:p>
        </w:tc>
        <w:tc>
          <w:tcPr>
            <w:tcW w:w="223" w:type="pct"/>
            <w:shd w:val="clear" w:color="auto" w:fill="auto"/>
            <w:noWrap/>
            <w:vAlign w:val="center"/>
          </w:tcPr>
          <w:p w14:paraId="4BABAB53">
            <w:pPr>
              <w:pStyle w:val="23"/>
              <w:jc w:val="center"/>
              <w:rPr>
                <w:rFonts w:ascii="宋体" w:hAnsi="宋体"/>
                <w:kern w:val="0"/>
                <w:sz w:val="18"/>
                <w:szCs w:val="21"/>
              </w:rPr>
            </w:pPr>
          </w:p>
        </w:tc>
        <w:tc>
          <w:tcPr>
            <w:tcW w:w="223" w:type="pct"/>
            <w:vMerge w:val="continue"/>
            <w:vAlign w:val="center"/>
          </w:tcPr>
          <w:p w14:paraId="6343497C">
            <w:pPr>
              <w:pStyle w:val="23"/>
              <w:jc w:val="center"/>
              <w:rPr>
                <w:rFonts w:ascii="宋体" w:hAnsi="宋体"/>
                <w:kern w:val="0"/>
                <w:sz w:val="18"/>
                <w:szCs w:val="21"/>
              </w:rPr>
            </w:pPr>
          </w:p>
        </w:tc>
      </w:tr>
      <w:tr w14:paraId="1728D28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23" w:type="pct"/>
            <w:vMerge w:val="continue"/>
            <w:vAlign w:val="center"/>
          </w:tcPr>
          <w:p w14:paraId="16200A33">
            <w:pPr>
              <w:pStyle w:val="23"/>
              <w:jc w:val="center"/>
              <w:rPr>
                <w:rFonts w:ascii="宋体" w:hAnsi="宋体"/>
                <w:kern w:val="0"/>
                <w:sz w:val="18"/>
                <w:szCs w:val="21"/>
              </w:rPr>
            </w:pPr>
          </w:p>
        </w:tc>
        <w:tc>
          <w:tcPr>
            <w:tcW w:w="312" w:type="pct"/>
            <w:shd w:val="clear" w:color="auto" w:fill="auto"/>
            <w:noWrap/>
            <w:vAlign w:val="center"/>
          </w:tcPr>
          <w:p w14:paraId="588F2018">
            <w:pPr>
              <w:pStyle w:val="23"/>
              <w:jc w:val="center"/>
              <w:rPr>
                <w:rFonts w:ascii="宋体" w:hAnsi="宋体"/>
                <w:kern w:val="0"/>
                <w:sz w:val="18"/>
                <w:szCs w:val="21"/>
              </w:rPr>
            </w:pPr>
            <w:r>
              <w:rPr>
                <w:rFonts w:ascii="宋体" w:hAnsi="宋体"/>
                <w:kern w:val="0"/>
                <w:sz w:val="18"/>
                <w:szCs w:val="21"/>
              </w:rPr>
              <w:t>超标率(%)</w:t>
            </w:r>
          </w:p>
        </w:tc>
        <w:tc>
          <w:tcPr>
            <w:tcW w:w="223" w:type="pct"/>
            <w:shd w:val="clear" w:color="auto" w:fill="auto"/>
            <w:noWrap/>
            <w:vAlign w:val="center"/>
          </w:tcPr>
          <w:p w14:paraId="7D304F4A">
            <w:pPr>
              <w:pStyle w:val="23"/>
              <w:jc w:val="center"/>
              <w:rPr>
                <w:rFonts w:ascii="宋体" w:hAnsi="宋体"/>
                <w:kern w:val="0"/>
                <w:sz w:val="18"/>
                <w:szCs w:val="21"/>
              </w:rPr>
            </w:pPr>
            <w:r>
              <w:rPr>
                <w:rFonts w:ascii="宋体" w:hAnsi="宋体"/>
                <w:kern w:val="0"/>
                <w:sz w:val="18"/>
                <w:szCs w:val="21"/>
              </w:rPr>
              <w:t>-</w:t>
            </w:r>
          </w:p>
        </w:tc>
        <w:tc>
          <w:tcPr>
            <w:tcW w:w="223" w:type="pct"/>
            <w:shd w:val="clear" w:color="auto" w:fill="auto"/>
            <w:noWrap/>
            <w:vAlign w:val="center"/>
          </w:tcPr>
          <w:p w14:paraId="650ACD57">
            <w:pPr>
              <w:pStyle w:val="23"/>
              <w:jc w:val="center"/>
              <w:rPr>
                <w:rFonts w:ascii="宋体" w:hAnsi="宋体"/>
                <w:kern w:val="0"/>
                <w:sz w:val="18"/>
                <w:szCs w:val="21"/>
              </w:rPr>
            </w:pPr>
            <w:r>
              <w:rPr>
                <w:rFonts w:ascii="宋体" w:hAnsi="宋体"/>
                <w:kern w:val="0"/>
                <w:sz w:val="18"/>
                <w:szCs w:val="21"/>
              </w:rPr>
              <w:t>0.0</w:t>
            </w:r>
          </w:p>
        </w:tc>
        <w:tc>
          <w:tcPr>
            <w:tcW w:w="223" w:type="pct"/>
            <w:shd w:val="clear" w:color="auto" w:fill="auto"/>
            <w:noWrap/>
            <w:vAlign w:val="center"/>
          </w:tcPr>
          <w:p w14:paraId="4B25C3A5">
            <w:pPr>
              <w:pStyle w:val="23"/>
              <w:jc w:val="center"/>
              <w:rPr>
                <w:rFonts w:ascii="宋体" w:hAnsi="宋体"/>
                <w:kern w:val="0"/>
                <w:sz w:val="18"/>
                <w:szCs w:val="21"/>
              </w:rPr>
            </w:pPr>
            <w:r>
              <w:rPr>
                <w:rFonts w:ascii="宋体" w:hAnsi="宋体"/>
                <w:kern w:val="0"/>
                <w:sz w:val="18"/>
                <w:szCs w:val="21"/>
              </w:rPr>
              <w:t>0.0</w:t>
            </w:r>
          </w:p>
        </w:tc>
        <w:tc>
          <w:tcPr>
            <w:tcW w:w="223" w:type="pct"/>
            <w:shd w:val="clear" w:color="auto" w:fill="auto"/>
            <w:noWrap/>
            <w:vAlign w:val="center"/>
          </w:tcPr>
          <w:p w14:paraId="680FECE7">
            <w:pPr>
              <w:pStyle w:val="23"/>
              <w:jc w:val="center"/>
              <w:rPr>
                <w:rFonts w:ascii="宋体" w:hAnsi="宋体"/>
                <w:kern w:val="0"/>
                <w:sz w:val="18"/>
                <w:szCs w:val="21"/>
              </w:rPr>
            </w:pPr>
            <w:r>
              <w:rPr>
                <w:rFonts w:ascii="宋体" w:hAnsi="宋体"/>
                <w:kern w:val="0"/>
                <w:sz w:val="18"/>
                <w:szCs w:val="21"/>
              </w:rPr>
              <w:t>0.0</w:t>
            </w:r>
          </w:p>
        </w:tc>
        <w:tc>
          <w:tcPr>
            <w:tcW w:w="223" w:type="pct"/>
            <w:shd w:val="clear" w:color="auto" w:fill="auto"/>
            <w:noWrap/>
            <w:vAlign w:val="center"/>
          </w:tcPr>
          <w:p w14:paraId="05F158D2">
            <w:pPr>
              <w:pStyle w:val="23"/>
              <w:jc w:val="center"/>
              <w:rPr>
                <w:rFonts w:ascii="宋体" w:hAnsi="宋体"/>
                <w:kern w:val="0"/>
                <w:sz w:val="18"/>
                <w:szCs w:val="21"/>
              </w:rPr>
            </w:pPr>
            <w:r>
              <w:rPr>
                <w:rFonts w:ascii="宋体" w:hAnsi="宋体"/>
                <w:kern w:val="0"/>
                <w:sz w:val="18"/>
                <w:szCs w:val="21"/>
              </w:rPr>
              <w:t>0.0</w:t>
            </w:r>
          </w:p>
        </w:tc>
        <w:tc>
          <w:tcPr>
            <w:tcW w:w="223" w:type="pct"/>
            <w:shd w:val="clear" w:color="auto" w:fill="auto"/>
            <w:noWrap/>
            <w:vAlign w:val="center"/>
          </w:tcPr>
          <w:p w14:paraId="7F332820">
            <w:pPr>
              <w:pStyle w:val="23"/>
              <w:jc w:val="center"/>
              <w:rPr>
                <w:rFonts w:ascii="宋体" w:hAnsi="宋体"/>
                <w:kern w:val="0"/>
                <w:sz w:val="18"/>
                <w:szCs w:val="21"/>
              </w:rPr>
            </w:pPr>
            <w:r>
              <w:rPr>
                <w:rFonts w:ascii="宋体" w:hAnsi="宋体"/>
                <w:kern w:val="0"/>
                <w:sz w:val="18"/>
                <w:szCs w:val="21"/>
              </w:rPr>
              <w:t>0.0</w:t>
            </w:r>
          </w:p>
        </w:tc>
        <w:tc>
          <w:tcPr>
            <w:tcW w:w="223" w:type="pct"/>
            <w:shd w:val="clear" w:color="auto" w:fill="auto"/>
            <w:noWrap/>
            <w:vAlign w:val="center"/>
          </w:tcPr>
          <w:p w14:paraId="4D718D61">
            <w:pPr>
              <w:pStyle w:val="23"/>
              <w:jc w:val="center"/>
              <w:rPr>
                <w:rFonts w:ascii="宋体" w:hAnsi="宋体"/>
                <w:kern w:val="0"/>
                <w:sz w:val="18"/>
                <w:szCs w:val="21"/>
              </w:rPr>
            </w:pPr>
            <w:r>
              <w:rPr>
                <w:rFonts w:ascii="宋体" w:hAnsi="宋体"/>
                <w:kern w:val="0"/>
                <w:sz w:val="18"/>
                <w:szCs w:val="21"/>
              </w:rPr>
              <w:t>0.</w:t>
            </w:r>
          </w:p>
        </w:tc>
        <w:tc>
          <w:tcPr>
            <w:tcW w:w="223" w:type="pct"/>
            <w:shd w:val="clear" w:color="auto" w:fill="auto"/>
            <w:noWrap/>
            <w:vAlign w:val="center"/>
          </w:tcPr>
          <w:p w14:paraId="1F30E488">
            <w:pPr>
              <w:pStyle w:val="23"/>
              <w:jc w:val="center"/>
              <w:rPr>
                <w:rFonts w:ascii="宋体" w:hAnsi="宋体"/>
                <w:kern w:val="0"/>
                <w:sz w:val="18"/>
                <w:szCs w:val="21"/>
              </w:rPr>
            </w:pPr>
            <w:r>
              <w:rPr>
                <w:rFonts w:ascii="宋体" w:hAnsi="宋体"/>
                <w:kern w:val="0"/>
                <w:sz w:val="18"/>
                <w:szCs w:val="21"/>
              </w:rPr>
              <w:t>0.0</w:t>
            </w:r>
          </w:p>
        </w:tc>
        <w:tc>
          <w:tcPr>
            <w:tcW w:w="223" w:type="pct"/>
            <w:shd w:val="clear" w:color="auto" w:fill="auto"/>
            <w:noWrap/>
            <w:vAlign w:val="center"/>
          </w:tcPr>
          <w:p w14:paraId="29EA8D75">
            <w:pPr>
              <w:pStyle w:val="23"/>
              <w:jc w:val="center"/>
              <w:rPr>
                <w:rFonts w:ascii="宋体" w:hAnsi="宋体"/>
                <w:kern w:val="0"/>
                <w:sz w:val="18"/>
                <w:szCs w:val="21"/>
              </w:rPr>
            </w:pPr>
            <w:r>
              <w:rPr>
                <w:rFonts w:ascii="宋体" w:hAnsi="宋体"/>
                <w:kern w:val="0"/>
                <w:sz w:val="18"/>
                <w:szCs w:val="21"/>
              </w:rPr>
              <w:t>0.0</w:t>
            </w:r>
          </w:p>
        </w:tc>
        <w:tc>
          <w:tcPr>
            <w:tcW w:w="223" w:type="pct"/>
            <w:shd w:val="clear" w:color="auto" w:fill="auto"/>
            <w:noWrap/>
            <w:vAlign w:val="center"/>
          </w:tcPr>
          <w:p w14:paraId="5814363B">
            <w:pPr>
              <w:pStyle w:val="23"/>
              <w:jc w:val="center"/>
              <w:rPr>
                <w:rFonts w:ascii="宋体" w:hAnsi="宋体"/>
                <w:kern w:val="0"/>
                <w:sz w:val="18"/>
                <w:szCs w:val="21"/>
              </w:rPr>
            </w:pPr>
            <w:r>
              <w:rPr>
                <w:rFonts w:ascii="宋体" w:hAnsi="宋体"/>
                <w:kern w:val="0"/>
                <w:sz w:val="18"/>
                <w:szCs w:val="21"/>
              </w:rPr>
              <w:t>0.0</w:t>
            </w:r>
          </w:p>
        </w:tc>
        <w:tc>
          <w:tcPr>
            <w:tcW w:w="223" w:type="pct"/>
            <w:shd w:val="clear" w:color="auto" w:fill="auto"/>
            <w:noWrap/>
            <w:vAlign w:val="center"/>
          </w:tcPr>
          <w:p w14:paraId="6535B7E4">
            <w:pPr>
              <w:pStyle w:val="23"/>
              <w:jc w:val="center"/>
              <w:rPr>
                <w:rFonts w:ascii="宋体" w:hAnsi="宋体"/>
                <w:kern w:val="0"/>
                <w:sz w:val="18"/>
                <w:szCs w:val="21"/>
              </w:rPr>
            </w:pPr>
            <w:r>
              <w:rPr>
                <w:rFonts w:ascii="宋体" w:hAnsi="宋体"/>
                <w:kern w:val="0"/>
                <w:sz w:val="18"/>
                <w:szCs w:val="21"/>
              </w:rPr>
              <w:t>0.0</w:t>
            </w:r>
          </w:p>
        </w:tc>
        <w:tc>
          <w:tcPr>
            <w:tcW w:w="223" w:type="pct"/>
            <w:shd w:val="clear" w:color="auto" w:fill="auto"/>
            <w:noWrap/>
            <w:vAlign w:val="center"/>
          </w:tcPr>
          <w:p w14:paraId="508B28A6">
            <w:pPr>
              <w:pStyle w:val="23"/>
              <w:jc w:val="center"/>
              <w:rPr>
                <w:rFonts w:ascii="宋体" w:hAnsi="宋体"/>
                <w:kern w:val="0"/>
                <w:sz w:val="18"/>
                <w:szCs w:val="21"/>
              </w:rPr>
            </w:pPr>
            <w:r>
              <w:rPr>
                <w:rFonts w:ascii="宋体" w:hAnsi="宋体"/>
                <w:kern w:val="0"/>
                <w:sz w:val="18"/>
                <w:szCs w:val="21"/>
              </w:rPr>
              <w:t>0.0</w:t>
            </w:r>
          </w:p>
        </w:tc>
        <w:tc>
          <w:tcPr>
            <w:tcW w:w="223" w:type="pct"/>
            <w:shd w:val="clear" w:color="auto" w:fill="auto"/>
            <w:noWrap/>
            <w:vAlign w:val="center"/>
          </w:tcPr>
          <w:p w14:paraId="05D91278">
            <w:pPr>
              <w:pStyle w:val="23"/>
              <w:jc w:val="center"/>
              <w:rPr>
                <w:rFonts w:ascii="宋体" w:hAnsi="宋体"/>
                <w:kern w:val="0"/>
                <w:sz w:val="18"/>
                <w:szCs w:val="21"/>
              </w:rPr>
            </w:pPr>
            <w:r>
              <w:rPr>
                <w:rFonts w:ascii="宋体" w:hAnsi="宋体"/>
                <w:kern w:val="0"/>
                <w:sz w:val="18"/>
                <w:szCs w:val="21"/>
              </w:rPr>
              <w:t>0.0</w:t>
            </w:r>
          </w:p>
        </w:tc>
        <w:tc>
          <w:tcPr>
            <w:tcW w:w="223" w:type="pct"/>
            <w:shd w:val="clear" w:color="auto" w:fill="auto"/>
            <w:noWrap/>
            <w:vAlign w:val="center"/>
          </w:tcPr>
          <w:p w14:paraId="04D92D4B">
            <w:pPr>
              <w:pStyle w:val="23"/>
              <w:jc w:val="center"/>
              <w:rPr>
                <w:rFonts w:ascii="宋体" w:hAnsi="宋体"/>
                <w:kern w:val="0"/>
                <w:sz w:val="18"/>
                <w:szCs w:val="21"/>
              </w:rPr>
            </w:pPr>
            <w:r>
              <w:rPr>
                <w:rFonts w:ascii="宋体" w:hAnsi="宋体"/>
                <w:kern w:val="0"/>
                <w:sz w:val="18"/>
                <w:szCs w:val="21"/>
              </w:rPr>
              <w:t>0.0</w:t>
            </w:r>
          </w:p>
        </w:tc>
        <w:tc>
          <w:tcPr>
            <w:tcW w:w="223" w:type="pct"/>
            <w:shd w:val="clear" w:color="auto" w:fill="auto"/>
            <w:noWrap/>
            <w:vAlign w:val="center"/>
          </w:tcPr>
          <w:p w14:paraId="0A36BA28">
            <w:pPr>
              <w:pStyle w:val="23"/>
              <w:jc w:val="center"/>
              <w:rPr>
                <w:rFonts w:ascii="宋体" w:hAnsi="宋体"/>
                <w:kern w:val="0"/>
                <w:sz w:val="18"/>
                <w:szCs w:val="21"/>
              </w:rPr>
            </w:pPr>
            <w:r>
              <w:rPr>
                <w:rFonts w:ascii="宋体" w:hAnsi="宋体"/>
                <w:kern w:val="0"/>
                <w:sz w:val="18"/>
                <w:szCs w:val="21"/>
              </w:rPr>
              <w:t>0.0</w:t>
            </w:r>
          </w:p>
        </w:tc>
        <w:tc>
          <w:tcPr>
            <w:tcW w:w="223" w:type="pct"/>
            <w:shd w:val="clear" w:color="auto" w:fill="auto"/>
            <w:noWrap/>
            <w:vAlign w:val="center"/>
          </w:tcPr>
          <w:p w14:paraId="3684B7E7">
            <w:pPr>
              <w:pStyle w:val="23"/>
              <w:jc w:val="center"/>
              <w:rPr>
                <w:rFonts w:ascii="宋体" w:hAnsi="宋体"/>
                <w:kern w:val="0"/>
                <w:sz w:val="18"/>
                <w:szCs w:val="21"/>
              </w:rPr>
            </w:pPr>
            <w:r>
              <w:rPr>
                <w:rFonts w:ascii="宋体" w:hAnsi="宋体"/>
                <w:kern w:val="0"/>
                <w:sz w:val="18"/>
                <w:szCs w:val="21"/>
              </w:rPr>
              <w:t>0.0</w:t>
            </w:r>
          </w:p>
        </w:tc>
        <w:tc>
          <w:tcPr>
            <w:tcW w:w="223" w:type="pct"/>
            <w:shd w:val="clear" w:color="auto" w:fill="auto"/>
            <w:noWrap/>
            <w:vAlign w:val="center"/>
          </w:tcPr>
          <w:p w14:paraId="5DEAFCCE">
            <w:pPr>
              <w:pStyle w:val="23"/>
              <w:jc w:val="center"/>
              <w:rPr>
                <w:rFonts w:ascii="宋体" w:hAnsi="宋体"/>
                <w:kern w:val="0"/>
                <w:sz w:val="18"/>
                <w:szCs w:val="21"/>
              </w:rPr>
            </w:pPr>
            <w:r>
              <w:rPr>
                <w:rFonts w:ascii="宋体" w:hAnsi="宋体"/>
                <w:kern w:val="0"/>
                <w:sz w:val="18"/>
                <w:szCs w:val="21"/>
              </w:rPr>
              <w:t>0.0</w:t>
            </w:r>
          </w:p>
        </w:tc>
        <w:tc>
          <w:tcPr>
            <w:tcW w:w="223" w:type="pct"/>
            <w:shd w:val="clear" w:color="auto" w:fill="auto"/>
            <w:noWrap/>
            <w:vAlign w:val="center"/>
          </w:tcPr>
          <w:p w14:paraId="24BBDAB1">
            <w:pPr>
              <w:pStyle w:val="23"/>
              <w:jc w:val="center"/>
              <w:rPr>
                <w:rFonts w:ascii="宋体" w:hAnsi="宋体"/>
                <w:kern w:val="0"/>
                <w:sz w:val="18"/>
                <w:szCs w:val="21"/>
              </w:rPr>
            </w:pPr>
          </w:p>
        </w:tc>
        <w:tc>
          <w:tcPr>
            <w:tcW w:w="223" w:type="pct"/>
            <w:shd w:val="clear" w:color="auto" w:fill="auto"/>
            <w:noWrap/>
            <w:vAlign w:val="center"/>
          </w:tcPr>
          <w:p w14:paraId="07C9A9CB">
            <w:pPr>
              <w:pStyle w:val="23"/>
              <w:jc w:val="center"/>
              <w:rPr>
                <w:rFonts w:ascii="宋体" w:hAnsi="宋体"/>
                <w:kern w:val="0"/>
                <w:sz w:val="18"/>
                <w:szCs w:val="21"/>
              </w:rPr>
            </w:pPr>
          </w:p>
        </w:tc>
        <w:tc>
          <w:tcPr>
            <w:tcW w:w="223" w:type="pct"/>
            <w:vMerge w:val="continue"/>
            <w:vAlign w:val="center"/>
          </w:tcPr>
          <w:p w14:paraId="2213AE10">
            <w:pPr>
              <w:pStyle w:val="23"/>
              <w:jc w:val="center"/>
              <w:rPr>
                <w:rFonts w:ascii="宋体" w:hAnsi="宋体"/>
                <w:kern w:val="0"/>
                <w:sz w:val="18"/>
                <w:szCs w:val="21"/>
              </w:rPr>
            </w:pPr>
          </w:p>
        </w:tc>
      </w:tr>
      <w:tr w14:paraId="0F7171D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23" w:type="pct"/>
            <w:vMerge w:val="continue"/>
            <w:vAlign w:val="center"/>
          </w:tcPr>
          <w:p w14:paraId="73B3880E">
            <w:pPr>
              <w:pStyle w:val="23"/>
              <w:jc w:val="center"/>
              <w:rPr>
                <w:rFonts w:ascii="宋体" w:hAnsi="宋体"/>
                <w:kern w:val="0"/>
                <w:sz w:val="18"/>
                <w:szCs w:val="21"/>
              </w:rPr>
            </w:pPr>
          </w:p>
        </w:tc>
        <w:tc>
          <w:tcPr>
            <w:tcW w:w="312" w:type="pct"/>
            <w:shd w:val="clear" w:color="auto" w:fill="auto"/>
            <w:noWrap/>
            <w:vAlign w:val="center"/>
          </w:tcPr>
          <w:p w14:paraId="3C7C14B8">
            <w:pPr>
              <w:pStyle w:val="23"/>
              <w:jc w:val="center"/>
              <w:rPr>
                <w:rFonts w:ascii="宋体" w:hAnsi="宋体"/>
                <w:kern w:val="0"/>
                <w:sz w:val="18"/>
                <w:szCs w:val="21"/>
              </w:rPr>
            </w:pPr>
            <w:r>
              <w:rPr>
                <w:rFonts w:ascii="宋体" w:hAnsi="宋体"/>
                <w:kern w:val="0"/>
                <w:sz w:val="18"/>
                <w:szCs w:val="21"/>
              </w:rPr>
              <w:t>污染指数</w:t>
            </w:r>
          </w:p>
        </w:tc>
        <w:tc>
          <w:tcPr>
            <w:tcW w:w="223" w:type="pct"/>
            <w:shd w:val="clear" w:color="auto" w:fill="auto"/>
            <w:noWrap/>
            <w:vAlign w:val="center"/>
          </w:tcPr>
          <w:p w14:paraId="7C816467">
            <w:pPr>
              <w:pStyle w:val="23"/>
              <w:jc w:val="center"/>
              <w:rPr>
                <w:rFonts w:ascii="宋体" w:hAnsi="宋体"/>
                <w:kern w:val="0"/>
                <w:sz w:val="18"/>
                <w:szCs w:val="21"/>
              </w:rPr>
            </w:pPr>
            <w:r>
              <w:rPr>
                <w:rFonts w:ascii="宋体" w:hAnsi="宋体"/>
                <w:kern w:val="0"/>
                <w:sz w:val="18"/>
                <w:szCs w:val="21"/>
              </w:rPr>
              <w:t>-</w:t>
            </w:r>
          </w:p>
        </w:tc>
        <w:tc>
          <w:tcPr>
            <w:tcW w:w="223" w:type="pct"/>
            <w:shd w:val="clear" w:color="auto" w:fill="auto"/>
            <w:noWrap/>
            <w:vAlign w:val="center"/>
          </w:tcPr>
          <w:p w14:paraId="34324431">
            <w:pPr>
              <w:pStyle w:val="23"/>
              <w:jc w:val="center"/>
              <w:rPr>
                <w:rFonts w:ascii="宋体" w:hAnsi="宋体"/>
                <w:kern w:val="0"/>
                <w:sz w:val="18"/>
                <w:szCs w:val="21"/>
              </w:rPr>
            </w:pPr>
            <w:r>
              <w:rPr>
                <w:rFonts w:ascii="宋体" w:hAnsi="宋体"/>
                <w:kern w:val="0"/>
                <w:sz w:val="18"/>
                <w:szCs w:val="21"/>
              </w:rPr>
              <w:t>0.24</w:t>
            </w:r>
          </w:p>
        </w:tc>
        <w:tc>
          <w:tcPr>
            <w:tcW w:w="223" w:type="pct"/>
            <w:shd w:val="clear" w:color="auto" w:fill="auto"/>
            <w:noWrap/>
            <w:vAlign w:val="center"/>
          </w:tcPr>
          <w:p w14:paraId="5E4EF054">
            <w:pPr>
              <w:pStyle w:val="23"/>
              <w:jc w:val="center"/>
              <w:rPr>
                <w:rFonts w:ascii="宋体" w:hAnsi="宋体"/>
                <w:kern w:val="0"/>
                <w:sz w:val="18"/>
                <w:szCs w:val="21"/>
              </w:rPr>
            </w:pPr>
            <w:r>
              <w:rPr>
                <w:rFonts w:ascii="宋体" w:hAnsi="宋体"/>
                <w:kern w:val="0"/>
                <w:sz w:val="18"/>
                <w:szCs w:val="21"/>
              </w:rPr>
              <w:t>0.31</w:t>
            </w:r>
          </w:p>
        </w:tc>
        <w:tc>
          <w:tcPr>
            <w:tcW w:w="223" w:type="pct"/>
            <w:shd w:val="clear" w:color="auto" w:fill="auto"/>
            <w:noWrap/>
            <w:vAlign w:val="center"/>
          </w:tcPr>
          <w:p w14:paraId="3D0C9E0A">
            <w:pPr>
              <w:pStyle w:val="23"/>
              <w:jc w:val="center"/>
              <w:rPr>
                <w:rFonts w:ascii="宋体" w:hAnsi="宋体"/>
                <w:kern w:val="0"/>
                <w:sz w:val="18"/>
                <w:szCs w:val="21"/>
              </w:rPr>
            </w:pPr>
            <w:r>
              <w:rPr>
                <w:rFonts w:ascii="宋体" w:hAnsi="宋体"/>
                <w:kern w:val="0"/>
                <w:sz w:val="18"/>
                <w:szCs w:val="21"/>
              </w:rPr>
              <w:t>0.28</w:t>
            </w:r>
          </w:p>
        </w:tc>
        <w:tc>
          <w:tcPr>
            <w:tcW w:w="223" w:type="pct"/>
            <w:shd w:val="clear" w:color="auto" w:fill="auto"/>
            <w:noWrap/>
            <w:vAlign w:val="center"/>
          </w:tcPr>
          <w:p w14:paraId="6E50B340">
            <w:pPr>
              <w:pStyle w:val="23"/>
              <w:jc w:val="center"/>
              <w:rPr>
                <w:rFonts w:ascii="宋体" w:hAnsi="宋体"/>
                <w:kern w:val="0"/>
                <w:sz w:val="18"/>
                <w:szCs w:val="21"/>
              </w:rPr>
            </w:pPr>
            <w:r>
              <w:rPr>
                <w:rFonts w:ascii="宋体" w:hAnsi="宋体"/>
                <w:kern w:val="0"/>
                <w:sz w:val="18"/>
                <w:szCs w:val="21"/>
              </w:rPr>
              <w:t>0.42</w:t>
            </w:r>
          </w:p>
        </w:tc>
        <w:tc>
          <w:tcPr>
            <w:tcW w:w="223" w:type="pct"/>
            <w:shd w:val="clear" w:color="auto" w:fill="auto"/>
            <w:noWrap/>
            <w:vAlign w:val="center"/>
          </w:tcPr>
          <w:p w14:paraId="4CB381F4">
            <w:pPr>
              <w:pStyle w:val="23"/>
              <w:jc w:val="center"/>
              <w:rPr>
                <w:rFonts w:ascii="宋体" w:hAnsi="宋体"/>
                <w:kern w:val="0"/>
                <w:sz w:val="18"/>
                <w:szCs w:val="21"/>
              </w:rPr>
            </w:pPr>
            <w:r>
              <w:rPr>
                <w:rFonts w:ascii="宋体" w:hAnsi="宋体"/>
                <w:kern w:val="0"/>
                <w:sz w:val="18"/>
                <w:szCs w:val="21"/>
              </w:rPr>
              <w:t>0.45</w:t>
            </w:r>
          </w:p>
        </w:tc>
        <w:tc>
          <w:tcPr>
            <w:tcW w:w="223" w:type="pct"/>
            <w:shd w:val="clear" w:color="auto" w:fill="auto"/>
            <w:noWrap/>
            <w:vAlign w:val="center"/>
          </w:tcPr>
          <w:p w14:paraId="160FF443">
            <w:pPr>
              <w:pStyle w:val="23"/>
              <w:jc w:val="center"/>
              <w:rPr>
                <w:rFonts w:ascii="宋体" w:hAnsi="宋体"/>
                <w:kern w:val="0"/>
                <w:sz w:val="18"/>
                <w:szCs w:val="21"/>
              </w:rPr>
            </w:pPr>
            <w:r>
              <w:rPr>
                <w:rFonts w:ascii="宋体" w:hAnsi="宋体"/>
                <w:kern w:val="0"/>
                <w:sz w:val="18"/>
                <w:szCs w:val="21"/>
              </w:rPr>
              <w:t>0.32</w:t>
            </w:r>
          </w:p>
        </w:tc>
        <w:tc>
          <w:tcPr>
            <w:tcW w:w="223" w:type="pct"/>
            <w:shd w:val="clear" w:color="auto" w:fill="auto"/>
            <w:noWrap/>
            <w:vAlign w:val="center"/>
          </w:tcPr>
          <w:p w14:paraId="4409DA4E">
            <w:pPr>
              <w:pStyle w:val="23"/>
              <w:jc w:val="center"/>
              <w:rPr>
                <w:rFonts w:ascii="宋体" w:hAnsi="宋体"/>
                <w:kern w:val="0"/>
                <w:sz w:val="18"/>
                <w:szCs w:val="21"/>
              </w:rPr>
            </w:pPr>
            <w:r>
              <w:rPr>
                <w:rFonts w:ascii="宋体" w:hAnsi="宋体"/>
                <w:kern w:val="0"/>
                <w:sz w:val="18"/>
                <w:szCs w:val="21"/>
              </w:rPr>
              <w:t>0.9</w:t>
            </w:r>
          </w:p>
        </w:tc>
        <w:tc>
          <w:tcPr>
            <w:tcW w:w="223" w:type="pct"/>
            <w:shd w:val="clear" w:color="auto" w:fill="auto"/>
            <w:noWrap/>
            <w:vAlign w:val="center"/>
          </w:tcPr>
          <w:p w14:paraId="7F0C0204">
            <w:pPr>
              <w:pStyle w:val="23"/>
              <w:jc w:val="center"/>
              <w:rPr>
                <w:rFonts w:ascii="宋体" w:hAnsi="宋体"/>
                <w:kern w:val="0"/>
                <w:sz w:val="18"/>
                <w:szCs w:val="21"/>
              </w:rPr>
            </w:pPr>
            <w:r>
              <w:rPr>
                <w:rFonts w:ascii="宋体" w:hAnsi="宋体"/>
                <w:kern w:val="0"/>
                <w:sz w:val="18"/>
                <w:szCs w:val="21"/>
              </w:rPr>
              <w:t>0.22</w:t>
            </w:r>
          </w:p>
        </w:tc>
        <w:tc>
          <w:tcPr>
            <w:tcW w:w="223" w:type="pct"/>
            <w:shd w:val="clear" w:color="auto" w:fill="auto"/>
            <w:noWrap/>
            <w:vAlign w:val="center"/>
          </w:tcPr>
          <w:p w14:paraId="28634204">
            <w:pPr>
              <w:pStyle w:val="23"/>
              <w:jc w:val="center"/>
              <w:rPr>
                <w:rFonts w:ascii="宋体" w:hAnsi="宋体"/>
                <w:kern w:val="0"/>
                <w:sz w:val="18"/>
                <w:szCs w:val="21"/>
              </w:rPr>
            </w:pPr>
            <w:r>
              <w:rPr>
                <w:rFonts w:ascii="宋体" w:hAnsi="宋体"/>
                <w:kern w:val="0"/>
                <w:sz w:val="18"/>
                <w:szCs w:val="21"/>
              </w:rPr>
              <w:t>0.49</w:t>
            </w:r>
          </w:p>
        </w:tc>
        <w:tc>
          <w:tcPr>
            <w:tcW w:w="223" w:type="pct"/>
            <w:shd w:val="clear" w:color="auto" w:fill="auto"/>
            <w:noWrap/>
            <w:vAlign w:val="center"/>
          </w:tcPr>
          <w:p w14:paraId="68EBE46A">
            <w:pPr>
              <w:pStyle w:val="23"/>
              <w:jc w:val="center"/>
              <w:rPr>
                <w:rFonts w:ascii="宋体" w:hAnsi="宋体"/>
                <w:kern w:val="0"/>
                <w:sz w:val="18"/>
                <w:szCs w:val="21"/>
              </w:rPr>
            </w:pPr>
            <w:r>
              <w:rPr>
                <w:rFonts w:ascii="宋体" w:hAnsi="宋体"/>
                <w:kern w:val="0"/>
                <w:sz w:val="18"/>
                <w:szCs w:val="21"/>
              </w:rPr>
              <w:t>0.13</w:t>
            </w:r>
          </w:p>
        </w:tc>
        <w:tc>
          <w:tcPr>
            <w:tcW w:w="223" w:type="pct"/>
            <w:shd w:val="clear" w:color="auto" w:fill="auto"/>
            <w:noWrap/>
            <w:vAlign w:val="center"/>
          </w:tcPr>
          <w:p w14:paraId="52102CB9">
            <w:pPr>
              <w:pStyle w:val="23"/>
              <w:jc w:val="center"/>
              <w:rPr>
                <w:rFonts w:ascii="宋体" w:hAnsi="宋体"/>
                <w:kern w:val="0"/>
                <w:sz w:val="18"/>
                <w:szCs w:val="21"/>
              </w:rPr>
            </w:pPr>
            <w:r>
              <w:rPr>
                <w:rFonts w:ascii="宋体" w:hAnsi="宋体"/>
                <w:kern w:val="0"/>
                <w:sz w:val="18"/>
                <w:szCs w:val="21"/>
              </w:rPr>
              <w:t>0.00</w:t>
            </w:r>
          </w:p>
        </w:tc>
        <w:tc>
          <w:tcPr>
            <w:tcW w:w="223" w:type="pct"/>
            <w:shd w:val="clear" w:color="auto" w:fill="auto"/>
            <w:noWrap/>
            <w:vAlign w:val="center"/>
          </w:tcPr>
          <w:p w14:paraId="42CEFE7F">
            <w:pPr>
              <w:pStyle w:val="23"/>
              <w:jc w:val="center"/>
              <w:rPr>
                <w:rFonts w:ascii="宋体" w:hAnsi="宋体"/>
                <w:kern w:val="0"/>
                <w:sz w:val="18"/>
                <w:szCs w:val="21"/>
              </w:rPr>
            </w:pPr>
            <w:r>
              <w:rPr>
                <w:rFonts w:ascii="宋体" w:hAnsi="宋体"/>
                <w:kern w:val="0"/>
                <w:sz w:val="18"/>
                <w:szCs w:val="21"/>
              </w:rPr>
              <w:t>0.0</w:t>
            </w:r>
          </w:p>
        </w:tc>
        <w:tc>
          <w:tcPr>
            <w:tcW w:w="223" w:type="pct"/>
            <w:shd w:val="clear" w:color="auto" w:fill="auto"/>
            <w:noWrap/>
            <w:vAlign w:val="center"/>
          </w:tcPr>
          <w:p w14:paraId="26950D67">
            <w:pPr>
              <w:pStyle w:val="23"/>
              <w:jc w:val="center"/>
              <w:rPr>
                <w:rFonts w:ascii="宋体" w:hAnsi="宋体"/>
                <w:kern w:val="0"/>
                <w:sz w:val="18"/>
                <w:szCs w:val="21"/>
              </w:rPr>
            </w:pPr>
            <w:r>
              <w:rPr>
                <w:rFonts w:ascii="宋体" w:hAnsi="宋体"/>
                <w:kern w:val="0"/>
                <w:sz w:val="18"/>
                <w:szCs w:val="21"/>
              </w:rPr>
              <w:t>0.39</w:t>
            </w:r>
          </w:p>
        </w:tc>
        <w:tc>
          <w:tcPr>
            <w:tcW w:w="223" w:type="pct"/>
            <w:shd w:val="clear" w:color="auto" w:fill="auto"/>
            <w:noWrap/>
            <w:vAlign w:val="center"/>
          </w:tcPr>
          <w:p w14:paraId="7B2B4E90">
            <w:pPr>
              <w:pStyle w:val="23"/>
              <w:jc w:val="center"/>
              <w:rPr>
                <w:rFonts w:ascii="宋体" w:hAnsi="宋体"/>
                <w:kern w:val="0"/>
                <w:sz w:val="18"/>
                <w:szCs w:val="21"/>
              </w:rPr>
            </w:pPr>
            <w:r>
              <w:rPr>
                <w:rFonts w:ascii="宋体" w:hAnsi="宋体"/>
                <w:kern w:val="0"/>
                <w:sz w:val="18"/>
                <w:szCs w:val="21"/>
              </w:rPr>
              <w:t>0.00</w:t>
            </w:r>
          </w:p>
        </w:tc>
        <w:tc>
          <w:tcPr>
            <w:tcW w:w="223" w:type="pct"/>
            <w:shd w:val="clear" w:color="auto" w:fill="auto"/>
            <w:noWrap/>
            <w:vAlign w:val="center"/>
          </w:tcPr>
          <w:p w14:paraId="6DE0FAC2">
            <w:pPr>
              <w:pStyle w:val="23"/>
              <w:jc w:val="center"/>
              <w:rPr>
                <w:rFonts w:ascii="宋体" w:hAnsi="宋体"/>
                <w:kern w:val="0"/>
                <w:sz w:val="18"/>
                <w:szCs w:val="21"/>
              </w:rPr>
            </w:pPr>
            <w:r>
              <w:rPr>
                <w:rFonts w:ascii="宋体" w:hAnsi="宋体"/>
                <w:kern w:val="0"/>
                <w:sz w:val="18"/>
                <w:szCs w:val="21"/>
              </w:rPr>
              <w:t>0.00</w:t>
            </w:r>
          </w:p>
        </w:tc>
        <w:tc>
          <w:tcPr>
            <w:tcW w:w="223" w:type="pct"/>
            <w:shd w:val="clear" w:color="auto" w:fill="auto"/>
            <w:noWrap/>
            <w:vAlign w:val="center"/>
          </w:tcPr>
          <w:p w14:paraId="723FB6CB">
            <w:pPr>
              <w:pStyle w:val="23"/>
              <w:jc w:val="center"/>
              <w:rPr>
                <w:rFonts w:ascii="宋体" w:hAnsi="宋体"/>
                <w:kern w:val="0"/>
                <w:sz w:val="18"/>
                <w:szCs w:val="21"/>
              </w:rPr>
            </w:pPr>
            <w:r>
              <w:rPr>
                <w:rFonts w:ascii="宋体" w:hAnsi="宋体"/>
                <w:kern w:val="0"/>
                <w:sz w:val="18"/>
                <w:szCs w:val="21"/>
              </w:rPr>
              <w:t>0.07</w:t>
            </w:r>
          </w:p>
        </w:tc>
        <w:tc>
          <w:tcPr>
            <w:tcW w:w="223" w:type="pct"/>
            <w:shd w:val="clear" w:color="auto" w:fill="auto"/>
            <w:noWrap/>
            <w:vAlign w:val="center"/>
          </w:tcPr>
          <w:p w14:paraId="22613F00">
            <w:pPr>
              <w:pStyle w:val="23"/>
              <w:jc w:val="center"/>
              <w:rPr>
                <w:rFonts w:ascii="宋体" w:hAnsi="宋体"/>
                <w:kern w:val="0"/>
                <w:sz w:val="18"/>
                <w:szCs w:val="21"/>
              </w:rPr>
            </w:pPr>
          </w:p>
        </w:tc>
        <w:tc>
          <w:tcPr>
            <w:tcW w:w="223" w:type="pct"/>
            <w:shd w:val="clear" w:color="auto" w:fill="auto"/>
            <w:noWrap/>
            <w:vAlign w:val="center"/>
          </w:tcPr>
          <w:p w14:paraId="12F58D70">
            <w:pPr>
              <w:pStyle w:val="23"/>
              <w:jc w:val="center"/>
              <w:rPr>
                <w:rFonts w:ascii="宋体" w:hAnsi="宋体"/>
                <w:kern w:val="0"/>
                <w:sz w:val="18"/>
                <w:szCs w:val="21"/>
              </w:rPr>
            </w:pPr>
          </w:p>
        </w:tc>
        <w:tc>
          <w:tcPr>
            <w:tcW w:w="223" w:type="pct"/>
            <w:vMerge w:val="continue"/>
            <w:vAlign w:val="center"/>
          </w:tcPr>
          <w:p w14:paraId="64D443B4">
            <w:pPr>
              <w:pStyle w:val="23"/>
              <w:jc w:val="center"/>
              <w:rPr>
                <w:rFonts w:ascii="宋体" w:hAnsi="宋体"/>
                <w:kern w:val="0"/>
                <w:sz w:val="18"/>
                <w:szCs w:val="21"/>
              </w:rPr>
            </w:pPr>
          </w:p>
        </w:tc>
      </w:tr>
      <w:tr w14:paraId="75391A0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23" w:type="pct"/>
            <w:vMerge w:val="continue"/>
            <w:vAlign w:val="center"/>
          </w:tcPr>
          <w:p w14:paraId="6E76723E">
            <w:pPr>
              <w:pStyle w:val="23"/>
              <w:jc w:val="center"/>
              <w:rPr>
                <w:rFonts w:ascii="宋体" w:hAnsi="宋体"/>
                <w:kern w:val="0"/>
                <w:sz w:val="18"/>
                <w:szCs w:val="21"/>
              </w:rPr>
            </w:pPr>
          </w:p>
        </w:tc>
        <w:tc>
          <w:tcPr>
            <w:tcW w:w="312" w:type="pct"/>
            <w:shd w:val="clear" w:color="auto" w:fill="auto"/>
            <w:noWrap/>
            <w:vAlign w:val="center"/>
          </w:tcPr>
          <w:p w14:paraId="649CE86B">
            <w:pPr>
              <w:pStyle w:val="23"/>
              <w:jc w:val="center"/>
              <w:rPr>
                <w:rFonts w:ascii="宋体" w:hAnsi="宋体"/>
                <w:kern w:val="0"/>
                <w:sz w:val="18"/>
                <w:szCs w:val="21"/>
              </w:rPr>
            </w:pPr>
            <w:r>
              <w:rPr>
                <w:rFonts w:ascii="宋体" w:hAnsi="宋体"/>
                <w:kern w:val="0"/>
                <w:sz w:val="18"/>
                <w:szCs w:val="21"/>
              </w:rPr>
              <w:t>污染分担率(%)</w:t>
            </w:r>
          </w:p>
        </w:tc>
        <w:tc>
          <w:tcPr>
            <w:tcW w:w="223" w:type="pct"/>
            <w:shd w:val="clear" w:color="auto" w:fill="auto"/>
            <w:noWrap/>
            <w:vAlign w:val="center"/>
          </w:tcPr>
          <w:p w14:paraId="6028337E">
            <w:pPr>
              <w:pStyle w:val="23"/>
              <w:jc w:val="center"/>
              <w:rPr>
                <w:rFonts w:ascii="宋体" w:hAnsi="宋体"/>
                <w:kern w:val="0"/>
                <w:sz w:val="18"/>
                <w:szCs w:val="21"/>
              </w:rPr>
            </w:pPr>
            <w:r>
              <w:rPr>
                <w:rFonts w:ascii="宋体" w:hAnsi="宋体"/>
                <w:kern w:val="0"/>
                <w:sz w:val="18"/>
                <w:szCs w:val="21"/>
              </w:rPr>
              <w:t>-</w:t>
            </w:r>
          </w:p>
        </w:tc>
        <w:tc>
          <w:tcPr>
            <w:tcW w:w="223" w:type="pct"/>
            <w:shd w:val="clear" w:color="auto" w:fill="auto"/>
            <w:noWrap/>
            <w:vAlign w:val="center"/>
          </w:tcPr>
          <w:p w14:paraId="00AA82FE">
            <w:pPr>
              <w:pStyle w:val="23"/>
              <w:jc w:val="center"/>
              <w:rPr>
                <w:rFonts w:ascii="宋体" w:hAnsi="宋体"/>
                <w:kern w:val="0"/>
                <w:sz w:val="18"/>
                <w:szCs w:val="21"/>
              </w:rPr>
            </w:pPr>
            <w:r>
              <w:rPr>
                <w:rFonts w:ascii="宋体" w:hAnsi="宋体"/>
                <w:kern w:val="0"/>
                <w:sz w:val="18"/>
                <w:szCs w:val="21"/>
              </w:rPr>
              <w:t>6.1</w:t>
            </w:r>
          </w:p>
        </w:tc>
        <w:tc>
          <w:tcPr>
            <w:tcW w:w="223" w:type="pct"/>
            <w:shd w:val="clear" w:color="auto" w:fill="auto"/>
            <w:noWrap/>
            <w:vAlign w:val="center"/>
          </w:tcPr>
          <w:p w14:paraId="07466D59">
            <w:pPr>
              <w:pStyle w:val="23"/>
              <w:jc w:val="center"/>
              <w:rPr>
                <w:rFonts w:ascii="宋体" w:hAnsi="宋体"/>
                <w:kern w:val="0"/>
                <w:sz w:val="18"/>
                <w:szCs w:val="21"/>
              </w:rPr>
            </w:pPr>
            <w:r>
              <w:rPr>
                <w:rFonts w:ascii="宋体" w:hAnsi="宋体"/>
                <w:kern w:val="0"/>
                <w:sz w:val="18"/>
                <w:szCs w:val="21"/>
              </w:rPr>
              <w:t>7.8</w:t>
            </w:r>
          </w:p>
        </w:tc>
        <w:tc>
          <w:tcPr>
            <w:tcW w:w="223" w:type="pct"/>
            <w:shd w:val="clear" w:color="auto" w:fill="auto"/>
            <w:noWrap/>
            <w:vAlign w:val="center"/>
          </w:tcPr>
          <w:p w14:paraId="6BD99394">
            <w:pPr>
              <w:pStyle w:val="23"/>
              <w:jc w:val="center"/>
              <w:rPr>
                <w:rFonts w:ascii="宋体" w:hAnsi="宋体"/>
                <w:kern w:val="0"/>
                <w:sz w:val="18"/>
                <w:szCs w:val="21"/>
              </w:rPr>
            </w:pPr>
            <w:r>
              <w:rPr>
                <w:rFonts w:ascii="宋体" w:hAnsi="宋体"/>
                <w:kern w:val="0"/>
                <w:sz w:val="18"/>
                <w:szCs w:val="21"/>
              </w:rPr>
              <w:t>7.2</w:t>
            </w:r>
          </w:p>
        </w:tc>
        <w:tc>
          <w:tcPr>
            <w:tcW w:w="223" w:type="pct"/>
            <w:shd w:val="clear" w:color="auto" w:fill="auto"/>
            <w:noWrap/>
            <w:vAlign w:val="center"/>
          </w:tcPr>
          <w:p w14:paraId="0483236F">
            <w:pPr>
              <w:pStyle w:val="23"/>
              <w:jc w:val="center"/>
              <w:rPr>
                <w:rFonts w:ascii="宋体" w:hAnsi="宋体"/>
                <w:kern w:val="0"/>
                <w:sz w:val="18"/>
                <w:szCs w:val="21"/>
              </w:rPr>
            </w:pPr>
            <w:r>
              <w:rPr>
                <w:rFonts w:ascii="宋体" w:hAnsi="宋体"/>
                <w:kern w:val="0"/>
                <w:sz w:val="18"/>
                <w:szCs w:val="21"/>
              </w:rPr>
              <w:t>10.8</w:t>
            </w:r>
          </w:p>
        </w:tc>
        <w:tc>
          <w:tcPr>
            <w:tcW w:w="223" w:type="pct"/>
            <w:shd w:val="clear" w:color="auto" w:fill="auto"/>
            <w:noWrap/>
            <w:vAlign w:val="center"/>
          </w:tcPr>
          <w:p w14:paraId="6000E43C">
            <w:pPr>
              <w:pStyle w:val="23"/>
              <w:jc w:val="center"/>
              <w:rPr>
                <w:rFonts w:ascii="宋体" w:hAnsi="宋体"/>
                <w:kern w:val="0"/>
                <w:sz w:val="18"/>
                <w:szCs w:val="21"/>
              </w:rPr>
            </w:pPr>
            <w:r>
              <w:rPr>
                <w:rFonts w:ascii="宋体" w:hAnsi="宋体"/>
                <w:kern w:val="0"/>
                <w:sz w:val="18"/>
                <w:szCs w:val="21"/>
              </w:rPr>
              <w:t>11.5</w:t>
            </w:r>
          </w:p>
        </w:tc>
        <w:tc>
          <w:tcPr>
            <w:tcW w:w="223" w:type="pct"/>
            <w:shd w:val="clear" w:color="auto" w:fill="auto"/>
            <w:noWrap/>
            <w:vAlign w:val="center"/>
          </w:tcPr>
          <w:p w14:paraId="406A31D7">
            <w:pPr>
              <w:pStyle w:val="23"/>
              <w:jc w:val="center"/>
              <w:rPr>
                <w:rFonts w:ascii="宋体" w:hAnsi="宋体"/>
                <w:kern w:val="0"/>
                <w:sz w:val="18"/>
                <w:szCs w:val="21"/>
              </w:rPr>
            </w:pPr>
            <w:r>
              <w:rPr>
                <w:rFonts w:ascii="宋体" w:hAnsi="宋体"/>
                <w:kern w:val="0"/>
                <w:sz w:val="18"/>
                <w:szCs w:val="21"/>
              </w:rPr>
              <w:t>82</w:t>
            </w:r>
          </w:p>
        </w:tc>
        <w:tc>
          <w:tcPr>
            <w:tcW w:w="223" w:type="pct"/>
            <w:shd w:val="clear" w:color="auto" w:fill="auto"/>
            <w:noWrap/>
            <w:vAlign w:val="center"/>
          </w:tcPr>
          <w:p w14:paraId="1D3627F0">
            <w:pPr>
              <w:pStyle w:val="23"/>
              <w:jc w:val="center"/>
              <w:rPr>
                <w:rFonts w:ascii="宋体" w:hAnsi="宋体"/>
                <w:kern w:val="0"/>
                <w:sz w:val="18"/>
                <w:szCs w:val="21"/>
              </w:rPr>
            </w:pPr>
            <w:r>
              <w:rPr>
                <w:rFonts w:ascii="宋体" w:hAnsi="宋体"/>
                <w:kern w:val="0"/>
                <w:sz w:val="18"/>
                <w:szCs w:val="21"/>
              </w:rPr>
              <w:t>15.1</w:t>
            </w:r>
          </w:p>
        </w:tc>
        <w:tc>
          <w:tcPr>
            <w:tcW w:w="223" w:type="pct"/>
            <w:shd w:val="clear" w:color="auto" w:fill="auto"/>
            <w:noWrap/>
            <w:vAlign w:val="center"/>
          </w:tcPr>
          <w:p w14:paraId="579214BF">
            <w:pPr>
              <w:pStyle w:val="23"/>
              <w:jc w:val="center"/>
              <w:rPr>
                <w:rFonts w:ascii="宋体" w:hAnsi="宋体"/>
                <w:kern w:val="0"/>
                <w:sz w:val="18"/>
                <w:szCs w:val="21"/>
              </w:rPr>
            </w:pPr>
            <w:r>
              <w:rPr>
                <w:rFonts w:ascii="宋体" w:hAnsi="宋体"/>
                <w:kern w:val="0"/>
                <w:sz w:val="18"/>
                <w:szCs w:val="21"/>
              </w:rPr>
              <w:t>5.7</w:t>
            </w:r>
          </w:p>
        </w:tc>
        <w:tc>
          <w:tcPr>
            <w:tcW w:w="223" w:type="pct"/>
            <w:shd w:val="clear" w:color="auto" w:fill="auto"/>
            <w:noWrap/>
            <w:vAlign w:val="center"/>
          </w:tcPr>
          <w:p w14:paraId="3D7F6056">
            <w:pPr>
              <w:pStyle w:val="23"/>
              <w:jc w:val="center"/>
              <w:rPr>
                <w:rFonts w:ascii="宋体" w:hAnsi="宋体"/>
                <w:kern w:val="0"/>
                <w:sz w:val="18"/>
                <w:szCs w:val="21"/>
              </w:rPr>
            </w:pPr>
            <w:r>
              <w:rPr>
                <w:rFonts w:ascii="宋体" w:hAnsi="宋体"/>
                <w:kern w:val="0"/>
                <w:sz w:val="18"/>
                <w:szCs w:val="21"/>
              </w:rPr>
              <w:t>12.6</w:t>
            </w:r>
          </w:p>
        </w:tc>
        <w:tc>
          <w:tcPr>
            <w:tcW w:w="223" w:type="pct"/>
            <w:shd w:val="clear" w:color="auto" w:fill="auto"/>
            <w:noWrap/>
            <w:vAlign w:val="center"/>
          </w:tcPr>
          <w:p w14:paraId="45936C82">
            <w:pPr>
              <w:pStyle w:val="23"/>
              <w:jc w:val="center"/>
              <w:rPr>
                <w:rFonts w:ascii="宋体" w:hAnsi="宋体"/>
                <w:kern w:val="0"/>
                <w:sz w:val="18"/>
                <w:szCs w:val="21"/>
              </w:rPr>
            </w:pPr>
            <w:r>
              <w:rPr>
                <w:rFonts w:ascii="宋体" w:hAnsi="宋体"/>
                <w:kern w:val="0"/>
                <w:sz w:val="18"/>
                <w:szCs w:val="21"/>
              </w:rPr>
              <w:t>3.3</w:t>
            </w:r>
          </w:p>
        </w:tc>
        <w:tc>
          <w:tcPr>
            <w:tcW w:w="223" w:type="pct"/>
            <w:shd w:val="clear" w:color="auto" w:fill="auto"/>
            <w:noWrap/>
            <w:vAlign w:val="center"/>
          </w:tcPr>
          <w:p w14:paraId="542EDFDC">
            <w:pPr>
              <w:pStyle w:val="23"/>
              <w:jc w:val="center"/>
              <w:rPr>
                <w:rFonts w:ascii="宋体" w:hAnsi="宋体"/>
                <w:kern w:val="0"/>
                <w:sz w:val="18"/>
                <w:szCs w:val="21"/>
              </w:rPr>
            </w:pPr>
            <w:r>
              <w:rPr>
                <w:rFonts w:ascii="宋体" w:hAnsi="宋体"/>
                <w:kern w:val="0"/>
                <w:sz w:val="18"/>
                <w:szCs w:val="21"/>
              </w:rPr>
              <w:t>0.0</w:t>
            </w:r>
          </w:p>
        </w:tc>
        <w:tc>
          <w:tcPr>
            <w:tcW w:w="223" w:type="pct"/>
            <w:shd w:val="clear" w:color="auto" w:fill="auto"/>
            <w:noWrap/>
            <w:vAlign w:val="center"/>
          </w:tcPr>
          <w:p w14:paraId="38E7C8D3">
            <w:pPr>
              <w:pStyle w:val="23"/>
              <w:jc w:val="center"/>
              <w:rPr>
                <w:rFonts w:ascii="宋体" w:hAnsi="宋体"/>
                <w:kern w:val="0"/>
                <w:sz w:val="18"/>
                <w:szCs w:val="21"/>
              </w:rPr>
            </w:pPr>
            <w:r>
              <w:rPr>
                <w:rFonts w:ascii="宋体" w:hAnsi="宋体"/>
                <w:kern w:val="0"/>
                <w:sz w:val="18"/>
                <w:szCs w:val="21"/>
              </w:rPr>
              <w:t>0.0</w:t>
            </w:r>
          </w:p>
        </w:tc>
        <w:tc>
          <w:tcPr>
            <w:tcW w:w="223" w:type="pct"/>
            <w:shd w:val="clear" w:color="auto" w:fill="auto"/>
            <w:noWrap/>
            <w:vAlign w:val="center"/>
          </w:tcPr>
          <w:p w14:paraId="0B67E3F0">
            <w:pPr>
              <w:pStyle w:val="23"/>
              <w:jc w:val="center"/>
              <w:rPr>
                <w:rFonts w:ascii="宋体" w:hAnsi="宋体"/>
                <w:kern w:val="0"/>
                <w:sz w:val="18"/>
                <w:szCs w:val="21"/>
              </w:rPr>
            </w:pPr>
            <w:r>
              <w:rPr>
                <w:rFonts w:ascii="宋体" w:hAnsi="宋体"/>
                <w:kern w:val="0"/>
                <w:sz w:val="18"/>
                <w:szCs w:val="21"/>
              </w:rPr>
              <w:t>9.9</w:t>
            </w:r>
          </w:p>
        </w:tc>
        <w:tc>
          <w:tcPr>
            <w:tcW w:w="223" w:type="pct"/>
            <w:shd w:val="clear" w:color="auto" w:fill="auto"/>
            <w:noWrap/>
            <w:vAlign w:val="center"/>
          </w:tcPr>
          <w:p w14:paraId="64D070E6">
            <w:pPr>
              <w:pStyle w:val="23"/>
              <w:jc w:val="center"/>
              <w:rPr>
                <w:rFonts w:ascii="宋体" w:hAnsi="宋体"/>
                <w:kern w:val="0"/>
                <w:sz w:val="18"/>
                <w:szCs w:val="21"/>
              </w:rPr>
            </w:pPr>
            <w:r>
              <w:rPr>
                <w:rFonts w:ascii="宋体" w:hAnsi="宋体"/>
                <w:kern w:val="0"/>
                <w:sz w:val="18"/>
                <w:szCs w:val="21"/>
              </w:rPr>
              <w:t>0.0</w:t>
            </w:r>
          </w:p>
        </w:tc>
        <w:tc>
          <w:tcPr>
            <w:tcW w:w="223" w:type="pct"/>
            <w:shd w:val="clear" w:color="auto" w:fill="auto"/>
            <w:noWrap/>
            <w:vAlign w:val="center"/>
          </w:tcPr>
          <w:p w14:paraId="3D139094">
            <w:pPr>
              <w:pStyle w:val="23"/>
              <w:jc w:val="center"/>
              <w:rPr>
                <w:rFonts w:ascii="宋体" w:hAnsi="宋体"/>
                <w:kern w:val="0"/>
                <w:sz w:val="18"/>
                <w:szCs w:val="21"/>
              </w:rPr>
            </w:pPr>
            <w:r>
              <w:rPr>
                <w:rFonts w:ascii="宋体" w:hAnsi="宋体"/>
                <w:kern w:val="0"/>
                <w:sz w:val="18"/>
                <w:szCs w:val="21"/>
              </w:rPr>
              <w:t>0.0</w:t>
            </w:r>
          </w:p>
        </w:tc>
        <w:tc>
          <w:tcPr>
            <w:tcW w:w="223" w:type="pct"/>
            <w:shd w:val="clear" w:color="auto" w:fill="auto"/>
            <w:noWrap/>
            <w:vAlign w:val="center"/>
          </w:tcPr>
          <w:p w14:paraId="5E4E405B">
            <w:pPr>
              <w:pStyle w:val="23"/>
              <w:jc w:val="center"/>
              <w:rPr>
                <w:rFonts w:ascii="宋体" w:hAnsi="宋体"/>
                <w:kern w:val="0"/>
                <w:sz w:val="18"/>
                <w:szCs w:val="21"/>
              </w:rPr>
            </w:pPr>
            <w:r>
              <w:rPr>
                <w:rFonts w:ascii="宋体" w:hAnsi="宋体"/>
                <w:kern w:val="0"/>
                <w:sz w:val="18"/>
                <w:szCs w:val="21"/>
              </w:rPr>
              <w:t>1.7</w:t>
            </w:r>
          </w:p>
        </w:tc>
        <w:tc>
          <w:tcPr>
            <w:tcW w:w="223" w:type="pct"/>
            <w:shd w:val="clear" w:color="auto" w:fill="auto"/>
            <w:noWrap/>
            <w:vAlign w:val="center"/>
          </w:tcPr>
          <w:p w14:paraId="5A5298AA">
            <w:pPr>
              <w:pStyle w:val="23"/>
              <w:jc w:val="center"/>
              <w:rPr>
                <w:rFonts w:ascii="宋体" w:hAnsi="宋体"/>
                <w:kern w:val="0"/>
                <w:sz w:val="18"/>
                <w:szCs w:val="21"/>
              </w:rPr>
            </w:pPr>
          </w:p>
        </w:tc>
        <w:tc>
          <w:tcPr>
            <w:tcW w:w="223" w:type="pct"/>
            <w:shd w:val="clear" w:color="auto" w:fill="auto"/>
            <w:noWrap/>
            <w:vAlign w:val="center"/>
          </w:tcPr>
          <w:p w14:paraId="6A874767">
            <w:pPr>
              <w:pStyle w:val="23"/>
              <w:jc w:val="center"/>
              <w:rPr>
                <w:rFonts w:ascii="宋体" w:hAnsi="宋体"/>
                <w:kern w:val="0"/>
                <w:sz w:val="18"/>
                <w:szCs w:val="21"/>
              </w:rPr>
            </w:pPr>
          </w:p>
        </w:tc>
        <w:tc>
          <w:tcPr>
            <w:tcW w:w="223" w:type="pct"/>
            <w:vMerge w:val="continue"/>
            <w:vAlign w:val="center"/>
          </w:tcPr>
          <w:p w14:paraId="5FED6E5E">
            <w:pPr>
              <w:pStyle w:val="23"/>
              <w:jc w:val="center"/>
              <w:rPr>
                <w:rFonts w:ascii="宋体" w:hAnsi="宋体"/>
                <w:kern w:val="0"/>
                <w:sz w:val="18"/>
                <w:szCs w:val="21"/>
              </w:rPr>
            </w:pPr>
          </w:p>
        </w:tc>
      </w:tr>
    </w:tbl>
    <w:p w14:paraId="6FF87467">
      <w:pPr>
        <w:autoSpaceDE w:val="0"/>
        <w:autoSpaceDN w:val="0"/>
        <w:adjustRightInd w:val="0"/>
        <w:ind w:firstLine="0" w:firstLineChars="0"/>
        <w:jc w:val="center"/>
        <w:rPr>
          <w:rFonts w:ascii="宋体" w:hAnsi="宋体" w:cs="HiddenHorzOCR"/>
          <w:b/>
          <w:color w:val="161516"/>
          <w:kern w:val="0"/>
          <w:szCs w:val="21"/>
        </w:rPr>
      </w:pPr>
      <w:r>
        <w:rPr>
          <w:rFonts w:hint="eastAsia" w:ascii="宋体" w:hAnsi="宋体" w:cs="HiddenHorzOCR"/>
          <w:b/>
          <w:color w:val="161516"/>
          <w:kern w:val="0"/>
          <w:szCs w:val="21"/>
        </w:rPr>
        <w:t xml:space="preserve">表21 </w:t>
      </w:r>
      <w:r>
        <w:rPr>
          <w:rFonts w:ascii="宋体" w:hAnsi="宋体" w:cs="HiddenHorzOCR"/>
          <w:b/>
          <w:color w:val="161516"/>
          <w:kern w:val="0"/>
          <w:szCs w:val="21"/>
        </w:rPr>
        <w:t>2011</w:t>
      </w:r>
      <w:r>
        <w:rPr>
          <w:rFonts w:hint="eastAsia" w:ascii="宋体" w:hAnsi="宋体" w:cs="HiddenHorzOCR"/>
          <w:b/>
          <w:color w:val="161516"/>
          <w:kern w:val="0"/>
          <w:szCs w:val="21"/>
        </w:rPr>
        <w:t>年南雄市环境空气中二氧化氮监测情况（单位：mg/m</w:t>
      </w:r>
      <w:r>
        <w:rPr>
          <w:rFonts w:hint="eastAsia" w:ascii="宋体" w:hAnsi="宋体" w:cs="HiddenHorzOCR"/>
          <w:b/>
          <w:color w:val="161516"/>
          <w:kern w:val="0"/>
          <w:szCs w:val="21"/>
          <w:vertAlign w:val="superscript"/>
        </w:rPr>
        <w:t>3</w:t>
      </w:r>
      <w:r>
        <w:rPr>
          <w:rFonts w:hint="eastAsia" w:ascii="宋体" w:hAnsi="宋体" w:cs="HiddenHorzOCR"/>
          <w:b/>
          <w:color w:val="161516"/>
          <w:kern w:val="0"/>
          <w:szCs w:val="21"/>
        </w:rPr>
        <w:t>）</w:t>
      </w:r>
    </w:p>
    <w:tbl>
      <w:tblPr>
        <w:tblStyle w:val="14"/>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66"/>
        <w:gridCol w:w="875"/>
        <w:gridCol w:w="489"/>
        <w:gridCol w:w="489"/>
        <w:gridCol w:w="489"/>
        <w:gridCol w:w="489"/>
        <w:gridCol w:w="489"/>
        <w:gridCol w:w="489"/>
        <w:gridCol w:w="489"/>
        <w:gridCol w:w="489"/>
        <w:gridCol w:w="489"/>
        <w:gridCol w:w="490"/>
        <w:gridCol w:w="490"/>
        <w:gridCol w:w="490"/>
        <w:gridCol w:w="490"/>
        <w:gridCol w:w="490"/>
        <w:gridCol w:w="490"/>
        <w:gridCol w:w="490"/>
        <w:gridCol w:w="490"/>
      </w:tblGrid>
      <w:tr w14:paraId="56D481B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76" w:type="pct"/>
            <w:vMerge w:val="restart"/>
            <w:shd w:val="clear" w:color="auto" w:fill="auto"/>
            <w:noWrap/>
            <w:vAlign w:val="center"/>
          </w:tcPr>
          <w:p w14:paraId="561F136B">
            <w:pPr>
              <w:pStyle w:val="23"/>
              <w:jc w:val="center"/>
              <w:rPr>
                <w:rFonts w:ascii="宋体" w:hAnsi="宋体"/>
                <w:b/>
                <w:kern w:val="0"/>
                <w:szCs w:val="21"/>
              </w:rPr>
            </w:pPr>
            <w:r>
              <w:rPr>
                <w:rFonts w:ascii="宋体" w:hAnsi="宋体"/>
                <w:b/>
                <w:kern w:val="0"/>
                <w:szCs w:val="21"/>
              </w:rPr>
              <w:t>监测点</w:t>
            </w:r>
          </w:p>
        </w:tc>
        <w:tc>
          <w:tcPr>
            <w:tcW w:w="330" w:type="pct"/>
            <w:vMerge w:val="restart"/>
            <w:shd w:val="clear" w:color="auto" w:fill="auto"/>
            <w:noWrap/>
            <w:vAlign w:val="center"/>
          </w:tcPr>
          <w:p w14:paraId="3A7EA0D0">
            <w:pPr>
              <w:pStyle w:val="23"/>
              <w:jc w:val="center"/>
              <w:rPr>
                <w:rFonts w:ascii="宋体" w:hAnsi="宋体"/>
                <w:b/>
                <w:kern w:val="0"/>
                <w:szCs w:val="21"/>
              </w:rPr>
            </w:pPr>
            <w:r>
              <w:rPr>
                <w:rFonts w:ascii="宋体" w:hAnsi="宋体"/>
                <w:b/>
                <w:kern w:val="0"/>
                <w:szCs w:val="21"/>
              </w:rPr>
              <w:t>指标</w:t>
            </w:r>
          </w:p>
        </w:tc>
        <w:tc>
          <w:tcPr>
            <w:tcW w:w="1034" w:type="pct"/>
            <w:gridSpan w:val="4"/>
            <w:shd w:val="clear" w:color="auto" w:fill="auto"/>
            <w:noWrap/>
            <w:vAlign w:val="center"/>
          </w:tcPr>
          <w:p w14:paraId="030D93F4">
            <w:pPr>
              <w:pStyle w:val="23"/>
              <w:jc w:val="center"/>
              <w:rPr>
                <w:rFonts w:ascii="宋体" w:hAnsi="宋体"/>
                <w:b/>
                <w:kern w:val="0"/>
                <w:szCs w:val="21"/>
              </w:rPr>
            </w:pPr>
            <w:r>
              <w:rPr>
                <w:rFonts w:ascii="宋体" w:hAnsi="宋体"/>
                <w:b/>
                <w:kern w:val="0"/>
                <w:szCs w:val="21"/>
              </w:rPr>
              <w:t>第一季度</w:t>
            </w:r>
          </w:p>
        </w:tc>
        <w:tc>
          <w:tcPr>
            <w:tcW w:w="1034" w:type="pct"/>
            <w:gridSpan w:val="4"/>
            <w:shd w:val="clear" w:color="auto" w:fill="auto"/>
            <w:noWrap/>
            <w:vAlign w:val="center"/>
          </w:tcPr>
          <w:p w14:paraId="0765969A">
            <w:pPr>
              <w:pStyle w:val="23"/>
              <w:jc w:val="center"/>
              <w:rPr>
                <w:rFonts w:ascii="宋体" w:hAnsi="宋体"/>
                <w:b/>
                <w:kern w:val="0"/>
                <w:szCs w:val="21"/>
              </w:rPr>
            </w:pPr>
            <w:r>
              <w:rPr>
                <w:rFonts w:ascii="宋体" w:hAnsi="宋体"/>
                <w:b/>
                <w:kern w:val="0"/>
                <w:szCs w:val="21"/>
              </w:rPr>
              <w:t>第二季度</w:t>
            </w:r>
          </w:p>
        </w:tc>
        <w:tc>
          <w:tcPr>
            <w:tcW w:w="1034" w:type="pct"/>
            <w:gridSpan w:val="4"/>
            <w:shd w:val="clear" w:color="auto" w:fill="auto"/>
            <w:noWrap/>
            <w:vAlign w:val="center"/>
          </w:tcPr>
          <w:p w14:paraId="2F199B6E">
            <w:pPr>
              <w:pStyle w:val="23"/>
              <w:jc w:val="center"/>
              <w:rPr>
                <w:rFonts w:ascii="宋体" w:hAnsi="宋体"/>
                <w:b/>
                <w:kern w:val="0"/>
                <w:szCs w:val="21"/>
              </w:rPr>
            </w:pPr>
            <w:r>
              <w:rPr>
                <w:rFonts w:ascii="宋体" w:hAnsi="宋体"/>
                <w:b/>
                <w:kern w:val="0"/>
                <w:szCs w:val="21"/>
              </w:rPr>
              <w:t>第三季度</w:t>
            </w:r>
          </w:p>
        </w:tc>
        <w:tc>
          <w:tcPr>
            <w:tcW w:w="1034" w:type="pct"/>
            <w:gridSpan w:val="4"/>
            <w:shd w:val="clear" w:color="auto" w:fill="auto"/>
            <w:noWrap/>
            <w:vAlign w:val="center"/>
          </w:tcPr>
          <w:p w14:paraId="731F6275">
            <w:pPr>
              <w:pStyle w:val="23"/>
              <w:jc w:val="center"/>
              <w:rPr>
                <w:rFonts w:ascii="宋体" w:hAnsi="宋体"/>
                <w:b/>
                <w:kern w:val="0"/>
                <w:szCs w:val="21"/>
              </w:rPr>
            </w:pPr>
            <w:r>
              <w:rPr>
                <w:rFonts w:ascii="宋体" w:hAnsi="宋体"/>
                <w:b/>
                <w:kern w:val="0"/>
                <w:szCs w:val="21"/>
              </w:rPr>
              <w:t>第四季度</w:t>
            </w:r>
          </w:p>
        </w:tc>
        <w:tc>
          <w:tcPr>
            <w:tcW w:w="258" w:type="pct"/>
            <w:shd w:val="clear" w:color="auto" w:fill="auto"/>
            <w:noWrap/>
            <w:vAlign w:val="center"/>
          </w:tcPr>
          <w:p w14:paraId="472C1164">
            <w:pPr>
              <w:pStyle w:val="23"/>
              <w:jc w:val="center"/>
              <w:rPr>
                <w:rFonts w:ascii="宋体" w:hAnsi="宋体"/>
                <w:b/>
                <w:kern w:val="0"/>
                <w:szCs w:val="21"/>
              </w:rPr>
            </w:pPr>
            <w:r>
              <w:rPr>
                <w:rFonts w:ascii="宋体" w:hAnsi="宋体"/>
                <w:b/>
                <w:kern w:val="0"/>
                <w:szCs w:val="21"/>
              </w:rPr>
              <w:t>全年</w:t>
            </w:r>
          </w:p>
        </w:tc>
      </w:tr>
      <w:tr w14:paraId="6FEAA8E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76" w:type="pct"/>
            <w:vMerge w:val="continue"/>
            <w:vAlign w:val="center"/>
          </w:tcPr>
          <w:p w14:paraId="4AD4A922">
            <w:pPr>
              <w:pStyle w:val="23"/>
              <w:jc w:val="center"/>
              <w:rPr>
                <w:rFonts w:ascii="宋体" w:hAnsi="宋体"/>
                <w:kern w:val="0"/>
                <w:szCs w:val="21"/>
              </w:rPr>
            </w:pPr>
          </w:p>
        </w:tc>
        <w:tc>
          <w:tcPr>
            <w:tcW w:w="330" w:type="pct"/>
            <w:vMerge w:val="continue"/>
            <w:vAlign w:val="center"/>
          </w:tcPr>
          <w:p w14:paraId="4A2897FF">
            <w:pPr>
              <w:pStyle w:val="23"/>
              <w:jc w:val="center"/>
              <w:rPr>
                <w:rFonts w:ascii="宋体" w:hAnsi="宋体"/>
                <w:kern w:val="0"/>
                <w:szCs w:val="21"/>
              </w:rPr>
            </w:pPr>
          </w:p>
        </w:tc>
        <w:tc>
          <w:tcPr>
            <w:tcW w:w="258" w:type="pct"/>
            <w:shd w:val="clear" w:color="auto" w:fill="auto"/>
            <w:noWrap/>
            <w:vAlign w:val="center"/>
          </w:tcPr>
          <w:p w14:paraId="07DD89D8">
            <w:pPr>
              <w:pStyle w:val="23"/>
              <w:jc w:val="center"/>
              <w:rPr>
                <w:rFonts w:ascii="宋体" w:hAnsi="宋体"/>
                <w:kern w:val="0"/>
                <w:szCs w:val="21"/>
              </w:rPr>
            </w:pPr>
            <w:r>
              <w:rPr>
                <w:rFonts w:ascii="宋体" w:hAnsi="宋体"/>
                <w:kern w:val="0"/>
                <w:szCs w:val="21"/>
              </w:rPr>
              <w:t>1月</w:t>
            </w:r>
          </w:p>
        </w:tc>
        <w:tc>
          <w:tcPr>
            <w:tcW w:w="258" w:type="pct"/>
            <w:shd w:val="clear" w:color="auto" w:fill="auto"/>
            <w:noWrap/>
            <w:vAlign w:val="center"/>
          </w:tcPr>
          <w:p w14:paraId="549BA321">
            <w:pPr>
              <w:pStyle w:val="23"/>
              <w:jc w:val="center"/>
              <w:rPr>
                <w:rFonts w:ascii="宋体" w:hAnsi="宋体"/>
                <w:kern w:val="0"/>
                <w:szCs w:val="21"/>
              </w:rPr>
            </w:pPr>
            <w:r>
              <w:rPr>
                <w:rFonts w:ascii="宋体" w:hAnsi="宋体"/>
                <w:kern w:val="0"/>
                <w:szCs w:val="21"/>
              </w:rPr>
              <w:t>2月</w:t>
            </w:r>
          </w:p>
        </w:tc>
        <w:tc>
          <w:tcPr>
            <w:tcW w:w="258" w:type="pct"/>
            <w:shd w:val="clear" w:color="auto" w:fill="auto"/>
            <w:noWrap/>
            <w:vAlign w:val="center"/>
          </w:tcPr>
          <w:p w14:paraId="1F4F65ED">
            <w:pPr>
              <w:pStyle w:val="23"/>
              <w:jc w:val="center"/>
              <w:rPr>
                <w:rFonts w:ascii="宋体" w:hAnsi="宋体"/>
                <w:kern w:val="0"/>
                <w:szCs w:val="21"/>
              </w:rPr>
            </w:pPr>
            <w:r>
              <w:rPr>
                <w:rFonts w:ascii="宋体" w:hAnsi="宋体"/>
                <w:kern w:val="0"/>
                <w:szCs w:val="21"/>
              </w:rPr>
              <w:t>3月</w:t>
            </w:r>
          </w:p>
        </w:tc>
        <w:tc>
          <w:tcPr>
            <w:tcW w:w="258" w:type="pct"/>
            <w:shd w:val="clear" w:color="auto" w:fill="auto"/>
            <w:noWrap/>
            <w:vAlign w:val="center"/>
          </w:tcPr>
          <w:p w14:paraId="5CBBD17F">
            <w:pPr>
              <w:pStyle w:val="23"/>
              <w:jc w:val="center"/>
              <w:rPr>
                <w:rFonts w:ascii="宋体" w:hAnsi="宋体"/>
                <w:kern w:val="0"/>
                <w:szCs w:val="21"/>
              </w:rPr>
            </w:pPr>
            <w:r>
              <w:rPr>
                <w:rFonts w:ascii="宋体" w:hAnsi="宋体"/>
                <w:kern w:val="0"/>
                <w:szCs w:val="21"/>
              </w:rPr>
              <w:t>小计</w:t>
            </w:r>
          </w:p>
        </w:tc>
        <w:tc>
          <w:tcPr>
            <w:tcW w:w="258" w:type="pct"/>
            <w:shd w:val="clear" w:color="auto" w:fill="auto"/>
            <w:noWrap/>
            <w:vAlign w:val="center"/>
          </w:tcPr>
          <w:p w14:paraId="762CA6D0">
            <w:pPr>
              <w:pStyle w:val="23"/>
              <w:jc w:val="center"/>
              <w:rPr>
                <w:rFonts w:ascii="宋体" w:hAnsi="宋体"/>
                <w:kern w:val="0"/>
                <w:szCs w:val="21"/>
              </w:rPr>
            </w:pPr>
            <w:r>
              <w:rPr>
                <w:rFonts w:ascii="宋体" w:hAnsi="宋体"/>
                <w:kern w:val="0"/>
                <w:szCs w:val="21"/>
              </w:rPr>
              <w:t>4月</w:t>
            </w:r>
          </w:p>
        </w:tc>
        <w:tc>
          <w:tcPr>
            <w:tcW w:w="258" w:type="pct"/>
            <w:shd w:val="clear" w:color="auto" w:fill="auto"/>
            <w:noWrap/>
            <w:vAlign w:val="center"/>
          </w:tcPr>
          <w:p w14:paraId="3A706512">
            <w:pPr>
              <w:pStyle w:val="23"/>
              <w:jc w:val="center"/>
              <w:rPr>
                <w:rFonts w:ascii="宋体" w:hAnsi="宋体"/>
                <w:kern w:val="0"/>
                <w:szCs w:val="21"/>
              </w:rPr>
            </w:pPr>
            <w:r>
              <w:rPr>
                <w:rFonts w:ascii="宋体" w:hAnsi="宋体"/>
                <w:kern w:val="0"/>
                <w:szCs w:val="21"/>
              </w:rPr>
              <w:t>5月</w:t>
            </w:r>
          </w:p>
        </w:tc>
        <w:tc>
          <w:tcPr>
            <w:tcW w:w="258" w:type="pct"/>
            <w:shd w:val="clear" w:color="auto" w:fill="auto"/>
            <w:noWrap/>
            <w:vAlign w:val="center"/>
          </w:tcPr>
          <w:p w14:paraId="4116959F">
            <w:pPr>
              <w:pStyle w:val="23"/>
              <w:jc w:val="center"/>
              <w:rPr>
                <w:rFonts w:ascii="宋体" w:hAnsi="宋体"/>
                <w:kern w:val="0"/>
                <w:szCs w:val="21"/>
              </w:rPr>
            </w:pPr>
            <w:r>
              <w:rPr>
                <w:rFonts w:ascii="宋体" w:hAnsi="宋体"/>
                <w:kern w:val="0"/>
                <w:szCs w:val="21"/>
              </w:rPr>
              <w:t>6月</w:t>
            </w:r>
          </w:p>
        </w:tc>
        <w:tc>
          <w:tcPr>
            <w:tcW w:w="258" w:type="pct"/>
            <w:shd w:val="clear" w:color="auto" w:fill="auto"/>
            <w:noWrap/>
            <w:vAlign w:val="center"/>
          </w:tcPr>
          <w:p w14:paraId="21D599D7">
            <w:pPr>
              <w:pStyle w:val="23"/>
              <w:jc w:val="center"/>
              <w:rPr>
                <w:rFonts w:ascii="宋体" w:hAnsi="宋体"/>
                <w:kern w:val="0"/>
                <w:szCs w:val="21"/>
              </w:rPr>
            </w:pPr>
            <w:r>
              <w:rPr>
                <w:rFonts w:ascii="宋体" w:hAnsi="宋体"/>
                <w:kern w:val="0"/>
                <w:szCs w:val="21"/>
              </w:rPr>
              <w:t>小计</w:t>
            </w:r>
          </w:p>
        </w:tc>
        <w:tc>
          <w:tcPr>
            <w:tcW w:w="258" w:type="pct"/>
            <w:shd w:val="clear" w:color="auto" w:fill="auto"/>
            <w:noWrap/>
            <w:vAlign w:val="center"/>
          </w:tcPr>
          <w:p w14:paraId="023B23C7">
            <w:pPr>
              <w:pStyle w:val="23"/>
              <w:jc w:val="center"/>
              <w:rPr>
                <w:rFonts w:ascii="宋体" w:hAnsi="宋体"/>
                <w:kern w:val="0"/>
                <w:szCs w:val="21"/>
              </w:rPr>
            </w:pPr>
            <w:r>
              <w:rPr>
                <w:rFonts w:ascii="宋体" w:hAnsi="宋体"/>
                <w:kern w:val="0"/>
                <w:szCs w:val="21"/>
              </w:rPr>
              <w:t>7月</w:t>
            </w:r>
          </w:p>
        </w:tc>
        <w:tc>
          <w:tcPr>
            <w:tcW w:w="258" w:type="pct"/>
            <w:shd w:val="clear" w:color="auto" w:fill="auto"/>
            <w:noWrap/>
            <w:vAlign w:val="center"/>
          </w:tcPr>
          <w:p w14:paraId="12626159">
            <w:pPr>
              <w:pStyle w:val="23"/>
              <w:jc w:val="center"/>
              <w:rPr>
                <w:rFonts w:ascii="宋体" w:hAnsi="宋体"/>
                <w:kern w:val="0"/>
                <w:szCs w:val="21"/>
              </w:rPr>
            </w:pPr>
            <w:r>
              <w:rPr>
                <w:rFonts w:ascii="宋体" w:hAnsi="宋体"/>
                <w:kern w:val="0"/>
                <w:szCs w:val="21"/>
              </w:rPr>
              <w:t>8月</w:t>
            </w:r>
          </w:p>
        </w:tc>
        <w:tc>
          <w:tcPr>
            <w:tcW w:w="258" w:type="pct"/>
            <w:shd w:val="clear" w:color="auto" w:fill="auto"/>
            <w:noWrap/>
            <w:vAlign w:val="center"/>
          </w:tcPr>
          <w:p w14:paraId="46546E18">
            <w:pPr>
              <w:pStyle w:val="23"/>
              <w:jc w:val="center"/>
              <w:rPr>
                <w:rFonts w:ascii="宋体" w:hAnsi="宋体"/>
                <w:kern w:val="0"/>
                <w:szCs w:val="21"/>
              </w:rPr>
            </w:pPr>
            <w:r>
              <w:rPr>
                <w:rFonts w:ascii="宋体" w:hAnsi="宋体"/>
                <w:kern w:val="0"/>
                <w:szCs w:val="21"/>
              </w:rPr>
              <w:t>9月</w:t>
            </w:r>
          </w:p>
        </w:tc>
        <w:tc>
          <w:tcPr>
            <w:tcW w:w="258" w:type="pct"/>
            <w:shd w:val="clear" w:color="auto" w:fill="auto"/>
            <w:noWrap/>
            <w:vAlign w:val="center"/>
          </w:tcPr>
          <w:p w14:paraId="71ADB834">
            <w:pPr>
              <w:pStyle w:val="23"/>
              <w:jc w:val="center"/>
              <w:rPr>
                <w:rFonts w:ascii="宋体" w:hAnsi="宋体"/>
                <w:kern w:val="0"/>
                <w:szCs w:val="21"/>
              </w:rPr>
            </w:pPr>
            <w:r>
              <w:rPr>
                <w:rFonts w:ascii="宋体" w:hAnsi="宋体"/>
                <w:kern w:val="0"/>
                <w:szCs w:val="21"/>
              </w:rPr>
              <w:t>小计</w:t>
            </w:r>
          </w:p>
        </w:tc>
        <w:tc>
          <w:tcPr>
            <w:tcW w:w="258" w:type="pct"/>
            <w:shd w:val="clear" w:color="auto" w:fill="auto"/>
            <w:noWrap/>
            <w:vAlign w:val="center"/>
          </w:tcPr>
          <w:p w14:paraId="05B1006F">
            <w:pPr>
              <w:pStyle w:val="23"/>
              <w:jc w:val="center"/>
              <w:rPr>
                <w:rFonts w:ascii="宋体" w:hAnsi="宋体"/>
                <w:kern w:val="0"/>
                <w:szCs w:val="21"/>
              </w:rPr>
            </w:pPr>
            <w:r>
              <w:rPr>
                <w:rFonts w:ascii="宋体" w:hAnsi="宋体"/>
                <w:kern w:val="0"/>
                <w:szCs w:val="21"/>
              </w:rPr>
              <w:t>10月</w:t>
            </w:r>
          </w:p>
        </w:tc>
        <w:tc>
          <w:tcPr>
            <w:tcW w:w="258" w:type="pct"/>
            <w:shd w:val="clear" w:color="auto" w:fill="auto"/>
            <w:noWrap/>
            <w:vAlign w:val="center"/>
          </w:tcPr>
          <w:p w14:paraId="681C5DE4">
            <w:pPr>
              <w:pStyle w:val="23"/>
              <w:jc w:val="center"/>
              <w:rPr>
                <w:rFonts w:ascii="宋体" w:hAnsi="宋体"/>
                <w:kern w:val="0"/>
                <w:szCs w:val="21"/>
              </w:rPr>
            </w:pPr>
            <w:r>
              <w:rPr>
                <w:rFonts w:ascii="宋体" w:hAnsi="宋体"/>
                <w:kern w:val="0"/>
                <w:szCs w:val="21"/>
              </w:rPr>
              <w:t>11月</w:t>
            </w:r>
          </w:p>
        </w:tc>
        <w:tc>
          <w:tcPr>
            <w:tcW w:w="258" w:type="pct"/>
            <w:shd w:val="clear" w:color="auto" w:fill="auto"/>
            <w:noWrap/>
            <w:vAlign w:val="center"/>
          </w:tcPr>
          <w:p w14:paraId="7839C6E5">
            <w:pPr>
              <w:pStyle w:val="23"/>
              <w:jc w:val="center"/>
              <w:rPr>
                <w:rFonts w:ascii="宋体" w:hAnsi="宋体"/>
                <w:kern w:val="0"/>
                <w:szCs w:val="21"/>
              </w:rPr>
            </w:pPr>
            <w:r>
              <w:rPr>
                <w:rFonts w:ascii="宋体" w:hAnsi="宋体"/>
                <w:kern w:val="0"/>
                <w:szCs w:val="21"/>
              </w:rPr>
              <w:t>12月</w:t>
            </w:r>
          </w:p>
        </w:tc>
        <w:tc>
          <w:tcPr>
            <w:tcW w:w="258" w:type="pct"/>
            <w:shd w:val="clear" w:color="auto" w:fill="auto"/>
            <w:noWrap/>
            <w:vAlign w:val="center"/>
          </w:tcPr>
          <w:p w14:paraId="49EFD0AB">
            <w:pPr>
              <w:pStyle w:val="23"/>
              <w:jc w:val="center"/>
              <w:rPr>
                <w:rFonts w:ascii="宋体" w:hAnsi="宋体"/>
                <w:kern w:val="0"/>
                <w:szCs w:val="21"/>
              </w:rPr>
            </w:pPr>
            <w:r>
              <w:rPr>
                <w:rFonts w:ascii="宋体" w:hAnsi="宋体"/>
                <w:kern w:val="0"/>
                <w:szCs w:val="21"/>
              </w:rPr>
              <w:t>小计</w:t>
            </w:r>
          </w:p>
        </w:tc>
        <w:tc>
          <w:tcPr>
            <w:tcW w:w="258" w:type="pct"/>
            <w:shd w:val="clear" w:color="auto" w:fill="auto"/>
            <w:noWrap/>
            <w:vAlign w:val="center"/>
          </w:tcPr>
          <w:p w14:paraId="4D3AC521">
            <w:pPr>
              <w:pStyle w:val="23"/>
              <w:jc w:val="center"/>
              <w:rPr>
                <w:rFonts w:ascii="宋体" w:hAnsi="宋体"/>
                <w:kern w:val="0"/>
                <w:szCs w:val="21"/>
              </w:rPr>
            </w:pPr>
            <w:r>
              <w:rPr>
                <w:rFonts w:ascii="宋体" w:hAnsi="宋体"/>
                <w:kern w:val="0"/>
                <w:szCs w:val="21"/>
              </w:rPr>
              <w:t>总计</w:t>
            </w:r>
          </w:p>
        </w:tc>
      </w:tr>
      <w:tr w14:paraId="11B3E93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76" w:type="pct"/>
            <w:vMerge w:val="restart"/>
            <w:shd w:val="clear" w:color="auto" w:fill="auto"/>
            <w:noWrap/>
            <w:vAlign w:val="center"/>
          </w:tcPr>
          <w:p w14:paraId="1E74162A">
            <w:pPr>
              <w:pStyle w:val="23"/>
              <w:jc w:val="center"/>
              <w:rPr>
                <w:rFonts w:ascii="宋体" w:hAnsi="宋体"/>
                <w:b/>
                <w:kern w:val="0"/>
                <w:szCs w:val="21"/>
              </w:rPr>
            </w:pPr>
            <w:r>
              <w:rPr>
                <w:rFonts w:ascii="宋体" w:hAnsi="宋体"/>
                <w:b/>
                <w:kern w:val="0"/>
                <w:szCs w:val="21"/>
              </w:rPr>
              <w:t>监测站大楼</w:t>
            </w:r>
          </w:p>
        </w:tc>
        <w:tc>
          <w:tcPr>
            <w:tcW w:w="330" w:type="pct"/>
            <w:shd w:val="clear" w:color="auto" w:fill="auto"/>
            <w:noWrap/>
            <w:vAlign w:val="center"/>
          </w:tcPr>
          <w:p w14:paraId="48CBFD04">
            <w:pPr>
              <w:pStyle w:val="23"/>
              <w:jc w:val="center"/>
              <w:rPr>
                <w:rFonts w:ascii="宋体" w:hAnsi="宋体"/>
                <w:b/>
                <w:kern w:val="0"/>
                <w:szCs w:val="21"/>
              </w:rPr>
            </w:pPr>
            <w:r>
              <w:rPr>
                <w:rFonts w:ascii="宋体" w:hAnsi="宋体"/>
                <w:b/>
                <w:kern w:val="0"/>
                <w:szCs w:val="21"/>
              </w:rPr>
              <w:t>日均值样品数</w:t>
            </w:r>
          </w:p>
        </w:tc>
        <w:tc>
          <w:tcPr>
            <w:tcW w:w="258" w:type="pct"/>
            <w:shd w:val="clear" w:color="auto" w:fill="auto"/>
            <w:noWrap/>
            <w:vAlign w:val="center"/>
          </w:tcPr>
          <w:p w14:paraId="7256EB03">
            <w:pPr>
              <w:pStyle w:val="23"/>
              <w:jc w:val="center"/>
              <w:rPr>
                <w:rFonts w:ascii="宋体" w:hAnsi="宋体"/>
                <w:kern w:val="0"/>
                <w:szCs w:val="21"/>
              </w:rPr>
            </w:pPr>
            <w:r>
              <w:rPr>
                <w:rFonts w:ascii="宋体" w:hAnsi="宋体"/>
                <w:kern w:val="0"/>
                <w:szCs w:val="21"/>
              </w:rPr>
              <w:t>31</w:t>
            </w:r>
          </w:p>
        </w:tc>
        <w:tc>
          <w:tcPr>
            <w:tcW w:w="258" w:type="pct"/>
            <w:shd w:val="clear" w:color="auto" w:fill="auto"/>
            <w:noWrap/>
            <w:vAlign w:val="center"/>
          </w:tcPr>
          <w:p w14:paraId="00004326">
            <w:pPr>
              <w:pStyle w:val="23"/>
              <w:jc w:val="center"/>
              <w:rPr>
                <w:rFonts w:ascii="宋体" w:hAnsi="宋体"/>
                <w:kern w:val="0"/>
                <w:szCs w:val="21"/>
              </w:rPr>
            </w:pPr>
            <w:r>
              <w:rPr>
                <w:rFonts w:ascii="宋体" w:hAnsi="宋体"/>
                <w:kern w:val="0"/>
                <w:szCs w:val="21"/>
              </w:rPr>
              <w:t>28</w:t>
            </w:r>
          </w:p>
        </w:tc>
        <w:tc>
          <w:tcPr>
            <w:tcW w:w="258" w:type="pct"/>
            <w:shd w:val="clear" w:color="auto" w:fill="auto"/>
            <w:noWrap/>
            <w:vAlign w:val="center"/>
          </w:tcPr>
          <w:p w14:paraId="4C0ABED6">
            <w:pPr>
              <w:pStyle w:val="23"/>
              <w:jc w:val="center"/>
              <w:rPr>
                <w:rFonts w:ascii="宋体" w:hAnsi="宋体"/>
                <w:kern w:val="0"/>
                <w:szCs w:val="21"/>
              </w:rPr>
            </w:pPr>
            <w:r>
              <w:rPr>
                <w:rFonts w:ascii="宋体" w:hAnsi="宋体"/>
                <w:kern w:val="0"/>
                <w:szCs w:val="21"/>
              </w:rPr>
              <w:t>26</w:t>
            </w:r>
          </w:p>
        </w:tc>
        <w:tc>
          <w:tcPr>
            <w:tcW w:w="258" w:type="pct"/>
            <w:shd w:val="clear" w:color="auto" w:fill="auto"/>
            <w:noWrap/>
            <w:vAlign w:val="center"/>
          </w:tcPr>
          <w:p w14:paraId="3AE5EDCA">
            <w:pPr>
              <w:pStyle w:val="23"/>
              <w:jc w:val="center"/>
              <w:rPr>
                <w:rFonts w:ascii="宋体" w:hAnsi="宋体"/>
                <w:kern w:val="0"/>
                <w:szCs w:val="21"/>
              </w:rPr>
            </w:pPr>
            <w:r>
              <w:rPr>
                <w:rFonts w:ascii="宋体" w:hAnsi="宋体"/>
                <w:kern w:val="0"/>
                <w:szCs w:val="21"/>
              </w:rPr>
              <w:t>85</w:t>
            </w:r>
          </w:p>
        </w:tc>
        <w:tc>
          <w:tcPr>
            <w:tcW w:w="258" w:type="pct"/>
            <w:shd w:val="clear" w:color="auto" w:fill="auto"/>
            <w:noWrap/>
            <w:vAlign w:val="center"/>
          </w:tcPr>
          <w:p w14:paraId="32930B6B">
            <w:pPr>
              <w:pStyle w:val="23"/>
              <w:jc w:val="center"/>
              <w:rPr>
                <w:rFonts w:ascii="宋体" w:hAnsi="宋体"/>
                <w:kern w:val="0"/>
                <w:szCs w:val="21"/>
              </w:rPr>
            </w:pPr>
            <w:r>
              <w:rPr>
                <w:rFonts w:ascii="宋体" w:hAnsi="宋体"/>
                <w:kern w:val="0"/>
                <w:szCs w:val="21"/>
              </w:rPr>
              <w:t>30</w:t>
            </w:r>
          </w:p>
        </w:tc>
        <w:tc>
          <w:tcPr>
            <w:tcW w:w="258" w:type="pct"/>
            <w:shd w:val="clear" w:color="auto" w:fill="auto"/>
            <w:noWrap/>
            <w:vAlign w:val="center"/>
          </w:tcPr>
          <w:p w14:paraId="0BABC516">
            <w:pPr>
              <w:pStyle w:val="23"/>
              <w:jc w:val="center"/>
              <w:rPr>
                <w:rFonts w:ascii="宋体" w:hAnsi="宋体"/>
                <w:kern w:val="0"/>
                <w:szCs w:val="21"/>
              </w:rPr>
            </w:pPr>
            <w:r>
              <w:rPr>
                <w:rFonts w:ascii="宋体" w:hAnsi="宋体"/>
                <w:kern w:val="0"/>
                <w:szCs w:val="21"/>
              </w:rPr>
              <w:t>27</w:t>
            </w:r>
          </w:p>
        </w:tc>
        <w:tc>
          <w:tcPr>
            <w:tcW w:w="258" w:type="pct"/>
            <w:shd w:val="clear" w:color="auto" w:fill="auto"/>
            <w:noWrap/>
            <w:vAlign w:val="center"/>
          </w:tcPr>
          <w:p w14:paraId="45631FA6">
            <w:pPr>
              <w:pStyle w:val="23"/>
              <w:jc w:val="center"/>
              <w:rPr>
                <w:rFonts w:ascii="宋体" w:hAnsi="宋体"/>
                <w:kern w:val="0"/>
                <w:szCs w:val="21"/>
              </w:rPr>
            </w:pPr>
            <w:r>
              <w:rPr>
                <w:rFonts w:ascii="宋体" w:hAnsi="宋体"/>
                <w:kern w:val="0"/>
                <w:szCs w:val="21"/>
              </w:rPr>
              <w:t>26</w:t>
            </w:r>
          </w:p>
        </w:tc>
        <w:tc>
          <w:tcPr>
            <w:tcW w:w="258" w:type="pct"/>
            <w:shd w:val="clear" w:color="auto" w:fill="auto"/>
            <w:noWrap/>
            <w:vAlign w:val="center"/>
          </w:tcPr>
          <w:p w14:paraId="7A973731">
            <w:pPr>
              <w:pStyle w:val="23"/>
              <w:jc w:val="center"/>
              <w:rPr>
                <w:rFonts w:ascii="宋体" w:hAnsi="宋体"/>
                <w:kern w:val="0"/>
                <w:szCs w:val="21"/>
              </w:rPr>
            </w:pPr>
            <w:r>
              <w:rPr>
                <w:rFonts w:ascii="宋体" w:hAnsi="宋体"/>
                <w:kern w:val="0"/>
                <w:szCs w:val="21"/>
              </w:rPr>
              <w:t>83</w:t>
            </w:r>
          </w:p>
        </w:tc>
        <w:tc>
          <w:tcPr>
            <w:tcW w:w="258" w:type="pct"/>
            <w:shd w:val="clear" w:color="auto" w:fill="auto"/>
            <w:noWrap/>
            <w:vAlign w:val="center"/>
          </w:tcPr>
          <w:p w14:paraId="33B9EC71">
            <w:pPr>
              <w:pStyle w:val="23"/>
              <w:jc w:val="center"/>
              <w:rPr>
                <w:rFonts w:ascii="宋体" w:hAnsi="宋体"/>
                <w:kern w:val="0"/>
                <w:szCs w:val="21"/>
              </w:rPr>
            </w:pPr>
            <w:r>
              <w:rPr>
                <w:rFonts w:ascii="宋体" w:hAnsi="宋体"/>
                <w:kern w:val="0"/>
                <w:szCs w:val="21"/>
              </w:rPr>
              <w:t>13</w:t>
            </w:r>
          </w:p>
        </w:tc>
        <w:tc>
          <w:tcPr>
            <w:tcW w:w="258" w:type="pct"/>
            <w:shd w:val="clear" w:color="auto" w:fill="auto"/>
            <w:noWrap/>
            <w:vAlign w:val="center"/>
          </w:tcPr>
          <w:p w14:paraId="38F8D3FE">
            <w:pPr>
              <w:pStyle w:val="23"/>
              <w:jc w:val="center"/>
              <w:rPr>
                <w:rFonts w:ascii="宋体" w:hAnsi="宋体"/>
                <w:kern w:val="0"/>
                <w:szCs w:val="21"/>
              </w:rPr>
            </w:pPr>
            <w:r>
              <w:rPr>
                <w:rFonts w:ascii="宋体" w:hAnsi="宋体"/>
                <w:kern w:val="0"/>
                <w:szCs w:val="21"/>
              </w:rPr>
              <w:t>31</w:t>
            </w:r>
          </w:p>
        </w:tc>
        <w:tc>
          <w:tcPr>
            <w:tcW w:w="258" w:type="pct"/>
            <w:shd w:val="clear" w:color="auto" w:fill="auto"/>
            <w:noWrap/>
            <w:vAlign w:val="center"/>
          </w:tcPr>
          <w:p w14:paraId="724474D6">
            <w:pPr>
              <w:pStyle w:val="23"/>
              <w:jc w:val="center"/>
              <w:rPr>
                <w:rFonts w:ascii="宋体" w:hAnsi="宋体"/>
                <w:kern w:val="0"/>
                <w:szCs w:val="21"/>
              </w:rPr>
            </w:pPr>
            <w:r>
              <w:rPr>
                <w:rFonts w:ascii="宋体" w:hAnsi="宋体"/>
                <w:kern w:val="0"/>
                <w:szCs w:val="21"/>
              </w:rPr>
              <w:t>30</w:t>
            </w:r>
          </w:p>
        </w:tc>
        <w:tc>
          <w:tcPr>
            <w:tcW w:w="258" w:type="pct"/>
            <w:shd w:val="clear" w:color="auto" w:fill="auto"/>
            <w:noWrap/>
            <w:vAlign w:val="center"/>
          </w:tcPr>
          <w:p w14:paraId="3A022151">
            <w:pPr>
              <w:pStyle w:val="23"/>
              <w:jc w:val="center"/>
              <w:rPr>
                <w:rFonts w:ascii="宋体" w:hAnsi="宋体"/>
                <w:kern w:val="0"/>
                <w:szCs w:val="21"/>
              </w:rPr>
            </w:pPr>
            <w:r>
              <w:rPr>
                <w:rFonts w:ascii="宋体" w:hAnsi="宋体"/>
                <w:kern w:val="0"/>
                <w:szCs w:val="21"/>
              </w:rPr>
              <w:t>74</w:t>
            </w:r>
          </w:p>
        </w:tc>
        <w:tc>
          <w:tcPr>
            <w:tcW w:w="258" w:type="pct"/>
            <w:shd w:val="clear" w:color="auto" w:fill="auto"/>
            <w:noWrap/>
            <w:vAlign w:val="center"/>
          </w:tcPr>
          <w:p w14:paraId="49CAD9E1">
            <w:pPr>
              <w:pStyle w:val="23"/>
              <w:jc w:val="center"/>
              <w:rPr>
                <w:rFonts w:ascii="宋体" w:hAnsi="宋体"/>
                <w:kern w:val="0"/>
                <w:szCs w:val="21"/>
              </w:rPr>
            </w:pPr>
            <w:r>
              <w:rPr>
                <w:rFonts w:ascii="宋体" w:hAnsi="宋体"/>
                <w:kern w:val="0"/>
                <w:szCs w:val="21"/>
              </w:rPr>
              <w:t>24</w:t>
            </w:r>
          </w:p>
        </w:tc>
        <w:tc>
          <w:tcPr>
            <w:tcW w:w="258" w:type="pct"/>
            <w:shd w:val="clear" w:color="auto" w:fill="auto"/>
            <w:noWrap/>
            <w:vAlign w:val="center"/>
          </w:tcPr>
          <w:p w14:paraId="414EC3F9">
            <w:pPr>
              <w:pStyle w:val="23"/>
              <w:jc w:val="center"/>
              <w:rPr>
                <w:rFonts w:ascii="宋体" w:hAnsi="宋体"/>
                <w:kern w:val="0"/>
                <w:szCs w:val="21"/>
              </w:rPr>
            </w:pPr>
            <w:r>
              <w:rPr>
                <w:rFonts w:ascii="宋体" w:hAnsi="宋体"/>
                <w:kern w:val="0"/>
                <w:szCs w:val="21"/>
              </w:rPr>
              <w:t>30</w:t>
            </w:r>
          </w:p>
        </w:tc>
        <w:tc>
          <w:tcPr>
            <w:tcW w:w="258" w:type="pct"/>
            <w:shd w:val="clear" w:color="auto" w:fill="auto"/>
            <w:noWrap/>
            <w:vAlign w:val="center"/>
          </w:tcPr>
          <w:p w14:paraId="698A4350">
            <w:pPr>
              <w:pStyle w:val="23"/>
              <w:jc w:val="center"/>
              <w:rPr>
                <w:rFonts w:ascii="宋体" w:hAnsi="宋体"/>
                <w:kern w:val="0"/>
                <w:szCs w:val="21"/>
              </w:rPr>
            </w:pPr>
            <w:r>
              <w:rPr>
                <w:rFonts w:ascii="宋体" w:hAnsi="宋体"/>
                <w:kern w:val="0"/>
                <w:szCs w:val="21"/>
              </w:rPr>
              <w:t>31</w:t>
            </w:r>
          </w:p>
        </w:tc>
        <w:tc>
          <w:tcPr>
            <w:tcW w:w="258" w:type="pct"/>
            <w:shd w:val="clear" w:color="auto" w:fill="auto"/>
            <w:noWrap/>
            <w:vAlign w:val="center"/>
          </w:tcPr>
          <w:p w14:paraId="5DB7B9EE">
            <w:pPr>
              <w:pStyle w:val="23"/>
              <w:jc w:val="center"/>
              <w:rPr>
                <w:rFonts w:ascii="宋体" w:hAnsi="宋体"/>
                <w:kern w:val="0"/>
                <w:szCs w:val="21"/>
              </w:rPr>
            </w:pPr>
            <w:r>
              <w:rPr>
                <w:rFonts w:ascii="宋体" w:hAnsi="宋体"/>
                <w:kern w:val="0"/>
                <w:szCs w:val="21"/>
              </w:rPr>
              <w:t>85</w:t>
            </w:r>
          </w:p>
        </w:tc>
        <w:tc>
          <w:tcPr>
            <w:tcW w:w="258" w:type="pct"/>
            <w:shd w:val="clear" w:color="auto" w:fill="auto"/>
            <w:noWrap/>
            <w:vAlign w:val="center"/>
          </w:tcPr>
          <w:p w14:paraId="2410B419">
            <w:pPr>
              <w:pStyle w:val="23"/>
              <w:jc w:val="center"/>
              <w:rPr>
                <w:rFonts w:ascii="宋体" w:hAnsi="宋体"/>
                <w:kern w:val="0"/>
                <w:szCs w:val="21"/>
              </w:rPr>
            </w:pPr>
            <w:r>
              <w:rPr>
                <w:rFonts w:ascii="宋体" w:hAnsi="宋体"/>
                <w:kern w:val="0"/>
                <w:szCs w:val="21"/>
              </w:rPr>
              <w:t>327</w:t>
            </w:r>
          </w:p>
        </w:tc>
      </w:tr>
      <w:tr w14:paraId="6CD9580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76" w:type="pct"/>
            <w:vMerge w:val="continue"/>
            <w:vAlign w:val="center"/>
          </w:tcPr>
          <w:p w14:paraId="2769C05F">
            <w:pPr>
              <w:pStyle w:val="23"/>
              <w:jc w:val="center"/>
              <w:rPr>
                <w:rFonts w:ascii="宋体" w:hAnsi="宋体"/>
                <w:b/>
                <w:kern w:val="0"/>
                <w:szCs w:val="21"/>
              </w:rPr>
            </w:pPr>
          </w:p>
        </w:tc>
        <w:tc>
          <w:tcPr>
            <w:tcW w:w="330" w:type="pct"/>
            <w:shd w:val="clear" w:color="auto" w:fill="auto"/>
            <w:noWrap/>
            <w:vAlign w:val="center"/>
          </w:tcPr>
          <w:p w14:paraId="3F64CEC1">
            <w:pPr>
              <w:pStyle w:val="23"/>
              <w:jc w:val="center"/>
              <w:rPr>
                <w:rFonts w:ascii="宋体" w:hAnsi="宋体"/>
                <w:b/>
                <w:kern w:val="0"/>
                <w:szCs w:val="21"/>
              </w:rPr>
            </w:pPr>
            <w:r>
              <w:rPr>
                <w:rFonts w:ascii="宋体" w:hAnsi="宋体"/>
                <w:b/>
                <w:kern w:val="0"/>
                <w:szCs w:val="21"/>
              </w:rPr>
              <w:t>最高浓度</w:t>
            </w:r>
          </w:p>
        </w:tc>
        <w:tc>
          <w:tcPr>
            <w:tcW w:w="258" w:type="pct"/>
            <w:shd w:val="clear" w:color="auto" w:fill="auto"/>
            <w:noWrap/>
            <w:vAlign w:val="center"/>
          </w:tcPr>
          <w:p w14:paraId="792BCDCF">
            <w:pPr>
              <w:pStyle w:val="23"/>
              <w:jc w:val="center"/>
              <w:rPr>
                <w:rFonts w:ascii="宋体" w:hAnsi="宋体"/>
                <w:kern w:val="0"/>
                <w:szCs w:val="21"/>
              </w:rPr>
            </w:pPr>
            <w:r>
              <w:rPr>
                <w:rFonts w:ascii="宋体" w:hAnsi="宋体"/>
                <w:kern w:val="0"/>
                <w:szCs w:val="21"/>
              </w:rPr>
              <w:t>0.040</w:t>
            </w:r>
          </w:p>
        </w:tc>
        <w:tc>
          <w:tcPr>
            <w:tcW w:w="258" w:type="pct"/>
            <w:shd w:val="clear" w:color="auto" w:fill="auto"/>
            <w:noWrap/>
            <w:vAlign w:val="center"/>
          </w:tcPr>
          <w:p w14:paraId="02DAD8D6">
            <w:pPr>
              <w:pStyle w:val="23"/>
              <w:jc w:val="center"/>
              <w:rPr>
                <w:rFonts w:ascii="宋体" w:hAnsi="宋体"/>
                <w:kern w:val="0"/>
                <w:szCs w:val="21"/>
              </w:rPr>
            </w:pPr>
            <w:r>
              <w:rPr>
                <w:rFonts w:ascii="宋体" w:hAnsi="宋体"/>
                <w:kern w:val="0"/>
                <w:szCs w:val="21"/>
              </w:rPr>
              <w:t>0.046</w:t>
            </w:r>
          </w:p>
        </w:tc>
        <w:tc>
          <w:tcPr>
            <w:tcW w:w="258" w:type="pct"/>
            <w:shd w:val="clear" w:color="auto" w:fill="auto"/>
            <w:noWrap/>
            <w:vAlign w:val="center"/>
          </w:tcPr>
          <w:p w14:paraId="55499D9E">
            <w:pPr>
              <w:pStyle w:val="23"/>
              <w:jc w:val="center"/>
              <w:rPr>
                <w:rFonts w:ascii="宋体" w:hAnsi="宋体"/>
                <w:kern w:val="0"/>
                <w:szCs w:val="21"/>
              </w:rPr>
            </w:pPr>
            <w:r>
              <w:rPr>
                <w:rFonts w:ascii="宋体" w:hAnsi="宋体"/>
                <w:kern w:val="0"/>
                <w:szCs w:val="21"/>
              </w:rPr>
              <w:t>0.065</w:t>
            </w:r>
          </w:p>
        </w:tc>
        <w:tc>
          <w:tcPr>
            <w:tcW w:w="258" w:type="pct"/>
            <w:shd w:val="clear" w:color="auto" w:fill="auto"/>
            <w:noWrap/>
            <w:vAlign w:val="center"/>
          </w:tcPr>
          <w:p w14:paraId="3B6A38F8">
            <w:pPr>
              <w:pStyle w:val="23"/>
              <w:jc w:val="center"/>
              <w:rPr>
                <w:rFonts w:ascii="宋体" w:hAnsi="宋体"/>
                <w:kern w:val="0"/>
                <w:szCs w:val="21"/>
              </w:rPr>
            </w:pPr>
            <w:r>
              <w:rPr>
                <w:rFonts w:ascii="宋体" w:hAnsi="宋体"/>
                <w:kern w:val="0"/>
                <w:szCs w:val="21"/>
              </w:rPr>
              <w:t>0.065</w:t>
            </w:r>
          </w:p>
        </w:tc>
        <w:tc>
          <w:tcPr>
            <w:tcW w:w="258" w:type="pct"/>
            <w:shd w:val="clear" w:color="auto" w:fill="auto"/>
            <w:noWrap/>
            <w:vAlign w:val="center"/>
          </w:tcPr>
          <w:p w14:paraId="743E3A06">
            <w:pPr>
              <w:pStyle w:val="23"/>
              <w:jc w:val="center"/>
              <w:rPr>
                <w:rFonts w:ascii="宋体" w:hAnsi="宋体"/>
                <w:kern w:val="0"/>
                <w:szCs w:val="21"/>
              </w:rPr>
            </w:pPr>
            <w:r>
              <w:rPr>
                <w:rFonts w:ascii="宋体" w:hAnsi="宋体"/>
                <w:kern w:val="0"/>
                <w:szCs w:val="21"/>
              </w:rPr>
              <w:t>0.053</w:t>
            </w:r>
          </w:p>
        </w:tc>
        <w:tc>
          <w:tcPr>
            <w:tcW w:w="258" w:type="pct"/>
            <w:shd w:val="clear" w:color="auto" w:fill="auto"/>
            <w:noWrap/>
            <w:vAlign w:val="center"/>
          </w:tcPr>
          <w:p w14:paraId="2D86E9A9">
            <w:pPr>
              <w:pStyle w:val="23"/>
              <w:jc w:val="center"/>
              <w:rPr>
                <w:rFonts w:ascii="宋体" w:hAnsi="宋体"/>
                <w:kern w:val="0"/>
                <w:szCs w:val="21"/>
              </w:rPr>
            </w:pPr>
            <w:r>
              <w:rPr>
                <w:rFonts w:ascii="宋体" w:hAnsi="宋体"/>
                <w:kern w:val="0"/>
                <w:szCs w:val="21"/>
              </w:rPr>
              <w:t>0.018</w:t>
            </w:r>
          </w:p>
        </w:tc>
        <w:tc>
          <w:tcPr>
            <w:tcW w:w="258" w:type="pct"/>
            <w:shd w:val="clear" w:color="auto" w:fill="auto"/>
            <w:noWrap/>
            <w:vAlign w:val="center"/>
          </w:tcPr>
          <w:p w14:paraId="4260B809">
            <w:pPr>
              <w:pStyle w:val="23"/>
              <w:jc w:val="center"/>
              <w:rPr>
                <w:rFonts w:ascii="宋体" w:hAnsi="宋体"/>
                <w:kern w:val="0"/>
                <w:szCs w:val="21"/>
              </w:rPr>
            </w:pPr>
            <w:r>
              <w:rPr>
                <w:rFonts w:ascii="宋体" w:hAnsi="宋体"/>
                <w:kern w:val="0"/>
                <w:szCs w:val="21"/>
              </w:rPr>
              <w:t>0.035</w:t>
            </w:r>
          </w:p>
        </w:tc>
        <w:tc>
          <w:tcPr>
            <w:tcW w:w="258" w:type="pct"/>
            <w:shd w:val="clear" w:color="auto" w:fill="auto"/>
            <w:noWrap/>
            <w:vAlign w:val="center"/>
          </w:tcPr>
          <w:p w14:paraId="4393B197">
            <w:pPr>
              <w:pStyle w:val="23"/>
              <w:jc w:val="center"/>
              <w:rPr>
                <w:rFonts w:ascii="宋体" w:hAnsi="宋体"/>
                <w:kern w:val="0"/>
                <w:szCs w:val="21"/>
              </w:rPr>
            </w:pPr>
            <w:r>
              <w:rPr>
                <w:rFonts w:ascii="宋体" w:hAnsi="宋体"/>
                <w:kern w:val="0"/>
                <w:szCs w:val="21"/>
              </w:rPr>
              <w:t>0.053</w:t>
            </w:r>
          </w:p>
        </w:tc>
        <w:tc>
          <w:tcPr>
            <w:tcW w:w="258" w:type="pct"/>
            <w:shd w:val="clear" w:color="auto" w:fill="auto"/>
            <w:noWrap/>
            <w:vAlign w:val="center"/>
          </w:tcPr>
          <w:p w14:paraId="50A4F317">
            <w:pPr>
              <w:pStyle w:val="23"/>
              <w:jc w:val="center"/>
              <w:rPr>
                <w:rFonts w:ascii="宋体" w:hAnsi="宋体"/>
                <w:kern w:val="0"/>
                <w:szCs w:val="21"/>
              </w:rPr>
            </w:pPr>
            <w:r>
              <w:rPr>
                <w:rFonts w:ascii="宋体" w:hAnsi="宋体"/>
                <w:kern w:val="0"/>
                <w:szCs w:val="21"/>
              </w:rPr>
              <w:t>0.010</w:t>
            </w:r>
          </w:p>
        </w:tc>
        <w:tc>
          <w:tcPr>
            <w:tcW w:w="258" w:type="pct"/>
            <w:shd w:val="clear" w:color="auto" w:fill="auto"/>
            <w:noWrap/>
            <w:vAlign w:val="center"/>
          </w:tcPr>
          <w:p w14:paraId="0B9090C8">
            <w:pPr>
              <w:pStyle w:val="23"/>
              <w:jc w:val="center"/>
              <w:rPr>
                <w:rFonts w:ascii="宋体" w:hAnsi="宋体"/>
                <w:kern w:val="0"/>
                <w:szCs w:val="21"/>
              </w:rPr>
            </w:pPr>
            <w:r>
              <w:rPr>
                <w:rFonts w:ascii="宋体" w:hAnsi="宋体"/>
                <w:kern w:val="0"/>
                <w:szCs w:val="21"/>
              </w:rPr>
              <w:t>0.011</w:t>
            </w:r>
          </w:p>
        </w:tc>
        <w:tc>
          <w:tcPr>
            <w:tcW w:w="258" w:type="pct"/>
            <w:shd w:val="clear" w:color="auto" w:fill="auto"/>
            <w:noWrap/>
            <w:vAlign w:val="center"/>
          </w:tcPr>
          <w:p w14:paraId="198DC597">
            <w:pPr>
              <w:pStyle w:val="23"/>
              <w:jc w:val="center"/>
              <w:rPr>
                <w:rFonts w:ascii="宋体" w:hAnsi="宋体"/>
                <w:kern w:val="0"/>
                <w:szCs w:val="21"/>
              </w:rPr>
            </w:pPr>
            <w:r>
              <w:rPr>
                <w:rFonts w:ascii="宋体" w:hAnsi="宋体"/>
                <w:kern w:val="0"/>
                <w:szCs w:val="21"/>
              </w:rPr>
              <w:t>0.023</w:t>
            </w:r>
          </w:p>
        </w:tc>
        <w:tc>
          <w:tcPr>
            <w:tcW w:w="258" w:type="pct"/>
            <w:shd w:val="clear" w:color="auto" w:fill="auto"/>
            <w:noWrap/>
            <w:vAlign w:val="center"/>
          </w:tcPr>
          <w:p w14:paraId="0FB0394A">
            <w:pPr>
              <w:pStyle w:val="23"/>
              <w:jc w:val="center"/>
              <w:rPr>
                <w:rFonts w:ascii="宋体" w:hAnsi="宋体"/>
                <w:kern w:val="0"/>
                <w:szCs w:val="21"/>
              </w:rPr>
            </w:pPr>
            <w:r>
              <w:rPr>
                <w:rFonts w:ascii="宋体" w:hAnsi="宋体"/>
                <w:kern w:val="0"/>
                <w:szCs w:val="21"/>
              </w:rPr>
              <w:t>0.023</w:t>
            </w:r>
          </w:p>
        </w:tc>
        <w:tc>
          <w:tcPr>
            <w:tcW w:w="258" w:type="pct"/>
            <w:shd w:val="clear" w:color="auto" w:fill="auto"/>
            <w:noWrap/>
            <w:vAlign w:val="center"/>
          </w:tcPr>
          <w:p w14:paraId="301A2681">
            <w:pPr>
              <w:pStyle w:val="23"/>
              <w:jc w:val="center"/>
              <w:rPr>
                <w:rFonts w:ascii="宋体" w:hAnsi="宋体"/>
                <w:kern w:val="0"/>
                <w:szCs w:val="21"/>
              </w:rPr>
            </w:pPr>
            <w:r>
              <w:rPr>
                <w:rFonts w:ascii="宋体" w:hAnsi="宋体"/>
                <w:kern w:val="0"/>
                <w:szCs w:val="21"/>
              </w:rPr>
              <w:t>0.025</w:t>
            </w:r>
          </w:p>
        </w:tc>
        <w:tc>
          <w:tcPr>
            <w:tcW w:w="258" w:type="pct"/>
            <w:shd w:val="clear" w:color="auto" w:fill="auto"/>
            <w:noWrap/>
            <w:vAlign w:val="center"/>
          </w:tcPr>
          <w:p w14:paraId="0139A1CE">
            <w:pPr>
              <w:pStyle w:val="23"/>
              <w:jc w:val="center"/>
              <w:rPr>
                <w:rFonts w:ascii="宋体" w:hAnsi="宋体"/>
                <w:kern w:val="0"/>
                <w:szCs w:val="21"/>
              </w:rPr>
            </w:pPr>
            <w:r>
              <w:rPr>
                <w:rFonts w:ascii="宋体" w:hAnsi="宋体"/>
                <w:kern w:val="0"/>
                <w:szCs w:val="21"/>
              </w:rPr>
              <w:t>0.019</w:t>
            </w:r>
          </w:p>
        </w:tc>
        <w:tc>
          <w:tcPr>
            <w:tcW w:w="258" w:type="pct"/>
            <w:shd w:val="clear" w:color="auto" w:fill="auto"/>
            <w:noWrap/>
            <w:vAlign w:val="center"/>
          </w:tcPr>
          <w:p w14:paraId="042534A3">
            <w:pPr>
              <w:pStyle w:val="23"/>
              <w:jc w:val="center"/>
              <w:rPr>
                <w:rFonts w:ascii="宋体" w:hAnsi="宋体"/>
                <w:kern w:val="0"/>
                <w:szCs w:val="21"/>
              </w:rPr>
            </w:pPr>
            <w:r>
              <w:rPr>
                <w:rFonts w:ascii="宋体" w:hAnsi="宋体"/>
                <w:kern w:val="0"/>
                <w:szCs w:val="21"/>
              </w:rPr>
              <w:t>0.027</w:t>
            </w:r>
          </w:p>
        </w:tc>
        <w:tc>
          <w:tcPr>
            <w:tcW w:w="258" w:type="pct"/>
            <w:shd w:val="clear" w:color="auto" w:fill="auto"/>
            <w:noWrap/>
            <w:vAlign w:val="center"/>
          </w:tcPr>
          <w:p w14:paraId="1839DA0A">
            <w:pPr>
              <w:pStyle w:val="23"/>
              <w:jc w:val="center"/>
              <w:rPr>
                <w:rFonts w:ascii="宋体" w:hAnsi="宋体"/>
                <w:kern w:val="0"/>
                <w:szCs w:val="21"/>
              </w:rPr>
            </w:pPr>
            <w:r>
              <w:rPr>
                <w:rFonts w:ascii="宋体" w:hAnsi="宋体"/>
                <w:kern w:val="0"/>
                <w:szCs w:val="21"/>
              </w:rPr>
              <w:t>0.027</w:t>
            </w:r>
          </w:p>
        </w:tc>
        <w:tc>
          <w:tcPr>
            <w:tcW w:w="258" w:type="pct"/>
            <w:shd w:val="clear" w:color="auto" w:fill="auto"/>
            <w:noWrap/>
            <w:vAlign w:val="center"/>
          </w:tcPr>
          <w:p w14:paraId="1BCEE0E6">
            <w:pPr>
              <w:pStyle w:val="23"/>
              <w:jc w:val="center"/>
              <w:rPr>
                <w:rFonts w:ascii="宋体" w:hAnsi="宋体"/>
                <w:kern w:val="0"/>
                <w:szCs w:val="21"/>
              </w:rPr>
            </w:pPr>
            <w:r>
              <w:rPr>
                <w:rFonts w:ascii="宋体" w:hAnsi="宋体"/>
                <w:kern w:val="0"/>
                <w:szCs w:val="21"/>
              </w:rPr>
              <w:t>0.65</w:t>
            </w:r>
          </w:p>
        </w:tc>
      </w:tr>
      <w:tr w14:paraId="7D6DCBA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76" w:type="pct"/>
            <w:vMerge w:val="continue"/>
            <w:vAlign w:val="center"/>
          </w:tcPr>
          <w:p w14:paraId="34F8BC7C">
            <w:pPr>
              <w:pStyle w:val="23"/>
              <w:jc w:val="center"/>
              <w:rPr>
                <w:rFonts w:ascii="宋体" w:hAnsi="宋体"/>
                <w:b/>
                <w:kern w:val="0"/>
                <w:szCs w:val="21"/>
              </w:rPr>
            </w:pPr>
          </w:p>
        </w:tc>
        <w:tc>
          <w:tcPr>
            <w:tcW w:w="330" w:type="pct"/>
            <w:shd w:val="clear" w:color="auto" w:fill="auto"/>
            <w:noWrap/>
            <w:vAlign w:val="center"/>
          </w:tcPr>
          <w:p w14:paraId="748B9631">
            <w:pPr>
              <w:pStyle w:val="23"/>
              <w:jc w:val="center"/>
              <w:rPr>
                <w:rFonts w:ascii="宋体" w:hAnsi="宋体"/>
                <w:b/>
                <w:kern w:val="0"/>
                <w:szCs w:val="21"/>
              </w:rPr>
            </w:pPr>
            <w:r>
              <w:rPr>
                <w:rFonts w:ascii="宋体" w:hAnsi="宋体"/>
                <w:b/>
                <w:kern w:val="0"/>
                <w:szCs w:val="21"/>
              </w:rPr>
              <w:t>平均值</w:t>
            </w:r>
          </w:p>
        </w:tc>
        <w:tc>
          <w:tcPr>
            <w:tcW w:w="258" w:type="pct"/>
            <w:shd w:val="clear" w:color="auto" w:fill="auto"/>
            <w:noWrap/>
            <w:vAlign w:val="center"/>
          </w:tcPr>
          <w:p w14:paraId="6C5FFF2F">
            <w:pPr>
              <w:pStyle w:val="23"/>
              <w:jc w:val="center"/>
              <w:rPr>
                <w:rFonts w:ascii="宋体" w:hAnsi="宋体"/>
                <w:kern w:val="0"/>
                <w:szCs w:val="21"/>
              </w:rPr>
            </w:pPr>
            <w:r>
              <w:rPr>
                <w:rFonts w:ascii="宋体" w:hAnsi="宋体"/>
                <w:kern w:val="0"/>
                <w:szCs w:val="21"/>
              </w:rPr>
              <w:t>0.025</w:t>
            </w:r>
          </w:p>
        </w:tc>
        <w:tc>
          <w:tcPr>
            <w:tcW w:w="258" w:type="pct"/>
            <w:shd w:val="clear" w:color="auto" w:fill="auto"/>
            <w:noWrap/>
            <w:vAlign w:val="center"/>
          </w:tcPr>
          <w:p w14:paraId="5098038B">
            <w:pPr>
              <w:pStyle w:val="23"/>
              <w:jc w:val="center"/>
              <w:rPr>
                <w:rFonts w:ascii="宋体" w:hAnsi="宋体"/>
                <w:kern w:val="0"/>
                <w:szCs w:val="21"/>
              </w:rPr>
            </w:pPr>
            <w:r>
              <w:rPr>
                <w:rFonts w:ascii="宋体" w:hAnsi="宋体"/>
                <w:kern w:val="0"/>
                <w:szCs w:val="21"/>
              </w:rPr>
              <w:t>0.026</w:t>
            </w:r>
          </w:p>
        </w:tc>
        <w:tc>
          <w:tcPr>
            <w:tcW w:w="258" w:type="pct"/>
            <w:shd w:val="clear" w:color="auto" w:fill="auto"/>
            <w:noWrap/>
            <w:vAlign w:val="center"/>
          </w:tcPr>
          <w:p w14:paraId="5A67B173">
            <w:pPr>
              <w:pStyle w:val="23"/>
              <w:jc w:val="center"/>
              <w:rPr>
                <w:rFonts w:ascii="宋体" w:hAnsi="宋体"/>
                <w:kern w:val="0"/>
                <w:szCs w:val="21"/>
              </w:rPr>
            </w:pPr>
            <w:r>
              <w:rPr>
                <w:rFonts w:ascii="宋体" w:hAnsi="宋体"/>
                <w:kern w:val="0"/>
                <w:szCs w:val="21"/>
              </w:rPr>
              <w:t>0.031</w:t>
            </w:r>
          </w:p>
        </w:tc>
        <w:tc>
          <w:tcPr>
            <w:tcW w:w="258" w:type="pct"/>
            <w:shd w:val="clear" w:color="auto" w:fill="auto"/>
            <w:noWrap/>
            <w:vAlign w:val="center"/>
          </w:tcPr>
          <w:p w14:paraId="3F3BFAC4">
            <w:pPr>
              <w:pStyle w:val="23"/>
              <w:jc w:val="center"/>
              <w:rPr>
                <w:rFonts w:ascii="宋体" w:hAnsi="宋体"/>
                <w:kern w:val="0"/>
                <w:szCs w:val="21"/>
              </w:rPr>
            </w:pPr>
            <w:r>
              <w:rPr>
                <w:rFonts w:ascii="宋体" w:hAnsi="宋体"/>
                <w:kern w:val="0"/>
                <w:szCs w:val="21"/>
              </w:rPr>
              <w:t>0.027</w:t>
            </w:r>
          </w:p>
        </w:tc>
        <w:tc>
          <w:tcPr>
            <w:tcW w:w="258" w:type="pct"/>
            <w:shd w:val="clear" w:color="auto" w:fill="auto"/>
            <w:noWrap/>
            <w:vAlign w:val="center"/>
          </w:tcPr>
          <w:p w14:paraId="64A42036">
            <w:pPr>
              <w:pStyle w:val="23"/>
              <w:jc w:val="center"/>
              <w:rPr>
                <w:rFonts w:ascii="宋体" w:hAnsi="宋体"/>
                <w:kern w:val="0"/>
                <w:szCs w:val="21"/>
              </w:rPr>
            </w:pPr>
            <w:r>
              <w:rPr>
                <w:rFonts w:ascii="宋体" w:hAnsi="宋体"/>
                <w:kern w:val="0"/>
                <w:szCs w:val="21"/>
              </w:rPr>
              <w:t>0.028</w:t>
            </w:r>
          </w:p>
        </w:tc>
        <w:tc>
          <w:tcPr>
            <w:tcW w:w="258" w:type="pct"/>
            <w:shd w:val="clear" w:color="auto" w:fill="auto"/>
            <w:noWrap/>
            <w:vAlign w:val="center"/>
          </w:tcPr>
          <w:p w14:paraId="6C5EAC9D">
            <w:pPr>
              <w:pStyle w:val="23"/>
              <w:jc w:val="center"/>
              <w:rPr>
                <w:rFonts w:ascii="宋体" w:hAnsi="宋体"/>
                <w:kern w:val="0"/>
                <w:szCs w:val="21"/>
              </w:rPr>
            </w:pPr>
            <w:r>
              <w:rPr>
                <w:rFonts w:ascii="宋体" w:hAnsi="宋体"/>
                <w:kern w:val="0"/>
                <w:szCs w:val="21"/>
              </w:rPr>
              <w:t>0.028</w:t>
            </w:r>
          </w:p>
        </w:tc>
        <w:tc>
          <w:tcPr>
            <w:tcW w:w="258" w:type="pct"/>
            <w:shd w:val="clear" w:color="auto" w:fill="auto"/>
            <w:noWrap/>
            <w:vAlign w:val="center"/>
          </w:tcPr>
          <w:p w14:paraId="39A18A39">
            <w:pPr>
              <w:pStyle w:val="23"/>
              <w:jc w:val="center"/>
              <w:rPr>
                <w:rFonts w:ascii="宋体" w:hAnsi="宋体"/>
                <w:kern w:val="0"/>
                <w:szCs w:val="21"/>
              </w:rPr>
            </w:pPr>
            <w:r>
              <w:rPr>
                <w:rFonts w:ascii="宋体" w:hAnsi="宋体"/>
                <w:kern w:val="0"/>
                <w:szCs w:val="21"/>
              </w:rPr>
              <w:t>0.035</w:t>
            </w:r>
          </w:p>
        </w:tc>
        <w:tc>
          <w:tcPr>
            <w:tcW w:w="258" w:type="pct"/>
            <w:shd w:val="clear" w:color="auto" w:fill="auto"/>
            <w:noWrap/>
            <w:vAlign w:val="center"/>
          </w:tcPr>
          <w:p w14:paraId="02DA24A1">
            <w:pPr>
              <w:pStyle w:val="23"/>
              <w:jc w:val="center"/>
              <w:rPr>
                <w:rFonts w:ascii="宋体" w:hAnsi="宋体"/>
                <w:kern w:val="0"/>
                <w:szCs w:val="21"/>
              </w:rPr>
            </w:pPr>
            <w:r>
              <w:rPr>
                <w:rFonts w:ascii="宋体" w:hAnsi="宋体"/>
                <w:kern w:val="0"/>
                <w:szCs w:val="21"/>
              </w:rPr>
              <w:t>0.035</w:t>
            </w:r>
          </w:p>
        </w:tc>
        <w:tc>
          <w:tcPr>
            <w:tcW w:w="258" w:type="pct"/>
            <w:shd w:val="clear" w:color="auto" w:fill="auto"/>
            <w:noWrap/>
            <w:vAlign w:val="center"/>
          </w:tcPr>
          <w:p w14:paraId="1AA1E32F">
            <w:pPr>
              <w:pStyle w:val="23"/>
              <w:jc w:val="center"/>
              <w:rPr>
                <w:rFonts w:ascii="宋体" w:hAnsi="宋体"/>
                <w:kern w:val="0"/>
                <w:szCs w:val="21"/>
              </w:rPr>
            </w:pPr>
            <w:r>
              <w:rPr>
                <w:rFonts w:ascii="宋体" w:hAnsi="宋体"/>
                <w:kern w:val="0"/>
                <w:szCs w:val="21"/>
              </w:rPr>
              <w:t>0.009</w:t>
            </w:r>
          </w:p>
        </w:tc>
        <w:tc>
          <w:tcPr>
            <w:tcW w:w="258" w:type="pct"/>
            <w:shd w:val="clear" w:color="auto" w:fill="auto"/>
            <w:noWrap/>
            <w:vAlign w:val="center"/>
          </w:tcPr>
          <w:p w14:paraId="5F1C9EE6">
            <w:pPr>
              <w:pStyle w:val="23"/>
              <w:jc w:val="center"/>
              <w:rPr>
                <w:rFonts w:ascii="宋体" w:hAnsi="宋体"/>
                <w:kern w:val="0"/>
                <w:szCs w:val="21"/>
              </w:rPr>
            </w:pPr>
            <w:r>
              <w:rPr>
                <w:rFonts w:ascii="宋体" w:hAnsi="宋体"/>
                <w:kern w:val="0"/>
                <w:szCs w:val="21"/>
              </w:rPr>
              <w:t>0.08</w:t>
            </w:r>
          </w:p>
        </w:tc>
        <w:tc>
          <w:tcPr>
            <w:tcW w:w="258" w:type="pct"/>
            <w:shd w:val="clear" w:color="auto" w:fill="auto"/>
            <w:noWrap/>
            <w:vAlign w:val="center"/>
          </w:tcPr>
          <w:p w14:paraId="01E0E9FD">
            <w:pPr>
              <w:pStyle w:val="23"/>
              <w:jc w:val="center"/>
              <w:rPr>
                <w:rFonts w:ascii="宋体" w:hAnsi="宋体"/>
                <w:kern w:val="0"/>
                <w:szCs w:val="21"/>
              </w:rPr>
            </w:pPr>
            <w:r>
              <w:rPr>
                <w:rFonts w:ascii="宋体" w:hAnsi="宋体"/>
                <w:kern w:val="0"/>
                <w:szCs w:val="21"/>
              </w:rPr>
              <w:t>0.015</w:t>
            </w:r>
          </w:p>
        </w:tc>
        <w:tc>
          <w:tcPr>
            <w:tcW w:w="258" w:type="pct"/>
            <w:shd w:val="clear" w:color="auto" w:fill="auto"/>
            <w:noWrap/>
            <w:vAlign w:val="center"/>
          </w:tcPr>
          <w:p w14:paraId="078BE011">
            <w:pPr>
              <w:pStyle w:val="23"/>
              <w:jc w:val="center"/>
              <w:rPr>
                <w:rFonts w:ascii="宋体" w:hAnsi="宋体"/>
                <w:kern w:val="0"/>
                <w:szCs w:val="21"/>
              </w:rPr>
            </w:pPr>
            <w:r>
              <w:rPr>
                <w:rFonts w:ascii="宋体" w:hAnsi="宋体"/>
                <w:kern w:val="0"/>
                <w:szCs w:val="21"/>
              </w:rPr>
              <w:t>0.011</w:t>
            </w:r>
          </w:p>
        </w:tc>
        <w:tc>
          <w:tcPr>
            <w:tcW w:w="258" w:type="pct"/>
            <w:shd w:val="clear" w:color="auto" w:fill="auto"/>
            <w:noWrap/>
            <w:vAlign w:val="center"/>
          </w:tcPr>
          <w:p w14:paraId="61EA272D">
            <w:pPr>
              <w:pStyle w:val="23"/>
              <w:jc w:val="center"/>
              <w:rPr>
                <w:rFonts w:ascii="宋体" w:hAnsi="宋体"/>
                <w:kern w:val="0"/>
                <w:szCs w:val="21"/>
              </w:rPr>
            </w:pPr>
            <w:r>
              <w:rPr>
                <w:rFonts w:ascii="宋体" w:hAnsi="宋体"/>
                <w:kern w:val="0"/>
                <w:szCs w:val="21"/>
              </w:rPr>
              <w:t>0.015</w:t>
            </w:r>
          </w:p>
        </w:tc>
        <w:tc>
          <w:tcPr>
            <w:tcW w:w="258" w:type="pct"/>
            <w:shd w:val="clear" w:color="auto" w:fill="auto"/>
            <w:noWrap/>
            <w:vAlign w:val="center"/>
          </w:tcPr>
          <w:p w14:paraId="461D0EAF">
            <w:pPr>
              <w:pStyle w:val="23"/>
              <w:jc w:val="center"/>
              <w:rPr>
                <w:rFonts w:ascii="宋体" w:hAnsi="宋体"/>
                <w:kern w:val="0"/>
                <w:szCs w:val="21"/>
              </w:rPr>
            </w:pPr>
            <w:r>
              <w:rPr>
                <w:rFonts w:ascii="宋体" w:hAnsi="宋体"/>
                <w:kern w:val="0"/>
                <w:szCs w:val="21"/>
              </w:rPr>
              <w:t>0.015</w:t>
            </w:r>
          </w:p>
        </w:tc>
        <w:tc>
          <w:tcPr>
            <w:tcW w:w="258" w:type="pct"/>
            <w:shd w:val="clear" w:color="auto" w:fill="auto"/>
            <w:noWrap/>
            <w:vAlign w:val="center"/>
          </w:tcPr>
          <w:p w14:paraId="292449C9">
            <w:pPr>
              <w:pStyle w:val="23"/>
              <w:jc w:val="center"/>
              <w:rPr>
                <w:rFonts w:ascii="宋体" w:hAnsi="宋体"/>
                <w:kern w:val="0"/>
                <w:szCs w:val="21"/>
              </w:rPr>
            </w:pPr>
            <w:r>
              <w:rPr>
                <w:rFonts w:ascii="宋体" w:hAnsi="宋体"/>
                <w:kern w:val="0"/>
                <w:szCs w:val="21"/>
              </w:rPr>
              <w:t>0.018</w:t>
            </w:r>
          </w:p>
        </w:tc>
        <w:tc>
          <w:tcPr>
            <w:tcW w:w="258" w:type="pct"/>
            <w:shd w:val="clear" w:color="auto" w:fill="auto"/>
            <w:noWrap/>
            <w:vAlign w:val="center"/>
          </w:tcPr>
          <w:p w14:paraId="5E43F810">
            <w:pPr>
              <w:pStyle w:val="23"/>
              <w:jc w:val="center"/>
              <w:rPr>
                <w:rFonts w:ascii="宋体" w:hAnsi="宋体"/>
                <w:kern w:val="0"/>
                <w:szCs w:val="21"/>
              </w:rPr>
            </w:pPr>
            <w:r>
              <w:rPr>
                <w:rFonts w:ascii="宋体" w:hAnsi="宋体"/>
                <w:kern w:val="0"/>
                <w:szCs w:val="21"/>
              </w:rPr>
              <w:t>0.016</w:t>
            </w:r>
          </w:p>
        </w:tc>
        <w:tc>
          <w:tcPr>
            <w:tcW w:w="258" w:type="pct"/>
            <w:shd w:val="clear" w:color="auto" w:fill="auto"/>
            <w:noWrap/>
            <w:vAlign w:val="center"/>
          </w:tcPr>
          <w:p w14:paraId="737CB011">
            <w:pPr>
              <w:pStyle w:val="23"/>
              <w:jc w:val="center"/>
              <w:rPr>
                <w:rFonts w:ascii="宋体" w:hAnsi="宋体"/>
                <w:kern w:val="0"/>
                <w:szCs w:val="21"/>
              </w:rPr>
            </w:pPr>
            <w:r>
              <w:rPr>
                <w:rFonts w:ascii="宋体" w:hAnsi="宋体"/>
                <w:kern w:val="0"/>
                <w:szCs w:val="21"/>
              </w:rPr>
              <w:t>0.021</w:t>
            </w:r>
          </w:p>
        </w:tc>
      </w:tr>
      <w:tr w14:paraId="41FA478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76" w:type="pct"/>
            <w:vMerge w:val="continue"/>
            <w:vAlign w:val="center"/>
          </w:tcPr>
          <w:p w14:paraId="7A8B5563">
            <w:pPr>
              <w:pStyle w:val="23"/>
              <w:jc w:val="center"/>
              <w:rPr>
                <w:rFonts w:ascii="宋体" w:hAnsi="宋体"/>
                <w:kern w:val="0"/>
                <w:szCs w:val="21"/>
              </w:rPr>
            </w:pPr>
          </w:p>
        </w:tc>
        <w:tc>
          <w:tcPr>
            <w:tcW w:w="330" w:type="pct"/>
            <w:shd w:val="clear" w:color="auto" w:fill="auto"/>
            <w:noWrap/>
            <w:vAlign w:val="center"/>
          </w:tcPr>
          <w:p w14:paraId="570BA4B2">
            <w:pPr>
              <w:pStyle w:val="23"/>
              <w:jc w:val="center"/>
              <w:rPr>
                <w:rFonts w:ascii="宋体" w:hAnsi="宋体"/>
                <w:b/>
                <w:kern w:val="0"/>
                <w:szCs w:val="21"/>
              </w:rPr>
            </w:pPr>
            <w:r>
              <w:rPr>
                <w:rFonts w:ascii="宋体" w:hAnsi="宋体"/>
                <w:b/>
                <w:kern w:val="0"/>
                <w:szCs w:val="21"/>
              </w:rPr>
              <w:t>超标率</w:t>
            </w:r>
          </w:p>
        </w:tc>
        <w:tc>
          <w:tcPr>
            <w:tcW w:w="258" w:type="pct"/>
            <w:shd w:val="clear" w:color="auto" w:fill="auto"/>
            <w:noWrap/>
            <w:vAlign w:val="center"/>
          </w:tcPr>
          <w:p w14:paraId="133F4D11">
            <w:pPr>
              <w:pStyle w:val="23"/>
              <w:jc w:val="center"/>
              <w:rPr>
                <w:rFonts w:ascii="宋体" w:hAnsi="宋体"/>
                <w:kern w:val="0"/>
                <w:szCs w:val="21"/>
              </w:rPr>
            </w:pPr>
            <w:r>
              <w:rPr>
                <w:rFonts w:ascii="宋体" w:hAnsi="宋体"/>
                <w:kern w:val="0"/>
                <w:szCs w:val="21"/>
              </w:rPr>
              <w:t>0</w:t>
            </w:r>
          </w:p>
        </w:tc>
        <w:tc>
          <w:tcPr>
            <w:tcW w:w="258" w:type="pct"/>
            <w:shd w:val="clear" w:color="auto" w:fill="auto"/>
            <w:noWrap/>
            <w:vAlign w:val="center"/>
          </w:tcPr>
          <w:p w14:paraId="233074CC">
            <w:pPr>
              <w:pStyle w:val="23"/>
              <w:jc w:val="center"/>
              <w:rPr>
                <w:rFonts w:ascii="宋体" w:hAnsi="宋体"/>
                <w:kern w:val="0"/>
                <w:szCs w:val="21"/>
              </w:rPr>
            </w:pPr>
            <w:r>
              <w:rPr>
                <w:rFonts w:ascii="宋体" w:hAnsi="宋体"/>
                <w:kern w:val="0"/>
                <w:szCs w:val="21"/>
              </w:rPr>
              <w:t>0</w:t>
            </w:r>
          </w:p>
        </w:tc>
        <w:tc>
          <w:tcPr>
            <w:tcW w:w="258" w:type="pct"/>
            <w:shd w:val="clear" w:color="auto" w:fill="auto"/>
            <w:noWrap/>
            <w:vAlign w:val="center"/>
          </w:tcPr>
          <w:p w14:paraId="147D9E26">
            <w:pPr>
              <w:pStyle w:val="23"/>
              <w:jc w:val="center"/>
              <w:rPr>
                <w:rFonts w:ascii="宋体" w:hAnsi="宋体"/>
                <w:kern w:val="0"/>
                <w:szCs w:val="21"/>
              </w:rPr>
            </w:pPr>
            <w:r>
              <w:rPr>
                <w:rFonts w:ascii="宋体" w:hAnsi="宋体"/>
                <w:kern w:val="0"/>
                <w:szCs w:val="21"/>
              </w:rPr>
              <w:t>0</w:t>
            </w:r>
          </w:p>
        </w:tc>
        <w:tc>
          <w:tcPr>
            <w:tcW w:w="258" w:type="pct"/>
            <w:shd w:val="clear" w:color="auto" w:fill="auto"/>
            <w:noWrap/>
            <w:vAlign w:val="center"/>
          </w:tcPr>
          <w:p w14:paraId="5F17C8F0">
            <w:pPr>
              <w:pStyle w:val="23"/>
              <w:jc w:val="center"/>
              <w:rPr>
                <w:rFonts w:ascii="宋体" w:hAnsi="宋体"/>
                <w:kern w:val="0"/>
                <w:szCs w:val="21"/>
              </w:rPr>
            </w:pPr>
            <w:r>
              <w:rPr>
                <w:rFonts w:ascii="宋体" w:hAnsi="宋体"/>
                <w:kern w:val="0"/>
                <w:szCs w:val="21"/>
              </w:rPr>
              <w:t>0</w:t>
            </w:r>
          </w:p>
        </w:tc>
        <w:tc>
          <w:tcPr>
            <w:tcW w:w="258" w:type="pct"/>
            <w:shd w:val="clear" w:color="auto" w:fill="auto"/>
            <w:noWrap/>
            <w:vAlign w:val="center"/>
          </w:tcPr>
          <w:p w14:paraId="2D6E420E">
            <w:pPr>
              <w:pStyle w:val="23"/>
              <w:jc w:val="center"/>
              <w:rPr>
                <w:rFonts w:ascii="宋体" w:hAnsi="宋体"/>
                <w:kern w:val="0"/>
                <w:szCs w:val="21"/>
              </w:rPr>
            </w:pPr>
            <w:r>
              <w:rPr>
                <w:rFonts w:ascii="宋体" w:hAnsi="宋体"/>
                <w:kern w:val="0"/>
                <w:szCs w:val="21"/>
              </w:rPr>
              <w:t>0</w:t>
            </w:r>
          </w:p>
        </w:tc>
        <w:tc>
          <w:tcPr>
            <w:tcW w:w="258" w:type="pct"/>
            <w:shd w:val="clear" w:color="auto" w:fill="auto"/>
            <w:noWrap/>
            <w:vAlign w:val="center"/>
          </w:tcPr>
          <w:p w14:paraId="42125FAB">
            <w:pPr>
              <w:pStyle w:val="23"/>
              <w:jc w:val="center"/>
              <w:rPr>
                <w:rFonts w:ascii="宋体" w:hAnsi="宋体"/>
                <w:kern w:val="0"/>
                <w:szCs w:val="21"/>
              </w:rPr>
            </w:pPr>
            <w:r>
              <w:rPr>
                <w:rFonts w:ascii="宋体" w:hAnsi="宋体"/>
                <w:kern w:val="0"/>
                <w:szCs w:val="21"/>
              </w:rPr>
              <w:t>0</w:t>
            </w:r>
          </w:p>
        </w:tc>
        <w:tc>
          <w:tcPr>
            <w:tcW w:w="258" w:type="pct"/>
            <w:shd w:val="clear" w:color="auto" w:fill="auto"/>
            <w:noWrap/>
            <w:vAlign w:val="center"/>
          </w:tcPr>
          <w:p w14:paraId="33749AA3">
            <w:pPr>
              <w:pStyle w:val="23"/>
              <w:jc w:val="center"/>
              <w:rPr>
                <w:rFonts w:ascii="宋体" w:hAnsi="宋体"/>
                <w:kern w:val="0"/>
                <w:szCs w:val="21"/>
              </w:rPr>
            </w:pPr>
            <w:r>
              <w:rPr>
                <w:rFonts w:ascii="宋体" w:hAnsi="宋体"/>
                <w:kern w:val="0"/>
                <w:szCs w:val="21"/>
              </w:rPr>
              <w:t>0</w:t>
            </w:r>
          </w:p>
        </w:tc>
        <w:tc>
          <w:tcPr>
            <w:tcW w:w="258" w:type="pct"/>
            <w:shd w:val="clear" w:color="auto" w:fill="auto"/>
            <w:noWrap/>
            <w:vAlign w:val="center"/>
          </w:tcPr>
          <w:p w14:paraId="1287C20E">
            <w:pPr>
              <w:pStyle w:val="23"/>
              <w:jc w:val="center"/>
              <w:rPr>
                <w:rFonts w:ascii="宋体" w:hAnsi="宋体"/>
                <w:kern w:val="0"/>
                <w:szCs w:val="21"/>
              </w:rPr>
            </w:pPr>
            <w:r>
              <w:rPr>
                <w:rFonts w:ascii="宋体" w:hAnsi="宋体"/>
                <w:kern w:val="0"/>
                <w:szCs w:val="21"/>
              </w:rPr>
              <w:t>0</w:t>
            </w:r>
          </w:p>
        </w:tc>
        <w:tc>
          <w:tcPr>
            <w:tcW w:w="258" w:type="pct"/>
            <w:shd w:val="clear" w:color="auto" w:fill="auto"/>
            <w:noWrap/>
            <w:vAlign w:val="center"/>
          </w:tcPr>
          <w:p w14:paraId="69ADA513">
            <w:pPr>
              <w:pStyle w:val="23"/>
              <w:jc w:val="center"/>
              <w:rPr>
                <w:rFonts w:ascii="宋体" w:hAnsi="宋体"/>
                <w:kern w:val="0"/>
                <w:szCs w:val="21"/>
              </w:rPr>
            </w:pPr>
            <w:r>
              <w:rPr>
                <w:rFonts w:ascii="宋体" w:hAnsi="宋体"/>
                <w:kern w:val="0"/>
                <w:szCs w:val="21"/>
              </w:rPr>
              <w:t>0</w:t>
            </w:r>
          </w:p>
        </w:tc>
        <w:tc>
          <w:tcPr>
            <w:tcW w:w="258" w:type="pct"/>
            <w:shd w:val="clear" w:color="auto" w:fill="auto"/>
            <w:noWrap/>
            <w:vAlign w:val="center"/>
          </w:tcPr>
          <w:p w14:paraId="437E2A41">
            <w:pPr>
              <w:pStyle w:val="23"/>
              <w:jc w:val="center"/>
              <w:rPr>
                <w:rFonts w:ascii="宋体" w:hAnsi="宋体"/>
                <w:kern w:val="0"/>
                <w:szCs w:val="21"/>
              </w:rPr>
            </w:pPr>
            <w:r>
              <w:rPr>
                <w:rFonts w:ascii="宋体" w:hAnsi="宋体"/>
                <w:kern w:val="0"/>
                <w:szCs w:val="21"/>
              </w:rPr>
              <w:t>0</w:t>
            </w:r>
          </w:p>
        </w:tc>
        <w:tc>
          <w:tcPr>
            <w:tcW w:w="258" w:type="pct"/>
            <w:shd w:val="clear" w:color="auto" w:fill="auto"/>
            <w:noWrap/>
            <w:vAlign w:val="center"/>
          </w:tcPr>
          <w:p w14:paraId="7399B2E5">
            <w:pPr>
              <w:pStyle w:val="23"/>
              <w:jc w:val="center"/>
              <w:rPr>
                <w:rFonts w:ascii="宋体" w:hAnsi="宋体"/>
                <w:kern w:val="0"/>
                <w:szCs w:val="21"/>
              </w:rPr>
            </w:pPr>
            <w:r>
              <w:rPr>
                <w:rFonts w:ascii="宋体" w:hAnsi="宋体"/>
                <w:kern w:val="0"/>
                <w:szCs w:val="21"/>
              </w:rPr>
              <w:t>0</w:t>
            </w:r>
          </w:p>
        </w:tc>
        <w:tc>
          <w:tcPr>
            <w:tcW w:w="258" w:type="pct"/>
            <w:shd w:val="clear" w:color="auto" w:fill="auto"/>
            <w:noWrap/>
            <w:vAlign w:val="center"/>
          </w:tcPr>
          <w:p w14:paraId="4D2ED8F7">
            <w:pPr>
              <w:pStyle w:val="23"/>
              <w:jc w:val="center"/>
              <w:rPr>
                <w:rFonts w:ascii="宋体" w:hAnsi="宋体"/>
                <w:kern w:val="0"/>
                <w:szCs w:val="21"/>
              </w:rPr>
            </w:pPr>
            <w:r>
              <w:rPr>
                <w:rFonts w:ascii="宋体" w:hAnsi="宋体"/>
                <w:kern w:val="0"/>
                <w:szCs w:val="21"/>
              </w:rPr>
              <w:t>0</w:t>
            </w:r>
          </w:p>
        </w:tc>
        <w:tc>
          <w:tcPr>
            <w:tcW w:w="258" w:type="pct"/>
            <w:shd w:val="clear" w:color="auto" w:fill="auto"/>
            <w:noWrap/>
            <w:vAlign w:val="center"/>
          </w:tcPr>
          <w:p w14:paraId="09F060CF">
            <w:pPr>
              <w:pStyle w:val="23"/>
              <w:jc w:val="center"/>
              <w:rPr>
                <w:rFonts w:ascii="宋体" w:hAnsi="宋体"/>
                <w:kern w:val="0"/>
                <w:szCs w:val="21"/>
              </w:rPr>
            </w:pPr>
            <w:r>
              <w:rPr>
                <w:rFonts w:ascii="宋体" w:hAnsi="宋体"/>
                <w:kern w:val="0"/>
                <w:szCs w:val="21"/>
              </w:rPr>
              <w:t>0</w:t>
            </w:r>
          </w:p>
        </w:tc>
        <w:tc>
          <w:tcPr>
            <w:tcW w:w="258" w:type="pct"/>
            <w:shd w:val="clear" w:color="auto" w:fill="auto"/>
            <w:noWrap/>
            <w:vAlign w:val="center"/>
          </w:tcPr>
          <w:p w14:paraId="117E8391">
            <w:pPr>
              <w:pStyle w:val="23"/>
              <w:jc w:val="center"/>
              <w:rPr>
                <w:rFonts w:ascii="宋体" w:hAnsi="宋体"/>
                <w:kern w:val="0"/>
                <w:szCs w:val="21"/>
              </w:rPr>
            </w:pPr>
            <w:r>
              <w:rPr>
                <w:rFonts w:ascii="宋体" w:hAnsi="宋体"/>
                <w:kern w:val="0"/>
                <w:szCs w:val="21"/>
              </w:rPr>
              <w:t>0</w:t>
            </w:r>
          </w:p>
        </w:tc>
        <w:tc>
          <w:tcPr>
            <w:tcW w:w="258" w:type="pct"/>
            <w:shd w:val="clear" w:color="auto" w:fill="auto"/>
            <w:noWrap/>
            <w:vAlign w:val="center"/>
          </w:tcPr>
          <w:p w14:paraId="71D93982">
            <w:pPr>
              <w:pStyle w:val="23"/>
              <w:jc w:val="center"/>
              <w:rPr>
                <w:rFonts w:ascii="宋体" w:hAnsi="宋体"/>
                <w:kern w:val="0"/>
                <w:szCs w:val="21"/>
              </w:rPr>
            </w:pPr>
            <w:r>
              <w:rPr>
                <w:rFonts w:ascii="宋体" w:hAnsi="宋体"/>
                <w:kern w:val="0"/>
                <w:szCs w:val="21"/>
              </w:rPr>
              <w:t>0</w:t>
            </w:r>
          </w:p>
        </w:tc>
        <w:tc>
          <w:tcPr>
            <w:tcW w:w="258" w:type="pct"/>
            <w:shd w:val="clear" w:color="auto" w:fill="auto"/>
            <w:noWrap/>
            <w:vAlign w:val="center"/>
          </w:tcPr>
          <w:p w14:paraId="37EB66DF">
            <w:pPr>
              <w:pStyle w:val="23"/>
              <w:jc w:val="center"/>
              <w:rPr>
                <w:rFonts w:ascii="宋体" w:hAnsi="宋体"/>
                <w:kern w:val="0"/>
                <w:szCs w:val="21"/>
              </w:rPr>
            </w:pPr>
            <w:r>
              <w:rPr>
                <w:rFonts w:ascii="宋体" w:hAnsi="宋体"/>
                <w:kern w:val="0"/>
                <w:szCs w:val="21"/>
              </w:rPr>
              <w:t>0</w:t>
            </w:r>
          </w:p>
        </w:tc>
        <w:tc>
          <w:tcPr>
            <w:tcW w:w="258" w:type="pct"/>
            <w:shd w:val="clear" w:color="auto" w:fill="auto"/>
            <w:noWrap/>
            <w:vAlign w:val="center"/>
          </w:tcPr>
          <w:p w14:paraId="10DF8CB1">
            <w:pPr>
              <w:pStyle w:val="23"/>
              <w:jc w:val="center"/>
              <w:rPr>
                <w:rFonts w:ascii="宋体" w:hAnsi="宋体"/>
                <w:kern w:val="0"/>
                <w:szCs w:val="21"/>
              </w:rPr>
            </w:pPr>
            <w:r>
              <w:rPr>
                <w:rFonts w:ascii="宋体" w:hAnsi="宋体"/>
                <w:kern w:val="0"/>
                <w:szCs w:val="21"/>
              </w:rPr>
              <w:t>0</w:t>
            </w:r>
          </w:p>
        </w:tc>
      </w:tr>
    </w:tbl>
    <w:p w14:paraId="293E59BC">
      <w:pPr>
        <w:autoSpaceDE w:val="0"/>
        <w:autoSpaceDN w:val="0"/>
        <w:adjustRightInd w:val="0"/>
        <w:ind w:firstLine="0" w:firstLineChars="0"/>
        <w:jc w:val="center"/>
        <w:rPr>
          <w:rFonts w:ascii="宋体" w:hAnsi="宋体" w:cs="HiddenHorzOCR"/>
          <w:b/>
          <w:color w:val="161516"/>
          <w:kern w:val="0"/>
          <w:szCs w:val="21"/>
        </w:rPr>
      </w:pPr>
      <w:r>
        <w:rPr>
          <w:rFonts w:hint="eastAsia" w:ascii="宋体" w:hAnsi="宋体" w:cs="HiddenHorzOCR"/>
          <w:b/>
          <w:color w:val="161516"/>
          <w:kern w:val="0"/>
          <w:szCs w:val="21"/>
        </w:rPr>
        <w:t xml:space="preserve">表22 </w:t>
      </w:r>
      <w:r>
        <w:rPr>
          <w:rFonts w:ascii="宋体" w:hAnsi="宋体" w:cs="HiddenHorzOCR"/>
          <w:b/>
          <w:color w:val="161516"/>
          <w:kern w:val="0"/>
          <w:szCs w:val="21"/>
        </w:rPr>
        <w:t>2011</w:t>
      </w:r>
      <w:r>
        <w:rPr>
          <w:rFonts w:hint="eastAsia" w:ascii="宋体" w:hAnsi="宋体" w:cs="HiddenHorzOCR"/>
          <w:b/>
          <w:color w:val="161516"/>
          <w:kern w:val="0"/>
          <w:szCs w:val="21"/>
        </w:rPr>
        <w:t>年南雄市环境空气中科吸入颗粒物监测情况（单位：mg/m</w:t>
      </w:r>
      <w:r>
        <w:rPr>
          <w:rFonts w:hint="eastAsia" w:ascii="宋体" w:hAnsi="宋体" w:cs="HiddenHorzOCR"/>
          <w:b/>
          <w:color w:val="161516"/>
          <w:kern w:val="0"/>
          <w:szCs w:val="21"/>
          <w:vertAlign w:val="superscript"/>
        </w:rPr>
        <w:t>3</w:t>
      </w:r>
      <w:r>
        <w:rPr>
          <w:rFonts w:hint="eastAsia" w:ascii="宋体" w:hAnsi="宋体" w:cs="HiddenHorzOCR"/>
          <w:b/>
          <w:color w:val="161516"/>
          <w:kern w:val="0"/>
          <w:szCs w:val="21"/>
        </w:rPr>
        <w:t>）</w:t>
      </w:r>
    </w:p>
    <w:tbl>
      <w:tblPr>
        <w:tblStyle w:val="14"/>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66"/>
        <w:gridCol w:w="875"/>
        <w:gridCol w:w="489"/>
        <w:gridCol w:w="489"/>
        <w:gridCol w:w="489"/>
        <w:gridCol w:w="489"/>
        <w:gridCol w:w="489"/>
        <w:gridCol w:w="489"/>
        <w:gridCol w:w="489"/>
        <w:gridCol w:w="489"/>
        <w:gridCol w:w="489"/>
        <w:gridCol w:w="490"/>
        <w:gridCol w:w="490"/>
        <w:gridCol w:w="490"/>
        <w:gridCol w:w="490"/>
        <w:gridCol w:w="490"/>
        <w:gridCol w:w="490"/>
        <w:gridCol w:w="490"/>
        <w:gridCol w:w="490"/>
      </w:tblGrid>
      <w:tr w14:paraId="65DF679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77" w:type="pct"/>
            <w:vMerge w:val="restart"/>
            <w:shd w:val="clear" w:color="auto" w:fill="auto"/>
            <w:noWrap/>
            <w:vAlign w:val="center"/>
          </w:tcPr>
          <w:p w14:paraId="3F1BE85B">
            <w:pPr>
              <w:widowControl/>
              <w:spacing w:line="240" w:lineRule="auto"/>
              <w:ind w:firstLine="0" w:firstLineChars="0"/>
              <w:rPr>
                <w:rFonts w:ascii="宋体" w:hAnsi="宋体" w:cs="Arial"/>
                <w:b/>
                <w:kern w:val="0"/>
                <w:szCs w:val="21"/>
              </w:rPr>
            </w:pPr>
            <w:r>
              <w:rPr>
                <w:rFonts w:ascii="宋体" w:hAnsi="宋体" w:cs="Arial"/>
                <w:b/>
                <w:kern w:val="0"/>
                <w:szCs w:val="21"/>
              </w:rPr>
              <w:t>监测点</w:t>
            </w:r>
          </w:p>
        </w:tc>
        <w:tc>
          <w:tcPr>
            <w:tcW w:w="331" w:type="pct"/>
            <w:vMerge w:val="restart"/>
            <w:shd w:val="clear" w:color="auto" w:fill="auto"/>
            <w:noWrap/>
            <w:vAlign w:val="center"/>
          </w:tcPr>
          <w:p w14:paraId="4E4CDD2B">
            <w:pPr>
              <w:widowControl/>
              <w:spacing w:line="240" w:lineRule="auto"/>
              <w:ind w:firstLine="0" w:firstLineChars="0"/>
              <w:jc w:val="center"/>
              <w:rPr>
                <w:rFonts w:ascii="宋体" w:hAnsi="宋体" w:cs="Arial"/>
                <w:b/>
                <w:kern w:val="0"/>
                <w:szCs w:val="21"/>
              </w:rPr>
            </w:pPr>
            <w:r>
              <w:rPr>
                <w:rFonts w:ascii="宋体" w:hAnsi="宋体" w:cs="Arial"/>
                <w:b/>
                <w:kern w:val="0"/>
                <w:szCs w:val="21"/>
              </w:rPr>
              <w:t>指标</w:t>
            </w:r>
          </w:p>
        </w:tc>
        <w:tc>
          <w:tcPr>
            <w:tcW w:w="1034" w:type="pct"/>
            <w:gridSpan w:val="4"/>
            <w:shd w:val="clear" w:color="auto" w:fill="auto"/>
            <w:noWrap/>
            <w:vAlign w:val="center"/>
          </w:tcPr>
          <w:p w14:paraId="293D41EB">
            <w:pPr>
              <w:widowControl/>
              <w:spacing w:line="240" w:lineRule="auto"/>
              <w:ind w:firstLine="0" w:firstLineChars="0"/>
              <w:jc w:val="center"/>
              <w:rPr>
                <w:rFonts w:ascii="宋体" w:hAnsi="宋体" w:cs="Arial"/>
                <w:b/>
                <w:kern w:val="0"/>
                <w:szCs w:val="21"/>
              </w:rPr>
            </w:pPr>
            <w:r>
              <w:rPr>
                <w:rFonts w:ascii="宋体" w:hAnsi="宋体" w:cs="Arial"/>
                <w:b/>
                <w:kern w:val="0"/>
                <w:szCs w:val="21"/>
              </w:rPr>
              <w:t>第一季度</w:t>
            </w:r>
          </w:p>
        </w:tc>
        <w:tc>
          <w:tcPr>
            <w:tcW w:w="1034" w:type="pct"/>
            <w:gridSpan w:val="4"/>
            <w:shd w:val="clear" w:color="auto" w:fill="auto"/>
            <w:noWrap/>
            <w:vAlign w:val="center"/>
          </w:tcPr>
          <w:p w14:paraId="76C2B26E">
            <w:pPr>
              <w:widowControl/>
              <w:spacing w:line="240" w:lineRule="auto"/>
              <w:ind w:firstLine="0" w:firstLineChars="0"/>
              <w:jc w:val="center"/>
              <w:rPr>
                <w:rFonts w:ascii="宋体" w:hAnsi="宋体" w:cs="Arial"/>
                <w:b/>
                <w:kern w:val="0"/>
                <w:szCs w:val="21"/>
              </w:rPr>
            </w:pPr>
            <w:r>
              <w:rPr>
                <w:rFonts w:ascii="宋体" w:hAnsi="宋体" w:cs="Arial"/>
                <w:b/>
                <w:kern w:val="0"/>
                <w:szCs w:val="21"/>
              </w:rPr>
              <w:t>第二季度</w:t>
            </w:r>
          </w:p>
        </w:tc>
        <w:tc>
          <w:tcPr>
            <w:tcW w:w="1034" w:type="pct"/>
            <w:gridSpan w:val="4"/>
            <w:shd w:val="clear" w:color="auto" w:fill="auto"/>
            <w:noWrap/>
            <w:vAlign w:val="center"/>
          </w:tcPr>
          <w:p w14:paraId="2A12F0BD">
            <w:pPr>
              <w:widowControl/>
              <w:spacing w:line="240" w:lineRule="auto"/>
              <w:ind w:firstLine="0" w:firstLineChars="0"/>
              <w:jc w:val="center"/>
              <w:rPr>
                <w:rFonts w:ascii="宋体" w:hAnsi="宋体" w:cs="Arial"/>
                <w:b/>
                <w:kern w:val="0"/>
                <w:szCs w:val="21"/>
              </w:rPr>
            </w:pPr>
            <w:r>
              <w:rPr>
                <w:rFonts w:ascii="宋体" w:hAnsi="宋体" w:cs="Arial"/>
                <w:b/>
                <w:kern w:val="0"/>
                <w:szCs w:val="21"/>
              </w:rPr>
              <w:t>第三季度</w:t>
            </w:r>
          </w:p>
        </w:tc>
        <w:tc>
          <w:tcPr>
            <w:tcW w:w="1034" w:type="pct"/>
            <w:gridSpan w:val="4"/>
            <w:shd w:val="clear" w:color="auto" w:fill="auto"/>
            <w:noWrap/>
            <w:vAlign w:val="center"/>
          </w:tcPr>
          <w:p w14:paraId="165322B3">
            <w:pPr>
              <w:widowControl/>
              <w:spacing w:line="240" w:lineRule="auto"/>
              <w:ind w:firstLine="0" w:firstLineChars="0"/>
              <w:jc w:val="center"/>
              <w:rPr>
                <w:rFonts w:ascii="宋体" w:hAnsi="宋体" w:cs="Arial"/>
                <w:b/>
                <w:kern w:val="0"/>
                <w:szCs w:val="21"/>
              </w:rPr>
            </w:pPr>
            <w:r>
              <w:rPr>
                <w:rFonts w:ascii="宋体" w:hAnsi="宋体" w:cs="Arial"/>
                <w:b/>
                <w:kern w:val="0"/>
                <w:szCs w:val="21"/>
              </w:rPr>
              <w:t>第四季度</w:t>
            </w:r>
          </w:p>
        </w:tc>
        <w:tc>
          <w:tcPr>
            <w:tcW w:w="258" w:type="pct"/>
            <w:shd w:val="clear" w:color="auto" w:fill="auto"/>
            <w:noWrap/>
            <w:vAlign w:val="center"/>
          </w:tcPr>
          <w:p w14:paraId="6E9C1202">
            <w:pPr>
              <w:widowControl/>
              <w:spacing w:line="240" w:lineRule="auto"/>
              <w:ind w:firstLine="0" w:firstLineChars="0"/>
              <w:jc w:val="center"/>
              <w:rPr>
                <w:rFonts w:ascii="宋体" w:hAnsi="宋体" w:cs="Arial"/>
                <w:b/>
                <w:kern w:val="0"/>
                <w:szCs w:val="21"/>
              </w:rPr>
            </w:pPr>
            <w:r>
              <w:rPr>
                <w:rFonts w:ascii="宋体" w:hAnsi="宋体" w:cs="Arial"/>
                <w:b/>
                <w:kern w:val="0"/>
                <w:szCs w:val="21"/>
              </w:rPr>
              <w:t>全年</w:t>
            </w:r>
          </w:p>
        </w:tc>
      </w:tr>
      <w:tr w14:paraId="63462EA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77" w:type="pct"/>
            <w:vMerge w:val="continue"/>
            <w:vAlign w:val="center"/>
          </w:tcPr>
          <w:p w14:paraId="1B3A125D">
            <w:pPr>
              <w:widowControl/>
              <w:spacing w:line="240" w:lineRule="auto"/>
              <w:ind w:firstLine="0" w:firstLineChars="0"/>
              <w:jc w:val="center"/>
              <w:rPr>
                <w:rFonts w:ascii="宋体" w:hAnsi="宋体" w:cs="Arial"/>
                <w:b/>
                <w:kern w:val="0"/>
                <w:szCs w:val="21"/>
              </w:rPr>
            </w:pPr>
          </w:p>
        </w:tc>
        <w:tc>
          <w:tcPr>
            <w:tcW w:w="331" w:type="pct"/>
            <w:vMerge w:val="continue"/>
            <w:vAlign w:val="center"/>
          </w:tcPr>
          <w:p w14:paraId="5E1B211A">
            <w:pPr>
              <w:widowControl/>
              <w:spacing w:line="240" w:lineRule="auto"/>
              <w:ind w:firstLine="0" w:firstLineChars="0"/>
              <w:jc w:val="center"/>
              <w:rPr>
                <w:rFonts w:ascii="宋体" w:hAnsi="宋体" w:cs="Arial"/>
                <w:b/>
                <w:kern w:val="0"/>
                <w:szCs w:val="21"/>
              </w:rPr>
            </w:pPr>
          </w:p>
        </w:tc>
        <w:tc>
          <w:tcPr>
            <w:tcW w:w="258" w:type="pct"/>
            <w:shd w:val="clear" w:color="auto" w:fill="auto"/>
            <w:noWrap/>
            <w:vAlign w:val="center"/>
          </w:tcPr>
          <w:p w14:paraId="68AFD5A2">
            <w:pPr>
              <w:widowControl/>
              <w:spacing w:line="240" w:lineRule="auto"/>
              <w:ind w:firstLine="0" w:firstLineChars="0"/>
              <w:jc w:val="center"/>
              <w:rPr>
                <w:rFonts w:ascii="宋体" w:hAnsi="宋体" w:cs="Arial"/>
                <w:kern w:val="0"/>
                <w:szCs w:val="21"/>
              </w:rPr>
            </w:pPr>
            <w:r>
              <w:rPr>
                <w:rFonts w:ascii="宋体" w:hAnsi="宋体" w:cs="Arial"/>
                <w:kern w:val="0"/>
                <w:szCs w:val="21"/>
              </w:rPr>
              <w:t>1月</w:t>
            </w:r>
          </w:p>
        </w:tc>
        <w:tc>
          <w:tcPr>
            <w:tcW w:w="258" w:type="pct"/>
            <w:shd w:val="clear" w:color="auto" w:fill="auto"/>
            <w:noWrap/>
            <w:vAlign w:val="center"/>
          </w:tcPr>
          <w:p w14:paraId="1DE2336A">
            <w:pPr>
              <w:widowControl/>
              <w:spacing w:line="240" w:lineRule="auto"/>
              <w:ind w:firstLine="0" w:firstLineChars="0"/>
              <w:jc w:val="center"/>
              <w:rPr>
                <w:rFonts w:ascii="宋体" w:hAnsi="宋体" w:cs="Arial"/>
                <w:kern w:val="0"/>
                <w:szCs w:val="21"/>
              </w:rPr>
            </w:pPr>
            <w:r>
              <w:rPr>
                <w:rFonts w:ascii="宋体" w:hAnsi="宋体" w:cs="Arial"/>
                <w:kern w:val="0"/>
                <w:szCs w:val="21"/>
              </w:rPr>
              <w:t>2月</w:t>
            </w:r>
          </w:p>
        </w:tc>
        <w:tc>
          <w:tcPr>
            <w:tcW w:w="258" w:type="pct"/>
            <w:shd w:val="clear" w:color="auto" w:fill="auto"/>
            <w:noWrap/>
            <w:vAlign w:val="center"/>
          </w:tcPr>
          <w:p w14:paraId="2EAF845F">
            <w:pPr>
              <w:widowControl/>
              <w:spacing w:line="240" w:lineRule="auto"/>
              <w:ind w:firstLine="0" w:firstLineChars="0"/>
              <w:jc w:val="center"/>
              <w:rPr>
                <w:rFonts w:ascii="宋体" w:hAnsi="宋体" w:cs="Arial"/>
                <w:kern w:val="0"/>
                <w:szCs w:val="21"/>
              </w:rPr>
            </w:pPr>
            <w:r>
              <w:rPr>
                <w:rFonts w:ascii="宋体" w:hAnsi="宋体" w:cs="Arial"/>
                <w:kern w:val="0"/>
                <w:szCs w:val="21"/>
              </w:rPr>
              <w:t>3月</w:t>
            </w:r>
          </w:p>
        </w:tc>
        <w:tc>
          <w:tcPr>
            <w:tcW w:w="258" w:type="pct"/>
            <w:shd w:val="clear" w:color="auto" w:fill="auto"/>
            <w:noWrap/>
            <w:vAlign w:val="center"/>
          </w:tcPr>
          <w:p w14:paraId="4521E2DD">
            <w:pPr>
              <w:widowControl/>
              <w:spacing w:line="240" w:lineRule="auto"/>
              <w:ind w:firstLine="0" w:firstLineChars="0"/>
              <w:jc w:val="center"/>
              <w:rPr>
                <w:rFonts w:ascii="宋体" w:hAnsi="宋体" w:cs="Arial"/>
                <w:kern w:val="0"/>
                <w:szCs w:val="21"/>
              </w:rPr>
            </w:pPr>
            <w:r>
              <w:rPr>
                <w:rFonts w:ascii="宋体" w:hAnsi="宋体" w:cs="Arial"/>
                <w:kern w:val="0"/>
                <w:szCs w:val="21"/>
              </w:rPr>
              <w:t>小计</w:t>
            </w:r>
          </w:p>
        </w:tc>
        <w:tc>
          <w:tcPr>
            <w:tcW w:w="258" w:type="pct"/>
            <w:shd w:val="clear" w:color="auto" w:fill="auto"/>
            <w:noWrap/>
            <w:vAlign w:val="center"/>
          </w:tcPr>
          <w:p w14:paraId="35AEF1AB">
            <w:pPr>
              <w:widowControl/>
              <w:spacing w:line="240" w:lineRule="auto"/>
              <w:ind w:firstLine="0" w:firstLineChars="0"/>
              <w:jc w:val="center"/>
              <w:rPr>
                <w:rFonts w:ascii="宋体" w:hAnsi="宋体" w:cs="Arial"/>
                <w:kern w:val="0"/>
                <w:szCs w:val="21"/>
              </w:rPr>
            </w:pPr>
            <w:r>
              <w:rPr>
                <w:rFonts w:ascii="宋体" w:hAnsi="宋体" w:cs="Arial"/>
                <w:kern w:val="0"/>
                <w:szCs w:val="21"/>
              </w:rPr>
              <w:t>4月</w:t>
            </w:r>
          </w:p>
        </w:tc>
        <w:tc>
          <w:tcPr>
            <w:tcW w:w="258" w:type="pct"/>
            <w:shd w:val="clear" w:color="auto" w:fill="auto"/>
            <w:noWrap/>
            <w:vAlign w:val="center"/>
          </w:tcPr>
          <w:p w14:paraId="7B711999">
            <w:pPr>
              <w:widowControl/>
              <w:spacing w:line="240" w:lineRule="auto"/>
              <w:ind w:firstLine="0" w:firstLineChars="0"/>
              <w:jc w:val="center"/>
              <w:rPr>
                <w:rFonts w:ascii="宋体" w:hAnsi="宋体" w:cs="Arial"/>
                <w:kern w:val="0"/>
                <w:szCs w:val="21"/>
              </w:rPr>
            </w:pPr>
            <w:r>
              <w:rPr>
                <w:rFonts w:ascii="宋体" w:hAnsi="宋体" w:cs="Arial"/>
                <w:kern w:val="0"/>
                <w:szCs w:val="21"/>
              </w:rPr>
              <w:t>5月</w:t>
            </w:r>
          </w:p>
        </w:tc>
        <w:tc>
          <w:tcPr>
            <w:tcW w:w="258" w:type="pct"/>
            <w:shd w:val="clear" w:color="auto" w:fill="auto"/>
            <w:noWrap/>
            <w:vAlign w:val="center"/>
          </w:tcPr>
          <w:p w14:paraId="5210EE68">
            <w:pPr>
              <w:widowControl/>
              <w:spacing w:line="240" w:lineRule="auto"/>
              <w:ind w:firstLine="0" w:firstLineChars="0"/>
              <w:jc w:val="center"/>
              <w:rPr>
                <w:rFonts w:ascii="宋体" w:hAnsi="宋体" w:cs="Arial"/>
                <w:kern w:val="0"/>
                <w:szCs w:val="21"/>
              </w:rPr>
            </w:pPr>
            <w:r>
              <w:rPr>
                <w:rFonts w:ascii="宋体" w:hAnsi="宋体" w:cs="Arial"/>
                <w:kern w:val="0"/>
                <w:szCs w:val="21"/>
              </w:rPr>
              <w:t>6</w:t>
            </w:r>
          </w:p>
        </w:tc>
        <w:tc>
          <w:tcPr>
            <w:tcW w:w="258" w:type="pct"/>
            <w:shd w:val="clear" w:color="auto" w:fill="auto"/>
            <w:noWrap/>
            <w:vAlign w:val="center"/>
          </w:tcPr>
          <w:p w14:paraId="060A8C70">
            <w:pPr>
              <w:widowControl/>
              <w:spacing w:line="240" w:lineRule="auto"/>
              <w:ind w:firstLine="0" w:firstLineChars="0"/>
              <w:jc w:val="center"/>
              <w:rPr>
                <w:rFonts w:ascii="宋体" w:hAnsi="宋体" w:cs="Arial"/>
                <w:kern w:val="0"/>
                <w:szCs w:val="21"/>
              </w:rPr>
            </w:pPr>
            <w:r>
              <w:rPr>
                <w:rFonts w:ascii="宋体" w:hAnsi="宋体" w:cs="Arial"/>
                <w:kern w:val="0"/>
                <w:szCs w:val="21"/>
              </w:rPr>
              <w:t>小计</w:t>
            </w:r>
          </w:p>
        </w:tc>
        <w:tc>
          <w:tcPr>
            <w:tcW w:w="258" w:type="pct"/>
            <w:shd w:val="clear" w:color="auto" w:fill="auto"/>
            <w:noWrap/>
            <w:vAlign w:val="center"/>
          </w:tcPr>
          <w:p w14:paraId="22F18483">
            <w:pPr>
              <w:widowControl/>
              <w:spacing w:line="240" w:lineRule="auto"/>
              <w:ind w:firstLine="0" w:firstLineChars="0"/>
              <w:jc w:val="center"/>
              <w:rPr>
                <w:rFonts w:ascii="宋体" w:hAnsi="宋体" w:cs="Arial"/>
                <w:kern w:val="0"/>
                <w:szCs w:val="21"/>
              </w:rPr>
            </w:pPr>
            <w:r>
              <w:rPr>
                <w:rFonts w:ascii="宋体" w:hAnsi="宋体" w:cs="Arial"/>
                <w:kern w:val="0"/>
                <w:szCs w:val="21"/>
              </w:rPr>
              <w:t>7月</w:t>
            </w:r>
          </w:p>
        </w:tc>
        <w:tc>
          <w:tcPr>
            <w:tcW w:w="258" w:type="pct"/>
            <w:shd w:val="clear" w:color="auto" w:fill="auto"/>
            <w:noWrap/>
            <w:vAlign w:val="center"/>
          </w:tcPr>
          <w:p w14:paraId="64639202">
            <w:pPr>
              <w:widowControl/>
              <w:spacing w:line="240" w:lineRule="auto"/>
              <w:ind w:firstLine="0" w:firstLineChars="0"/>
              <w:jc w:val="center"/>
              <w:rPr>
                <w:rFonts w:ascii="宋体" w:hAnsi="宋体" w:cs="Arial"/>
                <w:kern w:val="0"/>
                <w:szCs w:val="21"/>
              </w:rPr>
            </w:pPr>
            <w:r>
              <w:rPr>
                <w:rFonts w:ascii="宋体" w:hAnsi="宋体" w:cs="Arial"/>
                <w:kern w:val="0"/>
                <w:szCs w:val="21"/>
              </w:rPr>
              <w:t>8月</w:t>
            </w:r>
          </w:p>
        </w:tc>
        <w:tc>
          <w:tcPr>
            <w:tcW w:w="258" w:type="pct"/>
            <w:shd w:val="clear" w:color="auto" w:fill="auto"/>
            <w:noWrap/>
            <w:vAlign w:val="center"/>
          </w:tcPr>
          <w:p w14:paraId="72EB5F2F">
            <w:pPr>
              <w:widowControl/>
              <w:spacing w:line="240" w:lineRule="auto"/>
              <w:ind w:firstLine="0" w:firstLineChars="0"/>
              <w:jc w:val="center"/>
              <w:rPr>
                <w:rFonts w:ascii="宋体" w:hAnsi="宋体" w:cs="Arial"/>
                <w:kern w:val="0"/>
                <w:szCs w:val="21"/>
              </w:rPr>
            </w:pPr>
            <w:r>
              <w:rPr>
                <w:rFonts w:ascii="宋体" w:hAnsi="宋体" w:cs="Arial"/>
                <w:kern w:val="0"/>
                <w:szCs w:val="21"/>
              </w:rPr>
              <w:t>9月</w:t>
            </w:r>
          </w:p>
        </w:tc>
        <w:tc>
          <w:tcPr>
            <w:tcW w:w="258" w:type="pct"/>
            <w:shd w:val="clear" w:color="auto" w:fill="auto"/>
            <w:noWrap/>
            <w:vAlign w:val="center"/>
          </w:tcPr>
          <w:p w14:paraId="3DFF5B05">
            <w:pPr>
              <w:widowControl/>
              <w:spacing w:line="240" w:lineRule="auto"/>
              <w:ind w:firstLine="0" w:firstLineChars="0"/>
              <w:jc w:val="center"/>
              <w:rPr>
                <w:rFonts w:ascii="宋体" w:hAnsi="宋体" w:cs="Arial"/>
                <w:kern w:val="0"/>
                <w:szCs w:val="21"/>
              </w:rPr>
            </w:pPr>
            <w:r>
              <w:rPr>
                <w:rFonts w:ascii="宋体" w:hAnsi="宋体" w:cs="Arial"/>
                <w:kern w:val="0"/>
                <w:szCs w:val="21"/>
              </w:rPr>
              <w:t>小计</w:t>
            </w:r>
          </w:p>
        </w:tc>
        <w:tc>
          <w:tcPr>
            <w:tcW w:w="258" w:type="pct"/>
            <w:shd w:val="clear" w:color="auto" w:fill="auto"/>
            <w:noWrap/>
            <w:vAlign w:val="center"/>
          </w:tcPr>
          <w:p w14:paraId="276617CE">
            <w:pPr>
              <w:widowControl/>
              <w:spacing w:line="240" w:lineRule="auto"/>
              <w:ind w:firstLine="0" w:firstLineChars="0"/>
              <w:jc w:val="center"/>
              <w:rPr>
                <w:rFonts w:ascii="宋体" w:hAnsi="宋体" w:cs="Arial"/>
                <w:kern w:val="0"/>
                <w:szCs w:val="21"/>
              </w:rPr>
            </w:pPr>
            <w:r>
              <w:rPr>
                <w:rFonts w:ascii="宋体" w:hAnsi="宋体" w:cs="Arial"/>
                <w:kern w:val="0"/>
                <w:szCs w:val="21"/>
              </w:rPr>
              <w:t>10月</w:t>
            </w:r>
          </w:p>
        </w:tc>
        <w:tc>
          <w:tcPr>
            <w:tcW w:w="258" w:type="pct"/>
            <w:shd w:val="clear" w:color="auto" w:fill="auto"/>
            <w:noWrap/>
            <w:vAlign w:val="center"/>
          </w:tcPr>
          <w:p w14:paraId="074491F0">
            <w:pPr>
              <w:widowControl/>
              <w:spacing w:line="240" w:lineRule="auto"/>
              <w:ind w:firstLine="0" w:firstLineChars="0"/>
              <w:jc w:val="center"/>
              <w:rPr>
                <w:rFonts w:ascii="宋体" w:hAnsi="宋体" w:cs="Arial"/>
                <w:kern w:val="0"/>
                <w:szCs w:val="21"/>
              </w:rPr>
            </w:pPr>
            <w:r>
              <w:rPr>
                <w:rFonts w:ascii="宋体" w:hAnsi="宋体" w:cs="Arial"/>
                <w:kern w:val="0"/>
                <w:szCs w:val="21"/>
              </w:rPr>
              <w:t>11月</w:t>
            </w:r>
          </w:p>
        </w:tc>
        <w:tc>
          <w:tcPr>
            <w:tcW w:w="258" w:type="pct"/>
            <w:shd w:val="clear" w:color="auto" w:fill="auto"/>
            <w:noWrap/>
            <w:vAlign w:val="center"/>
          </w:tcPr>
          <w:p w14:paraId="157C4232">
            <w:pPr>
              <w:widowControl/>
              <w:spacing w:line="240" w:lineRule="auto"/>
              <w:ind w:firstLine="0" w:firstLineChars="0"/>
              <w:jc w:val="center"/>
              <w:rPr>
                <w:rFonts w:ascii="宋体" w:hAnsi="宋体" w:cs="Arial"/>
                <w:kern w:val="0"/>
                <w:szCs w:val="21"/>
              </w:rPr>
            </w:pPr>
            <w:r>
              <w:rPr>
                <w:rFonts w:ascii="宋体" w:hAnsi="宋体" w:cs="Arial"/>
                <w:kern w:val="0"/>
                <w:szCs w:val="21"/>
              </w:rPr>
              <w:t>12月</w:t>
            </w:r>
          </w:p>
        </w:tc>
        <w:tc>
          <w:tcPr>
            <w:tcW w:w="258" w:type="pct"/>
            <w:shd w:val="clear" w:color="auto" w:fill="auto"/>
            <w:noWrap/>
            <w:vAlign w:val="center"/>
          </w:tcPr>
          <w:p w14:paraId="13E1098B">
            <w:pPr>
              <w:widowControl/>
              <w:spacing w:line="240" w:lineRule="auto"/>
              <w:ind w:firstLine="0" w:firstLineChars="0"/>
              <w:jc w:val="center"/>
              <w:rPr>
                <w:rFonts w:ascii="宋体" w:hAnsi="宋体" w:cs="Arial"/>
                <w:kern w:val="0"/>
                <w:szCs w:val="21"/>
              </w:rPr>
            </w:pPr>
            <w:r>
              <w:rPr>
                <w:rFonts w:ascii="宋体" w:hAnsi="宋体" w:cs="Arial"/>
                <w:kern w:val="0"/>
                <w:szCs w:val="21"/>
              </w:rPr>
              <w:t>小计</w:t>
            </w:r>
          </w:p>
        </w:tc>
        <w:tc>
          <w:tcPr>
            <w:tcW w:w="258" w:type="pct"/>
            <w:shd w:val="clear" w:color="auto" w:fill="auto"/>
            <w:noWrap/>
            <w:vAlign w:val="center"/>
          </w:tcPr>
          <w:p w14:paraId="13C54493">
            <w:pPr>
              <w:widowControl/>
              <w:spacing w:line="240" w:lineRule="auto"/>
              <w:ind w:firstLine="0" w:firstLineChars="0"/>
              <w:jc w:val="center"/>
              <w:rPr>
                <w:rFonts w:ascii="宋体" w:hAnsi="宋体" w:cs="Arial"/>
                <w:kern w:val="0"/>
                <w:szCs w:val="21"/>
              </w:rPr>
            </w:pPr>
            <w:r>
              <w:rPr>
                <w:rFonts w:ascii="宋体" w:hAnsi="宋体" w:cs="Arial"/>
                <w:kern w:val="0"/>
                <w:szCs w:val="21"/>
              </w:rPr>
              <w:t>总计</w:t>
            </w:r>
          </w:p>
        </w:tc>
      </w:tr>
      <w:tr w14:paraId="257B06D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77" w:type="pct"/>
            <w:vMerge w:val="restart"/>
            <w:shd w:val="clear" w:color="auto" w:fill="auto"/>
            <w:noWrap/>
            <w:vAlign w:val="center"/>
          </w:tcPr>
          <w:p w14:paraId="0E800FC6">
            <w:pPr>
              <w:widowControl/>
              <w:spacing w:line="240" w:lineRule="auto"/>
              <w:ind w:firstLine="0" w:firstLineChars="0"/>
              <w:jc w:val="center"/>
              <w:rPr>
                <w:rFonts w:ascii="宋体" w:hAnsi="宋体" w:cs="Arial"/>
                <w:b/>
                <w:kern w:val="0"/>
                <w:szCs w:val="21"/>
              </w:rPr>
            </w:pPr>
            <w:r>
              <w:rPr>
                <w:rFonts w:ascii="宋体" w:hAnsi="宋体" w:cs="Arial"/>
                <w:b/>
                <w:kern w:val="0"/>
                <w:szCs w:val="21"/>
              </w:rPr>
              <w:t>监测站大楼</w:t>
            </w:r>
          </w:p>
        </w:tc>
        <w:tc>
          <w:tcPr>
            <w:tcW w:w="331" w:type="pct"/>
            <w:shd w:val="clear" w:color="auto" w:fill="auto"/>
            <w:noWrap/>
            <w:vAlign w:val="center"/>
          </w:tcPr>
          <w:p w14:paraId="3C647793">
            <w:pPr>
              <w:widowControl/>
              <w:spacing w:line="240" w:lineRule="auto"/>
              <w:ind w:firstLine="0" w:firstLineChars="0"/>
              <w:jc w:val="center"/>
              <w:rPr>
                <w:rFonts w:ascii="宋体" w:hAnsi="宋体" w:cs="Arial"/>
                <w:b/>
                <w:kern w:val="0"/>
                <w:szCs w:val="21"/>
              </w:rPr>
            </w:pPr>
            <w:r>
              <w:rPr>
                <w:rFonts w:ascii="宋体" w:hAnsi="宋体" w:cs="Arial"/>
                <w:b/>
                <w:kern w:val="0"/>
                <w:szCs w:val="21"/>
              </w:rPr>
              <w:t>日均值样品数</w:t>
            </w:r>
          </w:p>
        </w:tc>
        <w:tc>
          <w:tcPr>
            <w:tcW w:w="258" w:type="pct"/>
            <w:shd w:val="clear" w:color="auto" w:fill="auto"/>
            <w:noWrap/>
            <w:vAlign w:val="center"/>
          </w:tcPr>
          <w:p w14:paraId="1737AD7E">
            <w:pPr>
              <w:widowControl/>
              <w:spacing w:line="240" w:lineRule="auto"/>
              <w:ind w:firstLine="0" w:firstLineChars="0"/>
              <w:jc w:val="center"/>
              <w:rPr>
                <w:rFonts w:ascii="宋体" w:hAnsi="宋体" w:cs="Arial"/>
                <w:kern w:val="0"/>
                <w:szCs w:val="21"/>
              </w:rPr>
            </w:pPr>
            <w:r>
              <w:rPr>
                <w:rFonts w:ascii="宋体" w:hAnsi="宋体" w:cs="Arial"/>
                <w:kern w:val="0"/>
                <w:szCs w:val="21"/>
              </w:rPr>
              <w:t>31</w:t>
            </w:r>
          </w:p>
        </w:tc>
        <w:tc>
          <w:tcPr>
            <w:tcW w:w="258" w:type="pct"/>
            <w:shd w:val="clear" w:color="auto" w:fill="auto"/>
            <w:noWrap/>
            <w:vAlign w:val="center"/>
          </w:tcPr>
          <w:p w14:paraId="0AEB22A8">
            <w:pPr>
              <w:widowControl/>
              <w:spacing w:line="240" w:lineRule="auto"/>
              <w:ind w:firstLine="0" w:firstLineChars="0"/>
              <w:jc w:val="center"/>
              <w:rPr>
                <w:rFonts w:ascii="宋体" w:hAnsi="宋体" w:cs="Arial"/>
                <w:kern w:val="0"/>
                <w:szCs w:val="21"/>
              </w:rPr>
            </w:pPr>
            <w:r>
              <w:rPr>
                <w:rFonts w:ascii="宋体" w:hAnsi="宋体" w:cs="Arial"/>
                <w:kern w:val="0"/>
                <w:szCs w:val="21"/>
              </w:rPr>
              <w:t>28</w:t>
            </w:r>
          </w:p>
        </w:tc>
        <w:tc>
          <w:tcPr>
            <w:tcW w:w="258" w:type="pct"/>
            <w:shd w:val="clear" w:color="auto" w:fill="auto"/>
            <w:noWrap/>
            <w:vAlign w:val="center"/>
          </w:tcPr>
          <w:p w14:paraId="71BE0C6B">
            <w:pPr>
              <w:widowControl/>
              <w:spacing w:line="240" w:lineRule="auto"/>
              <w:ind w:firstLine="0" w:firstLineChars="0"/>
              <w:jc w:val="center"/>
              <w:rPr>
                <w:rFonts w:ascii="宋体" w:hAnsi="宋体" w:cs="Arial"/>
                <w:kern w:val="0"/>
                <w:szCs w:val="21"/>
              </w:rPr>
            </w:pPr>
            <w:r>
              <w:rPr>
                <w:rFonts w:ascii="宋体" w:hAnsi="宋体" w:cs="Arial"/>
                <w:kern w:val="0"/>
                <w:szCs w:val="21"/>
              </w:rPr>
              <w:t>26</w:t>
            </w:r>
          </w:p>
        </w:tc>
        <w:tc>
          <w:tcPr>
            <w:tcW w:w="258" w:type="pct"/>
            <w:shd w:val="clear" w:color="auto" w:fill="auto"/>
            <w:noWrap/>
            <w:vAlign w:val="center"/>
          </w:tcPr>
          <w:p w14:paraId="6CEA1849">
            <w:pPr>
              <w:widowControl/>
              <w:spacing w:line="240" w:lineRule="auto"/>
              <w:ind w:firstLine="0" w:firstLineChars="0"/>
              <w:jc w:val="center"/>
              <w:rPr>
                <w:rFonts w:ascii="宋体" w:hAnsi="宋体" w:cs="Arial"/>
                <w:kern w:val="0"/>
                <w:szCs w:val="21"/>
              </w:rPr>
            </w:pPr>
            <w:r>
              <w:rPr>
                <w:rFonts w:ascii="宋体" w:hAnsi="宋体" w:cs="Arial"/>
                <w:kern w:val="0"/>
                <w:szCs w:val="21"/>
              </w:rPr>
              <w:t>85</w:t>
            </w:r>
          </w:p>
        </w:tc>
        <w:tc>
          <w:tcPr>
            <w:tcW w:w="258" w:type="pct"/>
            <w:shd w:val="clear" w:color="auto" w:fill="auto"/>
            <w:noWrap/>
            <w:vAlign w:val="center"/>
          </w:tcPr>
          <w:p w14:paraId="7328C964">
            <w:pPr>
              <w:widowControl/>
              <w:spacing w:line="240" w:lineRule="auto"/>
              <w:ind w:firstLine="0" w:firstLineChars="0"/>
              <w:jc w:val="center"/>
              <w:rPr>
                <w:rFonts w:ascii="宋体" w:hAnsi="宋体" w:cs="Arial"/>
                <w:kern w:val="0"/>
                <w:szCs w:val="21"/>
              </w:rPr>
            </w:pPr>
            <w:r>
              <w:rPr>
                <w:rFonts w:ascii="宋体" w:hAnsi="宋体" w:cs="Arial"/>
                <w:kern w:val="0"/>
                <w:szCs w:val="21"/>
              </w:rPr>
              <w:t>30</w:t>
            </w:r>
          </w:p>
        </w:tc>
        <w:tc>
          <w:tcPr>
            <w:tcW w:w="258" w:type="pct"/>
            <w:shd w:val="clear" w:color="auto" w:fill="auto"/>
            <w:noWrap/>
            <w:vAlign w:val="center"/>
          </w:tcPr>
          <w:p w14:paraId="10779323">
            <w:pPr>
              <w:widowControl/>
              <w:spacing w:line="240" w:lineRule="auto"/>
              <w:ind w:firstLine="0" w:firstLineChars="0"/>
              <w:jc w:val="center"/>
              <w:rPr>
                <w:rFonts w:ascii="宋体" w:hAnsi="宋体" w:cs="Arial"/>
                <w:kern w:val="0"/>
                <w:szCs w:val="21"/>
              </w:rPr>
            </w:pPr>
            <w:r>
              <w:rPr>
                <w:rFonts w:ascii="宋体" w:hAnsi="宋体" w:cs="Arial"/>
                <w:kern w:val="0"/>
                <w:szCs w:val="21"/>
              </w:rPr>
              <w:t>27</w:t>
            </w:r>
          </w:p>
        </w:tc>
        <w:tc>
          <w:tcPr>
            <w:tcW w:w="258" w:type="pct"/>
            <w:shd w:val="clear" w:color="auto" w:fill="auto"/>
            <w:noWrap/>
            <w:vAlign w:val="center"/>
          </w:tcPr>
          <w:p w14:paraId="4111DC5A">
            <w:pPr>
              <w:widowControl/>
              <w:spacing w:line="240" w:lineRule="auto"/>
              <w:ind w:firstLine="0" w:firstLineChars="0"/>
              <w:jc w:val="center"/>
              <w:rPr>
                <w:rFonts w:ascii="宋体" w:hAnsi="宋体" w:cs="Arial"/>
                <w:kern w:val="0"/>
                <w:szCs w:val="21"/>
              </w:rPr>
            </w:pPr>
            <w:r>
              <w:rPr>
                <w:rFonts w:ascii="宋体" w:hAnsi="宋体" w:cs="Arial"/>
                <w:kern w:val="0"/>
                <w:szCs w:val="21"/>
              </w:rPr>
              <w:t>26</w:t>
            </w:r>
          </w:p>
        </w:tc>
        <w:tc>
          <w:tcPr>
            <w:tcW w:w="258" w:type="pct"/>
            <w:shd w:val="clear" w:color="auto" w:fill="auto"/>
            <w:noWrap/>
            <w:vAlign w:val="center"/>
          </w:tcPr>
          <w:p w14:paraId="2AD2B682">
            <w:pPr>
              <w:widowControl/>
              <w:spacing w:line="240" w:lineRule="auto"/>
              <w:ind w:firstLine="0" w:firstLineChars="0"/>
              <w:jc w:val="center"/>
              <w:rPr>
                <w:rFonts w:ascii="宋体" w:hAnsi="宋体" w:cs="Arial"/>
                <w:kern w:val="0"/>
                <w:szCs w:val="21"/>
              </w:rPr>
            </w:pPr>
            <w:r>
              <w:rPr>
                <w:rFonts w:ascii="宋体" w:hAnsi="宋体" w:cs="Arial"/>
                <w:kern w:val="0"/>
                <w:szCs w:val="21"/>
              </w:rPr>
              <w:t>83</w:t>
            </w:r>
          </w:p>
        </w:tc>
        <w:tc>
          <w:tcPr>
            <w:tcW w:w="258" w:type="pct"/>
            <w:shd w:val="clear" w:color="auto" w:fill="auto"/>
            <w:noWrap/>
            <w:vAlign w:val="center"/>
          </w:tcPr>
          <w:p w14:paraId="40D6A349">
            <w:pPr>
              <w:widowControl/>
              <w:spacing w:line="240" w:lineRule="auto"/>
              <w:ind w:firstLine="0" w:firstLineChars="0"/>
              <w:jc w:val="center"/>
              <w:rPr>
                <w:rFonts w:ascii="宋体" w:hAnsi="宋体" w:cs="Arial"/>
                <w:kern w:val="0"/>
                <w:szCs w:val="21"/>
              </w:rPr>
            </w:pPr>
            <w:r>
              <w:rPr>
                <w:rFonts w:ascii="宋体" w:hAnsi="宋体" w:cs="Arial"/>
                <w:kern w:val="0"/>
                <w:szCs w:val="21"/>
              </w:rPr>
              <w:t>13</w:t>
            </w:r>
          </w:p>
        </w:tc>
        <w:tc>
          <w:tcPr>
            <w:tcW w:w="258" w:type="pct"/>
            <w:shd w:val="clear" w:color="auto" w:fill="auto"/>
            <w:noWrap/>
            <w:vAlign w:val="center"/>
          </w:tcPr>
          <w:p w14:paraId="07B83340">
            <w:pPr>
              <w:widowControl/>
              <w:spacing w:line="240" w:lineRule="auto"/>
              <w:ind w:firstLine="0" w:firstLineChars="0"/>
              <w:jc w:val="center"/>
              <w:rPr>
                <w:rFonts w:ascii="宋体" w:hAnsi="宋体" w:cs="Arial"/>
                <w:kern w:val="0"/>
                <w:szCs w:val="21"/>
              </w:rPr>
            </w:pPr>
            <w:r>
              <w:rPr>
                <w:rFonts w:ascii="宋体" w:hAnsi="宋体" w:cs="Arial"/>
                <w:kern w:val="0"/>
                <w:szCs w:val="21"/>
              </w:rPr>
              <w:t>31</w:t>
            </w:r>
          </w:p>
        </w:tc>
        <w:tc>
          <w:tcPr>
            <w:tcW w:w="258" w:type="pct"/>
            <w:shd w:val="clear" w:color="auto" w:fill="auto"/>
            <w:noWrap/>
            <w:vAlign w:val="center"/>
          </w:tcPr>
          <w:p w14:paraId="61685C94">
            <w:pPr>
              <w:widowControl/>
              <w:spacing w:line="240" w:lineRule="auto"/>
              <w:ind w:firstLine="0" w:firstLineChars="0"/>
              <w:jc w:val="center"/>
              <w:rPr>
                <w:rFonts w:ascii="宋体" w:hAnsi="宋体" w:cs="Arial"/>
                <w:kern w:val="0"/>
                <w:szCs w:val="21"/>
              </w:rPr>
            </w:pPr>
            <w:r>
              <w:rPr>
                <w:rFonts w:ascii="宋体" w:hAnsi="宋体" w:cs="Arial"/>
                <w:kern w:val="0"/>
                <w:szCs w:val="21"/>
              </w:rPr>
              <w:t>30</w:t>
            </w:r>
          </w:p>
        </w:tc>
        <w:tc>
          <w:tcPr>
            <w:tcW w:w="258" w:type="pct"/>
            <w:shd w:val="clear" w:color="auto" w:fill="auto"/>
            <w:noWrap/>
            <w:vAlign w:val="center"/>
          </w:tcPr>
          <w:p w14:paraId="2B251CB3">
            <w:pPr>
              <w:widowControl/>
              <w:spacing w:line="240" w:lineRule="auto"/>
              <w:ind w:firstLine="0" w:firstLineChars="0"/>
              <w:jc w:val="center"/>
              <w:rPr>
                <w:rFonts w:ascii="宋体" w:hAnsi="宋体" w:cs="Arial"/>
                <w:kern w:val="0"/>
                <w:szCs w:val="21"/>
              </w:rPr>
            </w:pPr>
            <w:r>
              <w:rPr>
                <w:rFonts w:ascii="宋体" w:hAnsi="宋体" w:cs="Arial"/>
                <w:kern w:val="0"/>
                <w:szCs w:val="21"/>
              </w:rPr>
              <w:t>74</w:t>
            </w:r>
          </w:p>
        </w:tc>
        <w:tc>
          <w:tcPr>
            <w:tcW w:w="258" w:type="pct"/>
            <w:shd w:val="clear" w:color="auto" w:fill="auto"/>
            <w:noWrap/>
            <w:vAlign w:val="center"/>
          </w:tcPr>
          <w:p w14:paraId="20835F8B">
            <w:pPr>
              <w:widowControl/>
              <w:spacing w:line="240" w:lineRule="auto"/>
              <w:ind w:firstLine="0" w:firstLineChars="0"/>
              <w:jc w:val="center"/>
              <w:rPr>
                <w:rFonts w:ascii="宋体" w:hAnsi="宋体" w:cs="Arial"/>
                <w:kern w:val="0"/>
                <w:szCs w:val="21"/>
              </w:rPr>
            </w:pPr>
            <w:r>
              <w:rPr>
                <w:rFonts w:ascii="宋体" w:hAnsi="宋体" w:cs="Arial"/>
                <w:kern w:val="0"/>
                <w:szCs w:val="21"/>
              </w:rPr>
              <w:t>24</w:t>
            </w:r>
          </w:p>
        </w:tc>
        <w:tc>
          <w:tcPr>
            <w:tcW w:w="258" w:type="pct"/>
            <w:shd w:val="clear" w:color="auto" w:fill="auto"/>
            <w:noWrap/>
            <w:vAlign w:val="center"/>
          </w:tcPr>
          <w:p w14:paraId="58AF1A40">
            <w:pPr>
              <w:widowControl/>
              <w:spacing w:line="240" w:lineRule="auto"/>
              <w:ind w:firstLine="0" w:firstLineChars="0"/>
              <w:jc w:val="center"/>
              <w:rPr>
                <w:rFonts w:ascii="宋体" w:hAnsi="宋体" w:cs="Arial"/>
                <w:kern w:val="0"/>
                <w:szCs w:val="21"/>
              </w:rPr>
            </w:pPr>
            <w:r>
              <w:rPr>
                <w:rFonts w:ascii="宋体" w:hAnsi="宋体" w:cs="Arial"/>
                <w:kern w:val="0"/>
                <w:szCs w:val="21"/>
              </w:rPr>
              <w:t>30</w:t>
            </w:r>
          </w:p>
        </w:tc>
        <w:tc>
          <w:tcPr>
            <w:tcW w:w="258" w:type="pct"/>
            <w:shd w:val="clear" w:color="auto" w:fill="auto"/>
            <w:noWrap/>
            <w:vAlign w:val="center"/>
          </w:tcPr>
          <w:p w14:paraId="51C5434E">
            <w:pPr>
              <w:widowControl/>
              <w:spacing w:line="240" w:lineRule="auto"/>
              <w:ind w:firstLine="0" w:firstLineChars="0"/>
              <w:jc w:val="center"/>
              <w:rPr>
                <w:rFonts w:ascii="宋体" w:hAnsi="宋体" w:cs="Arial"/>
                <w:kern w:val="0"/>
                <w:szCs w:val="21"/>
              </w:rPr>
            </w:pPr>
            <w:r>
              <w:rPr>
                <w:rFonts w:ascii="宋体" w:hAnsi="宋体" w:cs="Arial"/>
                <w:kern w:val="0"/>
                <w:szCs w:val="21"/>
              </w:rPr>
              <w:t>31</w:t>
            </w:r>
          </w:p>
        </w:tc>
        <w:tc>
          <w:tcPr>
            <w:tcW w:w="258" w:type="pct"/>
            <w:shd w:val="clear" w:color="auto" w:fill="auto"/>
            <w:noWrap/>
            <w:vAlign w:val="center"/>
          </w:tcPr>
          <w:p w14:paraId="0B6F3362">
            <w:pPr>
              <w:widowControl/>
              <w:spacing w:line="240" w:lineRule="auto"/>
              <w:ind w:firstLine="0" w:firstLineChars="0"/>
              <w:jc w:val="center"/>
              <w:rPr>
                <w:rFonts w:ascii="宋体" w:hAnsi="宋体" w:cs="Arial"/>
                <w:kern w:val="0"/>
                <w:szCs w:val="21"/>
              </w:rPr>
            </w:pPr>
            <w:r>
              <w:rPr>
                <w:rFonts w:ascii="宋体" w:hAnsi="宋体" w:cs="Arial"/>
                <w:kern w:val="0"/>
                <w:szCs w:val="21"/>
              </w:rPr>
              <w:t>85</w:t>
            </w:r>
          </w:p>
        </w:tc>
        <w:tc>
          <w:tcPr>
            <w:tcW w:w="258" w:type="pct"/>
            <w:shd w:val="clear" w:color="auto" w:fill="auto"/>
            <w:noWrap/>
            <w:vAlign w:val="center"/>
          </w:tcPr>
          <w:p w14:paraId="07112BB8">
            <w:pPr>
              <w:widowControl/>
              <w:spacing w:line="240" w:lineRule="auto"/>
              <w:ind w:firstLine="0" w:firstLineChars="0"/>
              <w:jc w:val="center"/>
              <w:rPr>
                <w:rFonts w:ascii="宋体" w:hAnsi="宋体" w:cs="Arial"/>
                <w:kern w:val="0"/>
                <w:szCs w:val="21"/>
              </w:rPr>
            </w:pPr>
            <w:r>
              <w:rPr>
                <w:rFonts w:ascii="宋体" w:hAnsi="宋体" w:cs="Arial"/>
                <w:kern w:val="0"/>
                <w:szCs w:val="21"/>
              </w:rPr>
              <w:t>327</w:t>
            </w:r>
          </w:p>
        </w:tc>
      </w:tr>
      <w:tr w14:paraId="18C9CA8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77" w:type="pct"/>
            <w:vMerge w:val="continue"/>
            <w:vAlign w:val="center"/>
          </w:tcPr>
          <w:p w14:paraId="4665A14D">
            <w:pPr>
              <w:widowControl/>
              <w:spacing w:line="240" w:lineRule="auto"/>
              <w:ind w:firstLine="0" w:firstLineChars="0"/>
              <w:jc w:val="center"/>
              <w:rPr>
                <w:rFonts w:ascii="宋体" w:hAnsi="宋体" w:cs="Arial"/>
                <w:b/>
                <w:kern w:val="0"/>
                <w:szCs w:val="21"/>
              </w:rPr>
            </w:pPr>
          </w:p>
        </w:tc>
        <w:tc>
          <w:tcPr>
            <w:tcW w:w="331" w:type="pct"/>
            <w:shd w:val="clear" w:color="auto" w:fill="auto"/>
            <w:noWrap/>
            <w:vAlign w:val="center"/>
          </w:tcPr>
          <w:p w14:paraId="1C1C980F">
            <w:pPr>
              <w:widowControl/>
              <w:spacing w:line="240" w:lineRule="auto"/>
              <w:ind w:firstLine="0" w:firstLineChars="0"/>
              <w:jc w:val="center"/>
              <w:rPr>
                <w:rFonts w:ascii="宋体" w:hAnsi="宋体" w:cs="Arial"/>
                <w:b/>
                <w:kern w:val="0"/>
                <w:szCs w:val="21"/>
              </w:rPr>
            </w:pPr>
            <w:r>
              <w:rPr>
                <w:rFonts w:ascii="宋体" w:hAnsi="宋体" w:cs="Arial"/>
                <w:b/>
                <w:kern w:val="0"/>
                <w:szCs w:val="21"/>
              </w:rPr>
              <w:t>最高浓度</w:t>
            </w:r>
          </w:p>
        </w:tc>
        <w:tc>
          <w:tcPr>
            <w:tcW w:w="258" w:type="pct"/>
            <w:shd w:val="clear" w:color="auto" w:fill="auto"/>
            <w:noWrap/>
            <w:vAlign w:val="center"/>
          </w:tcPr>
          <w:p w14:paraId="400A37D8">
            <w:pPr>
              <w:widowControl/>
              <w:spacing w:line="240" w:lineRule="auto"/>
              <w:ind w:firstLine="0" w:firstLineChars="0"/>
              <w:jc w:val="center"/>
              <w:rPr>
                <w:rFonts w:ascii="宋体" w:hAnsi="宋体" w:cs="Arial"/>
                <w:kern w:val="0"/>
                <w:szCs w:val="21"/>
              </w:rPr>
            </w:pPr>
            <w:r>
              <w:rPr>
                <w:rFonts w:ascii="宋体" w:hAnsi="宋体" w:cs="Arial"/>
                <w:kern w:val="0"/>
                <w:szCs w:val="21"/>
              </w:rPr>
              <w:t>0.072</w:t>
            </w:r>
          </w:p>
        </w:tc>
        <w:tc>
          <w:tcPr>
            <w:tcW w:w="258" w:type="pct"/>
            <w:shd w:val="clear" w:color="auto" w:fill="auto"/>
            <w:noWrap/>
            <w:vAlign w:val="center"/>
          </w:tcPr>
          <w:p w14:paraId="11592420">
            <w:pPr>
              <w:widowControl/>
              <w:spacing w:line="240" w:lineRule="auto"/>
              <w:ind w:firstLine="0" w:firstLineChars="0"/>
              <w:jc w:val="center"/>
              <w:rPr>
                <w:rFonts w:ascii="宋体" w:hAnsi="宋体" w:cs="Arial"/>
                <w:kern w:val="0"/>
                <w:szCs w:val="21"/>
              </w:rPr>
            </w:pPr>
            <w:r>
              <w:rPr>
                <w:rFonts w:ascii="宋体" w:hAnsi="宋体" w:cs="Arial"/>
                <w:kern w:val="0"/>
                <w:szCs w:val="21"/>
              </w:rPr>
              <w:t>0.094</w:t>
            </w:r>
          </w:p>
        </w:tc>
        <w:tc>
          <w:tcPr>
            <w:tcW w:w="258" w:type="pct"/>
            <w:shd w:val="clear" w:color="auto" w:fill="auto"/>
            <w:noWrap/>
            <w:vAlign w:val="center"/>
          </w:tcPr>
          <w:p w14:paraId="034EBFA3">
            <w:pPr>
              <w:widowControl/>
              <w:spacing w:line="240" w:lineRule="auto"/>
              <w:ind w:firstLine="0" w:firstLineChars="0"/>
              <w:jc w:val="center"/>
              <w:rPr>
                <w:rFonts w:ascii="宋体" w:hAnsi="宋体" w:cs="Arial"/>
                <w:kern w:val="0"/>
                <w:szCs w:val="21"/>
              </w:rPr>
            </w:pPr>
            <w:r>
              <w:rPr>
                <w:rFonts w:ascii="宋体" w:hAnsi="宋体" w:cs="Arial"/>
                <w:kern w:val="0"/>
                <w:szCs w:val="21"/>
              </w:rPr>
              <w:t>0.071</w:t>
            </w:r>
          </w:p>
        </w:tc>
        <w:tc>
          <w:tcPr>
            <w:tcW w:w="258" w:type="pct"/>
            <w:shd w:val="clear" w:color="auto" w:fill="auto"/>
            <w:noWrap/>
            <w:vAlign w:val="center"/>
          </w:tcPr>
          <w:p w14:paraId="2BE4F4F9">
            <w:pPr>
              <w:widowControl/>
              <w:spacing w:line="240" w:lineRule="auto"/>
              <w:ind w:firstLine="0" w:firstLineChars="0"/>
              <w:jc w:val="center"/>
              <w:rPr>
                <w:rFonts w:ascii="宋体" w:hAnsi="宋体" w:cs="Arial"/>
                <w:kern w:val="0"/>
                <w:szCs w:val="21"/>
              </w:rPr>
            </w:pPr>
            <w:r>
              <w:rPr>
                <w:rFonts w:ascii="宋体" w:hAnsi="宋体" w:cs="Arial"/>
                <w:kern w:val="0"/>
                <w:szCs w:val="21"/>
              </w:rPr>
              <w:t>0.94</w:t>
            </w:r>
          </w:p>
        </w:tc>
        <w:tc>
          <w:tcPr>
            <w:tcW w:w="258" w:type="pct"/>
            <w:shd w:val="clear" w:color="auto" w:fill="auto"/>
            <w:noWrap/>
            <w:vAlign w:val="center"/>
          </w:tcPr>
          <w:p w14:paraId="489165F3">
            <w:pPr>
              <w:widowControl/>
              <w:spacing w:line="240" w:lineRule="auto"/>
              <w:ind w:firstLine="0" w:firstLineChars="0"/>
              <w:jc w:val="center"/>
              <w:rPr>
                <w:rFonts w:ascii="宋体" w:hAnsi="宋体" w:cs="Arial"/>
                <w:kern w:val="0"/>
                <w:szCs w:val="21"/>
              </w:rPr>
            </w:pPr>
            <w:r>
              <w:rPr>
                <w:rFonts w:ascii="宋体" w:hAnsi="宋体" w:cs="Arial"/>
                <w:kern w:val="0"/>
                <w:szCs w:val="21"/>
              </w:rPr>
              <w:t>0.075</w:t>
            </w:r>
          </w:p>
        </w:tc>
        <w:tc>
          <w:tcPr>
            <w:tcW w:w="258" w:type="pct"/>
            <w:shd w:val="clear" w:color="auto" w:fill="auto"/>
            <w:noWrap/>
            <w:vAlign w:val="center"/>
          </w:tcPr>
          <w:p w14:paraId="1A509FC3">
            <w:pPr>
              <w:widowControl/>
              <w:spacing w:line="240" w:lineRule="auto"/>
              <w:ind w:firstLine="0" w:firstLineChars="0"/>
              <w:jc w:val="center"/>
              <w:rPr>
                <w:rFonts w:ascii="宋体" w:hAnsi="宋体" w:cs="Arial"/>
                <w:kern w:val="0"/>
                <w:szCs w:val="21"/>
              </w:rPr>
            </w:pPr>
            <w:r>
              <w:rPr>
                <w:rFonts w:ascii="宋体" w:hAnsi="宋体" w:cs="Arial"/>
                <w:kern w:val="0"/>
                <w:szCs w:val="21"/>
              </w:rPr>
              <w:t>0.044</w:t>
            </w:r>
          </w:p>
        </w:tc>
        <w:tc>
          <w:tcPr>
            <w:tcW w:w="258" w:type="pct"/>
            <w:shd w:val="clear" w:color="auto" w:fill="auto"/>
            <w:noWrap/>
            <w:vAlign w:val="center"/>
          </w:tcPr>
          <w:p w14:paraId="590E3970">
            <w:pPr>
              <w:widowControl/>
              <w:spacing w:line="240" w:lineRule="auto"/>
              <w:ind w:firstLine="0" w:firstLineChars="0"/>
              <w:jc w:val="center"/>
              <w:rPr>
                <w:rFonts w:ascii="宋体" w:hAnsi="宋体" w:cs="Arial"/>
                <w:kern w:val="0"/>
                <w:szCs w:val="21"/>
              </w:rPr>
            </w:pPr>
            <w:r>
              <w:rPr>
                <w:rFonts w:ascii="宋体" w:hAnsi="宋体" w:cs="Arial"/>
                <w:kern w:val="0"/>
                <w:szCs w:val="21"/>
              </w:rPr>
              <w:t>0.050</w:t>
            </w:r>
          </w:p>
        </w:tc>
        <w:tc>
          <w:tcPr>
            <w:tcW w:w="258" w:type="pct"/>
            <w:shd w:val="clear" w:color="auto" w:fill="auto"/>
            <w:noWrap/>
            <w:vAlign w:val="center"/>
          </w:tcPr>
          <w:p w14:paraId="191000C8">
            <w:pPr>
              <w:widowControl/>
              <w:spacing w:line="240" w:lineRule="auto"/>
              <w:ind w:firstLine="0" w:firstLineChars="0"/>
              <w:jc w:val="center"/>
              <w:rPr>
                <w:rFonts w:ascii="宋体" w:hAnsi="宋体" w:cs="Arial"/>
                <w:kern w:val="0"/>
                <w:szCs w:val="21"/>
              </w:rPr>
            </w:pPr>
            <w:r>
              <w:rPr>
                <w:rFonts w:ascii="宋体" w:hAnsi="宋体" w:cs="Arial"/>
                <w:kern w:val="0"/>
                <w:szCs w:val="21"/>
              </w:rPr>
              <w:t>0.075</w:t>
            </w:r>
          </w:p>
        </w:tc>
        <w:tc>
          <w:tcPr>
            <w:tcW w:w="258" w:type="pct"/>
            <w:shd w:val="clear" w:color="auto" w:fill="auto"/>
            <w:noWrap/>
            <w:vAlign w:val="center"/>
          </w:tcPr>
          <w:p w14:paraId="0016EB76">
            <w:pPr>
              <w:widowControl/>
              <w:spacing w:line="240" w:lineRule="auto"/>
              <w:ind w:firstLine="0" w:firstLineChars="0"/>
              <w:jc w:val="center"/>
              <w:rPr>
                <w:rFonts w:ascii="宋体" w:hAnsi="宋体" w:cs="Arial"/>
                <w:kern w:val="0"/>
                <w:szCs w:val="21"/>
              </w:rPr>
            </w:pPr>
            <w:r>
              <w:rPr>
                <w:rFonts w:ascii="宋体" w:hAnsi="宋体" w:cs="Arial"/>
                <w:kern w:val="0"/>
                <w:szCs w:val="21"/>
              </w:rPr>
              <w:t>0.102</w:t>
            </w:r>
          </w:p>
        </w:tc>
        <w:tc>
          <w:tcPr>
            <w:tcW w:w="258" w:type="pct"/>
            <w:shd w:val="clear" w:color="auto" w:fill="auto"/>
            <w:noWrap/>
            <w:vAlign w:val="center"/>
          </w:tcPr>
          <w:p w14:paraId="7B625179">
            <w:pPr>
              <w:widowControl/>
              <w:spacing w:line="240" w:lineRule="auto"/>
              <w:ind w:firstLine="0" w:firstLineChars="0"/>
              <w:jc w:val="center"/>
              <w:rPr>
                <w:rFonts w:ascii="宋体" w:hAnsi="宋体" w:cs="Arial"/>
                <w:kern w:val="0"/>
                <w:szCs w:val="21"/>
              </w:rPr>
            </w:pPr>
            <w:r>
              <w:rPr>
                <w:rFonts w:ascii="宋体" w:hAnsi="宋体" w:cs="Arial"/>
                <w:kern w:val="0"/>
                <w:szCs w:val="21"/>
              </w:rPr>
              <w:t>0.53</w:t>
            </w:r>
          </w:p>
        </w:tc>
        <w:tc>
          <w:tcPr>
            <w:tcW w:w="258" w:type="pct"/>
            <w:shd w:val="clear" w:color="auto" w:fill="auto"/>
            <w:noWrap/>
            <w:vAlign w:val="center"/>
          </w:tcPr>
          <w:p w14:paraId="7E1B6983">
            <w:pPr>
              <w:widowControl/>
              <w:spacing w:line="240" w:lineRule="auto"/>
              <w:ind w:firstLine="0" w:firstLineChars="0"/>
              <w:jc w:val="center"/>
              <w:rPr>
                <w:rFonts w:ascii="宋体" w:hAnsi="宋体" w:cs="Arial"/>
                <w:kern w:val="0"/>
                <w:szCs w:val="21"/>
              </w:rPr>
            </w:pPr>
            <w:r>
              <w:rPr>
                <w:rFonts w:ascii="宋体" w:hAnsi="宋体" w:cs="Arial"/>
                <w:kern w:val="0"/>
                <w:szCs w:val="21"/>
              </w:rPr>
              <w:t>0.059</w:t>
            </w:r>
          </w:p>
        </w:tc>
        <w:tc>
          <w:tcPr>
            <w:tcW w:w="258" w:type="pct"/>
            <w:shd w:val="clear" w:color="auto" w:fill="auto"/>
            <w:noWrap/>
            <w:vAlign w:val="center"/>
          </w:tcPr>
          <w:p w14:paraId="44C6247B">
            <w:pPr>
              <w:widowControl/>
              <w:spacing w:line="240" w:lineRule="auto"/>
              <w:ind w:firstLine="0" w:firstLineChars="0"/>
              <w:jc w:val="center"/>
              <w:rPr>
                <w:rFonts w:ascii="宋体" w:hAnsi="宋体" w:cs="Arial"/>
                <w:kern w:val="0"/>
                <w:szCs w:val="21"/>
              </w:rPr>
            </w:pPr>
            <w:r>
              <w:rPr>
                <w:rFonts w:ascii="宋体" w:hAnsi="宋体" w:cs="Arial"/>
                <w:kern w:val="0"/>
                <w:szCs w:val="21"/>
              </w:rPr>
              <w:t>0.102</w:t>
            </w:r>
          </w:p>
        </w:tc>
        <w:tc>
          <w:tcPr>
            <w:tcW w:w="258" w:type="pct"/>
            <w:shd w:val="clear" w:color="auto" w:fill="auto"/>
            <w:noWrap/>
            <w:vAlign w:val="center"/>
          </w:tcPr>
          <w:p w14:paraId="759F81AD">
            <w:pPr>
              <w:widowControl/>
              <w:spacing w:line="240" w:lineRule="auto"/>
              <w:ind w:firstLine="0" w:firstLineChars="0"/>
              <w:jc w:val="center"/>
              <w:rPr>
                <w:rFonts w:ascii="宋体" w:hAnsi="宋体" w:cs="Arial"/>
                <w:kern w:val="0"/>
                <w:szCs w:val="21"/>
              </w:rPr>
            </w:pPr>
            <w:r>
              <w:rPr>
                <w:rFonts w:ascii="宋体" w:hAnsi="宋体" w:cs="Arial"/>
                <w:kern w:val="0"/>
                <w:szCs w:val="21"/>
              </w:rPr>
              <w:t>0.063</w:t>
            </w:r>
          </w:p>
        </w:tc>
        <w:tc>
          <w:tcPr>
            <w:tcW w:w="258" w:type="pct"/>
            <w:shd w:val="clear" w:color="auto" w:fill="auto"/>
            <w:noWrap/>
            <w:vAlign w:val="center"/>
          </w:tcPr>
          <w:p w14:paraId="213AEED0">
            <w:pPr>
              <w:widowControl/>
              <w:spacing w:line="240" w:lineRule="auto"/>
              <w:ind w:firstLine="0" w:firstLineChars="0"/>
              <w:jc w:val="center"/>
              <w:rPr>
                <w:rFonts w:ascii="宋体" w:hAnsi="宋体" w:cs="Arial"/>
                <w:kern w:val="0"/>
                <w:szCs w:val="21"/>
              </w:rPr>
            </w:pPr>
            <w:r>
              <w:rPr>
                <w:rFonts w:ascii="宋体" w:hAnsi="宋体" w:cs="Arial"/>
                <w:kern w:val="0"/>
                <w:szCs w:val="21"/>
              </w:rPr>
              <w:t>0.096</w:t>
            </w:r>
          </w:p>
        </w:tc>
        <w:tc>
          <w:tcPr>
            <w:tcW w:w="258" w:type="pct"/>
            <w:shd w:val="clear" w:color="auto" w:fill="auto"/>
            <w:noWrap/>
            <w:vAlign w:val="center"/>
          </w:tcPr>
          <w:p w14:paraId="62CF62E8">
            <w:pPr>
              <w:widowControl/>
              <w:spacing w:line="240" w:lineRule="auto"/>
              <w:ind w:firstLine="0" w:firstLineChars="0"/>
              <w:jc w:val="center"/>
              <w:rPr>
                <w:rFonts w:ascii="宋体" w:hAnsi="宋体" w:cs="Arial"/>
                <w:kern w:val="0"/>
                <w:szCs w:val="21"/>
              </w:rPr>
            </w:pPr>
            <w:r>
              <w:rPr>
                <w:rFonts w:ascii="宋体" w:hAnsi="宋体" w:cs="Arial"/>
                <w:kern w:val="0"/>
                <w:szCs w:val="21"/>
              </w:rPr>
              <w:t>0.126</w:t>
            </w:r>
          </w:p>
        </w:tc>
        <w:tc>
          <w:tcPr>
            <w:tcW w:w="258" w:type="pct"/>
            <w:shd w:val="clear" w:color="auto" w:fill="auto"/>
            <w:noWrap/>
            <w:vAlign w:val="center"/>
          </w:tcPr>
          <w:p w14:paraId="4115B120">
            <w:pPr>
              <w:widowControl/>
              <w:spacing w:line="240" w:lineRule="auto"/>
              <w:ind w:firstLine="0" w:firstLineChars="0"/>
              <w:jc w:val="center"/>
              <w:rPr>
                <w:rFonts w:ascii="宋体" w:hAnsi="宋体" w:cs="Arial"/>
                <w:kern w:val="0"/>
                <w:szCs w:val="21"/>
              </w:rPr>
            </w:pPr>
            <w:r>
              <w:rPr>
                <w:rFonts w:ascii="宋体" w:hAnsi="宋体" w:cs="Arial"/>
                <w:kern w:val="0"/>
                <w:szCs w:val="21"/>
              </w:rPr>
              <w:t>0.126</w:t>
            </w:r>
          </w:p>
        </w:tc>
        <w:tc>
          <w:tcPr>
            <w:tcW w:w="258" w:type="pct"/>
            <w:shd w:val="clear" w:color="auto" w:fill="auto"/>
            <w:noWrap/>
            <w:vAlign w:val="center"/>
          </w:tcPr>
          <w:p w14:paraId="225D4C4E">
            <w:pPr>
              <w:widowControl/>
              <w:spacing w:line="240" w:lineRule="auto"/>
              <w:ind w:firstLine="0" w:firstLineChars="0"/>
              <w:jc w:val="center"/>
              <w:rPr>
                <w:rFonts w:ascii="宋体" w:hAnsi="宋体" w:cs="Arial"/>
                <w:kern w:val="0"/>
                <w:szCs w:val="21"/>
              </w:rPr>
            </w:pPr>
            <w:r>
              <w:rPr>
                <w:rFonts w:ascii="宋体" w:hAnsi="宋体" w:cs="Arial"/>
                <w:kern w:val="0"/>
                <w:szCs w:val="21"/>
              </w:rPr>
              <w:t>0.126</w:t>
            </w:r>
          </w:p>
        </w:tc>
      </w:tr>
      <w:tr w14:paraId="32EC6C7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77" w:type="pct"/>
            <w:vMerge w:val="continue"/>
            <w:vAlign w:val="center"/>
          </w:tcPr>
          <w:p w14:paraId="2B4F046F">
            <w:pPr>
              <w:widowControl/>
              <w:spacing w:line="240" w:lineRule="auto"/>
              <w:ind w:firstLine="0" w:firstLineChars="0"/>
              <w:jc w:val="center"/>
              <w:rPr>
                <w:rFonts w:ascii="宋体" w:hAnsi="宋体" w:cs="Arial"/>
                <w:b/>
                <w:kern w:val="0"/>
                <w:szCs w:val="21"/>
              </w:rPr>
            </w:pPr>
          </w:p>
        </w:tc>
        <w:tc>
          <w:tcPr>
            <w:tcW w:w="331" w:type="pct"/>
            <w:shd w:val="clear" w:color="auto" w:fill="auto"/>
            <w:noWrap/>
            <w:vAlign w:val="center"/>
          </w:tcPr>
          <w:p w14:paraId="71EAE82A">
            <w:pPr>
              <w:widowControl/>
              <w:spacing w:line="240" w:lineRule="auto"/>
              <w:ind w:firstLine="0" w:firstLineChars="0"/>
              <w:jc w:val="center"/>
              <w:rPr>
                <w:rFonts w:ascii="宋体" w:hAnsi="宋体" w:cs="Arial"/>
                <w:b/>
                <w:kern w:val="0"/>
                <w:szCs w:val="21"/>
              </w:rPr>
            </w:pPr>
            <w:r>
              <w:rPr>
                <w:rFonts w:ascii="宋体" w:hAnsi="宋体" w:cs="Arial"/>
                <w:b/>
                <w:kern w:val="0"/>
                <w:szCs w:val="21"/>
              </w:rPr>
              <w:t>平均值</w:t>
            </w:r>
          </w:p>
        </w:tc>
        <w:tc>
          <w:tcPr>
            <w:tcW w:w="258" w:type="pct"/>
            <w:shd w:val="clear" w:color="auto" w:fill="auto"/>
            <w:noWrap/>
            <w:vAlign w:val="center"/>
          </w:tcPr>
          <w:p w14:paraId="30FBADC1">
            <w:pPr>
              <w:widowControl/>
              <w:spacing w:line="240" w:lineRule="auto"/>
              <w:ind w:firstLine="0" w:firstLineChars="0"/>
              <w:jc w:val="center"/>
              <w:rPr>
                <w:rFonts w:ascii="宋体" w:hAnsi="宋体" w:cs="Arial"/>
                <w:kern w:val="0"/>
                <w:szCs w:val="21"/>
              </w:rPr>
            </w:pPr>
            <w:r>
              <w:rPr>
                <w:rFonts w:ascii="宋体" w:hAnsi="宋体" w:cs="Arial"/>
                <w:kern w:val="0"/>
                <w:szCs w:val="21"/>
              </w:rPr>
              <w:t>0.046</w:t>
            </w:r>
          </w:p>
        </w:tc>
        <w:tc>
          <w:tcPr>
            <w:tcW w:w="258" w:type="pct"/>
            <w:shd w:val="clear" w:color="auto" w:fill="auto"/>
            <w:noWrap/>
            <w:vAlign w:val="center"/>
          </w:tcPr>
          <w:p w14:paraId="4E8CAB18">
            <w:pPr>
              <w:widowControl/>
              <w:spacing w:line="240" w:lineRule="auto"/>
              <w:ind w:firstLine="0" w:firstLineChars="0"/>
              <w:jc w:val="center"/>
              <w:rPr>
                <w:rFonts w:ascii="宋体" w:hAnsi="宋体" w:cs="Arial"/>
                <w:kern w:val="0"/>
                <w:szCs w:val="21"/>
              </w:rPr>
            </w:pPr>
            <w:r>
              <w:rPr>
                <w:rFonts w:ascii="宋体" w:hAnsi="宋体" w:cs="Arial"/>
                <w:kern w:val="0"/>
                <w:szCs w:val="21"/>
              </w:rPr>
              <w:t>0.050</w:t>
            </w:r>
          </w:p>
        </w:tc>
        <w:tc>
          <w:tcPr>
            <w:tcW w:w="258" w:type="pct"/>
            <w:shd w:val="clear" w:color="auto" w:fill="auto"/>
            <w:noWrap/>
            <w:vAlign w:val="center"/>
          </w:tcPr>
          <w:p w14:paraId="5054F580">
            <w:pPr>
              <w:widowControl/>
              <w:spacing w:line="240" w:lineRule="auto"/>
              <w:ind w:firstLine="0" w:firstLineChars="0"/>
              <w:jc w:val="center"/>
              <w:rPr>
                <w:rFonts w:ascii="宋体" w:hAnsi="宋体" w:cs="Arial"/>
                <w:kern w:val="0"/>
                <w:szCs w:val="21"/>
              </w:rPr>
            </w:pPr>
            <w:r>
              <w:rPr>
                <w:rFonts w:ascii="宋体" w:hAnsi="宋体" w:cs="Arial"/>
                <w:kern w:val="0"/>
                <w:szCs w:val="21"/>
              </w:rPr>
              <w:t>0.039</w:t>
            </w:r>
          </w:p>
        </w:tc>
        <w:tc>
          <w:tcPr>
            <w:tcW w:w="258" w:type="pct"/>
            <w:shd w:val="clear" w:color="auto" w:fill="auto"/>
            <w:noWrap/>
            <w:vAlign w:val="center"/>
          </w:tcPr>
          <w:p w14:paraId="42D74AEA">
            <w:pPr>
              <w:widowControl/>
              <w:spacing w:line="240" w:lineRule="auto"/>
              <w:ind w:firstLine="0" w:firstLineChars="0"/>
              <w:jc w:val="center"/>
              <w:rPr>
                <w:rFonts w:ascii="宋体" w:hAnsi="宋体" w:cs="Arial"/>
                <w:kern w:val="0"/>
                <w:szCs w:val="21"/>
              </w:rPr>
            </w:pPr>
            <w:r>
              <w:rPr>
                <w:rFonts w:ascii="宋体" w:hAnsi="宋体" w:cs="Arial"/>
                <w:kern w:val="0"/>
                <w:szCs w:val="21"/>
              </w:rPr>
              <w:t>0.045</w:t>
            </w:r>
          </w:p>
        </w:tc>
        <w:tc>
          <w:tcPr>
            <w:tcW w:w="258" w:type="pct"/>
            <w:shd w:val="clear" w:color="auto" w:fill="auto"/>
            <w:noWrap/>
            <w:vAlign w:val="center"/>
          </w:tcPr>
          <w:p w14:paraId="1C1263E1">
            <w:pPr>
              <w:widowControl/>
              <w:spacing w:line="240" w:lineRule="auto"/>
              <w:ind w:firstLine="0" w:firstLineChars="0"/>
              <w:jc w:val="center"/>
              <w:rPr>
                <w:rFonts w:ascii="宋体" w:hAnsi="宋体" w:cs="Arial"/>
                <w:kern w:val="0"/>
                <w:szCs w:val="21"/>
              </w:rPr>
            </w:pPr>
            <w:r>
              <w:rPr>
                <w:rFonts w:ascii="宋体" w:hAnsi="宋体" w:cs="Arial"/>
                <w:kern w:val="0"/>
                <w:szCs w:val="21"/>
              </w:rPr>
              <w:t>0.48</w:t>
            </w:r>
          </w:p>
        </w:tc>
        <w:tc>
          <w:tcPr>
            <w:tcW w:w="258" w:type="pct"/>
            <w:shd w:val="clear" w:color="auto" w:fill="auto"/>
            <w:noWrap/>
            <w:vAlign w:val="center"/>
          </w:tcPr>
          <w:p w14:paraId="05F977C9">
            <w:pPr>
              <w:widowControl/>
              <w:spacing w:line="240" w:lineRule="auto"/>
              <w:ind w:firstLine="0" w:firstLineChars="0"/>
              <w:jc w:val="center"/>
              <w:rPr>
                <w:rFonts w:ascii="宋体" w:hAnsi="宋体" w:cs="Arial"/>
                <w:kern w:val="0"/>
                <w:szCs w:val="21"/>
              </w:rPr>
            </w:pPr>
            <w:r>
              <w:rPr>
                <w:rFonts w:ascii="宋体" w:hAnsi="宋体" w:cs="Arial"/>
                <w:kern w:val="0"/>
                <w:szCs w:val="21"/>
              </w:rPr>
              <w:t>0.026</w:t>
            </w:r>
          </w:p>
        </w:tc>
        <w:tc>
          <w:tcPr>
            <w:tcW w:w="258" w:type="pct"/>
            <w:shd w:val="clear" w:color="auto" w:fill="auto"/>
            <w:noWrap/>
            <w:vAlign w:val="center"/>
          </w:tcPr>
          <w:p w14:paraId="4B79F143">
            <w:pPr>
              <w:widowControl/>
              <w:spacing w:line="240" w:lineRule="auto"/>
              <w:ind w:firstLine="0" w:firstLineChars="0"/>
              <w:jc w:val="center"/>
              <w:rPr>
                <w:rFonts w:ascii="宋体" w:hAnsi="宋体" w:cs="Arial"/>
                <w:kern w:val="0"/>
                <w:szCs w:val="21"/>
              </w:rPr>
            </w:pPr>
            <w:r>
              <w:rPr>
                <w:rFonts w:ascii="宋体" w:hAnsi="宋体" w:cs="Arial"/>
                <w:kern w:val="0"/>
                <w:szCs w:val="21"/>
              </w:rPr>
              <w:t>0.021</w:t>
            </w:r>
          </w:p>
        </w:tc>
        <w:tc>
          <w:tcPr>
            <w:tcW w:w="258" w:type="pct"/>
            <w:shd w:val="clear" w:color="auto" w:fill="auto"/>
            <w:noWrap/>
            <w:vAlign w:val="center"/>
          </w:tcPr>
          <w:p w14:paraId="4A3803AE">
            <w:pPr>
              <w:widowControl/>
              <w:spacing w:line="240" w:lineRule="auto"/>
              <w:ind w:firstLine="0" w:firstLineChars="0"/>
              <w:jc w:val="center"/>
              <w:rPr>
                <w:rFonts w:ascii="宋体" w:hAnsi="宋体" w:cs="Arial"/>
                <w:kern w:val="0"/>
                <w:szCs w:val="21"/>
              </w:rPr>
            </w:pPr>
            <w:r>
              <w:rPr>
                <w:rFonts w:ascii="宋体" w:hAnsi="宋体" w:cs="Arial"/>
                <w:kern w:val="0"/>
                <w:szCs w:val="21"/>
              </w:rPr>
              <w:t>0.032</w:t>
            </w:r>
          </w:p>
        </w:tc>
        <w:tc>
          <w:tcPr>
            <w:tcW w:w="258" w:type="pct"/>
            <w:shd w:val="clear" w:color="auto" w:fill="auto"/>
            <w:noWrap/>
            <w:vAlign w:val="center"/>
          </w:tcPr>
          <w:p w14:paraId="14489444">
            <w:pPr>
              <w:widowControl/>
              <w:spacing w:line="240" w:lineRule="auto"/>
              <w:ind w:firstLine="0" w:firstLineChars="0"/>
              <w:jc w:val="center"/>
              <w:rPr>
                <w:rFonts w:ascii="宋体" w:hAnsi="宋体" w:cs="Arial"/>
                <w:kern w:val="0"/>
                <w:szCs w:val="21"/>
              </w:rPr>
            </w:pPr>
            <w:r>
              <w:rPr>
                <w:rFonts w:ascii="宋体" w:hAnsi="宋体" w:cs="Arial"/>
                <w:kern w:val="0"/>
                <w:szCs w:val="21"/>
              </w:rPr>
              <w:t>0.042</w:t>
            </w:r>
          </w:p>
        </w:tc>
        <w:tc>
          <w:tcPr>
            <w:tcW w:w="258" w:type="pct"/>
            <w:shd w:val="clear" w:color="auto" w:fill="auto"/>
            <w:noWrap/>
            <w:vAlign w:val="center"/>
          </w:tcPr>
          <w:p w14:paraId="6713B908">
            <w:pPr>
              <w:widowControl/>
              <w:spacing w:line="240" w:lineRule="auto"/>
              <w:ind w:firstLine="0" w:firstLineChars="0"/>
              <w:jc w:val="center"/>
              <w:rPr>
                <w:rFonts w:ascii="宋体" w:hAnsi="宋体" w:cs="Arial"/>
                <w:kern w:val="0"/>
                <w:szCs w:val="21"/>
              </w:rPr>
            </w:pPr>
            <w:r>
              <w:rPr>
                <w:rFonts w:ascii="宋体" w:hAnsi="宋体" w:cs="Arial"/>
                <w:kern w:val="0"/>
                <w:szCs w:val="21"/>
              </w:rPr>
              <w:t>0.030</w:t>
            </w:r>
          </w:p>
        </w:tc>
        <w:tc>
          <w:tcPr>
            <w:tcW w:w="258" w:type="pct"/>
            <w:shd w:val="clear" w:color="auto" w:fill="auto"/>
            <w:noWrap/>
            <w:vAlign w:val="center"/>
          </w:tcPr>
          <w:p w14:paraId="36CBFF70">
            <w:pPr>
              <w:widowControl/>
              <w:spacing w:line="240" w:lineRule="auto"/>
              <w:ind w:firstLine="0" w:firstLineChars="0"/>
              <w:jc w:val="center"/>
              <w:rPr>
                <w:rFonts w:ascii="宋体" w:hAnsi="宋体" w:cs="Arial"/>
                <w:kern w:val="0"/>
                <w:szCs w:val="21"/>
              </w:rPr>
            </w:pPr>
            <w:r>
              <w:rPr>
                <w:rFonts w:ascii="宋体" w:hAnsi="宋体" w:cs="Arial"/>
                <w:kern w:val="0"/>
                <w:szCs w:val="21"/>
              </w:rPr>
              <w:t>0.037</w:t>
            </w:r>
          </w:p>
        </w:tc>
        <w:tc>
          <w:tcPr>
            <w:tcW w:w="258" w:type="pct"/>
            <w:shd w:val="clear" w:color="auto" w:fill="auto"/>
            <w:noWrap/>
            <w:vAlign w:val="center"/>
          </w:tcPr>
          <w:p w14:paraId="13A492E8">
            <w:pPr>
              <w:widowControl/>
              <w:spacing w:line="240" w:lineRule="auto"/>
              <w:ind w:firstLine="0" w:firstLineChars="0"/>
              <w:jc w:val="center"/>
              <w:rPr>
                <w:rFonts w:ascii="宋体" w:hAnsi="宋体" w:cs="Arial"/>
                <w:kern w:val="0"/>
                <w:szCs w:val="21"/>
              </w:rPr>
            </w:pPr>
            <w:r>
              <w:rPr>
                <w:rFonts w:ascii="宋体" w:hAnsi="宋体" w:cs="Arial"/>
                <w:kern w:val="0"/>
                <w:szCs w:val="21"/>
              </w:rPr>
              <w:t>0.036</w:t>
            </w:r>
          </w:p>
        </w:tc>
        <w:tc>
          <w:tcPr>
            <w:tcW w:w="258" w:type="pct"/>
            <w:shd w:val="clear" w:color="auto" w:fill="auto"/>
            <w:noWrap/>
            <w:vAlign w:val="center"/>
          </w:tcPr>
          <w:p w14:paraId="770BBFC1">
            <w:pPr>
              <w:widowControl/>
              <w:spacing w:line="240" w:lineRule="auto"/>
              <w:ind w:firstLine="0" w:firstLineChars="0"/>
              <w:jc w:val="center"/>
              <w:rPr>
                <w:rFonts w:ascii="宋体" w:hAnsi="宋体" w:cs="Arial"/>
                <w:kern w:val="0"/>
                <w:szCs w:val="21"/>
              </w:rPr>
            </w:pPr>
            <w:r>
              <w:rPr>
                <w:rFonts w:ascii="宋体" w:hAnsi="宋体" w:cs="Arial"/>
                <w:kern w:val="0"/>
                <w:szCs w:val="21"/>
              </w:rPr>
              <w:t>0.031</w:t>
            </w:r>
          </w:p>
        </w:tc>
        <w:tc>
          <w:tcPr>
            <w:tcW w:w="258" w:type="pct"/>
            <w:shd w:val="clear" w:color="auto" w:fill="auto"/>
            <w:noWrap/>
            <w:vAlign w:val="center"/>
          </w:tcPr>
          <w:p w14:paraId="69926ECF">
            <w:pPr>
              <w:widowControl/>
              <w:spacing w:line="240" w:lineRule="auto"/>
              <w:ind w:firstLine="0" w:firstLineChars="0"/>
              <w:jc w:val="center"/>
              <w:rPr>
                <w:rFonts w:ascii="宋体" w:hAnsi="宋体" w:cs="Arial"/>
                <w:kern w:val="0"/>
                <w:szCs w:val="21"/>
              </w:rPr>
            </w:pPr>
            <w:r>
              <w:rPr>
                <w:rFonts w:ascii="宋体" w:hAnsi="宋体" w:cs="Arial"/>
                <w:kern w:val="0"/>
                <w:szCs w:val="21"/>
              </w:rPr>
              <w:t>0.053</w:t>
            </w:r>
          </w:p>
        </w:tc>
        <w:tc>
          <w:tcPr>
            <w:tcW w:w="258" w:type="pct"/>
            <w:shd w:val="clear" w:color="auto" w:fill="auto"/>
            <w:noWrap/>
            <w:vAlign w:val="center"/>
          </w:tcPr>
          <w:p w14:paraId="767C6ADF">
            <w:pPr>
              <w:widowControl/>
              <w:spacing w:line="240" w:lineRule="auto"/>
              <w:ind w:firstLine="0" w:firstLineChars="0"/>
              <w:jc w:val="center"/>
              <w:rPr>
                <w:rFonts w:ascii="宋体" w:hAnsi="宋体" w:cs="Arial"/>
                <w:kern w:val="0"/>
                <w:szCs w:val="21"/>
              </w:rPr>
            </w:pPr>
            <w:r>
              <w:rPr>
                <w:rFonts w:ascii="宋体" w:hAnsi="宋体" w:cs="Arial"/>
                <w:kern w:val="0"/>
                <w:szCs w:val="21"/>
              </w:rPr>
              <w:t>0.077</w:t>
            </w:r>
          </w:p>
        </w:tc>
        <w:tc>
          <w:tcPr>
            <w:tcW w:w="258" w:type="pct"/>
            <w:shd w:val="clear" w:color="auto" w:fill="auto"/>
            <w:noWrap/>
            <w:vAlign w:val="center"/>
          </w:tcPr>
          <w:p w14:paraId="49C5C294">
            <w:pPr>
              <w:widowControl/>
              <w:spacing w:line="240" w:lineRule="auto"/>
              <w:ind w:firstLine="0" w:firstLineChars="0"/>
              <w:jc w:val="center"/>
              <w:rPr>
                <w:rFonts w:ascii="宋体" w:hAnsi="宋体" w:cs="Arial"/>
                <w:kern w:val="0"/>
                <w:szCs w:val="21"/>
              </w:rPr>
            </w:pPr>
            <w:r>
              <w:rPr>
                <w:rFonts w:ascii="宋体" w:hAnsi="宋体" w:cs="Arial"/>
                <w:kern w:val="0"/>
                <w:szCs w:val="21"/>
              </w:rPr>
              <w:t>0.056</w:t>
            </w:r>
          </w:p>
        </w:tc>
        <w:tc>
          <w:tcPr>
            <w:tcW w:w="258" w:type="pct"/>
            <w:shd w:val="clear" w:color="auto" w:fill="auto"/>
            <w:noWrap/>
            <w:vAlign w:val="center"/>
          </w:tcPr>
          <w:p w14:paraId="4F8B9235">
            <w:pPr>
              <w:widowControl/>
              <w:spacing w:line="240" w:lineRule="auto"/>
              <w:ind w:firstLine="0" w:firstLineChars="0"/>
              <w:jc w:val="center"/>
              <w:rPr>
                <w:rFonts w:ascii="宋体" w:hAnsi="宋体" w:cs="Arial"/>
                <w:kern w:val="0"/>
                <w:szCs w:val="21"/>
              </w:rPr>
            </w:pPr>
            <w:r>
              <w:rPr>
                <w:rFonts w:ascii="宋体" w:hAnsi="宋体" w:cs="Arial"/>
                <w:kern w:val="0"/>
                <w:szCs w:val="21"/>
              </w:rPr>
              <w:t>0.042</w:t>
            </w:r>
          </w:p>
        </w:tc>
      </w:tr>
      <w:tr w14:paraId="6978020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77" w:type="pct"/>
            <w:vMerge w:val="continue"/>
            <w:vAlign w:val="center"/>
          </w:tcPr>
          <w:p w14:paraId="6AE48C1C">
            <w:pPr>
              <w:widowControl/>
              <w:spacing w:line="240" w:lineRule="auto"/>
              <w:ind w:firstLine="0" w:firstLineChars="0"/>
              <w:jc w:val="center"/>
              <w:rPr>
                <w:rFonts w:ascii="宋体" w:hAnsi="宋体" w:cs="Arial"/>
                <w:b/>
                <w:kern w:val="0"/>
                <w:szCs w:val="21"/>
              </w:rPr>
            </w:pPr>
          </w:p>
        </w:tc>
        <w:tc>
          <w:tcPr>
            <w:tcW w:w="331" w:type="pct"/>
            <w:shd w:val="clear" w:color="auto" w:fill="auto"/>
            <w:noWrap/>
            <w:vAlign w:val="center"/>
          </w:tcPr>
          <w:p w14:paraId="1C3D4F52">
            <w:pPr>
              <w:widowControl/>
              <w:spacing w:line="240" w:lineRule="auto"/>
              <w:ind w:firstLine="0" w:firstLineChars="0"/>
              <w:jc w:val="center"/>
              <w:rPr>
                <w:rFonts w:ascii="宋体" w:hAnsi="宋体" w:cs="Arial"/>
                <w:b/>
                <w:kern w:val="0"/>
                <w:szCs w:val="21"/>
              </w:rPr>
            </w:pPr>
            <w:r>
              <w:rPr>
                <w:rFonts w:ascii="宋体" w:hAnsi="宋体" w:cs="Arial"/>
                <w:b/>
                <w:kern w:val="0"/>
                <w:szCs w:val="21"/>
              </w:rPr>
              <w:t>超标率</w:t>
            </w:r>
          </w:p>
        </w:tc>
        <w:tc>
          <w:tcPr>
            <w:tcW w:w="258" w:type="pct"/>
            <w:shd w:val="clear" w:color="auto" w:fill="auto"/>
            <w:noWrap/>
            <w:vAlign w:val="center"/>
          </w:tcPr>
          <w:p w14:paraId="6F95E489">
            <w:pPr>
              <w:widowControl/>
              <w:spacing w:line="240" w:lineRule="auto"/>
              <w:ind w:firstLine="0" w:firstLineChars="0"/>
              <w:jc w:val="center"/>
              <w:rPr>
                <w:rFonts w:ascii="宋体" w:hAnsi="宋体" w:cs="Arial"/>
                <w:kern w:val="0"/>
                <w:szCs w:val="21"/>
              </w:rPr>
            </w:pPr>
            <w:r>
              <w:rPr>
                <w:rFonts w:ascii="宋体" w:hAnsi="宋体" w:cs="Arial"/>
                <w:kern w:val="0"/>
                <w:szCs w:val="21"/>
              </w:rPr>
              <w:t>0</w:t>
            </w:r>
          </w:p>
        </w:tc>
        <w:tc>
          <w:tcPr>
            <w:tcW w:w="258" w:type="pct"/>
            <w:shd w:val="clear" w:color="auto" w:fill="auto"/>
            <w:noWrap/>
            <w:vAlign w:val="center"/>
          </w:tcPr>
          <w:p w14:paraId="2A361308">
            <w:pPr>
              <w:widowControl/>
              <w:spacing w:line="240" w:lineRule="auto"/>
              <w:ind w:firstLine="0" w:firstLineChars="0"/>
              <w:jc w:val="center"/>
              <w:rPr>
                <w:rFonts w:ascii="宋体" w:hAnsi="宋体" w:cs="Arial"/>
                <w:kern w:val="0"/>
                <w:szCs w:val="21"/>
              </w:rPr>
            </w:pPr>
            <w:r>
              <w:rPr>
                <w:rFonts w:ascii="宋体" w:hAnsi="宋体" w:cs="Arial"/>
                <w:kern w:val="0"/>
                <w:szCs w:val="21"/>
              </w:rPr>
              <w:t>0</w:t>
            </w:r>
          </w:p>
        </w:tc>
        <w:tc>
          <w:tcPr>
            <w:tcW w:w="258" w:type="pct"/>
            <w:shd w:val="clear" w:color="auto" w:fill="auto"/>
            <w:noWrap/>
            <w:vAlign w:val="center"/>
          </w:tcPr>
          <w:p w14:paraId="770715F0">
            <w:pPr>
              <w:widowControl/>
              <w:spacing w:line="240" w:lineRule="auto"/>
              <w:ind w:firstLine="0" w:firstLineChars="0"/>
              <w:jc w:val="center"/>
              <w:rPr>
                <w:rFonts w:ascii="宋体" w:hAnsi="宋体" w:cs="Arial"/>
                <w:kern w:val="0"/>
                <w:szCs w:val="21"/>
              </w:rPr>
            </w:pPr>
            <w:r>
              <w:rPr>
                <w:rFonts w:ascii="宋体" w:hAnsi="宋体" w:cs="Arial"/>
                <w:kern w:val="0"/>
                <w:szCs w:val="21"/>
              </w:rPr>
              <w:t>0</w:t>
            </w:r>
          </w:p>
        </w:tc>
        <w:tc>
          <w:tcPr>
            <w:tcW w:w="258" w:type="pct"/>
            <w:shd w:val="clear" w:color="auto" w:fill="auto"/>
            <w:noWrap/>
            <w:vAlign w:val="center"/>
          </w:tcPr>
          <w:p w14:paraId="0E5ECAB9">
            <w:pPr>
              <w:widowControl/>
              <w:spacing w:line="240" w:lineRule="auto"/>
              <w:ind w:firstLine="0" w:firstLineChars="0"/>
              <w:jc w:val="center"/>
              <w:rPr>
                <w:rFonts w:ascii="宋体" w:hAnsi="宋体" w:cs="Arial"/>
                <w:kern w:val="0"/>
                <w:szCs w:val="21"/>
              </w:rPr>
            </w:pPr>
            <w:r>
              <w:rPr>
                <w:rFonts w:ascii="宋体" w:hAnsi="宋体" w:cs="Arial"/>
                <w:kern w:val="0"/>
                <w:szCs w:val="21"/>
              </w:rPr>
              <w:t>0</w:t>
            </w:r>
          </w:p>
        </w:tc>
        <w:tc>
          <w:tcPr>
            <w:tcW w:w="258" w:type="pct"/>
            <w:shd w:val="clear" w:color="auto" w:fill="auto"/>
            <w:noWrap/>
            <w:vAlign w:val="center"/>
          </w:tcPr>
          <w:p w14:paraId="2405F880">
            <w:pPr>
              <w:widowControl/>
              <w:spacing w:line="240" w:lineRule="auto"/>
              <w:ind w:firstLine="0" w:firstLineChars="0"/>
              <w:jc w:val="center"/>
              <w:rPr>
                <w:rFonts w:ascii="宋体" w:hAnsi="宋体" w:cs="Arial"/>
                <w:kern w:val="0"/>
                <w:szCs w:val="21"/>
              </w:rPr>
            </w:pPr>
            <w:r>
              <w:rPr>
                <w:rFonts w:ascii="宋体" w:hAnsi="宋体" w:cs="Arial"/>
                <w:kern w:val="0"/>
                <w:szCs w:val="21"/>
              </w:rPr>
              <w:t>0</w:t>
            </w:r>
          </w:p>
        </w:tc>
        <w:tc>
          <w:tcPr>
            <w:tcW w:w="258" w:type="pct"/>
            <w:shd w:val="clear" w:color="auto" w:fill="auto"/>
            <w:noWrap/>
            <w:vAlign w:val="center"/>
          </w:tcPr>
          <w:p w14:paraId="1FB9660A">
            <w:pPr>
              <w:widowControl/>
              <w:spacing w:line="240" w:lineRule="auto"/>
              <w:ind w:firstLine="0" w:firstLineChars="0"/>
              <w:jc w:val="center"/>
              <w:rPr>
                <w:rFonts w:ascii="宋体" w:hAnsi="宋体" w:cs="Arial"/>
                <w:kern w:val="0"/>
                <w:szCs w:val="21"/>
              </w:rPr>
            </w:pPr>
            <w:r>
              <w:rPr>
                <w:rFonts w:ascii="宋体" w:hAnsi="宋体" w:cs="Arial"/>
                <w:kern w:val="0"/>
                <w:szCs w:val="21"/>
              </w:rPr>
              <w:t>0</w:t>
            </w:r>
          </w:p>
        </w:tc>
        <w:tc>
          <w:tcPr>
            <w:tcW w:w="258" w:type="pct"/>
            <w:shd w:val="clear" w:color="auto" w:fill="auto"/>
            <w:noWrap/>
            <w:vAlign w:val="center"/>
          </w:tcPr>
          <w:p w14:paraId="34364BA0">
            <w:pPr>
              <w:widowControl/>
              <w:spacing w:line="240" w:lineRule="auto"/>
              <w:ind w:firstLine="0" w:firstLineChars="0"/>
              <w:jc w:val="center"/>
              <w:rPr>
                <w:rFonts w:ascii="宋体" w:hAnsi="宋体" w:cs="Arial"/>
                <w:kern w:val="0"/>
                <w:szCs w:val="21"/>
              </w:rPr>
            </w:pPr>
            <w:r>
              <w:rPr>
                <w:rFonts w:ascii="宋体" w:hAnsi="宋体" w:cs="Arial"/>
                <w:kern w:val="0"/>
                <w:szCs w:val="21"/>
              </w:rPr>
              <w:t>0</w:t>
            </w:r>
          </w:p>
        </w:tc>
        <w:tc>
          <w:tcPr>
            <w:tcW w:w="258" w:type="pct"/>
            <w:shd w:val="clear" w:color="auto" w:fill="auto"/>
            <w:noWrap/>
            <w:vAlign w:val="center"/>
          </w:tcPr>
          <w:p w14:paraId="4EFE174C">
            <w:pPr>
              <w:widowControl/>
              <w:spacing w:line="240" w:lineRule="auto"/>
              <w:ind w:firstLine="0" w:firstLineChars="0"/>
              <w:jc w:val="center"/>
              <w:rPr>
                <w:rFonts w:ascii="宋体" w:hAnsi="宋体" w:cs="Arial"/>
                <w:kern w:val="0"/>
                <w:szCs w:val="21"/>
              </w:rPr>
            </w:pPr>
            <w:r>
              <w:rPr>
                <w:rFonts w:ascii="宋体" w:hAnsi="宋体" w:cs="Arial"/>
                <w:kern w:val="0"/>
                <w:szCs w:val="21"/>
              </w:rPr>
              <w:t>0</w:t>
            </w:r>
          </w:p>
        </w:tc>
        <w:tc>
          <w:tcPr>
            <w:tcW w:w="258" w:type="pct"/>
            <w:shd w:val="clear" w:color="auto" w:fill="auto"/>
            <w:noWrap/>
            <w:vAlign w:val="center"/>
          </w:tcPr>
          <w:p w14:paraId="1CF1C630">
            <w:pPr>
              <w:widowControl/>
              <w:spacing w:line="240" w:lineRule="auto"/>
              <w:ind w:firstLine="0" w:firstLineChars="0"/>
              <w:jc w:val="center"/>
              <w:rPr>
                <w:rFonts w:ascii="宋体" w:hAnsi="宋体" w:cs="Arial"/>
                <w:kern w:val="0"/>
                <w:szCs w:val="21"/>
              </w:rPr>
            </w:pPr>
            <w:r>
              <w:rPr>
                <w:rFonts w:ascii="宋体" w:hAnsi="宋体" w:cs="Arial"/>
                <w:kern w:val="0"/>
                <w:szCs w:val="21"/>
              </w:rPr>
              <w:t>0</w:t>
            </w:r>
          </w:p>
        </w:tc>
        <w:tc>
          <w:tcPr>
            <w:tcW w:w="258" w:type="pct"/>
            <w:shd w:val="clear" w:color="auto" w:fill="auto"/>
            <w:noWrap/>
            <w:vAlign w:val="center"/>
          </w:tcPr>
          <w:p w14:paraId="459E1D52">
            <w:pPr>
              <w:widowControl/>
              <w:spacing w:line="240" w:lineRule="auto"/>
              <w:ind w:firstLine="0" w:firstLineChars="0"/>
              <w:jc w:val="center"/>
              <w:rPr>
                <w:rFonts w:ascii="宋体" w:hAnsi="宋体" w:cs="Arial"/>
                <w:kern w:val="0"/>
                <w:szCs w:val="21"/>
              </w:rPr>
            </w:pPr>
            <w:r>
              <w:rPr>
                <w:rFonts w:ascii="宋体" w:hAnsi="宋体" w:cs="Arial"/>
                <w:kern w:val="0"/>
                <w:szCs w:val="21"/>
              </w:rPr>
              <w:t>0</w:t>
            </w:r>
          </w:p>
        </w:tc>
        <w:tc>
          <w:tcPr>
            <w:tcW w:w="258" w:type="pct"/>
            <w:shd w:val="clear" w:color="auto" w:fill="auto"/>
            <w:noWrap/>
            <w:vAlign w:val="center"/>
          </w:tcPr>
          <w:p w14:paraId="6087C13B">
            <w:pPr>
              <w:widowControl/>
              <w:spacing w:line="240" w:lineRule="auto"/>
              <w:ind w:firstLine="0" w:firstLineChars="0"/>
              <w:jc w:val="center"/>
              <w:rPr>
                <w:rFonts w:ascii="宋体" w:hAnsi="宋体" w:cs="Arial"/>
                <w:kern w:val="0"/>
                <w:szCs w:val="21"/>
              </w:rPr>
            </w:pPr>
            <w:r>
              <w:rPr>
                <w:rFonts w:ascii="宋体" w:hAnsi="宋体" w:cs="Arial"/>
                <w:kern w:val="0"/>
                <w:szCs w:val="21"/>
              </w:rPr>
              <w:t>0</w:t>
            </w:r>
          </w:p>
        </w:tc>
        <w:tc>
          <w:tcPr>
            <w:tcW w:w="258" w:type="pct"/>
            <w:shd w:val="clear" w:color="auto" w:fill="auto"/>
            <w:noWrap/>
            <w:vAlign w:val="center"/>
          </w:tcPr>
          <w:p w14:paraId="51430BCE">
            <w:pPr>
              <w:widowControl/>
              <w:spacing w:line="240" w:lineRule="auto"/>
              <w:ind w:firstLine="0" w:firstLineChars="0"/>
              <w:jc w:val="center"/>
              <w:rPr>
                <w:rFonts w:ascii="宋体" w:hAnsi="宋体" w:cs="Arial"/>
                <w:kern w:val="0"/>
                <w:szCs w:val="21"/>
              </w:rPr>
            </w:pPr>
            <w:r>
              <w:rPr>
                <w:rFonts w:ascii="宋体" w:hAnsi="宋体" w:cs="Arial"/>
                <w:kern w:val="0"/>
                <w:szCs w:val="21"/>
              </w:rPr>
              <w:t>0</w:t>
            </w:r>
          </w:p>
        </w:tc>
        <w:tc>
          <w:tcPr>
            <w:tcW w:w="258" w:type="pct"/>
            <w:shd w:val="clear" w:color="auto" w:fill="auto"/>
            <w:noWrap/>
            <w:vAlign w:val="center"/>
          </w:tcPr>
          <w:p w14:paraId="013B908A">
            <w:pPr>
              <w:widowControl/>
              <w:spacing w:line="240" w:lineRule="auto"/>
              <w:ind w:firstLine="0" w:firstLineChars="0"/>
              <w:jc w:val="center"/>
              <w:rPr>
                <w:rFonts w:ascii="宋体" w:hAnsi="宋体" w:cs="Arial"/>
                <w:kern w:val="0"/>
                <w:szCs w:val="21"/>
              </w:rPr>
            </w:pPr>
            <w:r>
              <w:rPr>
                <w:rFonts w:ascii="宋体" w:hAnsi="宋体" w:cs="Arial"/>
                <w:kern w:val="0"/>
                <w:szCs w:val="21"/>
              </w:rPr>
              <w:t>0</w:t>
            </w:r>
          </w:p>
        </w:tc>
        <w:tc>
          <w:tcPr>
            <w:tcW w:w="258" w:type="pct"/>
            <w:shd w:val="clear" w:color="auto" w:fill="auto"/>
            <w:noWrap/>
            <w:vAlign w:val="center"/>
          </w:tcPr>
          <w:p w14:paraId="58AC488D">
            <w:pPr>
              <w:widowControl/>
              <w:spacing w:line="240" w:lineRule="auto"/>
              <w:ind w:firstLine="0" w:firstLineChars="0"/>
              <w:jc w:val="center"/>
              <w:rPr>
                <w:rFonts w:ascii="宋体" w:hAnsi="宋体" w:cs="Arial"/>
                <w:kern w:val="0"/>
                <w:szCs w:val="21"/>
              </w:rPr>
            </w:pPr>
            <w:r>
              <w:rPr>
                <w:rFonts w:ascii="宋体" w:hAnsi="宋体" w:cs="Arial"/>
                <w:kern w:val="0"/>
                <w:szCs w:val="21"/>
              </w:rPr>
              <w:t>0</w:t>
            </w:r>
          </w:p>
        </w:tc>
        <w:tc>
          <w:tcPr>
            <w:tcW w:w="258" w:type="pct"/>
            <w:shd w:val="clear" w:color="auto" w:fill="auto"/>
            <w:noWrap/>
            <w:vAlign w:val="center"/>
          </w:tcPr>
          <w:p w14:paraId="65D02254">
            <w:pPr>
              <w:widowControl/>
              <w:spacing w:line="240" w:lineRule="auto"/>
              <w:ind w:firstLine="0" w:firstLineChars="0"/>
              <w:jc w:val="center"/>
              <w:rPr>
                <w:rFonts w:ascii="宋体" w:hAnsi="宋体" w:cs="Arial"/>
                <w:kern w:val="0"/>
                <w:szCs w:val="21"/>
              </w:rPr>
            </w:pPr>
            <w:r>
              <w:rPr>
                <w:rFonts w:ascii="宋体" w:hAnsi="宋体" w:cs="Arial"/>
                <w:kern w:val="0"/>
                <w:szCs w:val="21"/>
              </w:rPr>
              <w:t>0</w:t>
            </w:r>
          </w:p>
        </w:tc>
        <w:tc>
          <w:tcPr>
            <w:tcW w:w="258" w:type="pct"/>
            <w:shd w:val="clear" w:color="auto" w:fill="auto"/>
            <w:noWrap/>
            <w:vAlign w:val="center"/>
          </w:tcPr>
          <w:p w14:paraId="7622333B">
            <w:pPr>
              <w:widowControl/>
              <w:spacing w:line="240" w:lineRule="auto"/>
              <w:ind w:firstLine="0" w:firstLineChars="0"/>
              <w:jc w:val="center"/>
              <w:rPr>
                <w:rFonts w:ascii="宋体" w:hAnsi="宋体" w:cs="Arial"/>
                <w:kern w:val="0"/>
                <w:szCs w:val="21"/>
              </w:rPr>
            </w:pPr>
            <w:r>
              <w:rPr>
                <w:rFonts w:ascii="宋体" w:hAnsi="宋体" w:cs="Arial"/>
                <w:kern w:val="0"/>
                <w:szCs w:val="21"/>
              </w:rPr>
              <w:t>0</w:t>
            </w:r>
          </w:p>
        </w:tc>
        <w:tc>
          <w:tcPr>
            <w:tcW w:w="258" w:type="pct"/>
            <w:shd w:val="clear" w:color="auto" w:fill="auto"/>
            <w:noWrap/>
            <w:vAlign w:val="center"/>
          </w:tcPr>
          <w:p w14:paraId="050FDD38">
            <w:pPr>
              <w:widowControl/>
              <w:spacing w:line="240" w:lineRule="auto"/>
              <w:ind w:firstLine="0" w:firstLineChars="0"/>
              <w:jc w:val="center"/>
              <w:rPr>
                <w:rFonts w:ascii="宋体" w:hAnsi="宋体" w:cs="Arial"/>
                <w:kern w:val="0"/>
                <w:szCs w:val="21"/>
              </w:rPr>
            </w:pPr>
            <w:r>
              <w:rPr>
                <w:rFonts w:ascii="宋体" w:hAnsi="宋体" w:cs="Arial"/>
                <w:kern w:val="0"/>
                <w:szCs w:val="21"/>
              </w:rPr>
              <w:t>0</w:t>
            </w:r>
          </w:p>
        </w:tc>
      </w:tr>
    </w:tbl>
    <w:p w14:paraId="7D9D1367">
      <w:pPr>
        <w:autoSpaceDE w:val="0"/>
        <w:autoSpaceDN w:val="0"/>
        <w:adjustRightInd w:val="0"/>
        <w:ind w:firstLine="0" w:firstLineChars="0"/>
        <w:jc w:val="center"/>
        <w:rPr>
          <w:rFonts w:ascii="宋体" w:hAnsi="宋体" w:cs="HiddenHorzOCR"/>
          <w:b/>
          <w:color w:val="161516"/>
          <w:kern w:val="0"/>
          <w:szCs w:val="21"/>
        </w:rPr>
      </w:pPr>
      <w:r>
        <w:rPr>
          <w:rFonts w:hint="eastAsia" w:ascii="宋体" w:hAnsi="宋体" w:cs="HiddenHorzOCR"/>
          <w:b/>
          <w:color w:val="161516"/>
          <w:kern w:val="0"/>
          <w:szCs w:val="21"/>
        </w:rPr>
        <w:t xml:space="preserve">表23 </w:t>
      </w:r>
      <w:r>
        <w:rPr>
          <w:rFonts w:ascii="宋体" w:hAnsi="宋体" w:cs="HiddenHorzOCR"/>
          <w:b/>
          <w:color w:val="161516"/>
          <w:kern w:val="0"/>
          <w:szCs w:val="21"/>
        </w:rPr>
        <w:t>2011</w:t>
      </w:r>
      <w:r>
        <w:rPr>
          <w:rFonts w:hint="eastAsia" w:ascii="宋体" w:hAnsi="宋体" w:cs="HiddenHorzOCR"/>
          <w:b/>
          <w:color w:val="161516"/>
          <w:kern w:val="0"/>
          <w:szCs w:val="21"/>
        </w:rPr>
        <w:t>年环境空气中二氧化硫监测情况</w:t>
      </w:r>
    </w:p>
    <w:p w14:paraId="3437F636">
      <w:pPr>
        <w:autoSpaceDE w:val="0"/>
        <w:autoSpaceDN w:val="0"/>
        <w:adjustRightInd w:val="0"/>
        <w:ind w:firstLine="0" w:firstLineChars="0"/>
        <w:jc w:val="right"/>
        <w:rPr>
          <w:rFonts w:ascii="宋体" w:hAnsi="宋体" w:cs="HiddenHorzOCR"/>
          <w:b/>
          <w:color w:val="161516"/>
          <w:kern w:val="0"/>
          <w:szCs w:val="21"/>
        </w:rPr>
      </w:pPr>
      <w:r>
        <w:rPr>
          <w:rFonts w:hint="eastAsia" w:ascii="宋体" w:hAnsi="宋体" w:cs="HiddenHorzOCR"/>
          <w:b/>
          <w:color w:val="161516"/>
          <w:kern w:val="0"/>
          <w:szCs w:val="21"/>
        </w:rPr>
        <w:t>单位：mg/m</w:t>
      </w:r>
      <w:r>
        <w:rPr>
          <w:rFonts w:hint="eastAsia" w:ascii="宋体" w:hAnsi="宋体" w:cs="HiddenHorzOCR"/>
          <w:b/>
          <w:color w:val="161516"/>
          <w:kern w:val="0"/>
          <w:szCs w:val="21"/>
          <w:vertAlign w:val="superscript"/>
        </w:rPr>
        <w:t>3</w:t>
      </w:r>
    </w:p>
    <w:tbl>
      <w:tblPr>
        <w:tblStyle w:val="14"/>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66"/>
        <w:gridCol w:w="875"/>
        <w:gridCol w:w="489"/>
        <w:gridCol w:w="489"/>
        <w:gridCol w:w="489"/>
        <w:gridCol w:w="489"/>
        <w:gridCol w:w="489"/>
        <w:gridCol w:w="489"/>
        <w:gridCol w:w="489"/>
        <w:gridCol w:w="489"/>
        <w:gridCol w:w="489"/>
        <w:gridCol w:w="490"/>
        <w:gridCol w:w="490"/>
        <w:gridCol w:w="490"/>
        <w:gridCol w:w="490"/>
        <w:gridCol w:w="490"/>
        <w:gridCol w:w="490"/>
        <w:gridCol w:w="490"/>
        <w:gridCol w:w="490"/>
      </w:tblGrid>
      <w:tr w14:paraId="54ADF0C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76" w:type="pct"/>
            <w:vMerge w:val="restart"/>
            <w:shd w:val="clear" w:color="auto" w:fill="auto"/>
            <w:noWrap/>
            <w:vAlign w:val="center"/>
          </w:tcPr>
          <w:p w14:paraId="36A85D63">
            <w:pPr>
              <w:pStyle w:val="23"/>
              <w:jc w:val="center"/>
              <w:rPr>
                <w:rFonts w:ascii="宋体" w:hAnsi="宋体"/>
                <w:b/>
                <w:kern w:val="0"/>
                <w:szCs w:val="21"/>
              </w:rPr>
            </w:pPr>
            <w:r>
              <w:rPr>
                <w:rFonts w:ascii="宋体" w:hAnsi="宋体"/>
                <w:b/>
                <w:kern w:val="0"/>
                <w:szCs w:val="21"/>
              </w:rPr>
              <w:t>监测点</w:t>
            </w:r>
          </w:p>
        </w:tc>
        <w:tc>
          <w:tcPr>
            <w:tcW w:w="330" w:type="pct"/>
            <w:vMerge w:val="restart"/>
            <w:shd w:val="clear" w:color="auto" w:fill="auto"/>
            <w:noWrap/>
            <w:vAlign w:val="center"/>
          </w:tcPr>
          <w:p w14:paraId="7AC3351A">
            <w:pPr>
              <w:pStyle w:val="23"/>
              <w:jc w:val="center"/>
              <w:rPr>
                <w:rFonts w:ascii="宋体" w:hAnsi="宋体"/>
                <w:b/>
                <w:kern w:val="0"/>
                <w:szCs w:val="21"/>
              </w:rPr>
            </w:pPr>
            <w:r>
              <w:rPr>
                <w:rFonts w:ascii="宋体" w:hAnsi="宋体"/>
                <w:b/>
                <w:kern w:val="0"/>
                <w:szCs w:val="21"/>
              </w:rPr>
              <w:t>指标</w:t>
            </w:r>
          </w:p>
        </w:tc>
        <w:tc>
          <w:tcPr>
            <w:tcW w:w="1034" w:type="pct"/>
            <w:gridSpan w:val="4"/>
            <w:shd w:val="clear" w:color="auto" w:fill="auto"/>
            <w:noWrap/>
            <w:vAlign w:val="center"/>
          </w:tcPr>
          <w:p w14:paraId="1D2878B1">
            <w:pPr>
              <w:pStyle w:val="23"/>
              <w:jc w:val="center"/>
              <w:rPr>
                <w:rFonts w:ascii="宋体" w:hAnsi="宋体"/>
                <w:b/>
                <w:kern w:val="0"/>
                <w:szCs w:val="21"/>
              </w:rPr>
            </w:pPr>
            <w:r>
              <w:rPr>
                <w:rFonts w:ascii="宋体" w:hAnsi="宋体"/>
                <w:b/>
                <w:kern w:val="0"/>
                <w:szCs w:val="21"/>
              </w:rPr>
              <w:t>第一季度</w:t>
            </w:r>
          </w:p>
        </w:tc>
        <w:tc>
          <w:tcPr>
            <w:tcW w:w="1034" w:type="pct"/>
            <w:gridSpan w:val="4"/>
            <w:shd w:val="clear" w:color="auto" w:fill="auto"/>
            <w:noWrap/>
            <w:vAlign w:val="center"/>
          </w:tcPr>
          <w:p w14:paraId="5BBCC37D">
            <w:pPr>
              <w:pStyle w:val="23"/>
              <w:jc w:val="center"/>
              <w:rPr>
                <w:rFonts w:ascii="宋体" w:hAnsi="宋体"/>
                <w:b/>
                <w:kern w:val="0"/>
                <w:szCs w:val="21"/>
              </w:rPr>
            </w:pPr>
            <w:r>
              <w:rPr>
                <w:rFonts w:ascii="宋体" w:hAnsi="宋体"/>
                <w:b/>
                <w:kern w:val="0"/>
                <w:szCs w:val="21"/>
              </w:rPr>
              <w:t>第二季度</w:t>
            </w:r>
          </w:p>
        </w:tc>
        <w:tc>
          <w:tcPr>
            <w:tcW w:w="1034" w:type="pct"/>
            <w:gridSpan w:val="4"/>
            <w:shd w:val="clear" w:color="auto" w:fill="auto"/>
            <w:noWrap/>
            <w:vAlign w:val="center"/>
          </w:tcPr>
          <w:p w14:paraId="0F1DE84E">
            <w:pPr>
              <w:pStyle w:val="23"/>
              <w:jc w:val="center"/>
              <w:rPr>
                <w:rFonts w:ascii="宋体" w:hAnsi="宋体"/>
                <w:b/>
                <w:kern w:val="0"/>
                <w:szCs w:val="21"/>
              </w:rPr>
            </w:pPr>
            <w:r>
              <w:rPr>
                <w:rFonts w:ascii="宋体" w:hAnsi="宋体"/>
                <w:b/>
                <w:kern w:val="0"/>
                <w:szCs w:val="21"/>
              </w:rPr>
              <w:t>第三季度</w:t>
            </w:r>
          </w:p>
        </w:tc>
        <w:tc>
          <w:tcPr>
            <w:tcW w:w="1034" w:type="pct"/>
            <w:gridSpan w:val="4"/>
            <w:shd w:val="clear" w:color="auto" w:fill="auto"/>
            <w:noWrap/>
            <w:vAlign w:val="center"/>
          </w:tcPr>
          <w:p w14:paraId="0EB52EA0">
            <w:pPr>
              <w:pStyle w:val="23"/>
              <w:jc w:val="center"/>
              <w:rPr>
                <w:rFonts w:ascii="宋体" w:hAnsi="宋体"/>
                <w:b/>
                <w:kern w:val="0"/>
                <w:szCs w:val="21"/>
              </w:rPr>
            </w:pPr>
            <w:r>
              <w:rPr>
                <w:rFonts w:ascii="宋体" w:hAnsi="宋体"/>
                <w:b/>
                <w:kern w:val="0"/>
                <w:szCs w:val="21"/>
              </w:rPr>
              <w:t>第四季度</w:t>
            </w:r>
          </w:p>
        </w:tc>
        <w:tc>
          <w:tcPr>
            <w:tcW w:w="258" w:type="pct"/>
            <w:shd w:val="clear" w:color="auto" w:fill="auto"/>
            <w:noWrap/>
            <w:vAlign w:val="center"/>
          </w:tcPr>
          <w:p w14:paraId="643A7EDA">
            <w:pPr>
              <w:pStyle w:val="23"/>
              <w:jc w:val="center"/>
              <w:rPr>
                <w:rFonts w:ascii="宋体" w:hAnsi="宋体"/>
                <w:b/>
                <w:kern w:val="0"/>
                <w:szCs w:val="21"/>
              </w:rPr>
            </w:pPr>
            <w:r>
              <w:rPr>
                <w:rFonts w:ascii="宋体" w:hAnsi="宋体"/>
                <w:b/>
                <w:kern w:val="0"/>
                <w:szCs w:val="21"/>
              </w:rPr>
              <w:t>全年</w:t>
            </w:r>
          </w:p>
        </w:tc>
      </w:tr>
      <w:tr w14:paraId="3BBEDD8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76" w:type="pct"/>
            <w:vMerge w:val="continue"/>
            <w:vAlign w:val="center"/>
          </w:tcPr>
          <w:p w14:paraId="443032C7">
            <w:pPr>
              <w:pStyle w:val="23"/>
              <w:jc w:val="center"/>
              <w:rPr>
                <w:rFonts w:ascii="宋体" w:hAnsi="宋体"/>
                <w:b/>
                <w:kern w:val="0"/>
                <w:szCs w:val="21"/>
              </w:rPr>
            </w:pPr>
          </w:p>
        </w:tc>
        <w:tc>
          <w:tcPr>
            <w:tcW w:w="330" w:type="pct"/>
            <w:vMerge w:val="continue"/>
            <w:vAlign w:val="center"/>
          </w:tcPr>
          <w:p w14:paraId="73BB7390">
            <w:pPr>
              <w:pStyle w:val="23"/>
              <w:jc w:val="center"/>
              <w:rPr>
                <w:rFonts w:ascii="宋体" w:hAnsi="宋体"/>
                <w:b/>
                <w:kern w:val="0"/>
                <w:szCs w:val="21"/>
              </w:rPr>
            </w:pPr>
          </w:p>
        </w:tc>
        <w:tc>
          <w:tcPr>
            <w:tcW w:w="258" w:type="pct"/>
            <w:shd w:val="clear" w:color="auto" w:fill="auto"/>
            <w:noWrap/>
            <w:vAlign w:val="center"/>
          </w:tcPr>
          <w:p w14:paraId="4D4E5D97">
            <w:pPr>
              <w:pStyle w:val="23"/>
              <w:jc w:val="center"/>
              <w:rPr>
                <w:rFonts w:ascii="宋体" w:hAnsi="宋体"/>
                <w:kern w:val="0"/>
                <w:szCs w:val="21"/>
              </w:rPr>
            </w:pPr>
            <w:r>
              <w:rPr>
                <w:rFonts w:ascii="宋体" w:hAnsi="宋体"/>
                <w:kern w:val="0"/>
                <w:szCs w:val="21"/>
              </w:rPr>
              <w:t>1月</w:t>
            </w:r>
          </w:p>
        </w:tc>
        <w:tc>
          <w:tcPr>
            <w:tcW w:w="258" w:type="pct"/>
            <w:shd w:val="clear" w:color="auto" w:fill="auto"/>
            <w:noWrap/>
            <w:vAlign w:val="center"/>
          </w:tcPr>
          <w:p w14:paraId="64B7B53E">
            <w:pPr>
              <w:pStyle w:val="23"/>
              <w:jc w:val="center"/>
              <w:rPr>
                <w:rFonts w:ascii="宋体" w:hAnsi="宋体"/>
                <w:kern w:val="0"/>
                <w:szCs w:val="21"/>
              </w:rPr>
            </w:pPr>
            <w:r>
              <w:rPr>
                <w:rFonts w:ascii="宋体" w:hAnsi="宋体"/>
                <w:kern w:val="0"/>
                <w:szCs w:val="21"/>
              </w:rPr>
              <w:t>2月</w:t>
            </w:r>
          </w:p>
        </w:tc>
        <w:tc>
          <w:tcPr>
            <w:tcW w:w="258" w:type="pct"/>
            <w:shd w:val="clear" w:color="auto" w:fill="auto"/>
            <w:noWrap/>
            <w:vAlign w:val="center"/>
          </w:tcPr>
          <w:p w14:paraId="136403F2">
            <w:pPr>
              <w:pStyle w:val="23"/>
              <w:jc w:val="center"/>
              <w:rPr>
                <w:rFonts w:ascii="宋体" w:hAnsi="宋体"/>
                <w:kern w:val="0"/>
                <w:szCs w:val="21"/>
              </w:rPr>
            </w:pPr>
            <w:r>
              <w:rPr>
                <w:rFonts w:ascii="宋体" w:hAnsi="宋体"/>
                <w:kern w:val="0"/>
                <w:szCs w:val="21"/>
              </w:rPr>
              <w:t>3月</w:t>
            </w:r>
          </w:p>
        </w:tc>
        <w:tc>
          <w:tcPr>
            <w:tcW w:w="258" w:type="pct"/>
            <w:shd w:val="clear" w:color="auto" w:fill="auto"/>
            <w:noWrap/>
            <w:vAlign w:val="center"/>
          </w:tcPr>
          <w:p w14:paraId="4D207A8F">
            <w:pPr>
              <w:pStyle w:val="23"/>
              <w:jc w:val="center"/>
              <w:rPr>
                <w:rFonts w:ascii="宋体" w:hAnsi="宋体"/>
                <w:kern w:val="0"/>
                <w:szCs w:val="21"/>
              </w:rPr>
            </w:pPr>
            <w:r>
              <w:rPr>
                <w:rFonts w:ascii="宋体" w:hAnsi="宋体"/>
                <w:kern w:val="0"/>
                <w:szCs w:val="21"/>
              </w:rPr>
              <w:t>小计</w:t>
            </w:r>
          </w:p>
        </w:tc>
        <w:tc>
          <w:tcPr>
            <w:tcW w:w="258" w:type="pct"/>
            <w:shd w:val="clear" w:color="auto" w:fill="auto"/>
            <w:noWrap/>
            <w:vAlign w:val="center"/>
          </w:tcPr>
          <w:p w14:paraId="75EDB408">
            <w:pPr>
              <w:pStyle w:val="23"/>
              <w:jc w:val="center"/>
              <w:rPr>
                <w:rFonts w:ascii="宋体" w:hAnsi="宋体"/>
                <w:kern w:val="0"/>
                <w:szCs w:val="21"/>
              </w:rPr>
            </w:pPr>
            <w:r>
              <w:rPr>
                <w:rFonts w:ascii="宋体" w:hAnsi="宋体"/>
                <w:kern w:val="0"/>
                <w:szCs w:val="21"/>
              </w:rPr>
              <w:t>4月</w:t>
            </w:r>
          </w:p>
        </w:tc>
        <w:tc>
          <w:tcPr>
            <w:tcW w:w="258" w:type="pct"/>
            <w:shd w:val="clear" w:color="auto" w:fill="auto"/>
            <w:noWrap/>
            <w:vAlign w:val="center"/>
          </w:tcPr>
          <w:p w14:paraId="7464B0F0">
            <w:pPr>
              <w:pStyle w:val="23"/>
              <w:jc w:val="center"/>
              <w:rPr>
                <w:rFonts w:ascii="宋体" w:hAnsi="宋体"/>
                <w:kern w:val="0"/>
                <w:szCs w:val="21"/>
              </w:rPr>
            </w:pPr>
            <w:r>
              <w:rPr>
                <w:rFonts w:ascii="宋体" w:hAnsi="宋体"/>
                <w:kern w:val="0"/>
                <w:szCs w:val="21"/>
              </w:rPr>
              <w:t>5月</w:t>
            </w:r>
          </w:p>
        </w:tc>
        <w:tc>
          <w:tcPr>
            <w:tcW w:w="258" w:type="pct"/>
            <w:shd w:val="clear" w:color="auto" w:fill="auto"/>
            <w:noWrap/>
            <w:vAlign w:val="center"/>
          </w:tcPr>
          <w:p w14:paraId="2BBCEBCF">
            <w:pPr>
              <w:pStyle w:val="23"/>
              <w:jc w:val="center"/>
              <w:rPr>
                <w:rFonts w:ascii="宋体" w:hAnsi="宋体"/>
                <w:kern w:val="0"/>
                <w:szCs w:val="21"/>
              </w:rPr>
            </w:pPr>
            <w:r>
              <w:rPr>
                <w:rFonts w:ascii="宋体" w:hAnsi="宋体"/>
                <w:kern w:val="0"/>
                <w:szCs w:val="21"/>
              </w:rPr>
              <w:t>6月</w:t>
            </w:r>
          </w:p>
        </w:tc>
        <w:tc>
          <w:tcPr>
            <w:tcW w:w="258" w:type="pct"/>
            <w:shd w:val="clear" w:color="auto" w:fill="auto"/>
            <w:noWrap/>
            <w:vAlign w:val="center"/>
          </w:tcPr>
          <w:p w14:paraId="2954F403">
            <w:pPr>
              <w:pStyle w:val="23"/>
              <w:jc w:val="center"/>
              <w:rPr>
                <w:rFonts w:ascii="宋体" w:hAnsi="宋体"/>
                <w:kern w:val="0"/>
                <w:szCs w:val="21"/>
              </w:rPr>
            </w:pPr>
            <w:r>
              <w:rPr>
                <w:rFonts w:ascii="宋体" w:hAnsi="宋体"/>
                <w:kern w:val="0"/>
                <w:szCs w:val="21"/>
              </w:rPr>
              <w:t>小计</w:t>
            </w:r>
          </w:p>
        </w:tc>
        <w:tc>
          <w:tcPr>
            <w:tcW w:w="258" w:type="pct"/>
            <w:shd w:val="clear" w:color="auto" w:fill="auto"/>
            <w:noWrap/>
            <w:vAlign w:val="center"/>
          </w:tcPr>
          <w:p w14:paraId="70325254">
            <w:pPr>
              <w:pStyle w:val="23"/>
              <w:jc w:val="center"/>
              <w:rPr>
                <w:rFonts w:ascii="宋体" w:hAnsi="宋体"/>
                <w:kern w:val="0"/>
                <w:szCs w:val="21"/>
              </w:rPr>
            </w:pPr>
            <w:r>
              <w:rPr>
                <w:rFonts w:ascii="宋体" w:hAnsi="宋体"/>
                <w:kern w:val="0"/>
                <w:szCs w:val="21"/>
              </w:rPr>
              <w:t>7月</w:t>
            </w:r>
          </w:p>
        </w:tc>
        <w:tc>
          <w:tcPr>
            <w:tcW w:w="258" w:type="pct"/>
            <w:shd w:val="clear" w:color="auto" w:fill="auto"/>
            <w:noWrap/>
            <w:vAlign w:val="center"/>
          </w:tcPr>
          <w:p w14:paraId="6D6AFA3E">
            <w:pPr>
              <w:pStyle w:val="23"/>
              <w:jc w:val="center"/>
              <w:rPr>
                <w:rFonts w:ascii="宋体" w:hAnsi="宋体"/>
                <w:kern w:val="0"/>
                <w:szCs w:val="21"/>
              </w:rPr>
            </w:pPr>
            <w:r>
              <w:rPr>
                <w:rFonts w:ascii="宋体" w:hAnsi="宋体"/>
                <w:kern w:val="0"/>
                <w:szCs w:val="21"/>
              </w:rPr>
              <w:t>8月</w:t>
            </w:r>
          </w:p>
        </w:tc>
        <w:tc>
          <w:tcPr>
            <w:tcW w:w="258" w:type="pct"/>
            <w:shd w:val="clear" w:color="auto" w:fill="auto"/>
            <w:noWrap/>
            <w:vAlign w:val="center"/>
          </w:tcPr>
          <w:p w14:paraId="6AB9D660">
            <w:pPr>
              <w:pStyle w:val="23"/>
              <w:jc w:val="center"/>
              <w:rPr>
                <w:rFonts w:ascii="宋体" w:hAnsi="宋体"/>
                <w:kern w:val="0"/>
                <w:szCs w:val="21"/>
              </w:rPr>
            </w:pPr>
            <w:r>
              <w:rPr>
                <w:rFonts w:ascii="宋体" w:hAnsi="宋体"/>
                <w:kern w:val="0"/>
                <w:szCs w:val="21"/>
              </w:rPr>
              <w:t>9月</w:t>
            </w:r>
          </w:p>
        </w:tc>
        <w:tc>
          <w:tcPr>
            <w:tcW w:w="258" w:type="pct"/>
            <w:shd w:val="clear" w:color="auto" w:fill="auto"/>
            <w:noWrap/>
            <w:vAlign w:val="center"/>
          </w:tcPr>
          <w:p w14:paraId="6580577A">
            <w:pPr>
              <w:pStyle w:val="23"/>
              <w:jc w:val="center"/>
              <w:rPr>
                <w:rFonts w:ascii="宋体" w:hAnsi="宋体"/>
                <w:kern w:val="0"/>
                <w:szCs w:val="21"/>
              </w:rPr>
            </w:pPr>
            <w:r>
              <w:rPr>
                <w:rFonts w:ascii="宋体" w:hAnsi="宋体"/>
                <w:kern w:val="0"/>
                <w:szCs w:val="21"/>
              </w:rPr>
              <w:t>小计</w:t>
            </w:r>
          </w:p>
        </w:tc>
        <w:tc>
          <w:tcPr>
            <w:tcW w:w="258" w:type="pct"/>
            <w:shd w:val="clear" w:color="auto" w:fill="auto"/>
            <w:noWrap/>
            <w:vAlign w:val="center"/>
          </w:tcPr>
          <w:p w14:paraId="64FF3E76">
            <w:pPr>
              <w:pStyle w:val="23"/>
              <w:jc w:val="center"/>
              <w:rPr>
                <w:rFonts w:ascii="宋体" w:hAnsi="宋体"/>
                <w:kern w:val="0"/>
                <w:szCs w:val="21"/>
              </w:rPr>
            </w:pPr>
            <w:r>
              <w:rPr>
                <w:rFonts w:ascii="宋体" w:hAnsi="宋体"/>
                <w:kern w:val="0"/>
                <w:szCs w:val="21"/>
              </w:rPr>
              <w:t>10月</w:t>
            </w:r>
          </w:p>
        </w:tc>
        <w:tc>
          <w:tcPr>
            <w:tcW w:w="258" w:type="pct"/>
            <w:shd w:val="clear" w:color="auto" w:fill="auto"/>
            <w:noWrap/>
            <w:vAlign w:val="center"/>
          </w:tcPr>
          <w:p w14:paraId="07233B35">
            <w:pPr>
              <w:pStyle w:val="23"/>
              <w:jc w:val="center"/>
              <w:rPr>
                <w:rFonts w:ascii="宋体" w:hAnsi="宋体"/>
                <w:kern w:val="0"/>
                <w:szCs w:val="21"/>
              </w:rPr>
            </w:pPr>
            <w:r>
              <w:rPr>
                <w:rFonts w:ascii="宋体" w:hAnsi="宋体"/>
                <w:kern w:val="0"/>
                <w:szCs w:val="21"/>
              </w:rPr>
              <w:t>11月</w:t>
            </w:r>
          </w:p>
        </w:tc>
        <w:tc>
          <w:tcPr>
            <w:tcW w:w="258" w:type="pct"/>
            <w:shd w:val="clear" w:color="auto" w:fill="auto"/>
            <w:noWrap/>
            <w:vAlign w:val="center"/>
          </w:tcPr>
          <w:p w14:paraId="5C7D864A">
            <w:pPr>
              <w:pStyle w:val="23"/>
              <w:jc w:val="center"/>
              <w:rPr>
                <w:rFonts w:ascii="宋体" w:hAnsi="宋体"/>
                <w:kern w:val="0"/>
                <w:szCs w:val="21"/>
              </w:rPr>
            </w:pPr>
            <w:r>
              <w:rPr>
                <w:rFonts w:ascii="宋体" w:hAnsi="宋体"/>
                <w:kern w:val="0"/>
                <w:szCs w:val="21"/>
              </w:rPr>
              <w:t>12月</w:t>
            </w:r>
          </w:p>
        </w:tc>
        <w:tc>
          <w:tcPr>
            <w:tcW w:w="258" w:type="pct"/>
            <w:shd w:val="clear" w:color="auto" w:fill="auto"/>
            <w:noWrap/>
            <w:vAlign w:val="center"/>
          </w:tcPr>
          <w:p w14:paraId="7B54A7EA">
            <w:pPr>
              <w:pStyle w:val="23"/>
              <w:jc w:val="center"/>
              <w:rPr>
                <w:rFonts w:ascii="宋体" w:hAnsi="宋体"/>
                <w:kern w:val="0"/>
                <w:szCs w:val="21"/>
              </w:rPr>
            </w:pPr>
            <w:r>
              <w:rPr>
                <w:rFonts w:ascii="宋体" w:hAnsi="宋体"/>
                <w:kern w:val="0"/>
                <w:szCs w:val="21"/>
              </w:rPr>
              <w:t>小计</w:t>
            </w:r>
          </w:p>
        </w:tc>
        <w:tc>
          <w:tcPr>
            <w:tcW w:w="258" w:type="pct"/>
            <w:shd w:val="clear" w:color="auto" w:fill="auto"/>
            <w:noWrap/>
            <w:vAlign w:val="center"/>
          </w:tcPr>
          <w:p w14:paraId="7D36BC8C">
            <w:pPr>
              <w:pStyle w:val="23"/>
              <w:jc w:val="center"/>
              <w:rPr>
                <w:rFonts w:ascii="宋体" w:hAnsi="宋体"/>
                <w:kern w:val="0"/>
                <w:szCs w:val="21"/>
              </w:rPr>
            </w:pPr>
            <w:r>
              <w:rPr>
                <w:rFonts w:ascii="宋体" w:hAnsi="宋体"/>
                <w:kern w:val="0"/>
                <w:szCs w:val="21"/>
              </w:rPr>
              <w:t>总计</w:t>
            </w:r>
          </w:p>
        </w:tc>
      </w:tr>
      <w:tr w14:paraId="0F44AE4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76" w:type="pct"/>
            <w:vMerge w:val="restart"/>
            <w:shd w:val="clear" w:color="auto" w:fill="auto"/>
            <w:noWrap/>
            <w:vAlign w:val="center"/>
          </w:tcPr>
          <w:p w14:paraId="1B85A276">
            <w:pPr>
              <w:pStyle w:val="23"/>
              <w:jc w:val="center"/>
              <w:rPr>
                <w:rFonts w:ascii="宋体" w:hAnsi="宋体"/>
                <w:b/>
                <w:kern w:val="0"/>
                <w:szCs w:val="21"/>
              </w:rPr>
            </w:pPr>
            <w:r>
              <w:rPr>
                <w:rFonts w:ascii="宋体" w:hAnsi="宋体"/>
                <w:b/>
                <w:kern w:val="0"/>
                <w:szCs w:val="21"/>
              </w:rPr>
              <w:t>监测站大楼</w:t>
            </w:r>
          </w:p>
        </w:tc>
        <w:tc>
          <w:tcPr>
            <w:tcW w:w="330" w:type="pct"/>
            <w:shd w:val="clear" w:color="auto" w:fill="auto"/>
            <w:noWrap/>
            <w:vAlign w:val="center"/>
          </w:tcPr>
          <w:p w14:paraId="27C60720">
            <w:pPr>
              <w:pStyle w:val="23"/>
              <w:jc w:val="center"/>
              <w:rPr>
                <w:rFonts w:ascii="宋体" w:hAnsi="宋体"/>
                <w:b/>
                <w:kern w:val="0"/>
                <w:szCs w:val="21"/>
              </w:rPr>
            </w:pPr>
            <w:r>
              <w:rPr>
                <w:rFonts w:ascii="宋体" w:hAnsi="宋体"/>
                <w:b/>
                <w:kern w:val="0"/>
                <w:szCs w:val="21"/>
              </w:rPr>
              <w:t>日均值样品数</w:t>
            </w:r>
          </w:p>
        </w:tc>
        <w:tc>
          <w:tcPr>
            <w:tcW w:w="258" w:type="pct"/>
            <w:shd w:val="clear" w:color="auto" w:fill="auto"/>
            <w:noWrap/>
            <w:vAlign w:val="center"/>
          </w:tcPr>
          <w:p w14:paraId="6495C56E">
            <w:pPr>
              <w:pStyle w:val="23"/>
              <w:jc w:val="center"/>
              <w:rPr>
                <w:rFonts w:ascii="宋体" w:hAnsi="宋体"/>
                <w:kern w:val="0"/>
                <w:szCs w:val="21"/>
              </w:rPr>
            </w:pPr>
            <w:r>
              <w:rPr>
                <w:rFonts w:ascii="宋体" w:hAnsi="宋体"/>
                <w:kern w:val="0"/>
                <w:szCs w:val="21"/>
              </w:rPr>
              <w:t>31</w:t>
            </w:r>
          </w:p>
        </w:tc>
        <w:tc>
          <w:tcPr>
            <w:tcW w:w="258" w:type="pct"/>
            <w:shd w:val="clear" w:color="auto" w:fill="auto"/>
            <w:noWrap/>
            <w:vAlign w:val="center"/>
          </w:tcPr>
          <w:p w14:paraId="48466B0D">
            <w:pPr>
              <w:pStyle w:val="23"/>
              <w:jc w:val="center"/>
              <w:rPr>
                <w:rFonts w:ascii="宋体" w:hAnsi="宋体"/>
                <w:kern w:val="0"/>
                <w:szCs w:val="21"/>
              </w:rPr>
            </w:pPr>
            <w:r>
              <w:rPr>
                <w:rFonts w:ascii="宋体" w:hAnsi="宋体"/>
                <w:kern w:val="0"/>
                <w:szCs w:val="21"/>
              </w:rPr>
              <w:t>28</w:t>
            </w:r>
          </w:p>
        </w:tc>
        <w:tc>
          <w:tcPr>
            <w:tcW w:w="258" w:type="pct"/>
            <w:shd w:val="clear" w:color="auto" w:fill="auto"/>
            <w:noWrap/>
            <w:vAlign w:val="center"/>
          </w:tcPr>
          <w:p w14:paraId="395F8D75">
            <w:pPr>
              <w:pStyle w:val="23"/>
              <w:jc w:val="center"/>
              <w:rPr>
                <w:rFonts w:ascii="宋体" w:hAnsi="宋体"/>
                <w:kern w:val="0"/>
                <w:szCs w:val="21"/>
              </w:rPr>
            </w:pPr>
            <w:r>
              <w:rPr>
                <w:rFonts w:ascii="宋体" w:hAnsi="宋体"/>
                <w:kern w:val="0"/>
                <w:szCs w:val="21"/>
              </w:rPr>
              <w:t>26</w:t>
            </w:r>
          </w:p>
        </w:tc>
        <w:tc>
          <w:tcPr>
            <w:tcW w:w="258" w:type="pct"/>
            <w:shd w:val="clear" w:color="auto" w:fill="auto"/>
            <w:noWrap/>
            <w:vAlign w:val="center"/>
          </w:tcPr>
          <w:p w14:paraId="3B31AD87">
            <w:pPr>
              <w:pStyle w:val="23"/>
              <w:jc w:val="center"/>
              <w:rPr>
                <w:rFonts w:ascii="宋体" w:hAnsi="宋体"/>
                <w:kern w:val="0"/>
                <w:szCs w:val="21"/>
              </w:rPr>
            </w:pPr>
            <w:r>
              <w:rPr>
                <w:rFonts w:ascii="宋体" w:hAnsi="宋体"/>
                <w:kern w:val="0"/>
                <w:szCs w:val="21"/>
              </w:rPr>
              <w:t>85</w:t>
            </w:r>
          </w:p>
        </w:tc>
        <w:tc>
          <w:tcPr>
            <w:tcW w:w="258" w:type="pct"/>
            <w:shd w:val="clear" w:color="auto" w:fill="auto"/>
            <w:noWrap/>
            <w:vAlign w:val="center"/>
          </w:tcPr>
          <w:p w14:paraId="62D0A293">
            <w:pPr>
              <w:pStyle w:val="23"/>
              <w:jc w:val="center"/>
              <w:rPr>
                <w:rFonts w:ascii="宋体" w:hAnsi="宋体"/>
                <w:kern w:val="0"/>
                <w:szCs w:val="21"/>
              </w:rPr>
            </w:pPr>
            <w:r>
              <w:rPr>
                <w:rFonts w:ascii="宋体" w:hAnsi="宋体"/>
                <w:kern w:val="0"/>
                <w:szCs w:val="21"/>
              </w:rPr>
              <w:t>30</w:t>
            </w:r>
          </w:p>
        </w:tc>
        <w:tc>
          <w:tcPr>
            <w:tcW w:w="258" w:type="pct"/>
            <w:shd w:val="clear" w:color="auto" w:fill="auto"/>
            <w:noWrap/>
            <w:vAlign w:val="center"/>
          </w:tcPr>
          <w:p w14:paraId="7BD63F40">
            <w:pPr>
              <w:pStyle w:val="23"/>
              <w:jc w:val="center"/>
              <w:rPr>
                <w:rFonts w:ascii="宋体" w:hAnsi="宋体"/>
                <w:kern w:val="0"/>
                <w:szCs w:val="21"/>
              </w:rPr>
            </w:pPr>
            <w:r>
              <w:rPr>
                <w:rFonts w:ascii="宋体" w:hAnsi="宋体"/>
                <w:kern w:val="0"/>
                <w:szCs w:val="21"/>
              </w:rPr>
              <w:t>27</w:t>
            </w:r>
          </w:p>
        </w:tc>
        <w:tc>
          <w:tcPr>
            <w:tcW w:w="258" w:type="pct"/>
            <w:shd w:val="clear" w:color="auto" w:fill="auto"/>
            <w:noWrap/>
            <w:vAlign w:val="center"/>
          </w:tcPr>
          <w:p w14:paraId="06244FD2">
            <w:pPr>
              <w:pStyle w:val="23"/>
              <w:jc w:val="center"/>
              <w:rPr>
                <w:rFonts w:ascii="宋体" w:hAnsi="宋体"/>
                <w:kern w:val="0"/>
                <w:szCs w:val="21"/>
              </w:rPr>
            </w:pPr>
            <w:r>
              <w:rPr>
                <w:rFonts w:ascii="宋体" w:hAnsi="宋体"/>
                <w:kern w:val="0"/>
                <w:szCs w:val="21"/>
              </w:rPr>
              <w:t>26</w:t>
            </w:r>
          </w:p>
        </w:tc>
        <w:tc>
          <w:tcPr>
            <w:tcW w:w="258" w:type="pct"/>
            <w:shd w:val="clear" w:color="auto" w:fill="auto"/>
            <w:noWrap/>
            <w:vAlign w:val="center"/>
          </w:tcPr>
          <w:p w14:paraId="4B8C7C16">
            <w:pPr>
              <w:pStyle w:val="23"/>
              <w:jc w:val="center"/>
              <w:rPr>
                <w:rFonts w:ascii="宋体" w:hAnsi="宋体"/>
                <w:kern w:val="0"/>
                <w:szCs w:val="21"/>
              </w:rPr>
            </w:pPr>
            <w:r>
              <w:rPr>
                <w:rFonts w:ascii="宋体" w:hAnsi="宋体"/>
                <w:kern w:val="0"/>
                <w:szCs w:val="21"/>
              </w:rPr>
              <w:t>83</w:t>
            </w:r>
          </w:p>
        </w:tc>
        <w:tc>
          <w:tcPr>
            <w:tcW w:w="258" w:type="pct"/>
            <w:shd w:val="clear" w:color="auto" w:fill="auto"/>
            <w:noWrap/>
            <w:vAlign w:val="center"/>
          </w:tcPr>
          <w:p w14:paraId="55904D59">
            <w:pPr>
              <w:pStyle w:val="23"/>
              <w:jc w:val="center"/>
              <w:rPr>
                <w:rFonts w:ascii="宋体" w:hAnsi="宋体"/>
                <w:kern w:val="0"/>
                <w:szCs w:val="21"/>
              </w:rPr>
            </w:pPr>
            <w:r>
              <w:rPr>
                <w:rFonts w:ascii="宋体" w:hAnsi="宋体"/>
                <w:kern w:val="0"/>
                <w:szCs w:val="21"/>
              </w:rPr>
              <w:t>13</w:t>
            </w:r>
          </w:p>
        </w:tc>
        <w:tc>
          <w:tcPr>
            <w:tcW w:w="258" w:type="pct"/>
            <w:shd w:val="clear" w:color="auto" w:fill="auto"/>
            <w:noWrap/>
            <w:vAlign w:val="center"/>
          </w:tcPr>
          <w:p w14:paraId="60437137">
            <w:pPr>
              <w:pStyle w:val="23"/>
              <w:jc w:val="center"/>
              <w:rPr>
                <w:rFonts w:ascii="宋体" w:hAnsi="宋体"/>
                <w:kern w:val="0"/>
                <w:szCs w:val="21"/>
              </w:rPr>
            </w:pPr>
            <w:r>
              <w:rPr>
                <w:rFonts w:ascii="宋体" w:hAnsi="宋体"/>
                <w:kern w:val="0"/>
                <w:szCs w:val="21"/>
              </w:rPr>
              <w:t>31</w:t>
            </w:r>
          </w:p>
        </w:tc>
        <w:tc>
          <w:tcPr>
            <w:tcW w:w="258" w:type="pct"/>
            <w:shd w:val="clear" w:color="auto" w:fill="auto"/>
            <w:noWrap/>
            <w:vAlign w:val="center"/>
          </w:tcPr>
          <w:p w14:paraId="0798A2FB">
            <w:pPr>
              <w:pStyle w:val="23"/>
              <w:jc w:val="center"/>
              <w:rPr>
                <w:rFonts w:ascii="宋体" w:hAnsi="宋体"/>
                <w:kern w:val="0"/>
                <w:szCs w:val="21"/>
              </w:rPr>
            </w:pPr>
            <w:r>
              <w:rPr>
                <w:rFonts w:ascii="宋体" w:hAnsi="宋体"/>
                <w:kern w:val="0"/>
                <w:szCs w:val="21"/>
              </w:rPr>
              <w:t>30</w:t>
            </w:r>
          </w:p>
        </w:tc>
        <w:tc>
          <w:tcPr>
            <w:tcW w:w="258" w:type="pct"/>
            <w:shd w:val="clear" w:color="auto" w:fill="auto"/>
            <w:noWrap/>
            <w:vAlign w:val="center"/>
          </w:tcPr>
          <w:p w14:paraId="4711F636">
            <w:pPr>
              <w:pStyle w:val="23"/>
              <w:jc w:val="center"/>
              <w:rPr>
                <w:rFonts w:ascii="宋体" w:hAnsi="宋体"/>
                <w:kern w:val="0"/>
                <w:szCs w:val="21"/>
              </w:rPr>
            </w:pPr>
            <w:r>
              <w:rPr>
                <w:rFonts w:ascii="宋体" w:hAnsi="宋体"/>
                <w:kern w:val="0"/>
                <w:szCs w:val="21"/>
              </w:rPr>
              <w:t>74</w:t>
            </w:r>
          </w:p>
        </w:tc>
        <w:tc>
          <w:tcPr>
            <w:tcW w:w="258" w:type="pct"/>
            <w:shd w:val="clear" w:color="auto" w:fill="auto"/>
            <w:noWrap/>
            <w:vAlign w:val="center"/>
          </w:tcPr>
          <w:p w14:paraId="63B79A0B">
            <w:pPr>
              <w:pStyle w:val="23"/>
              <w:jc w:val="center"/>
              <w:rPr>
                <w:rFonts w:ascii="宋体" w:hAnsi="宋体"/>
                <w:kern w:val="0"/>
                <w:szCs w:val="21"/>
              </w:rPr>
            </w:pPr>
            <w:r>
              <w:rPr>
                <w:rFonts w:ascii="宋体" w:hAnsi="宋体"/>
                <w:kern w:val="0"/>
                <w:szCs w:val="21"/>
              </w:rPr>
              <w:t>24</w:t>
            </w:r>
          </w:p>
        </w:tc>
        <w:tc>
          <w:tcPr>
            <w:tcW w:w="258" w:type="pct"/>
            <w:shd w:val="clear" w:color="auto" w:fill="auto"/>
            <w:noWrap/>
            <w:vAlign w:val="center"/>
          </w:tcPr>
          <w:p w14:paraId="18B42887">
            <w:pPr>
              <w:pStyle w:val="23"/>
              <w:jc w:val="center"/>
              <w:rPr>
                <w:rFonts w:ascii="宋体" w:hAnsi="宋体"/>
                <w:kern w:val="0"/>
                <w:szCs w:val="21"/>
              </w:rPr>
            </w:pPr>
            <w:r>
              <w:rPr>
                <w:rFonts w:ascii="宋体" w:hAnsi="宋体"/>
                <w:kern w:val="0"/>
                <w:szCs w:val="21"/>
              </w:rPr>
              <w:t>30</w:t>
            </w:r>
          </w:p>
        </w:tc>
        <w:tc>
          <w:tcPr>
            <w:tcW w:w="258" w:type="pct"/>
            <w:shd w:val="clear" w:color="auto" w:fill="auto"/>
            <w:noWrap/>
            <w:vAlign w:val="center"/>
          </w:tcPr>
          <w:p w14:paraId="05083121">
            <w:pPr>
              <w:pStyle w:val="23"/>
              <w:jc w:val="center"/>
              <w:rPr>
                <w:rFonts w:ascii="宋体" w:hAnsi="宋体"/>
                <w:kern w:val="0"/>
                <w:szCs w:val="21"/>
              </w:rPr>
            </w:pPr>
            <w:r>
              <w:rPr>
                <w:rFonts w:ascii="宋体" w:hAnsi="宋体"/>
                <w:kern w:val="0"/>
                <w:szCs w:val="21"/>
              </w:rPr>
              <w:t>31</w:t>
            </w:r>
          </w:p>
        </w:tc>
        <w:tc>
          <w:tcPr>
            <w:tcW w:w="258" w:type="pct"/>
            <w:shd w:val="clear" w:color="auto" w:fill="auto"/>
            <w:noWrap/>
            <w:vAlign w:val="center"/>
          </w:tcPr>
          <w:p w14:paraId="3DD517D1">
            <w:pPr>
              <w:pStyle w:val="23"/>
              <w:jc w:val="center"/>
              <w:rPr>
                <w:rFonts w:ascii="宋体" w:hAnsi="宋体"/>
                <w:kern w:val="0"/>
                <w:szCs w:val="21"/>
              </w:rPr>
            </w:pPr>
            <w:r>
              <w:rPr>
                <w:rFonts w:ascii="宋体" w:hAnsi="宋体"/>
                <w:kern w:val="0"/>
                <w:szCs w:val="21"/>
              </w:rPr>
              <w:t>85</w:t>
            </w:r>
          </w:p>
        </w:tc>
        <w:tc>
          <w:tcPr>
            <w:tcW w:w="258" w:type="pct"/>
            <w:shd w:val="clear" w:color="auto" w:fill="auto"/>
            <w:noWrap/>
            <w:vAlign w:val="center"/>
          </w:tcPr>
          <w:p w14:paraId="57B14279">
            <w:pPr>
              <w:pStyle w:val="23"/>
              <w:jc w:val="center"/>
              <w:rPr>
                <w:rFonts w:ascii="宋体" w:hAnsi="宋体"/>
                <w:kern w:val="0"/>
                <w:szCs w:val="21"/>
              </w:rPr>
            </w:pPr>
            <w:r>
              <w:rPr>
                <w:rFonts w:ascii="宋体" w:hAnsi="宋体"/>
                <w:kern w:val="0"/>
                <w:szCs w:val="21"/>
              </w:rPr>
              <w:t>327</w:t>
            </w:r>
          </w:p>
        </w:tc>
      </w:tr>
      <w:tr w14:paraId="2EECDB8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76" w:type="pct"/>
            <w:vMerge w:val="continue"/>
            <w:vAlign w:val="center"/>
          </w:tcPr>
          <w:p w14:paraId="70D5585A">
            <w:pPr>
              <w:pStyle w:val="23"/>
              <w:jc w:val="center"/>
              <w:rPr>
                <w:rFonts w:ascii="宋体" w:hAnsi="宋体"/>
                <w:b/>
                <w:kern w:val="0"/>
                <w:szCs w:val="21"/>
              </w:rPr>
            </w:pPr>
          </w:p>
        </w:tc>
        <w:tc>
          <w:tcPr>
            <w:tcW w:w="330" w:type="pct"/>
            <w:shd w:val="clear" w:color="auto" w:fill="auto"/>
            <w:noWrap/>
            <w:vAlign w:val="center"/>
          </w:tcPr>
          <w:p w14:paraId="20502358">
            <w:pPr>
              <w:pStyle w:val="23"/>
              <w:jc w:val="center"/>
              <w:rPr>
                <w:rFonts w:ascii="宋体" w:hAnsi="宋体"/>
                <w:b/>
                <w:kern w:val="0"/>
                <w:szCs w:val="21"/>
              </w:rPr>
            </w:pPr>
            <w:r>
              <w:rPr>
                <w:rFonts w:ascii="宋体" w:hAnsi="宋体"/>
                <w:b/>
                <w:kern w:val="0"/>
                <w:szCs w:val="21"/>
              </w:rPr>
              <w:t>最高浓度</w:t>
            </w:r>
          </w:p>
        </w:tc>
        <w:tc>
          <w:tcPr>
            <w:tcW w:w="258" w:type="pct"/>
            <w:shd w:val="clear" w:color="auto" w:fill="auto"/>
            <w:noWrap/>
            <w:vAlign w:val="center"/>
          </w:tcPr>
          <w:p w14:paraId="48A177D6">
            <w:pPr>
              <w:pStyle w:val="23"/>
              <w:jc w:val="center"/>
              <w:rPr>
                <w:rFonts w:ascii="宋体" w:hAnsi="宋体"/>
                <w:kern w:val="0"/>
                <w:szCs w:val="21"/>
              </w:rPr>
            </w:pPr>
            <w:r>
              <w:rPr>
                <w:rFonts w:ascii="宋体" w:hAnsi="宋体"/>
                <w:kern w:val="0"/>
                <w:szCs w:val="21"/>
              </w:rPr>
              <w:t>0.072</w:t>
            </w:r>
          </w:p>
        </w:tc>
        <w:tc>
          <w:tcPr>
            <w:tcW w:w="258" w:type="pct"/>
            <w:shd w:val="clear" w:color="auto" w:fill="auto"/>
            <w:noWrap/>
            <w:vAlign w:val="center"/>
          </w:tcPr>
          <w:p w14:paraId="1CFBD256">
            <w:pPr>
              <w:pStyle w:val="23"/>
              <w:jc w:val="center"/>
              <w:rPr>
                <w:rFonts w:ascii="宋体" w:hAnsi="宋体"/>
                <w:kern w:val="0"/>
                <w:szCs w:val="21"/>
              </w:rPr>
            </w:pPr>
            <w:r>
              <w:rPr>
                <w:rFonts w:ascii="宋体" w:hAnsi="宋体"/>
                <w:kern w:val="0"/>
                <w:szCs w:val="21"/>
              </w:rPr>
              <w:t>0.042</w:t>
            </w:r>
          </w:p>
        </w:tc>
        <w:tc>
          <w:tcPr>
            <w:tcW w:w="258" w:type="pct"/>
            <w:shd w:val="clear" w:color="auto" w:fill="auto"/>
            <w:noWrap/>
            <w:vAlign w:val="center"/>
          </w:tcPr>
          <w:p w14:paraId="23124D79">
            <w:pPr>
              <w:pStyle w:val="23"/>
              <w:jc w:val="center"/>
              <w:rPr>
                <w:rFonts w:ascii="宋体" w:hAnsi="宋体"/>
                <w:kern w:val="0"/>
                <w:szCs w:val="21"/>
              </w:rPr>
            </w:pPr>
            <w:r>
              <w:rPr>
                <w:rFonts w:ascii="宋体" w:hAnsi="宋体"/>
                <w:kern w:val="0"/>
                <w:szCs w:val="21"/>
              </w:rPr>
              <w:t>0.032</w:t>
            </w:r>
          </w:p>
        </w:tc>
        <w:tc>
          <w:tcPr>
            <w:tcW w:w="258" w:type="pct"/>
            <w:shd w:val="clear" w:color="auto" w:fill="auto"/>
            <w:noWrap/>
            <w:vAlign w:val="center"/>
          </w:tcPr>
          <w:p w14:paraId="40BE0924">
            <w:pPr>
              <w:pStyle w:val="23"/>
              <w:jc w:val="center"/>
              <w:rPr>
                <w:rFonts w:ascii="宋体" w:hAnsi="宋体"/>
                <w:kern w:val="0"/>
                <w:szCs w:val="21"/>
              </w:rPr>
            </w:pPr>
            <w:r>
              <w:rPr>
                <w:rFonts w:ascii="宋体" w:hAnsi="宋体"/>
                <w:kern w:val="0"/>
                <w:szCs w:val="21"/>
              </w:rPr>
              <w:t>0.072</w:t>
            </w:r>
          </w:p>
        </w:tc>
        <w:tc>
          <w:tcPr>
            <w:tcW w:w="258" w:type="pct"/>
            <w:shd w:val="clear" w:color="auto" w:fill="auto"/>
            <w:noWrap/>
            <w:vAlign w:val="center"/>
          </w:tcPr>
          <w:p w14:paraId="0C242F35">
            <w:pPr>
              <w:pStyle w:val="23"/>
              <w:jc w:val="center"/>
              <w:rPr>
                <w:rFonts w:ascii="宋体" w:hAnsi="宋体"/>
                <w:kern w:val="0"/>
                <w:szCs w:val="21"/>
              </w:rPr>
            </w:pPr>
            <w:r>
              <w:rPr>
                <w:rFonts w:ascii="宋体" w:hAnsi="宋体"/>
                <w:kern w:val="0"/>
                <w:szCs w:val="21"/>
              </w:rPr>
              <w:t>0.036</w:t>
            </w:r>
          </w:p>
        </w:tc>
        <w:tc>
          <w:tcPr>
            <w:tcW w:w="258" w:type="pct"/>
            <w:shd w:val="clear" w:color="auto" w:fill="auto"/>
            <w:noWrap/>
            <w:vAlign w:val="center"/>
          </w:tcPr>
          <w:p w14:paraId="01875B3F">
            <w:pPr>
              <w:pStyle w:val="23"/>
              <w:jc w:val="center"/>
              <w:rPr>
                <w:rFonts w:ascii="宋体" w:hAnsi="宋体"/>
                <w:kern w:val="0"/>
                <w:szCs w:val="21"/>
              </w:rPr>
            </w:pPr>
            <w:r>
              <w:rPr>
                <w:rFonts w:ascii="宋体" w:hAnsi="宋体"/>
                <w:kern w:val="0"/>
                <w:szCs w:val="21"/>
              </w:rPr>
              <w:t>0.03</w:t>
            </w:r>
          </w:p>
        </w:tc>
        <w:tc>
          <w:tcPr>
            <w:tcW w:w="258" w:type="pct"/>
            <w:shd w:val="clear" w:color="auto" w:fill="auto"/>
            <w:noWrap/>
            <w:vAlign w:val="center"/>
          </w:tcPr>
          <w:p w14:paraId="5F0C7CD6">
            <w:pPr>
              <w:pStyle w:val="23"/>
              <w:jc w:val="center"/>
              <w:rPr>
                <w:rFonts w:ascii="宋体" w:hAnsi="宋体"/>
                <w:kern w:val="0"/>
                <w:szCs w:val="21"/>
              </w:rPr>
            </w:pPr>
            <w:r>
              <w:rPr>
                <w:rFonts w:ascii="宋体" w:hAnsi="宋体"/>
                <w:kern w:val="0"/>
                <w:szCs w:val="21"/>
              </w:rPr>
              <w:t>0.015</w:t>
            </w:r>
          </w:p>
        </w:tc>
        <w:tc>
          <w:tcPr>
            <w:tcW w:w="258" w:type="pct"/>
            <w:shd w:val="clear" w:color="auto" w:fill="auto"/>
            <w:noWrap/>
            <w:vAlign w:val="center"/>
          </w:tcPr>
          <w:p w14:paraId="2CE74F12">
            <w:pPr>
              <w:pStyle w:val="23"/>
              <w:jc w:val="center"/>
              <w:rPr>
                <w:rFonts w:ascii="宋体" w:hAnsi="宋体"/>
                <w:kern w:val="0"/>
                <w:szCs w:val="21"/>
              </w:rPr>
            </w:pPr>
            <w:r>
              <w:rPr>
                <w:rFonts w:ascii="宋体" w:hAnsi="宋体"/>
                <w:kern w:val="0"/>
                <w:szCs w:val="21"/>
              </w:rPr>
              <w:t>0.043</w:t>
            </w:r>
          </w:p>
        </w:tc>
        <w:tc>
          <w:tcPr>
            <w:tcW w:w="258" w:type="pct"/>
            <w:shd w:val="clear" w:color="auto" w:fill="auto"/>
            <w:noWrap/>
            <w:vAlign w:val="center"/>
          </w:tcPr>
          <w:p w14:paraId="7436E713">
            <w:pPr>
              <w:pStyle w:val="23"/>
              <w:jc w:val="center"/>
              <w:rPr>
                <w:rFonts w:ascii="宋体" w:hAnsi="宋体"/>
                <w:kern w:val="0"/>
                <w:szCs w:val="21"/>
              </w:rPr>
            </w:pPr>
            <w:r>
              <w:rPr>
                <w:rFonts w:ascii="宋体" w:hAnsi="宋体"/>
                <w:kern w:val="0"/>
                <w:szCs w:val="21"/>
              </w:rPr>
              <w:t>0.037</w:t>
            </w:r>
          </w:p>
        </w:tc>
        <w:tc>
          <w:tcPr>
            <w:tcW w:w="258" w:type="pct"/>
            <w:shd w:val="clear" w:color="auto" w:fill="auto"/>
            <w:noWrap/>
            <w:vAlign w:val="center"/>
          </w:tcPr>
          <w:p w14:paraId="1A07F493">
            <w:pPr>
              <w:pStyle w:val="23"/>
              <w:jc w:val="center"/>
              <w:rPr>
                <w:rFonts w:ascii="宋体" w:hAnsi="宋体"/>
                <w:kern w:val="0"/>
                <w:szCs w:val="21"/>
              </w:rPr>
            </w:pPr>
            <w:r>
              <w:rPr>
                <w:rFonts w:ascii="宋体" w:hAnsi="宋体"/>
                <w:kern w:val="0"/>
                <w:szCs w:val="21"/>
              </w:rPr>
              <w:t>0.046</w:t>
            </w:r>
          </w:p>
        </w:tc>
        <w:tc>
          <w:tcPr>
            <w:tcW w:w="258" w:type="pct"/>
            <w:shd w:val="clear" w:color="auto" w:fill="auto"/>
            <w:noWrap/>
            <w:vAlign w:val="center"/>
          </w:tcPr>
          <w:p w14:paraId="00CD2680">
            <w:pPr>
              <w:pStyle w:val="23"/>
              <w:jc w:val="center"/>
              <w:rPr>
                <w:rFonts w:ascii="宋体" w:hAnsi="宋体"/>
                <w:kern w:val="0"/>
                <w:szCs w:val="21"/>
              </w:rPr>
            </w:pPr>
            <w:r>
              <w:rPr>
                <w:rFonts w:ascii="宋体" w:hAnsi="宋体"/>
                <w:kern w:val="0"/>
                <w:szCs w:val="21"/>
              </w:rPr>
              <w:t>0.057</w:t>
            </w:r>
          </w:p>
        </w:tc>
        <w:tc>
          <w:tcPr>
            <w:tcW w:w="258" w:type="pct"/>
            <w:shd w:val="clear" w:color="auto" w:fill="auto"/>
            <w:noWrap/>
            <w:vAlign w:val="center"/>
          </w:tcPr>
          <w:p w14:paraId="404BD442">
            <w:pPr>
              <w:pStyle w:val="23"/>
              <w:jc w:val="center"/>
              <w:rPr>
                <w:rFonts w:ascii="宋体" w:hAnsi="宋体"/>
                <w:kern w:val="0"/>
                <w:szCs w:val="21"/>
              </w:rPr>
            </w:pPr>
            <w:r>
              <w:rPr>
                <w:rFonts w:ascii="宋体" w:hAnsi="宋体"/>
                <w:kern w:val="0"/>
                <w:szCs w:val="21"/>
              </w:rPr>
              <w:t>0.057</w:t>
            </w:r>
          </w:p>
        </w:tc>
        <w:tc>
          <w:tcPr>
            <w:tcW w:w="258" w:type="pct"/>
            <w:shd w:val="clear" w:color="auto" w:fill="auto"/>
            <w:noWrap/>
            <w:vAlign w:val="center"/>
          </w:tcPr>
          <w:p w14:paraId="05A8A95A">
            <w:pPr>
              <w:pStyle w:val="23"/>
              <w:jc w:val="center"/>
              <w:rPr>
                <w:rFonts w:ascii="宋体" w:hAnsi="宋体"/>
                <w:kern w:val="0"/>
                <w:szCs w:val="21"/>
              </w:rPr>
            </w:pPr>
            <w:r>
              <w:rPr>
                <w:rFonts w:ascii="宋体" w:hAnsi="宋体"/>
                <w:kern w:val="0"/>
                <w:szCs w:val="21"/>
              </w:rPr>
              <w:t>0.043</w:t>
            </w:r>
          </w:p>
        </w:tc>
        <w:tc>
          <w:tcPr>
            <w:tcW w:w="258" w:type="pct"/>
            <w:shd w:val="clear" w:color="auto" w:fill="auto"/>
            <w:noWrap/>
            <w:vAlign w:val="center"/>
          </w:tcPr>
          <w:p w14:paraId="3CAC45BB">
            <w:pPr>
              <w:pStyle w:val="23"/>
              <w:jc w:val="center"/>
              <w:rPr>
                <w:rFonts w:ascii="宋体" w:hAnsi="宋体"/>
                <w:kern w:val="0"/>
                <w:szCs w:val="21"/>
              </w:rPr>
            </w:pPr>
            <w:r>
              <w:rPr>
                <w:rFonts w:ascii="宋体" w:hAnsi="宋体"/>
                <w:kern w:val="0"/>
                <w:szCs w:val="21"/>
              </w:rPr>
              <w:t>0.026</w:t>
            </w:r>
          </w:p>
        </w:tc>
        <w:tc>
          <w:tcPr>
            <w:tcW w:w="258" w:type="pct"/>
            <w:shd w:val="clear" w:color="auto" w:fill="auto"/>
            <w:noWrap/>
            <w:vAlign w:val="center"/>
          </w:tcPr>
          <w:p w14:paraId="0F7C7AAD">
            <w:pPr>
              <w:pStyle w:val="23"/>
              <w:jc w:val="center"/>
              <w:rPr>
                <w:rFonts w:ascii="宋体" w:hAnsi="宋体"/>
                <w:kern w:val="0"/>
                <w:szCs w:val="21"/>
              </w:rPr>
            </w:pPr>
            <w:r>
              <w:rPr>
                <w:rFonts w:ascii="宋体" w:hAnsi="宋体"/>
                <w:kern w:val="0"/>
                <w:szCs w:val="21"/>
              </w:rPr>
              <w:t>0.029</w:t>
            </w:r>
          </w:p>
        </w:tc>
        <w:tc>
          <w:tcPr>
            <w:tcW w:w="258" w:type="pct"/>
            <w:shd w:val="clear" w:color="auto" w:fill="auto"/>
            <w:noWrap/>
            <w:vAlign w:val="center"/>
          </w:tcPr>
          <w:p w14:paraId="1F2476EF">
            <w:pPr>
              <w:pStyle w:val="23"/>
              <w:jc w:val="center"/>
              <w:rPr>
                <w:rFonts w:ascii="宋体" w:hAnsi="宋体"/>
                <w:kern w:val="0"/>
                <w:szCs w:val="21"/>
              </w:rPr>
            </w:pPr>
            <w:r>
              <w:rPr>
                <w:rFonts w:ascii="宋体" w:hAnsi="宋体"/>
                <w:kern w:val="0"/>
                <w:szCs w:val="21"/>
              </w:rPr>
              <w:t>0.043</w:t>
            </w:r>
          </w:p>
        </w:tc>
        <w:tc>
          <w:tcPr>
            <w:tcW w:w="258" w:type="pct"/>
            <w:shd w:val="clear" w:color="auto" w:fill="auto"/>
            <w:noWrap/>
            <w:vAlign w:val="center"/>
          </w:tcPr>
          <w:p w14:paraId="118FFC0F">
            <w:pPr>
              <w:pStyle w:val="23"/>
              <w:jc w:val="center"/>
              <w:rPr>
                <w:rFonts w:ascii="宋体" w:hAnsi="宋体"/>
                <w:kern w:val="0"/>
                <w:szCs w:val="21"/>
              </w:rPr>
            </w:pPr>
            <w:r>
              <w:rPr>
                <w:rFonts w:ascii="宋体" w:hAnsi="宋体"/>
                <w:kern w:val="0"/>
                <w:szCs w:val="21"/>
              </w:rPr>
              <w:t>0.072</w:t>
            </w:r>
          </w:p>
        </w:tc>
      </w:tr>
      <w:tr w14:paraId="0F50809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76" w:type="pct"/>
            <w:vMerge w:val="continue"/>
            <w:vAlign w:val="center"/>
          </w:tcPr>
          <w:p w14:paraId="7EC20F76">
            <w:pPr>
              <w:pStyle w:val="23"/>
              <w:jc w:val="center"/>
              <w:rPr>
                <w:rFonts w:ascii="宋体" w:hAnsi="宋体"/>
                <w:b/>
                <w:kern w:val="0"/>
                <w:szCs w:val="21"/>
              </w:rPr>
            </w:pPr>
          </w:p>
        </w:tc>
        <w:tc>
          <w:tcPr>
            <w:tcW w:w="330" w:type="pct"/>
            <w:shd w:val="clear" w:color="auto" w:fill="auto"/>
            <w:noWrap/>
            <w:vAlign w:val="center"/>
          </w:tcPr>
          <w:p w14:paraId="2F89E33C">
            <w:pPr>
              <w:pStyle w:val="23"/>
              <w:jc w:val="center"/>
              <w:rPr>
                <w:rFonts w:ascii="宋体" w:hAnsi="宋体"/>
                <w:b/>
                <w:kern w:val="0"/>
                <w:szCs w:val="21"/>
              </w:rPr>
            </w:pPr>
            <w:r>
              <w:rPr>
                <w:rFonts w:ascii="宋体" w:hAnsi="宋体"/>
                <w:b/>
                <w:kern w:val="0"/>
                <w:szCs w:val="21"/>
              </w:rPr>
              <w:t>平均值</w:t>
            </w:r>
          </w:p>
        </w:tc>
        <w:tc>
          <w:tcPr>
            <w:tcW w:w="258" w:type="pct"/>
            <w:shd w:val="clear" w:color="auto" w:fill="auto"/>
            <w:noWrap/>
            <w:vAlign w:val="center"/>
          </w:tcPr>
          <w:p w14:paraId="0122F656">
            <w:pPr>
              <w:pStyle w:val="23"/>
              <w:jc w:val="center"/>
              <w:rPr>
                <w:rFonts w:ascii="宋体" w:hAnsi="宋体"/>
                <w:kern w:val="0"/>
                <w:szCs w:val="21"/>
              </w:rPr>
            </w:pPr>
            <w:r>
              <w:rPr>
                <w:rFonts w:ascii="宋体" w:hAnsi="宋体"/>
                <w:kern w:val="0"/>
                <w:szCs w:val="21"/>
              </w:rPr>
              <w:t>0.036</w:t>
            </w:r>
          </w:p>
        </w:tc>
        <w:tc>
          <w:tcPr>
            <w:tcW w:w="258" w:type="pct"/>
            <w:shd w:val="clear" w:color="auto" w:fill="auto"/>
            <w:noWrap/>
            <w:vAlign w:val="center"/>
          </w:tcPr>
          <w:p w14:paraId="6C9021BC">
            <w:pPr>
              <w:pStyle w:val="23"/>
              <w:jc w:val="center"/>
              <w:rPr>
                <w:rFonts w:ascii="宋体" w:hAnsi="宋体"/>
                <w:kern w:val="0"/>
                <w:szCs w:val="21"/>
              </w:rPr>
            </w:pPr>
            <w:r>
              <w:rPr>
                <w:rFonts w:ascii="宋体" w:hAnsi="宋体"/>
                <w:kern w:val="0"/>
                <w:szCs w:val="21"/>
              </w:rPr>
              <w:t>0.020</w:t>
            </w:r>
          </w:p>
        </w:tc>
        <w:tc>
          <w:tcPr>
            <w:tcW w:w="258" w:type="pct"/>
            <w:shd w:val="clear" w:color="auto" w:fill="auto"/>
            <w:noWrap/>
            <w:vAlign w:val="center"/>
          </w:tcPr>
          <w:p w14:paraId="167FBB55">
            <w:pPr>
              <w:pStyle w:val="23"/>
              <w:jc w:val="center"/>
              <w:rPr>
                <w:rFonts w:ascii="宋体" w:hAnsi="宋体"/>
                <w:kern w:val="0"/>
                <w:szCs w:val="21"/>
              </w:rPr>
            </w:pPr>
            <w:r>
              <w:rPr>
                <w:rFonts w:ascii="宋体" w:hAnsi="宋体"/>
                <w:kern w:val="0"/>
                <w:szCs w:val="21"/>
              </w:rPr>
              <w:t>0.015</w:t>
            </w:r>
          </w:p>
        </w:tc>
        <w:tc>
          <w:tcPr>
            <w:tcW w:w="258" w:type="pct"/>
            <w:shd w:val="clear" w:color="auto" w:fill="auto"/>
            <w:noWrap/>
            <w:vAlign w:val="center"/>
          </w:tcPr>
          <w:p w14:paraId="7F730F47">
            <w:pPr>
              <w:pStyle w:val="23"/>
              <w:jc w:val="center"/>
              <w:rPr>
                <w:rFonts w:ascii="宋体" w:hAnsi="宋体"/>
                <w:kern w:val="0"/>
                <w:szCs w:val="21"/>
              </w:rPr>
            </w:pPr>
            <w:r>
              <w:rPr>
                <w:rFonts w:ascii="宋体" w:hAnsi="宋体"/>
                <w:kern w:val="0"/>
                <w:szCs w:val="21"/>
              </w:rPr>
              <w:t>0.04</w:t>
            </w:r>
          </w:p>
        </w:tc>
        <w:tc>
          <w:tcPr>
            <w:tcW w:w="258" w:type="pct"/>
            <w:shd w:val="clear" w:color="auto" w:fill="auto"/>
            <w:noWrap/>
            <w:vAlign w:val="center"/>
          </w:tcPr>
          <w:p w14:paraId="0929799C">
            <w:pPr>
              <w:pStyle w:val="23"/>
              <w:jc w:val="center"/>
              <w:rPr>
                <w:rFonts w:ascii="宋体" w:hAnsi="宋体"/>
                <w:kern w:val="0"/>
                <w:szCs w:val="21"/>
              </w:rPr>
            </w:pPr>
            <w:r>
              <w:rPr>
                <w:rFonts w:ascii="宋体" w:hAnsi="宋体"/>
                <w:kern w:val="0"/>
                <w:szCs w:val="21"/>
              </w:rPr>
              <w:t>0.023</w:t>
            </w:r>
          </w:p>
        </w:tc>
        <w:tc>
          <w:tcPr>
            <w:tcW w:w="258" w:type="pct"/>
            <w:shd w:val="clear" w:color="auto" w:fill="auto"/>
            <w:noWrap/>
            <w:vAlign w:val="center"/>
          </w:tcPr>
          <w:p w14:paraId="0FDFF4F5">
            <w:pPr>
              <w:pStyle w:val="23"/>
              <w:jc w:val="center"/>
              <w:rPr>
                <w:rFonts w:ascii="宋体" w:hAnsi="宋体"/>
                <w:kern w:val="0"/>
                <w:szCs w:val="21"/>
              </w:rPr>
            </w:pPr>
            <w:r>
              <w:rPr>
                <w:rFonts w:ascii="宋体" w:hAnsi="宋体"/>
                <w:kern w:val="0"/>
                <w:szCs w:val="21"/>
              </w:rPr>
              <w:t>0.021</w:t>
            </w:r>
          </w:p>
        </w:tc>
        <w:tc>
          <w:tcPr>
            <w:tcW w:w="258" w:type="pct"/>
            <w:shd w:val="clear" w:color="auto" w:fill="auto"/>
            <w:noWrap/>
            <w:vAlign w:val="center"/>
          </w:tcPr>
          <w:p w14:paraId="67FDE2C2">
            <w:pPr>
              <w:pStyle w:val="23"/>
              <w:jc w:val="center"/>
              <w:rPr>
                <w:rFonts w:ascii="宋体" w:hAnsi="宋体"/>
                <w:kern w:val="0"/>
                <w:szCs w:val="21"/>
              </w:rPr>
            </w:pPr>
            <w:r>
              <w:rPr>
                <w:rFonts w:ascii="宋体" w:hAnsi="宋体"/>
                <w:kern w:val="0"/>
                <w:szCs w:val="21"/>
              </w:rPr>
              <w:t>0.015</w:t>
            </w:r>
          </w:p>
        </w:tc>
        <w:tc>
          <w:tcPr>
            <w:tcW w:w="258" w:type="pct"/>
            <w:shd w:val="clear" w:color="auto" w:fill="auto"/>
            <w:noWrap/>
            <w:vAlign w:val="center"/>
          </w:tcPr>
          <w:p w14:paraId="2929D11B">
            <w:pPr>
              <w:pStyle w:val="23"/>
              <w:jc w:val="center"/>
              <w:rPr>
                <w:rFonts w:ascii="宋体" w:hAnsi="宋体"/>
                <w:kern w:val="0"/>
                <w:szCs w:val="21"/>
              </w:rPr>
            </w:pPr>
            <w:r>
              <w:rPr>
                <w:rFonts w:ascii="宋体" w:hAnsi="宋体"/>
                <w:kern w:val="0"/>
                <w:szCs w:val="21"/>
              </w:rPr>
              <w:t>0.020</w:t>
            </w:r>
          </w:p>
        </w:tc>
        <w:tc>
          <w:tcPr>
            <w:tcW w:w="258" w:type="pct"/>
            <w:shd w:val="clear" w:color="auto" w:fill="auto"/>
            <w:noWrap/>
            <w:vAlign w:val="center"/>
          </w:tcPr>
          <w:p w14:paraId="3087F697">
            <w:pPr>
              <w:pStyle w:val="23"/>
              <w:jc w:val="center"/>
              <w:rPr>
                <w:rFonts w:ascii="宋体" w:hAnsi="宋体"/>
                <w:kern w:val="0"/>
                <w:szCs w:val="21"/>
              </w:rPr>
            </w:pPr>
            <w:r>
              <w:rPr>
                <w:rFonts w:ascii="宋体" w:hAnsi="宋体"/>
                <w:kern w:val="0"/>
                <w:szCs w:val="21"/>
              </w:rPr>
              <w:t>0.024</w:t>
            </w:r>
          </w:p>
        </w:tc>
        <w:tc>
          <w:tcPr>
            <w:tcW w:w="258" w:type="pct"/>
            <w:shd w:val="clear" w:color="auto" w:fill="auto"/>
            <w:noWrap/>
            <w:vAlign w:val="center"/>
          </w:tcPr>
          <w:p w14:paraId="3C084BCD">
            <w:pPr>
              <w:pStyle w:val="23"/>
              <w:jc w:val="center"/>
              <w:rPr>
                <w:rFonts w:ascii="宋体" w:hAnsi="宋体"/>
                <w:kern w:val="0"/>
                <w:szCs w:val="21"/>
              </w:rPr>
            </w:pPr>
            <w:r>
              <w:rPr>
                <w:rFonts w:ascii="宋体" w:hAnsi="宋体"/>
                <w:kern w:val="0"/>
                <w:szCs w:val="21"/>
              </w:rPr>
              <w:t>0.024</w:t>
            </w:r>
          </w:p>
        </w:tc>
        <w:tc>
          <w:tcPr>
            <w:tcW w:w="258" w:type="pct"/>
            <w:shd w:val="clear" w:color="auto" w:fill="auto"/>
            <w:noWrap/>
            <w:vAlign w:val="center"/>
          </w:tcPr>
          <w:p w14:paraId="273E5E4A">
            <w:pPr>
              <w:pStyle w:val="23"/>
              <w:jc w:val="center"/>
              <w:rPr>
                <w:rFonts w:ascii="宋体" w:hAnsi="宋体"/>
                <w:kern w:val="0"/>
                <w:szCs w:val="21"/>
              </w:rPr>
            </w:pPr>
            <w:r>
              <w:rPr>
                <w:rFonts w:ascii="宋体" w:hAnsi="宋体"/>
                <w:kern w:val="0"/>
                <w:szCs w:val="21"/>
              </w:rPr>
              <w:t>0.036</w:t>
            </w:r>
          </w:p>
        </w:tc>
        <w:tc>
          <w:tcPr>
            <w:tcW w:w="258" w:type="pct"/>
            <w:shd w:val="clear" w:color="auto" w:fill="auto"/>
            <w:noWrap/>
            <w:vAlign w:val="center"/>
          </w:tcPr>
          <w:p w14:paraId="009B3A2A">
            <w:pPr>
              <w:pStyle w:val="23"/>
              <w:jc w:val="center"/>
              <w:rPr>
                <w:rFonts w:ascii="宋体" w:hAnsi="宋体"/>
                <w:kern w:val="0"/>
                <w:szCs w:val="21"/>
              </w:rPr>
            </w:pPr>
            <w:r>
              <w:rPr>
                <w:rFonts w:ascii="宋体" w:hAnsi="宋体"/>
                <w:kern w:val="0"/>
                <w:szCs w:val="21"/>
              </w:rPr>
              <w:t>0.028</w:t>
            </w:r>
          </w:p>
        </w:tc>
        <w:tc>
          <w:tcPr>
            <w:tcW w:w="258" w:type="pct"/>
            <w:shd w:val="clear" w:color="auto" w:fill="auto"/>
            <w:noWrap/>
            <w:vAlign w:val="center"/>
          </w:tcPr>
          <w:p w14:paraId="558E4E88">
            <w:pPr>
              <w:pStyle w:val="23"/>
              <w:jc w:val="center"/>
              <w:rPr>
                <w:rFonts w:ascii="宋体" w:hAnsi="宋体"/>
                <w:kern w:val="0"/>
                <w:szCs w:val="21"/>
              </w:rPr>
            </w:pPr>
            <w:r>
              <w:rPr>
                <w:rFonts w:ascii="宋体" w:hAnsi="宋体"/>
                <w:kern w:val="0"/>
                <w:szCs w:val="21"/>
              </w:rPr>
              <w:t>0.041</w:t>
            </w:r>
          </w:p>
        </w:tc>
        <w:tc>
          <w:tcPr>
            <w:tcW w:w="258" w:type="pct"/>
            <w:shd w:val="clear" w:color="auto" w:fill="auto"/>
            <w:noWrap/>
            <w:vAlign w:val="center"/>
          </w:tcPr>
          <w:p w14:paraId="6F3047A5">
            <w:pPr>
              <w:pStyle w:val="23"/>
              <w:jc w:val="center"/>
              <w:rPr>
                <w:rFonts w:ascii="宋体" w:hAnsi="宋体"/>
                <w:kern w:val="0"/>
                <w:szCs w:val="21"/>
              </w:rPr>
            </w:pPr>
            <w:r>
              <w:rPr>
                <w:rFonts w:ascii="宋体" w:hAnsi="宋体"/>
                <w:kern w:val="0"/>
                <w:szCs w:val="21"/>
              </w:rPr>
              <w:t>0.022</w:t>
            </w:r>
          </w:p>
        </w:tc>
        <w:tc>
          <w:tcPr>
            <w:tcW w:w="258" w:type="pct"/>
            <w:shd w:val="clear" w:color="auto" w:fill="auto"/>
            <w:noWrap/>
            <w:vAlign w:val="center"/>
          </w:tcPr>
          <w:p w14:paraId="7A88E038">
            <w:pPr>
              <w:pStyle w:val="23"/>
              <w:jc w:val="center"/>
              <w:rPr>
                <w:rFonts w:ascii="宋体" w:hAnsi="宋体"/>
                <w:kern w:val="0"/>
                <w:szCs w:val="21"/>
              </w:rPr>
            </w:pPr>
            <w:r>
              <w:rPr>
                <w:rFonts w:ascii="宋体" w:hAnsi="宋体"/>
                <w:kern w:val="0"/>
                <w:szCs w:val="21"/>
              </w:rPr>
              <w:t>0.014</w:t>
            </w:r>
          </w:p>
        </w:tc>
        <w:tc>
          <w:tcPr>
            <w:tcW w:w="258" w:type="pct"/>
            <w:shd w:val="clear" w:color="auto" w:fill="auto"/>
            <w:noWrap/>
            <w:vAlign w:val="center"/>
          </w:tcPr>
          <w:p w14:paraId="0AA67FE6">
            <w:pPr>
              <w:pStyle w:val="23"/>
              <w:jc w:val="center"/>
              <w:rPr>
                <w:rFonts w:ascii="宋体" w:hAnsi="宋体"/>
                <w:kern w:val="0"/>
                <w:szCs w:val="21"/>
              </w:rPr>
            </w:pPr>
            <w:r>
              <w:rPr>
                <w:rFonts w:ascii="宋体" w:hAnsi="宋体"/>
                <w:kern w:val="0"/>
                <w:szCs w:val="21"/>
              </w:rPr>
              <w:t>0.026</w:t>
            </w:r>
          </w:p>
        </w:tc>
        <w:tc>
          <w:tcPr>
            <w:tcW w:w="258" w:type="pct"/>
            <w:shd w:val="clear" w:color="auto" w:fill="auto"/>
            <w:noWrap/>
            <w:vAlign w:val="center"/>
          </w:tcPr>
          <w:p w14:paraId="238D4269">
            <w:pPr>
              <w:pStyle w:val="23"/>
              <w:jc w:val="center"/>
              <w:rPr>
                <w:rFonts w:ascii="宋体" w:hAnsi="宋体"/>
                <w:kern w:val="0"/>
                <w:szCs w:val="21"/>
              </w:rPr>
            </w:pPr>
            <w:r>
              <w:rPr>
                <w:rFonts w:ascii="宋体" w:hAnsi="宋体"/>
                <w:kern w:val="0"/>
                <w:szCs w:val="21"/>
              </w:rPr>
              <w:t>0.024</w:t>
            </w:r>
          </w:p>
        </w:tc>
      </w:tr>
      <w:tr w14:paraId="420D15F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76" w:type="pct"/>
            <w:vMerge w:val="continue"/>
            <w:vAlign w:val="center"/>
          </w:tcPr>
          <w:p w14:paraId="761E2BA1">
            <w:pPr>
              <w:pStyle w:val="23"/>
              <w:jc w:val="center"/>
              <w:rPr>
                <w:rFonts w:ascii="宋体" w:hAnsi="宋体"/>
                <w:b/>
                <w:kern w:val="0"/>
                <w:szCs w:val="21"/>
              </w:rPr>
            </w:pPr>
          </w:p>
        </w:tc>
        <w:tc>
          <w:tcPr>
            <w:tcW w:w="330" w:type="pct"/>
            <w:shd w:val="clear" w:color="auto" w:fill="auto"/>
            <w:noWrap/>
            <w:vAlign w:val="center"/>
          </w:tcPr>
          <w:p w14:paraId="087E93AA">
            <w:pPr>
              <w:pStyle w:val="23"/>
              <w:jc w:val="center"/>
              <w:rPr>
                <w:rFonts w:ascii="宋体" w:hAnsi="宋体"/>
                <w:b/>
                <w:kern w:val="0"/>
                <w:szCs w:val="21"/>
              </w:rPr>
            </w:pPr>
            <w:r>
              <w:rPr>
                <w:rFonts w:ascii="宋体" w:hAnsi="宋体"/>
                <w:b/>
                <w:kern w:val="0"/>
                <w:szCs w:val="21"/>
              </w:rPr>
              <w:t>超标率</w:t>
            </w:r>
          </w:p>
        </w:tc>
        <w:tc>
          <w:tcPr>
            <w:tcW w:w="258" w:type="pct"/>
            <w:shd w:val="clear" w:color="auto" w:fill="auto"/>
            <w:noWrap/>
            <w:vAlign w:val="center"/>
          </w:tcPr>
          <w:p w14:paraId="790D5767">
            <w:pPr>
              <w:pStyle w:val="23"/>
              <w:jc w:val="center"/>
              <w:rPr>
                <w:rFonts w:ascii="宋体" w:hAnsi="宋体"/>
                <w:kern w:val="0"/>
                <w:szCs w:val="21"/>
              </w:rPr>
            </w:pPr>
            <w:r>
              <w:rPr>
                <w:rFonts w:ascii="宋体" w:hAnsi="宋体"/>
                <w:kern w:val="0"/>
                <w:szCs w:val="21"/>
              </w:rPr>
              <w:t>0</w:t>
            </w:r>
          </w:p>
        </w:tc>
        <w:tc>
          <w:tcPr>
            <w:tcW w:w="258" w:type="pct"/>
            <w:shd w:val="clear" w:color="auto" w:fill="auto"/>
            <w:noWrap/>
            <w:vAlign w:val="center"/>
          </w:tcPr>
          <w:p w14:paraId="1FC93C4D">
            <w:pPr>
              <w:pStyle w:val="23"/>
              <w:jc w:val="center"/>
              <w:rPr>
                <w:rFonts w:ascii="宋体" w:hAnsi="宋体"/>
                <w:kern w:val="0"/>
                <w:szCs w:val="21"/>
              </w:rPr>
            </w:pPr>
            <w:r>
              <w:rPr>
                <w:rFonts w:ascii="宋体" w:hAnsi="宋体"/>
                <w:kern w:val="0"/>
                <w:szCs w:val="21"/>
              </w:rPr>
              <w:t>0</w:t>
            </w:r>
          </w:p>
        </w:tc>
        <w:tc>
          <w:tcPr>
            <w:tcW w:w="258" w:type="pct"/>
            <w:shd w:val="clear" w:color="auto" w:fill="auto"/>
            <w:noWrap/>
            <w:vAlign w:val="center"/>
          </w:tcPr>
          <w:p w14:paraId="214E0EDA">
            <w:pPr>
              <w:pStyle w:val="23"/>
              <w:jc w:val="center"/>
              <w:rPr>
                <w:rFonts w:ascii="宋体" w:hAnsi="宋体"/>
                <w:kern w:val="0"/>
                <w:szCs w:val="21"/>
              </w:rPr>
            </w:pPr>
            <w:r>
              <w:rPr>
                <w:rFonts w:ascii="宋体" w:hAnsi="宋体"/>
                <w:kern w:val="0"/>
                <w:szCs w:val="21"/>
              </w:rPr>
              <w:t>0</w:t>
            </w:r>
          </w:p>
        </w:tc>
        <w:tc>
          <w:tcPr>
            <w:tcW w:w="258" w:type="pct"/>
            <w:shd w:val="clear" w:color="auto" w:fill="auto"/>
            <w:noWrap/>
            <w:vAlign w:val="center"/>
          </w:tcPr>
          <w:p w14:paraId="64380AFA">
            <w:pPr>
              <w:pStyle w:val="23"/>
              <w:jc w:val="center"/>
              <w:rPr>
                <w:rFonts w:ascii="宋体" w:hAnsi="宋体"/>
                <w:kern w:val="0"/>
                <w:szCs w:val="21"/>
              </w:rPr>
            </w:pPr>
            <w:r>
              <w:rPr>
                <w:rFonts w:ascii="宋体" w:hAnsi="宋体"/>
                <w:kern w:val="0"/>
                <w:szCs w:val="21"/>
              </w:rPr>
              <w:t>0</w:t>
            </w:r>
          </w:p>
        </w:tc>
        <w:tc>
          <w:tcPr>
            <w:tcW w:w="258" w:type="pct"/>
            <w:shd w:val="clear" w:color="auto" w:fill="auto"/>
            <w:noWrap/>
            <w:vAlign w:val="center"/>
          </w:tcPr>
          <w:p w14:paraId="1F70FC9D">
            <w:pPr>
              <w:pStyle w:val="23"/>
              <w:jc w:val="center"/>
              <w:rPr>
                <w:rFonts w:ascii="宋体" w:hAnsi="宋体"/>
                <w:kern w:val="0"/>
                <w:szCs w:val="21"/>
              </w:rPr>
            </w:pPr>
            <w:r>
              <w:rPr>
                <w:rFonts w:ascii="宋体" w:hAnsi="宋体"/>
                <w:kern w:val="0"/>
                <w:szCs w:val="21"/>
              </w:rPr>
              <w:t>0</w:t>
            </w:r>
          </w:p>
        </w:tc>
        <w:tc>
          <w:tcPr>
            <w:tcW w:w="258" w:type="pct"/>
            <w:shd w:val="clear" w:color="auto" w:fill="auto"/>
            <w:noWrap/>
            <w:vAlign w:val="center"/>
          </w:tcPr>
          <w:p w14:paraId="53F5F7D7">
            <w:pPr>
              <w:pStyle w:val="23"/>
              <w:jc w:val="center"/>
              <w:rPr>
                <w:rFonts w:ascii="宋体" w:hAnsi="宋体"/>
                <w:kern w:val="0"/>
                <w:szCs w:val="21"/>
              </w:rPr>
            </w:pPr>
            <w:r>
              <w:rPr>
                <w:rFonts w:ascii="宋体" w:hAnsi="宋体"/>
                <w:kern w:val="0"/>
                <w:szCs w:val="21"/>
              </w:rPr>
              <w:t>0</w:t>
            </w:r>
          </w:p>
        </w:tc>
        <w:tc>
          <w:tcPr>
            <w:tcW w:w="258" w:type="pct"/>
            <w:shd w:val="clear" w:color="auto" w:fill="auto"/>
            <w:noWrap/>
            <w:vAlign w:val="center"/>
          </w:tcPr>
          <w:p w14:paraId="49561AE7">
            <w:pPr>
              <w:pStyle w:val="23"/>
              <w:jc w:val="center"/>
              <w:rPr>
                <w:rFonts w:ascii="宋体" w:hAnsi="宋体"/>
                <w:kern w:val="0"/>
                <w:szCs w:val="21"/>
              </w:rPr>
            </w:pPr>
            <w:r>
              <w:rPr>
                <w:rFonts w:ascii="宋体" w:hAnsi="宋体"/>
                <w:kern w:val="0"/>
                <w:szCs w:val="21"/>
              </w:rPr>
              <w:t>0</w:t>
            </w:r>
          </w:p>
        </w:tc>
        <w:tc>
          <w:tcPr>
            <w:tcW w:w="258" w:type="pct"/>
            <w:shd w:val="clear" w:color="auto" w:fill="auto"/>
            <w:noWrap/>
            <w:vAlign w:val="center"/>
          </w:tcPr>
          <w:p w14:paraId="412D2FE6">
            <w:pPr>
              <w:pStyle w:val="23"/>
              <w:jc w:val="center"/>
              <w:rPr>
                <w:rFonts w:ascii="宋体" w:hAnsi="宋体"/>
                <w:kern w:val="0"/>
                <w:szCs w:val="21"/>
              </w:rPr>
            </w:pPr>
            <w:r>
              <w:rPr>
                <w:rFonts w:ascii="宋体" w:hAnsi="宋体"/>
                <w:kern w:val="0"/>
                <w:szCs w:val="21"/>
              </w:rPr>
              <w:t>0</w:t>
            </w:r>
          </w:p>
        </w:tc>
        <w:tc>
          <w:tcPr>
            <w:tcW w:w="258" w:type="pct"/>
            <w:shd w:val="clear" w:color="auto" w:fill="auto"/>
            <w:noWrap/>
            <w:vAlign w:val="center"/>
          </w:tcPr>
          <w:p w14:paraId="534D1444">
            <w:pPr>
              <w:pStyle w:val="23"/>
              <w:jc w:val="center"/>
              <w:rPr>
                <w:rFonts w:ascii="宋体" w:hAnsi="宋体"/>
                <w:kern w:val="0"/>
                <w:szCs w:val="21"/>
              </w:rPr>
            </w:pPr>
            <w:r>
              <w:rPr>
                <w:rFonts w:ascii="宋体" w:hAnsi="宋体"/>
                <w:kern w:val="0"/>
                <w:szCs w:val="21"/>
              </w:rPr>
              <w:t>0</w:t>
            </w:r>
          </w:p>
        </w:tc>
        <w:tc>
          <w:tcPr>
            <w:tcW w:w="258" w:type="pct"/>
            <w:shd w:val="clear" w:color="auto" w:fill="auto"/>
            <w:noWrap/>
            <w:vAlign w:val="center"/>
          </w:tcPr>
          <w:p w14:paraId="2F66F6BA">
            <w:pPr>
              <w:pStyle w:val="23"/>
              <w:jc w:val="center"/>
              <w:rPr>
                <w:rFonts w:ascii="宋体" w:hAnsi="宋体"/>
                <w:kern w:val="0"/>
                <w:szCs w:val="21"/>
              </w:rPr>
            </w:pPr>
            <w:r>
              <w:rPr>
                <w:rFonts w:ascii="宋体" w:hAnsi="宋体"/>
                <w:kern w:val="0"/>
                <w:szCs w:val="21"/>
              </w:rPr>
              <w:t>0</w:t>
            </w:r>
          </w:p>
        </w:tc>
        <w:tc>
          <w:tcPr>
            <w:tcW w:w="258" w:type="pct"/>
            <w:shd w:val="clear" w:color="auto" w:fill="auto"/>
            <w:noWrap/>
            <w:vAlign w:val="center"/>
          </w:tcPr>
          <w:p w14:paraId="1F369098">
            <w:pPr>
              <w:pStyle w:val="23"/>
              <w:jc w:val="center"/>
              <w:rPr>
                <w:rFonts w:ascii="宋体" w:hAnsi="宋体"/>
                <w:kern w:val="0"/>
                <w:szCs w:val="21"/>
              </w:rPr>
            </w:pPr>
            <w:r>
              <w:rPr>
                <w:rFonts w:ascii="宋体" w:hAnsi="宋体"/>
                <w:kern w:val="0"/>
                <w:szCs w:val="21"/>
              </w:rPr>
              <w:t>0</w:t>
            </w:r>
          </w:p>
        </w:tc>
        <w:tc>
          <w:tcPr>
            <w:tcW w:w="258" w:type="pct"/>
            <w:shd w:val="clear" w:color="auto" w:fill="auto"/>
            <w:noWrap/>
            <w:vAlign w:val="center"/>
          </w:tcPr>
          <w:p w14:paraId="2F44561E">
            <w:pPr>
              <w:pStyle w:val="23"/>
              <w:jc w:val="center"/>
              <w:rPr>
                <w:rFonts w:ascii="宋体" w:hAnsi="宋体"/>
                <w:kern w:val="0"/>
                <w:szCs w:val="21"/>
              </w:rPr>
            </w:pPr>
            <w:r>
              <w:rPr>
                <w:rFonts w:ascii="宋体" w:hAnsi="宋体"/>
                <w:kern w:val="0"/>
                <w:szCs w:val="21"/>
              </w:rPr>
              <w:t>0</w:t>
            </w:r>
          </w:p>
        </w:tc>
        <w:tc>
          <w:tcPr>
            <w:tcW w:w="258" w:type="pct"/>
            <w:shd w:val="clear" w:color="auto" w:fill="auto"/>
            <w:noWrap/>
            <w:vAlign w:val="center"/>
          </w:tcPr>
          <w:p w14:paraId="08F46CF4">
            <w:pPr>
              <w:pStyle w:val="23"/>
              <w:jc w:val="center"/>
              <w:rPr>
                <w:rFonts w:ascii="宋体" w:hAnsi="宋体"/>
                <w:kern w:val="0"/>
                <w:szCs w:val="21"/>
              </w:rPr>
            </w:pPr>
            <w:r>
              <w:rPr>
                <w:rFonts w:ascii="宋体" w:hAnsi="宋体"/>
                <w:kern w:val="0"/>
                <w:szCs w:val="21"/>
              </w:rPr>
              <w:t>0</w:t>
            </w:r>
          </w:p>
        </w:tc>
        <w:tc>
          <w:tcPr>
            <w:tcW w:w="258" w:type="pct"/>
            <w:shd w:val="clear" w:color="auto" w:fill="auto"/>
            <w:noWrap/>
            <w:vAlign w:val="center"/>
          </w:tcPr>
          <w:p w14:paraId="58EDB2E2">
            <w:pPr>
              <w:pStyle w:val="23"/>
              <w:jc w:val="center"/>
              <w:rPr>
                <w:rFonts w:ascii="宋体" w:hAnsi="宋体"/>
                <w:kern w:val="0"/>
                <w:szCs w:val="21"/>
              </w:rPr>
            </w:pPr>
            <w:r>
              <w:rPr>
                <w:rFonts w:ascii="宋体" w:hAnsi="宋体"/>
                <w:kern w:val="0"/>
                <w:szCs w:val="21"/>
              </w:rPr>
              <w:t>0</w:t>
            </w:r>
          </w:p>
        </w:tc>
        <w:tc>
          <w:tcPr>
            <w:tcW w:w="258" w:type="pct"/>
            <w:shd w:val="clear" w:color="auto" w:fill="auto"/>
            <w:noWrap/>
            <w:vAlign w:val="center"/>
          </w:tcPr>
          <w:p w14:paraId="138947EC">
            <w:pPr>
              <w:pStyle w:val="23"/>
              <w:jc w:val="center"/>
              <w:rPr>
                <w:rFonts w:ascii="宋体" w:hAnsi="宋体"/>
                <w:kern w:val="0"/>
                <w:szCs w:val="21"/>
              </w:rPr>
            </w:pPr>
            <w:r>
              <w:rPr>
                <w:rFonts w:ascii="宋体" w:hAnsi="宋体"/>
                <w:kern w:val="0"/>
                <w:szCs w:val="21"/>
              </w:rPr>
              <w:t>0</w:t>
            </w:r>
          </w:p>
        </w:tc>
        <w:tc>
          <w:tcPr>
            <w:tcW w:w="258" w:type="pct"/>
            <w:shd w:val="clear" w:color="auto" w:fill="auto"/>
            <w:noWrap/>
            <w:vAlign w:val="center"/>
          </w:tcPr>
          <w:p w14:paraId="60B4FD0D">
            <w:pPr>
              <w:pStyle w:val="23"/>
              <w:jc w:val="center"/>
              <w:rPr>
                <w:rFonts w:ascii="宋体" w:hAnsi="宋体"/>
                <w:kern w:val="0"/>
                <w:szCs w:val="21"/>
              </w:rPr>
            </w:pPr>
            <w:r>
              <w:rPr>
                <w:rFonts w:ascii="宋体" w:hAnsi="宋体"/>
                <w:kern w:val="0"/>
                <w:szCs w:val="21"/>
              </w:rPr>
              <w:t>0</w:t>
            </w:r>
          </w:p>
        </w:tc>
        <w:tc>
          <w:tcPr>
            <w:tcW w:w="258" w:type="pct"/>
            <w:shd w:val="clear" w:color="auto" w:fill="auto"/>
            <w:noWrap/>
            <w:vAlign w:val="center"/>
          </w:tcPr>
          <w:p w14:paraId="1990EF94">
            <w:pPr>
              <w:pStyle w:val="23"/>
              <w:jc w:val="center"/>
              <w:rPr>
                <w:rFonts w:ascii="宋体" w:hAnsi="宋体"/>
                <w:kern w:val="0"/>
                <w:szCs w:val="21"/>
              </w:rPr>
            </w:pPr>
            <w:r>
              <w:rPr>
                <w:rFonts w:ascii="宋体" w:hAnsi="宋体"/>
                <w:kern w:val="0"/>
                <w:szCs w:val="21"/>
              </w:rPr>
              <w:t>0</w:t>
            </w:r>
          </w:p>
        </w:tc>
      </w:tr>
    </w:tbl>
    <w:p w14:paraId="5927D209">
      <w:pPr>
        <w:autoSpaceDE w:val="0"/>
        <w:autoSpaceDN w:val="0"/>
        <w:adjustRightInd w:val="0"/>
        <w:ind w:firstLine="0" w:firstLineChars="0"/>
        <w:jc w:val="center"/>
        <w:rPr>
          <w:rFonts w:ascii="宋体" w:hAnsi="宋体" w:cs="HiddenHorzOCR"/>
          <w:b/>
          <w:color w:val="161516"/>
          <w:kern w:val="0"/>
          <w:szCs w:val="21"/>
        </w:rPr>
      </w:pPr>
      <w:r>
        <w:rPr>
          <w:rFonts w:hint="eastAsia" w:ascii="宋体" w:hAnsi="宋体" w:cs="HiddenHorzOCR"/>
          <w:b/>
          <w:color w:val="161516"/>
          <w:kern w:val="0"/>
          <w:szCs w:val="21"/>
        </w:rPr>
        <w:t xml:space="preserve">表24 </w:t>
      </w:r>
      <w:r>
        <w:rPr>
          <w:rFonts w:ascii="宋体" w:hAnsi="宋体" w:cs="HiddenHorzOCR"/>
          <w:b/>
          <w:color w:val="161516"/>
          <w:kern w:val="0"/>
          <w:szCs w:val="21"/>
        </w:rPr>
        <w:t>2011</w:t>
      </w:r>
      <w:r>
        <w:rPr>
          <w:rFonts w:hint="eastAsia" w:ascii="宋体" w:hAnsi="宋体" w:cs="HiddenHorzOCR"/>
          <w:b/>
          <w:color w:val="161516"/>
          <w:kern w:val="0"/>
          <w:szCs w:val="21"/>
        </w:rPr>
        <w:t>年南雄市空气降雨监测情况</w:t>
      </w:r>
    </w:p>
    <w:tbl>
      <w:tblPr>
        <w:tblStyle w:val="14"/>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37"/>
        <w:gridCol w:w="961"/>
        <w:gridCol w:w="463"/>
        <w:gridCol w:w="463"/>
        <w:gridCol w:w="464"/>
        <w:gridCol w:w="464"/>
        <w:gridCol w:w="464"/>
        <w:gridCol w:w="464"/>
        <w:gridCol w:w="433"/>
        <w:gridCol w:w="464"/>
        <w:gridCol w:w="526"/>
        <w:gridCol w:w="464"/>
        <w:gridCol w:w="433"/>
        <w:gridCol w:w="526"/>
        <w:gridCol w:w="495"/>
        <w:gridCol w:w="495"/>
        <w:gridCol w:w="495"/>
        <w:gridCol w:w="464"/>
        <w:gridCol w:w="587"/>
      </w:tblGrid>
      <w:tr w14:paraId="3430910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77" w:type="pct"/>
            <w:vMerge w:val="restart"/>
            <w:shd w:val="clear" w:color="auto" w:fill="auto"/>
            <w:noWrap/>
            <w:vAlign w:val="center"/>
          </w:tcPr>
          <w:p w14:paraId="0F5BE878">
            <w:pPr>
              <w:pStyle w:val="23"/>
              <w:jc w:val="center"/>
              <w:rPr>
                <w:rFonts w:ascii="宋体" w:hAnsi="宋体"/>
                <w:b/>
                <w:kern w:val="0"/>
                <w:szCs w:val="21"/>
              </w:rPr>
            </w:pPr>
            <w:r>
              <w:rPr>
                <w:rFonts w:ascii="宋体" w:hAnsi="宋体"/>
                <w:b/>
                <w:kern w:val="0"/>
                <w:szCs w:val="21"/>
              </w:rPr>
              <w:t>监测点测</w:t>
            </w:r>
          </w:p>
        </w:tc>
        <w:tc>
          <w:tcPr>
            <w:tcW w:w="331" w:type="pct"/>
            <w:vMerge w:val="restart"/>
            <w:shd w:val="clear" w:color="auto" w:fill="auto"/>
            <w:noWrap/>
            <w:vAlign w:val="center"/>
          </w:tcPr>
          <w:p w14:paraId="61203664">
            <w:pPr>
              <w:pStyle w:val="23"/>
              <w:jc w:val="center"/>
              <w:rPr>
                <w:rFonts w:ascii="宋体" w:hAnsi="宋体"/>
                <w:b/>
                <w:kern w:val="0"/>
                <w:szCs w:val="21"/>
              </w:rPr>
            </w:pPr>
            <w:r>
              <w:rPr>
                <w:rFonts w:ascii="宋体" w:hAnsi="宋体"/>
                <w:b/>
                <w:kern w:val="0"/>
                <w:szCs w:val="21"/>
              </w:rPr>
              <w:t>指标</w:t>
            </w:r>
          </w:p>
        </w:tc>
        <w:tc>
          <w:tcPr>
            <w:tcW w:w="1034" w:type="pct"/>
            <w:gridSpan w:val="4"/>
            <w:shd w:val="clear" w:color="auto" w:fill="auto"/>
            <w:noWrap/>
            <w:vAlign w:val="center"/>
          </w:tcPr>
          <w:p w14:paraId="37888C76">
            <w:pPr>
              <w:pStyle w:val="23"/>
              <w:jc w:val="center"/>
              <w:rPr>
                <w:rFonts w:ascii="宋体" w:hAnsi="宋体"/>
                <w:b/>
                <w:kern w:val="0"/>
                <w:szCs w:val="21"/>
              </w:rPr>
            </w:pPr>
            <w:r>
              <w:rPr>
                <w:rFonts w:ascii="宋体" w:hAnsi="宋体"/>
                <w:b/>
                <w:kern w:val="0"/>
                <w:szCs w:val="21"/>
              </w:rPr>
              <w:t>第一季度</w:t>
            </w:r>
          </w:p>
        </w:tc>
        <w:tc>
          <w:tcPr>
            <w:tcW w:w="1034" w:type="pct"/>
            <w:gridSpan w:val="4"/>
            <w:shd w:val="clear" w:color="auto" w:fill="auto"/>
            <w:noWrap/>
            <w:vAlign w:val="center"/>
          </w:tcPr>
          <w:p w14:paraId="1CED885C">
            <w:pPr>
              <w:pStyle w:val="23"/>
              <w:jc w:val="center"/>
              <w:rPr>
                <w:rFonts w:ascii="宋体" w:hAnsi="宋体"/>
                <w:b/>
                <w:kern w:val="0"/>
                <w:szCs w:val="21"/>
              </w:rPr>
            </w:pPr>
            <w:r>
              <w:rPr>
                <w:rFonts w:ascii="宋体" w:hAnsi="宋体"/>
                <w:b/>
                <w:kern w:val="0"/>
                <w:szCs w:val="21"/>
              </w:rPr>
              <w:t>第二季度</w:t>
            </w:r>
          </w:p>
        </w:tc>
        <w:tc>
          <w:tcPr>
            <w:tcW w:w="1034" w:type="pct"/>
            <w:gridSpan w:val="4"/>
            <w:shd w:val="clear" w:color="auto" w:fill="auto"/>
            <w:noWrap/>
            <w:vAlign w:val="center"/>
          </w:tcPr>
          <w:p w14:paraId="2202B8DE">
            <w:pPr>
              <w:pStyle w:val="23"/>
              <w:jc w:val="center"/>
              <w:rPr>
                <w:rFonts w:ascii="宋体" w:hAnsi="宋体"/>
                <w:b/>
                <w:kern w:val="0"/>
                <w:szCs w:val="21"/>
              </w:rPr>
            </w:pPr>
            <w:r>
              <w:rPr>
                <w:rFonts w:ascii="宋体" w:hAnsi="宋体"/>
                <w:b/>
                <w:kern w:val="0"/>
                <w:szCs w:val="21"/>
              </w:rPr>
              <w:t>第三季度</w:t>
            </w:r>
          </w:p>
        </w:tc>
        <w:tc>
          <w:tcPr>
            <w:tcW w:w="1034" w:type="pct"/>
            <w:gridSpan w:val="4"/>
            <w:shd w:val="clear" w:color="auto" w:fill="auto"/>
            <w:noWrap/>
            <w:vAlign w:val="center"/>
          </w:tcPr>
          <w:p w14:paraId="5FD7CE09">
            <w:pPr>
              <w:pStyle w:val="23"/>
              <w:jc w:val="center"/>
              <w:rPr>
                <w:rFonts w:ascii="宋体" w:hAnsi="宋体"/>
                <w:b/>
                <w:kern w:val="0"/>
                <w:szCs w:val="21"/>
              </w:rPr>
            </w:pPr>
            <w:r>
              <w:rPr>
                <w:rFonts w:ascii="宋体" w:hAnsi="宋体"/>
                <w:b/>
                <w:kern w:val="0"/>
                <w:szCs w:val="21"/>
              </w:rPr>
              <w:t>第四季度</w:t>
            </w:r>
          </w:p>
        </w:tc>
        <w:tc>
          <w:tcPr>
            <w:tcW w:w="258" w:type="pct"/>
            <w:shd w:val="clear" w:color="auto" w:fill="auto"/>
            <w:noWrap/>
            <w:vAlign w:val="center"/>
          </w:tcPr>
          <w:p w14:paraId="08BD6E52">
            <w:pPr>
              <w:pStyle w:val="23"/>
              <w:jc w:val="center"/>
              <w:rPr>
                <w:rFonts w:ascii="宋体" w:hAnsi="宋体"/>
                <w:b/>
                <w:kern w:val="0"/>
                <w:szCs w:val="21"/>
              </w:rPr>
            </w:pPr>
            <w:r>
              <w:rPr>
                <w:rFonts w:ascii="宋体" w:hAnsi="宋体"/>
                <w:b/>
                <w:kern w:val="0"/>
                <w:szCs w:val="21"/>
              </w:rPr>
              <w:t>全年</w:t>
            </w:r>
          </w:p>
        </w:tc>
      </w:tr>
      <w:tr w14:paraId="7CEFAC6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77" w:type="pct"/>
            <w:vMerge w:val="continue"/>
            <w:vAlign w:val="center"/>
          </w:tcPr>
          <w:p w14:paraId="4AFF48A7">
            <w:pPr>
              <w:pStyle w:val="23"/>
              <w:jc w:val="center"/>
              <w:rPr>
                <w:rFonts w:ascii="宋体" w:hAnsi="宋体"/>
                <w:b/>
                <w:kern w:val="0"/>
                <w:szCs w:val="21"/>
              </w:rPr>
            </w:pPr>
          </w:p>
        </w:tc>
        <w:tc>
          <w:tcPr>
            <w:tcW w:w="331" w:type="pct"/>
            <w:vMerge w:val="continue"/>
            <w:vAlign w:val="center"/>
          </w:tcPr>
          <w:p w14:paraId="61517413">
            <w:pPr>
              <w:pStyle w:val="23"/>
              <w:jc w:val="center"/>
              <w:rPr>
                <w:rFonts w:ascii="宋体" w:hAnsi="宋体"/>
                <w:b/>
                <w:kern w:val="0"/>
                <w:szCs w:val="21"/>
              </w:rPr>
            </w:pPr>
          </w:p>
        </w:tc>
        <w:tc>
          <w:tcPr>
            <w:tcW w:w="257" w:type="pct"/>
            <w:shd w:val="clear" w:color="auto" w:fill="auto"/>
            <w:noWrap/>
            <w:vAlign w:val="center"/>
          </w:tcPr>
          <w:p w14:paraId="0443A1E5">
            <w:pPr>
              <w:pStyle w:val="23"/>
              <w:jc w:val="center"/>
              <w:rPr>
                <w:rFonts w:ascii="宋体" w:hAnsi="宋体"/>
                <w:kern w:val="0"/>
                <w:szCs w:val="21"/>
              </w:rPr>
            </w:pPr>
            <w:r>
              <w:rPr>
                <w:rFonts w:ascii="宋体" w:hAnsi="宋体"/>
                <w:kern w:val="0"/>
                <w:szCs w:val="21"/>
              </w:rPr>
              <w:t>1月</w:t>
            </w:r>
          </w:p>
        </w:tc>
        <w:tc>
          <w:tcPr>
            <w:tcW w:w="257" w:type="pct"/>
            <w:shd w:val="clear" w:color="auto" w:fill="auto"/>
            <w:noWrap/>
            <w:vAlign w:val="center"/>
          </w:tcPr>
          <w:p w14:paraId="12DCFB40">
            <w:pPr>
              <w:pStyle w:val="23"/>
              <w:jc w:val="center"/>
              <w:rPr>
                <w:rFonts w:ascii="宋体" w:hAnsi="宋体"/>
                <w:kern w:val="0"/>
                <w:szCs w:val="21"/>
              </w:rPr>
            </w:pPr>
            <w:r>
              <w:rPr>
                <w:rFonts w:ascii="宋体" w:hAnsi="宋体"/>
                <w:kern w:val="0"/>
                <w:szCs w:val="21"/>
              </w:rPr>
              <w:t>2月</w:t>
            </w:r>
          </w:p>
        </w:tc>
        <w:tc>
          <w:tcPr>
            <w:tcW w:w="257" w:type="pct"/>
            <w:shd w:val="clear" w:color="auto" w:fill="auto"/>
            <w:noWrap/>
            <w:vAlign w:val="center"/>
          </w:tcPr>
          <w:p w14:paraId="76C413F6">
            <w:pPr>
              <w:pStyle w:val="23"/>
              <w:jc w:val="center"/>
              <w:rPr>
                <w:rFonts w:ascii="宋体" w:hAnsi="宋体"/>
                <w:kern w:val="0"/>
                <w:szCs w:val="21"/>
              </w:rPr>
            </w:pPr>
            <w:r>
              <w:rPr>
                <w:rFonts w:ascii="宋体" w:hAnsi="宋体"/>
                <w:kern w:val="0"/>
                <w:szCs w:val="21"/>
              </w:rPr>
              <w:t>3月</w:t>
            </w:r>
          </w:p>
        </w:tc>
        <w:tc>
          <w:tcPr>
            <w:tcW w:w="263" w:type="pct"/>
            <w:shd w:val="clear" w:color="auto" w:fill="auto"/>
            <w:noWrap/>
            <w:vAlign w:val="center"/>
          </w:tcPr>
          <w:p w14:paraId="5651BBFC">
            <w:pPr>
              <w:pStyle w:val="23"/>
              <w:jc w:val="center"/>
              <w:rPr>
                <w:rFonts w:ascii="宋体" w:hAnsi="宋体"/>
                <w:kern w:val="0"/>
                <w:szCs w:val="21"/>
              </w:rPr>
            </w:pPr>
            <w:r>
              <w:rPr>
                <w:rFonts w:ascii="宋体" w:hAnsi="宋体"/>
                <w:kern w:val="0"/>
                <w:szCs w:val="21"/>
              </w:rPr>
              <w:t>小计</w:t>
            </w:r>
          </w:p>
        </w:tc>
        <w:tc>
          <w:tcPr>
            <w:tcW w:w="261" w:type="pct"/>
            <w:shd w:val="clear" w:color="auto" w:fill="auto"/>
            <w:noWrap/>
            <w:vAlign w:val="center"/>
          </w:tcPr>
          <w:p w14:paraId="1BC4B7D8">
            <w:pPr>
              <w:pStyle w:val="23"/>
              <w:jc w:val="center"/>
              <w:rPr>
                <w:rFonts w:ascii="宋体" w:hAnsi="宋体"/>
                <w:kern w:val="0"/>
                <w:szCs w:val="21"/>
              </w:rPr>
            </w:pPr>
            <w:r>
              <w:rPr>
                <w:rFonts w:ascii="宋体" w:hAnsi="宋体"/>
                <w:kern w:val="0"/>
                <w:szCs w:val="21"/>
              </w:rPr>
              <w:t>4月</w:t>
            </w:r>
          </w:p>
        </w:tc>
        <w:tc>
          <w:tcPr>
            <w:tcW w:w="261" w:type="pct"/>
            <w:shd w:val="clear" w:color="auto" w:fill="auto"/>
            <w:noWrap/>
            <w:vAlign w:val="center"/>
          </w:tcPr>
          <w:p w14:paraId="517D4602">
            <w:pPr>
              <w:pStyle w:val="23"/>
              <w:jc w:val="center"/>
              <w:rPr>
                <w:rFonts w:ascii="宋体" w:hAnsi="宋体"/>
                <w:kern w:val="0"/>
                <w:szCs w:val="21"/>
              </w:rPr>
            </w:pPr>
            <w:r>
              <w:rPr>
                <w:rFonts w:ascii="宋体" w:hAnsi="宋体"/>
                <w:kern w:val="0"/>
                <w:szCs w:val="21"/>
              </w:rPr>
              <w:t>5月</w:t>
            </w:r>
          </w:p>
        </w:tc>
        <w:tc>
          <w:tcPr>
            <w:tcW w:w="244" w:type="pct"/>
            <w:shd w:val="clear" w:color="auto" w:fill="auto"/>
            <w:noWrap/>
            <w:vAlign w:val="center"/>
          </w:tcPr>
          <w:p w14:paraId="19797797">
            <w:pPr>
              <w:pStyle w:val="23"/>
              <w:jc w:val="center"/>
              <w:rPr>
                <w:rFonts w:ascii="宋体" w:hAnsi="宋体"/>
                <w:kern w:val="0"/>
                <w:szCs w:val="21"/>
              </w:rPr>
            </w:pPr>
            <w:r>
              <w:rPr>
                <w:rFonts w:ascii="宋体" w:hAnsi="宋体"/>
                <w:kern w:val="0"/>
                <w:szCs w:val="21"/>
              </w:rPr>
              <w:t>6月</w:t>
            </w:r>
          </w:p>
        </w:tc>
        <w:tc>
          <w:tcPr>
            <w:tcW w:w="268" w:type="pct"/>
            <w:shd w:val="clear" w:color="auto" w:fill="auto"/>
            <w:noWrap/>
            <w:vAlign w:val="center"/>
          </w:tcPr>
          <w:p w14:paraId="25B0CC65">
            <w:pPr>
              <w:pStyle w:val="23"/>
              <w:jc w:val="center"/>
              <w:rPr>
                <w:rFonts w:ascii="宋体" w:hAnsi="宋体"/>
                <w:kern w:val="0"/>
                <w:szCs w:val="21"/>
              </w:rPr>
            </w:pPr>
            <w:r>
              <w:rPr>
                <w:rFonts w:ascii="宋体" w:hAnsi="宋体"/>
                <w:kern w:val="0"/>
                <w:szCs w:val="21"/>
              </w:rPr>
              <w:t>小计</w:t>
            </w:r>
          </w:p>
        </w:tc>
        <w:tc>
          <w:tcPr>
            <w:tcW w:w="293" w:type="pct"/>
            <w:shd w:val="clear" w:color="auto" w:fill="auto"/>
            <w:noWrap/>
            <w:vAlign w:val="center"/>
          </w:tcPr>
          <w:p w14:paraId="4E2B0C9B">
            <w:pPr>
              <w:pStyle w:val="23"/>
              <w:jc w:val="center"/>
              <w:rPr>
                <w:rFonts w:ascii="宋体" w:hAnsi="宋体"/>
                <w:kern w:val="0"/>
                <w:szCs w:val="21"/>
              </w:rPr>
            </w:pPr>
            <w:r>
              <w:rPr>
                <w:rFonts w:ascii="宋体" w:hAnsi="宋体"/>
                <w:kern w:val="0"/>
                <w:szCs w:val="21"/>
              </w:rPr>
              <w:t>7月</w:t>
            </w:r>
          </w:p>
        </w:tc>
        <w:tc>
          <w:tcPr>
            <w:tcW w:w="231" w:type="pct"/>
            <w:shd w:val="clear" w:color="auto" w:fill="auto"/>
            <w:noWrap/>
            <w:vAlign w:val="center"/>
          </w:tcPr>
          <w:p w14:paraId="48253081">
            <w:pPr>
              <w:pStyle w:val="23"/>
              <w:jc w:val="center"/>
              <w:rPr>
                <w:rFonts w:ascii="宋体" w:hAnsi="宋体"/>
                <w:kern w:val="0"/>
                <w:szCs w:val="21"/>
              </w:rPr>
            </w:pPr>
            <w:r>
              <w:rPr>
                <w:rFonts w:ascii="宋体" w:hAnsi="宋体"/>
                <w:kern w:val="0"/>
                <w:szCs w:val="21"/>
              </w:rPr>
              <w:t>8月</w:t>
            </w:r>
          </w:p>
        </w:tc>
        <w:tc>
          <w:tcPr>
            <w:tcW w:w="216" w:type="pct"/>
            <w:shd w:val="clear" w:color="auto" w:fill="auto"/>
            <w:noWrap/>
            <w:vAlign w:val="center"/>
          </w:tcPr>
          <w:p w14:paraId="1C166CC5">
            <w:pPr>
              <w:pStyle w:val="23"/>
              <w:jc w:val="center"/>
              <w:rPr>
                <w:rFonts w:ascii="宋体" w:hAnsi="宋体"/>
                <w:kern w:val="0"/>
                <w:szCs w:val="21"/>
              </w:rPr>
            </w:pPr>
            <w:r>
              <w:rPr>
                <w:rFonts w:ascii="宋体" w:hAnsi="宋体"/>
                <w:kern w:val="0"/>
                <w:szCs w:val="21"/>
              </w:rPr>
              <w:t>9月</w:t>
            </w:r>
          </w:p>
        </w:tc>
        <w:tc>
          <w:tcPr>
            <w:tcW w:w="293" w:type="pct"/>
            <w:shd w:val="clear" w:color="auto" w:fill="auto"/>
            <w:noWrap/>
            <w:vAlign w:val="center"/>
          </w:tcPr>
          <w:p w14:paraId="01756998">
            <w:pPr>
              <w:pStyle w:val="23"/>
              <w:jc w:val="center"/>
              <w:rPr>
                <w:rFonts w:ascii="宋体" w:hAnsi="宋体"/>
                <w:kern w:val="0"/>
                <w:szCs w:val="21"/>
              </w:rPr>
            </w:pPr>
            <w:r>
              <w:rPr>
                <w:rFonts w:ascii="宋体" w:hAnsi="宋体"/>
                <w:kern w:val="0"/>
                <w:szCs w:val="21"/>
              </w:rPr>
              <w:t>小计</w:t>
            </w:r>
          </w:p>
        </w:tc>
        <w:tc>
          <w:tcPr>
            <w:tcW w:w="268" w:type="pct"/>
            <w:shd w:val="clear" w:color="auto" w:fill="auto"/>
            <w:noWrap/>
            <w:vAlign w:val="center"/>
          </w:tcPr>
          <w:p w14:paraId="28D01BC6">
            <w:pPr>
              <w:pStyle w:val="23"/>
              <w:jc w:val="center"/>
              <w:rPr>
                <w:rFonts w:ascii="宋体" w:hAnsi="宋体"/>
                <w:kern w:val="0"/>
                <w:szCs w:val="21"/>
              </w:rPr>
            </w:pPr>
            <w:r>
              <w:rPr>
                <w:rFonts w:ascii="宋体" w:hAnsi="宋体"/>
                <w:kern w:val="0"/>
                <w:szCs w:val="21"/>
              </w:rPr>
              <w:t>10月</w:t>
            </w:r>
          </w:p>
        </w:tc>
        <w:tc>
          <w:tcPr>
            <w:tcW w:w="268" w:type="pct"/>
            <w:shd w:val="clear" w:color="auto" w:fill="auto"/>
            <w:noWrap/>
            <w:vAlign w:val="center"/>
          </w:tcPr>
          <w:p w14:paraId="6CC43728">
            <w:pPr>
              <w:pStyle w:val="23"/>
              <w:jc w:val="center"/>
              <w:rPr>
                <w:rFonts w:ascii="宋体" w:hAnsi="宋体"/>
                <w:kern w:val="0"/>
                <w:szCs w:val="21"/>
              </w:rPr>
            </w:pPr>
            <w:r>
              <w:rPr>
                <w:rFonts w:ascii="宋体" w:hAnsi="宋体"/>
                <w:kern w:val="0"/>
                <w:szCs w:val="21"/>
              </w:rPr>
              <w:t>11月</w:t>
            </w:r>
          </w:p>
        </w:tc>
        <w:tc>
          <w:tcPr>
            <w:tcW w:w="268" w:type="pct"/>
            <w:shd w:val="clear" w:color="auto" w:fill="auto"/>
            <w:noWrap/>
            <w:vAlign w:val="center"/>
          </w:tcPr>
          <w:p w14:paraId="712EBCF1">
            <w:pPr>
              <w:pStyle w:val="23"/>
              <w:jc w:val="center"/>
              <w:rPr>
                <w:rFonts w:ascii="宋体" w:hAnsi="宋体"/>
                <w:kern w:val="0"/>
                <w:szCs w:val="21"/>
              </w:rPr>
            </w:pPr>
            <w:r>
              <w:rPr>
                <w:rFonts w:ascii="宋体" w:hAnsi="宋体"/>
                <w:kern w:val="0"/>
                <w:szCs w:val="21"/>
              </w:rPr>
              <w:t>12月</w:t>
            </w:r>
          </w:p>
        </w:tc>
        <w:tc>
          <w:tcPr>
            <w:tcW w:w="229" w:type="pct"/>
            <w:shd w:val="clear" w:color="auto" w:fill="auto"/>
            <w:noWrap/>
            <w:vAlign w:val="center"/>
          </w:tcPr>
          <w:p w14:paraId="43AECF3C">
            <w:pPr>
              <w:pStyle w:val="23"/>
              <w:jc w:val="center"/>
              <w:rPr>
                <w:rFonts w:ascii="宋体" w:hAnsi="宋体"/>
                <w:kern w:val="0"/>
                <w:szCs w:val="21"/>
              </w:rPr>
            </w:pPr>
            <w:r>
              <w:rPr>
                <w:rFonts w:ascii="宋体" w:hAnsi="宋体"/>
                <w:kern w:val="0"/>
                <w:szCs w:val="21"/>
              </w:rPr>
              <w:t>小计</w:t>
            </w:r>
          </w:p>
        </w:tc>
        <w:tc>
          <w:tcPr>
            <w:tcW w:w="258" w:type="pct"/>
            <w:shd w:val="clear" w:color="auto" w:fill="auto"/>
            <w:noWrap/>
            <w:vAlign w:val="center"/>
          </w:tcPr>
          <w:p w14:paraId="6F37CE63">
            <w:pPr>
              <w:pStyle w:val="23"/>
              <w:jc w:val="center"/>
              <w:rPr>
                <w:rFonts w:ascii="宋体" w:hAnsi="宋体"/>
                <w:kern w:val="0"/>
                <w:szCs w:val="21"/>
              </w:rPr>
            </w:pPr>
            <w:r>
              <w:rPr>
                <w:rFonts w:ascii="宋体" w:hAnsi="宋体"/>
                <w:kern w:val="0"/>
                <w:szCs w:val="21"/>
              </w:rPr>
              <w:t>总计</w:t>
            </w:r>
          </w:p>
        </w:tc>
      </w:tr>
      <w:tr w14:paraId="500093F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77" w:type="pct"/>
            <w:vMerge w:val="restart"/>
            <w:shd w:val="clear" w:color="auto" w:fill="auto"/>
            <w:noWrap/>
            <w:vAlign w:val="center"/>
          </w:tcPr>
          <w:p w14:paraId="034517FC">
            <w:pPr>
              <w:pStyle w:val="23"/>
              <w:jc w:val="center"/>
              <w:rPr>
                <w:rFonts w:ascii="宋体" w:hAnsi="宋体"/>
                <w:b/>
                <w:kern w:val="0"/>
                <w:szCs w:val="21"/>
              </w:rPr>
            </w:pPr>
            <w:r>
              <w:rPr>
                <w:rFonts w:ascii="宋体" w:hAnsi="宋体"/>
                <w:b/>
                <w:kern w:val="0"/>
                <w:szCs w:val="21"/>
              </w:rPr>
              <w:t>监测站大楼</w:t>
            </w:r>
          </w:p>
        </w:tc>
        <w:tc>
          <w:tcPr>
            <w:tcW w:w="331" w:type="pct"/>
            <w:shd w:val="clear" w:color="auto" w:fill="auto"/>
            <w:noWrap/>
            <w:vAlign w:val="center"/>
          </w:tcPr>
          <w:p w14:paraId="2650C3FC">
            <w:pPr>
              <w:pStyle w:val="23"/>
              <w:jc w:val="center"/>
              <w:rPr>
                <w:rFonts w:ascii="宋体" w:hAnsi="宋体"/>
                <w:b/>
                <w:kern w:val="0"/>
                <w:szCs w:val="21"/>
              </w:rPr>
            </w:pPr>
            <w:r>
              <w:rPr>
                <w:rFonts w:ascii="宋体" w:hAnsi="宋体"/>
                <w:b/>
                <w:kern w:val="0"/>
                <w:szCs w:val="21"/>
              </w:rPr>
              <w:t>日均值样品数</w:t>
            </w:r>
          </w:p>
        </w:tc>
        <w:tc>
          <w:tcPr>
            <w:tcW w:w="257" w:type="pct"/>
            <w:shd w:val="clear" w:color="auto" w:fill="auto"/>
            <w:noWrap/>
            <w:vAlign w:val="center"/>
          </w:tcPr>
          <w:p w14:paraId="62F466D0">
            <w:pPr>
              <w:pStyle w:val="23"/>
              <w:jc w:val="center"/>
              <w:rPr>
                <w:rFonts w:ascii="宋体" w:hAnsi="宋体"/>
                <w:kern w:val="0"/>
                <w:szCs w:val="21"/>
              </w:rPr>
            </w:pPr>
            <w:r>
              <w:rPr>
                <w:rFonts w:ascii="宋体" w:hAnsi="宋体"/>
                <w:kern w:val="0"/>
                <w:szCs w:val="21"/>
              </w:rPr>
              <w:t>1月</w:t>
            </w:r>
          </w:p>
        </w:tc>
        <w:tc>
          <w:tcPr>
            <w:tcW w:w="257" w:type="pct"/>
            <w:shd w:val="clear" w:color="auto" w:fill="auto"/>
            <w:noWrap/>
            <w:vAlign w:val="center"/>
          </w:tcPr>
          <w:p w14:paraId="7F144845">
            <w:pPr>
              <w:pStyle w:val="23"/>
              <w:jc w:val="center"/>
              <w:rPr>
                <w:rFonts w:ascii="宋体" w:hAnsi="宋体"/>
                <w:kern w:val="0"/>
                <w:szCs w:val="21"/>
              </w:rPr>
            </w:pPr>
            <w:r>
              <w:rPr>
                <w:rFonts w:ascii="宋体" w:hAnsi="宋体"/>
                <w:kern w:val="0"/>
                <w:szCs w:val="21"/>
              </w:rPr>
              <w:t>2月</w:t>
            </w:r>
          </w:p>
        </w:tc>
        <w:tc>
          <w:tcPr>
            <w:tcW w:w="257" w:type="pct"/>
            <w:shd w:val="clear" w:color="auto" w:fill="auto"/>
            <w:noWrap/>
            <w:vAlign w:val="center"/>
          </w:tcPr>
          <w:p w14:paraId="32A31C49">
            <w:pPr>
              <w:pStyle w:val="23"/>
              <w:jc w:val="center"/>
              <w:rPr>
                <w:rFonts w:ascii="宋体" w:hAnsi="宋体"/>
                <w:kern w:val="0"/>
                <w:szCs w:val="21"/>
              </w:rPr>
            </w:pPr>
            <w:r>
              <w:rPr>
                <w:rFonts w:ascii="宋体" w:hAnsi="宋体"/>
                <w:kern w:val="0"/>
                <w:szCs w:val="21"/>
              </w:rPr>
              <w:t>3月</w:t>
            </w:r>
          </w:p>
        </w:tc>
        <w:tc>
          <w:tcPr>
            <w:tcW w:w="263" w:type="pct"/>
            <w:shd w:val="clear" w:color="auto" w:fill="auto"/>
            <w:noWrap/>
            <w:vAlign w:val="center"/>
          </w:tcPr>
          <w:p w14:paraId="45F6AD5B">
            <w:pPr>
              <w:pStyle w:val="23"/>
              <w:jc w:val="center"/>
              <w:rPr>
                <w:rFonts w:ascii="宋体" w:hAnsi="宋体"/>
                <w:kern w:val="0"/>
                <w:szCs w:val="21"/>
              </w:rPr>
            </w:pPr>
            <w:r>
              <w:rPr>
                <w:rFonts w:ascii="宋体" w:hAnsi="宋体"/>
                <w:kern w:val="0"/>
                <w:szCs w:val="21"/>
              </w:rPr>
              <w:t>小计</w:t>
            </w:r>
          </w:p>
        </w:tc>
        <w:tc>
          <w:tcPr>
            <w:tcW w:w="261" w:type="pct"/>
            <w:shd w:val="clear" w:color="auto" w:fill="auto"/>
            <w:noWrap/>
            <w:vAlign w:val="center"/>
          </w:tcPr>
          <w:p w14:paraId="30412B77">
            <w:pPr>
              <w:pStyle w:val="23"/>
              <w:jc w:val="center"/>
              <w:rPr>
                <w:rFonts w:ascii="宋体" w:hAnsi="宋体"/>
                <w:kern w:val="0"/>
                <w:szCs w:val="21"/>
              </w:rPr>
            </w:pPr>
            <w:r>
              <w:rPr>
                <w:rFonts w:ascii="宋体" w:hAnsi="宋体"/>
                <w:kern w:val="0"/>
                <w:szCs w:val="21"/>
              </w:rPr>
              <w:t>4月</w:t>
            </w:r>
          </w:p>
        </w:tc>
        <w:tc>
          <w:tcPr>
            <w:tcW w:w="261" w:type="pct"/>
            <w:shd w:val="clear" w:color="auto" w:fill="auto"/>
            <w:noWrap/>
            <w:vAlign w:val="center"/>
          </w:tcPr>
          <w:p w14:paraId="553661B2">
            <w:pPr>
              <w:pStyle w:val="23"/>
              <w:jc w:val="center"/>
              <w:rPr>
                <w:rFonts w:ascii="宋体" w:hAnsi="宋体"/>
                <w:kern w:val="0"/>
                <w:szCs w:val="21"/>
              </w:rPr>
            </w:pPr>
            <w:r>
              <w:rPr>
                <w:rFonts w:ascii="宋体" w:hAnsi="宋体"/>
                <w:kern w:val="0"/>
                <w:szCs w:val="21"/>
              </w:rPr>
              <w:t>5月</w:t>
            </w:r>
          </w:p>
        </w:tc>
        <w:tc>
          <w:tcPr>
            <w:tcW w:w="244" w:type="pct"/>
            <w:shd w:val="clear" w:color="auto" w:fill="auto"/>
            <w:noWrap/>
            <w:vAlign w:val="center"/>
          </w:tcPr>
          <w:p w14:paraId="20822D45">
            <w:pPr>
              <w:pStyle w:val="23"/>
              <w:jc w:val="center"/>
              <w:rPr>
                <w:rFonts w:ascii="宋体" w:hAnsi="宋体"/>
                <w:kern w:val="0"/>
                <w:szCs w:val="21"/>
              </w:rPr>
            </w:pPr>
            <w:r>
              <w:rPr>
                <w:rFonts w:ascii="宋体" w:hAnsi="宋体"/>
                <w:kern w:val="0"/>
                <w:szCs w:val="21"/>
              </w:rPr>
              <w:t>6月</w:t>
            </w:r>
          </w:p>
        </w:tc>
        <w:tc>
          <w:tcPr>
            <w:tcW w:w="268" w:type="pct"/>
            <w:shd w:val="clear" w:color="auto" w:fill="auto"/>
            <w:noWrap/>
            <w:vAlign w:val="center"/>
          </w:tcPr>
          <w:p w14:paraId="12F972CE">
            <w:pPr>
              <w:pStyle w:val="23"/>
              <w:jc w:val="center"/>
              <w:rPr>
                <w:rFonts w:ascii="宋体" w:hAnsi="宋体"/>
                <w:kern w:val="0"/>
                <w:szCs w:val="21"/>
              </w:rPr>
            </w:pPr>
            <w:r>
              <w:rPr>
                <w:rFonts w:ascii="宋体" w:hAnsi="宋体"/>
                <w:kern w:val="0"/>
                <w:szCs w:val="21"/>
              </w:rPr>
              <w:t>小计</w:t>
            </w:r>
          </w:p>
        </w:tc>
        <w:tc>
          <w:tcPr>
            <w:tcW w:w="293" w:type="pct"/>
            <w:shd w:val="clear" w:color="auto" w:fill="auto"/>
            <w:noWrap/>
            <w:vAlign w:val="center"/>
          </w:tcPr>
          <w:p w14:paraId="12F6665E">
            <w:pPr>
              <w:pStyle w:val="23"/>
              <w:jc w:val="center"/>
              <w:rPr>
                <w:rFonts w:ascii="宋体" w:hAnsi="宋体"/>
                <w:kern w:val="0"/>
                <w:szCs w:val="21"/>
              </w:rPr>
            </w:pPr>
            <w:r>
              <w:rPr>
                <w:rFonts w:ascii="宋体" w:hAnsi="宋体"/>
                <w:kern w:val="0"/>
                <w:szCs w:val="21"/>
              </w:rPr>
              <w:t>7</w:t>
            </w:r>
          </w:p>
        </w:tc>
        <w:tc>
          <w:tcPr>
            <w:tcW w:w="231" w:type="pct"/>
            <w:shd w:val="clear" w:color="auto" w:fill="auto"/>
            <w:noWrap/>
            <w:vAlign w:val="center"/>
          </w:tcPr>
          <w:p w14:paraId="1287B155">
            <w:pPr>
              <w:pStyle w:val="23"/>
              <w:jc w:val="center"/>
              <w:rPr>
                <w:rFonts w:ascii="宋体" w:hAnsi="宋体"/>
                <w:kern w:val="0"/>
                <w:szCs w:val="21"/>
              </w:rPr>
            </w:pPr>
            <w:r>
              <w:rPr>
                <w:rFonts w:ascii="宋体" w:hAnsi="宋体"/>
                <w:kern w:val="0"/>
                <w:szCs w:val="21"/>
              </w:rPr>
              <w:t>5</w:t>
            </w:r>
          </w:p>
        </w:tc>
        <w:tc>
          <w:tcPr>
            <w:tcW w:w="216" w:type="pct"/>
            <w:shd w:val="clear" w:color="auto" w:fill="auto"/>
            <w:noWrap/>
            <w:vAlign w:val="center"/>
          </w:tcPr>
          <w:p w14:paraId="39D15E1A">
            <w:pPr>
              <w:pStyle w:val="23"/>
              <w:jc w:val="center"/>
              <w:rPr>
                <w:rFonts w:ascii="宋体" w:hAnsi="宋体"/>
                <w:kern w:val="0"/>
                <w:szCs w:val="21"/>
              </w:rPr>
            </w:pPr>
            <w:r>
              <w:rPr>
                <w:rFonts w:ascii="宋体" w:hAnsi="宋体"/>
                <w:kern w:val="0"/>
                <w:szCs w:val="21"/>
              </w:rPr>
              <w:t>7</w:t>
            </w:r>
          </w:p>
        </w:tc>
        <w:tc>
          <w:tcPr>
            <w:tcW w:w="293" w:type="pct"/>
            <w:shd w:val="clear" w:color="auto" w:fill="auto"/>
            <w:noWrap/>
            <w:vAlign w:val="center"/>
          </w:tcPr>
          <w:p w14:paraId="6895DEFA">
            <w:pPr>
              <w:pStyle w:val="23"/>
              <w:jc w:val="center"/>
              <w:rPr>
                <w:rFonts w:ascii="宋体" w:hAnsi="宋体"/>
                <w:kern w:val="0"/>
                <w:szCs w:val="21"/>
              </w:rPr>
            </w:pPr>
            <w:r>
              <w:rPr>
                <w:rFonts w:ascii="宋体" w:hAnsi="宋体"/>
                <w:kern w:val="0"/>
                <w:szCs w:val="21"/>
              </w:rPr>
              <w:t>19</w:t>
            </w:r>
          </w:p>
        </w:tc>
        <w:tc>
          <w:tcPr>
            <w:tcW w:w="268" w:type="pct"/>
            <w:shd w:val="clear" w:color="auto" w:fill="auto"/>
            <w:noWrap/>
            <w:vAlign w:val="center"/>
          </w:tcPr>
          <w:p w14:paraId="5AD7B964">
            <w:pPr>
              <w:pStyle w:val="23"/>
              <w:jc w:val="center"/>
              <w:rPr>
                <w:rFonts w:ascii="宋体" w:hAnsi="宋体"/>
                <w:kern w:val="0"/>
                <w:szCs w:val="21"/>
              </w:rPr>
            </w:pPr>
            <w:r>
              <w:rPr>
                <w:rFonts w:ascii="宋体" w:hAnsi="宋体"/>
                <w:kern w:val="0"/>
                <w:szCs w:val="21"/>
              </w:rPr>
              <w:t>7</w:t>
            </w:r>
          </w:p>
        </w:tc>
        <w:tc>
          <w:tcPr>
            <w:tcW w:w="268" w:type="pct"/>
            <w:shd w:val="clear" w:color="auto" w:fill="auto"/>
            <w:noWrap/>
            <w:vAlign w:val="center"/>
          </w:tcPr>
          <w:p w14:paraId="7D1DED70">
            <w:pPr>
              <w:pStyle w:val="23"/>
              <w:jc w:val="center"/>
              <w:rPr>
                <w:rFonts w:ascii="宋体" w:hAnsi="宋体"/>
                <w:kern w:val="0"/>
                <w:szCs w:val="21"/>
              </w:rPr>
            </w:pPr>
            <w:r>
              <w:rPr>
                <w:rFonts w:ascii="宋体" w:hAnsi="宋体"/>
                <w:kern w:val="0"/>
                <w:szCs w:val="21"/>
              </w:rPr>
              <w:t>3</w:t>
            </w:r>
          </w:p>
        </w:tc>
        <w:tc>
          <w:tcPr>
            <w:tcW w:w="268" w:type="pct"/>
            <w:shd w:val="clear" w:color="auto" w:fill="auto"/>
            <w:noWrap/>
            <w:vAlign w:val="center"/>
          </w:tcPr>
          <w:p w14:paraId="143B758C">
            <w:pPr>
              <w:pStyle w:val="23"/>
              <w:jc w:val="center"/>
              <w:rPr>
                <w:rFonts w:ascii="宋体" w:hAnsi="宋体"/>
                <w:kern w:val="0"/>
                <w:szCs w:val="21"/>
              </w:rPr>
            </w:pPr>
            <w:r>
              <w:rPr>
                <w:rFonts w:ascii="宋体" w:hAnsi="宋体"/>
                <w:kern w:val="0"/>
                <w:szCs w:val="21"/>
              </w:rPr>
              <w:t>0</w:t>
            </w:r>
          </w:p>
        </w:tc>
        <w:tc>
          <w:tcPr>
            <w:tcW w:w="229" w:type="pct"/>
            <w:shd w:val="clear" w:color="auto" w:fill="auto"/>
            <w:noWrap/>
            <w:vAlign w:val="center"/>
          </w:tcPr>
          <w:p w14:paraId="15EB1FDA">
            <w:pPr>
              <w:pStyle w:val="23"/>
              <w:jc w:val="center"/>
              <w:rPr>
                <w:rFonts w:ascii="宋体" w:hAnsi="宋体"/>
                <w:kern w:val="0"/>
                <w:szCs w:val="21"/>
              </w:rPr>
            </w:pPr>
            <w:r>
              <w:rPr>
                <w:rFonts w:ascii="宋体" w:hAnsi="宋体"/>
                <w:kern w:val="0"/>
                <w:szCs w:val="21"/>
              </w:rPr>
              <w:t>10</w:t>
            </w:r>
          </w:p>
        </w:tc>
        <w:tc>
          <w:tcPr>
            <w:tcW w:w="258" w:type="pct"/>
            <w:shd w:val="clear" w:color="auto" w:fill="auto"/>
            <w:noWrap/>
            <w:vAlign w:val="center"/>
          </w:tcPr>
          <w:p w14:paraId="3AB6165F">
            <w:pPr>
              <w:pStyle w:val="23"/>
              <w:jc w:val="center"/>
              <w:rPr>
                <w:rFonts w:ascii="宋体" w:hAnsi="宋体"/>
                <w:kern w:val="0"/>
                <w:szCs w:val="21"/>
              </w:rPr>
            </w:pPr>
            <w:r>
              <w:rPr>
                <w:rFonts w:ascii="宋体" w:hAnsi="宋体"/>
                <w:kern w:val="0"/>
                <w:szCs w:val="21"/>
              </w:rPr>
              <w:t>39</w:t>
            </w:r>
          </w:p>
        </w:tc>
      </w:tr>
      <w:tr w14:paraId="726F4EC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77" w:type="pct"/>
            <w:vMerge w:val="continue"/>
            <w:vAlign w:val="center"/>
          </w:tcPr>
          <w:p w14:paraId="185733CD">
            <w:pPr>
              <w:pStyle w:val="23"/>
              <w:jc w:val="center"/>
              <w:rPr>
                <w:rFonts w:ascii="宋体" w:hAnsi="宋体"/>
                <w:b/>
                <w:kern w:val="0"/>
                <w:szCs w:val="21"/>
              </w:rPr>
            </w:pPr>
          </w:p>
        </w:tc>
        <w:tc>
          <w:tcPr>
            <w:tcW w:w="331" w:type="pct"/>
            <w:shd w:val="clear" w:color="auto" w:fill="auto"/>
            <w:noWrap/>
            <w:vAlign w:val="center"/>
          </w:tcPr>
          <w:p w14:paraId="42254104">
            <w:pPr>
              <w:pStyle w:val="23"/>
              <w:jc w:val="center"/>
              <w:rPr>
                <w:rFonts w:ascii="宋体" w:hAnsi="宋体"/>
                <w:b/>
                <w:kern w:val="0"/>
                <w:szCs w:val="21"/>
              </w:rPr>
            </w:pPr>
            <w:r>
              <w:rPr>
                <w:rFonts w:ascii="宋体" w:hAnsi="宋体"/>
                <w:b/>
                <w:kern w:val="0"/>
                <w:szCs w:val="21"/>
              </w:rPr>
              <w:t>pH值最大值</w:t>
            </w:r>
          </w:p>
        </w:tc>
        <w:tc>
          <w:tcPr>
            <w:tcW w:w="257" w:type="pct"/>
            <w:shd w:val="clear" w:color="auto" w:fill="auto"/>
            <w:noWrap/>
            <w:vAlign w:val="center"/>
          </w:tcPr>
          <w:p w14:paraId="32B5BC10">
            <w:pPr>
              <w:pStyle w:val="23"/>
              <w:jc w:val="center"/>
              <w:rPr>
                <w:rFonts w:ascii="宋体" w:hAnsi="宋体"/>
                <w:kern w:val="0"/>
                <w:szCs w:val="21"/>
              </w:rPr>
            </w:pPr>
            <w:r>
              <w:rPr>
                <w:rFonts w:ascii="宋体" w:hAnsi="宋体"/>
                <w:kern w:val="0"/>
                <w:szCs w:val="21"/>
              </w:rPr>
              <w:t>7</w:t>
            </w:r>
          </w:p>
        </w:tc>
        <w:tc>
          <w:tcPr>
            <w:tcW w:w="257" w:type="pct"/>
            <w:shd w:val="clear" w:color="auto" w:fill="auto"/>
            <w:noWrap/>
            <w:vAlign w:val="center"/>
          </w:tcPr>
          <w:p w14:paraId="63AF46C5">
            <w:pPr>
              <w:pStyle w:val="23"/>
              <w:jc w:val="center"/>
              <w:rPr>
                <w:rFonts w:ascii="宋体" w:hAnsi="宋体"/>
                <w:kern w:val="0"/>
                <w:szCs w:val="21"/>
              </w:rPr>
            </w:pPr>
            <w:r>
              <w:rPr>
                <w:rFonts w:ascii="宋体" w:hAnsi="宋体"/>
                <w:kern w:val="0"/>
                <w:szCs w:val="21"/>
              </w:rPr>
              <w:t>5</w:t>
            </w:r>
          </w:p>
        </w:tc>
        <w:tc>
          <w:tcPr>
            <w:tcW w:w="257" w:type="pct"/>
            <w:shd w:val="clear" w:color="auto" w:fill="auto"/>
            <w:noWrap/>
            <w:vAlign w:val="center"/>
          </w:tcPr>
          <w:p w14:paraId="323FF91A">
            <w:pPr>
              <w:pStyle w:val="23"/>
              <w:jc w:val="center"/>
              <w:rPr>
                <w:rFonts w:ascii="宋体" w:hAnsi="宋体"/>
                <w:kern w:val="0"/>
                <w:szCs w:val="21"/>
              </w:rPr>
            </w:pPr>
            <w:r>
              <w:rPr>
                <w:rFonts w:ascii="宋体" w:hAnsi="宋体"/>
                <w:kern w:val="0"/>
                <w:szCs w:val="21"/>
              </w:rPr>
              <w:t>7</w:t>
            </w:r>
          </w:p>
        </w:tc>
        <w:tc>
          <w:tcPr>
            <w:tcW w:w="263" w:type="pct"/>
            <w:shd w:val="clear" w:color="auto" w:fill="auto"/>
            <w:noWrap/>
            <w:vAlign w:val="center"/>
          </w:tcPr>
          <w:p w14:paraId="2B1B8589">
            <w:pPr>
              <w:pStyle w:val="23"/>
              <w:jc w:val="center"/>
              <w:rPr>
                <w:rFonts w:ascii="宋体" w:hAnsi="宋体"/>
                <w:kern w:val="0"/>
                <w:szCs w:val="21"/>
              </w:rPr>
            </w:pPr>
            <w:r>
              <w:rPr>
                <w:rFonts w:ascii="宋体" w:hAnsi="宋体"/>
                <w:kern w:val="0"/>
                <w:szCs w:val="21"/>
              </w:rPr>
              <w:t>19</w:t>
            </w:r>
          </w:p>
        </w:tc>
        <w:tc>
          <w:tcPr>
            <w:tcW w:w="261" w:type="pct"/>
            <w:shd w:val="clear" w:color="auto" w:fill="auto"/>
            <w:noWrap/>
            <w:vAlign w:val="center"/>
          </w:tcPr>
          <w:p w14:paraId="4D9BDE14">
            <w:pPr>
              <w:pStyle w:val="23"/>
              <w:jc w:val="center"/>
              <w:rPr>
                <w:rFonts w:ascii="宋体" w:hAnsi="宋体"/>
                <w:kern w:val="0"/>
                <w:szCs w:val="21"/>
              </w:rPr>
            </w:pPr>
            <w:r>
              <w:rPr>
                <w:rFonts w:ascii="宋体" w:hAnsi="宋体"/>
                <w:kern w:val="0"/>
                <w:szCs w:val="21"/>
              </w:rPr>
              <w:t>6</w:t>
            </w:r>
          </w:p>
        </w:tc>
        <w:tc>
          <w:tcPr>
            <w:tcW w:w="261" w:type="pct"/>
            <w:shd w:val="clear" w:color="auto" w:fill="auto"/>
            <w:noWrap/>
            <w:vAlign w:val="center"/>
          </w:tcPr>
          <w:p w14:paraId="1FEFAB8F">
            <w:pPr>
              <w:pStyle w:val="23"/>
              <w:jc w:val="center"/>
              <w:rPr>
                <w:rFonts w:ascii="宋体" w:hAnsi="宋体"/>
                <w:kern w:val="0"/>
                <w:szCs w:val="21"/>
              </w:rPr>
            </w:pPr>
            <w:r>
              <w:rPr>
                <w:rFonts w:ascii="宋体" w:hAnsi="宋体"/>
                <w:kern w:val="0"/>
                <w:szCs w:val="21"/>
              </w:rPr>
              <w:t>15</w:t>
            </w:r>
          </w:p>
        </w:tc>
        <w:tc>
          <w:tcPr>
            <w:tcW w:w="244" w:type="pct"/>
            <w:shd w:val="clear" w:color="auto" w:fill="auto"/>
            <w:noWrap/>
            <w:vAlign w:val="center"/>
          </w:tcPr>
          <w:p w14:paraId="6BB8B9AE">
            <w:pPr>
              <w:pStyle w:val="23"/>
              <w:jc w:val="center"/>
              <w:rPr>
                <w:rFonts w:ascii="宋体" w:hAnsi="宋体"/>
                <w:kern w:val="0"/>
                <w:szCs w:val="21"/>
              </w:rPr>
            </w:pPr>
            <w:r>
              <w:rPr>
                <w:rFonts w:ascii="宋体" w:hAnsi="宋体"/>
                <w:kern w:val="0"/>
                <w:szCs w:val="21"/>
              </w:rPr>
              <w:t>0</w:t>
            </w:r>
          </w:p>
        </w:tc>
        <w:tc>
          <w:tcPr>
            <w:tcW w:w="268" w:type="pct"/>
            <w:shd w:val="clear" w:color="auto" w:fill="auto"/>
            <w:noWrap/>
            <w:vAlign w:val="center"/>
          </w:tcPr>
          <w:p w14:paraId="24AE475A">
            <w:pPr>
              <w:pStyle w:val="23"/>
              <w:jc w:val="center"/>
              <w:rPr>
                <w:rFonts w:ascii="宋体" w:hAnsi="宋体"/>
                <w:kern w:val="0"/>
                <w:szCs w:val="21"/>
              </w:rPr>
            </w:pPr>
            <w:r>
              <w:rPr>
                <w:rFonts w:ascii="宋体" w:hAnsi="宋体"/>
                <w:kern w:val="0"/>
                <w:szCs w:val="21"/>
              </w:rPr>
              <w:t>21</w:t>
            </w:r>
          </w:p>
        </w:tc>
        <w:tc>
          <w:tcPr>
            <w:tcW w:w="293" w:type="pct"/>
            <w:shd w:val="clear" w:color="auto" w:fill="auto"/>
            <w:noWrap/>
            <w:vAlign w:val="center"/>
          </w:tcPr>
          <w:p w14:paraId="564DC27C">
            <w:pPr>
              <w:pStyle w:val="23"/>
              <w:jc w:val="center"/>
              <w:rPr>
                <w:rFonts w:ascii="宋体" w:hAnsi="宋体"/>
                <w:kern w:val="0"/>
                <w:szCs w:val="21"/>
              </w:rPr>
            </w:pPr>
            <w:r>
              <w:rPr>
                <w:rFonts w:ascii="宋体" w:hAnsi="宋体"/>
                <w:kern w:val="0"/>
                <w:szCs w:val="21"/>
              </w:rPr>
              <w:t>4.8</w:t>
            </w:r>
          </w:p>
        </w:tc>
        <w:tc>
          <w:tcPr>
            <w:tcW w:w="231" w:type="pct"/>
            <w:shd w:val="clear" w:color="auto" w:fill="auto"/>
            <w:noWrap/>
            <w:vAlign w:val="center"/>
          </w:tcPr>
          <w:p w14:paraId="67C3C3E8">
            <w:pPr>
              <w:pStyle w:val="23"/>
              <w:jc w:val="center"/>
              <w:rPr>
                <w:rFonts w:ascii="宋体" w:hAnsi="宋体"/>
                <w:kern w:val="0"/>
                <w:szCs w:val="21"/>
              </w:rPr>
            </w:pPr>
            <w:r>
              <w:rPr>
                <w:rFonts w:ascii="宋体" w:hAnsi="宋体"/>
                <w:kern w:val="0"/>
                <w:szCs w:val="21"/>
              </w:rPr>
              <w:t>5.13</w:t>
            </w:r>
          </w:p>
        </w:tc>
        <w:tc>
          <w:tcPr>
            <w:tcW w:w="216" w:type="pct"/>
            <w:shd w:val="clear" w:color="auto" w:fill="auto"/>
            <w:noWrap/>
            <w:vAlign w:val="center"/>
          </w:tcPr>
          <w:p w14:paraId="67F43D70">
            <w:pPr>
              <w:pStyle w:val="23"/>
              <w:jc w:val="center"/>
              <w:rPr>
                <w:rFonts w:ascii="宋体" w:hAnsi="宋体"/>
                <w:kern w:val="0"/>
                <w:szCs w:val="21"/>
              </w:rPr>
            </w:pPr>
            <w:r>
              <w:rPr>
                <w:rFonts w:ascii="宋体" w:hAnsi="宋体"/>
                <w:kern w:val="0"/>
                <w:szCs w:val="21"/>
              </w:rPr>
              <w:t>5.1</w:t>
            </w:r>
          </w:p>
        </w:tc>
        <w:tc>
          <w:tcPr>
            <w:tcW w:w="293" w:type="pct"/>
            <w:shd w:val="clear" w:color="auto" w:fill="auto"/>
            <w:noWrap/>
            <w:vAlign w:val="center"/>
          </w:tcPr>
          <w:p w14:paraId="6A5A0799">
            <w:pPr>
              <w:pStyle w:val="23"/>
              <w:jc w:val="center"/>
              <w:rPr>
                <w:rFonts w:ascii="宋体" w:hAnsi="宋体"/>
                <w:kern w:val="0"/>
                <w:szCs w:val="21"/>
              </w:rPr>
            </w:pPr>
            <w:r>
              <w:rPr>
                <w:rFonts w:ascii="宋体" w:hAnsi="宋体"/>
                <w:kern w:val="0"/>
                <w:szCs w:val="21"/>
              </w:rPr>
              <w:t>5.13</w:t>
            </w:r>
          </w:p>
        </w:tc>
        <w:tc>
          <w:tcPr>
            <w:tcW w:w="268" w:type="pct"/>
            <w:shd w:val="clear" w:color="auto" w:fill="auto"/>
            <w:noWrap/>
            <w:vAlign w:val="center"/>
          </w:tcPr>
          <w:p w14:paraId="4D39410D">
            <w:pPr>
              <w:pStyle w:val="23"/>
              <w:jc w:val="center"/>
              <w:rPr>
                <w:rFonts w:ascii="宋体" w:hAnsi="宋体"/>
                <w:kern w:val="0"/>
                <w:szCs w:val="21"/>
              </w:rPr>
            </w:pPr>
            <w:r>
              <w:rPr>
                <w:rFonts w:ascii="宋体" w:hAnsi="宋体"/>
                <w:kern w:val="0"/>
                <w:szCs w:val="21"/>
              </w:rPr>
              <w:t>5.02</w:t>
            </w:r>
          </w:p>
        </w:tc>
        <w:tc>
          <w:tcPr>
            <w:tcW w:w="268" w:type="pct"/>
            <w:shd w:val="clear" w:color="auto" w:fill="auto"/>
            <w:noWrap/>
            <w:vAlign w:val="center"/>
          </w:tcPr>
          <w:p w14:paraId="72D16D36">
            <w:pPr>
              <w:pStyle w:val="23"/>
              <w:jc w:val="center"/>
              <w:rPr>
                <w:rFonts w:ascii="宋体" w:hAnsi="宋体"/>
                <w:kern w:val="0"/>
                <w:szCs w:val="21"/>
              </w:rPr>
            </w:pPr>
            <w:r>
              <w:rPr>
                <w:rFonts w:ascii="宋体" w:hAnsi="宋体"/>
                <w:kern w:val="0"/>
                <w:szCs w:val="21"/>
              </w:rPr>
              <w:t>4.98</w:t>
            </w:r>
          </w:p>
        </w:tc>
        <w:tc>
          <w:tcPr>
            <w:tcW w:w="268" w:type="pct"/>
            <w:shd w:val="clear" w:color="auto" w:fill="auto"/>
            <w:noWrap/>
            <w:vAlign w:val="center"/>
          </w:tcPr>
          <w:p w14:paraId="518CB359">
            <w:pPr>
              <w:pStyle w:val="23"/>
              <w:jc w:val="center"/>
              <w:rPr>
                <w:rFonts w:ascii="宋体" w:hAnsi="宋体"/>
                <w:kern w:val="0"/>
                <w:szCs w:val="21"/>
              </w:rPr>
            </w:pPr>
            <w:r>
              <w:rPr>
                <w:rFonts w:ascii="宋体" w:hAnsi="宋体"/>
                <w:kern w:val="0"/>
                <w:szCs w:val="21"/>
              </w:rPr>
              <w:t>0</w:t>
            </w:r>
          </w:p>
        </w:tc>
        <w:tc>
          <w:tcPr>
            <w:tcW w:w="229" w:type="pct"/>
            <w:shd w:val="clear" w:color="auto" w:fill="auto"/>
            <w:noWrap/>
            <w:vAlign w:val="center"/>
          </w:tcPr>
          <w:p w14:paraId="33387989">
            <w:pPr>
              <w:pStyle w:val="23"/>
              <w:jc w:val="center"/>
              <w:rPr>
                <w:rFonts w:ascii="宋体" w:hAnsi="宋体"/>
                <w:kern w:val="0"/>
                <w:szCs w:val="21"/>
              </w:rPr>
            </w:pPr>
            <w:r>
              <w:rPr>
                <w:rFonts w:ascii="宋体" w:hAnsi="宋体"/>
                <w:kern w:val="0"/>
                <w:szCs w:val="21"/>
              </w:rPr>
              <w:t>5.02</w:t>
            </w:r>
          </w:p>
        </w:tc>
        <w:tc>
          <w:tcPr>
            <w:tcW w:w="258" w:type="pct"/>
            <w:shd w:val="clear" w:color="auto" w:fill="auto"/>
            <w:noWrap/>
            <w:vAlign w:val="center"/>
          </w:tcPr>
          <w:p w14:paraId="6B0F3421">
            <w:pPr>
              <w:pStyle w:val="23"/>
              <w:jc w:val="center"/>
              <w:rPr>
                <w:rFonts w:ascii="宋体" w:hAnsi="宋体"/>
                <w:kern w:val="0"/>
                <w:szCs w:val="21"/>
              </w:rPr>
            </w:pPr>
            <w:r>
              <w:rPr>
                <w:rFonts w:ascii="宋体" w:hAnsi="宋体"/>
                <w:kern w:val="0"/>
                <w:szCs w:val="21"/>
              </w:rPr>
              <w:t>5.6</w:t>
            </w:r>
          </w:p>
        </w:tc>
      </w:tr>
      <w:tr w14:paraId="0660937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77" w:type="pct"/>
            <w:vMerge w:val="continue"/>
            <w:vAlign w:val="center"/>
          </w:tcPr>
          <w:p w14:paraId="7102A76E">
            <w:pPr>
              <w:pStyle w:val="23"/>
              <w:jc w:val="center"/>
              <w:rPr>
                <w:rFonts w:ascii="宋体" w:hAnsi="宋体"/>
                <w:b/>
                <w:kern w:val="0"/>
                <w:szCs w:val="21"/>
              </w:rPr>
            </w:pPr>
          </w:p>
        </w:tc>
        <w:tc>
          <w:tcPr>
            <w:tcW w:w="331" w:type="pct"/>
            <w:shd w:val="clear" w:color="auto" w:fill="auto"/>
            <w:noWrap/>
            <w:vAlign w:val="center"/>
          </w:tcPr>
          <w:p w14:paraId="08F7D086">
            <w:pPr>
              <w:pStyle w:val="23"/>
              <w:jc w:val="center"/>
              <w:rPr>
                <w:rFonts w:ascii="宋体" w:hAnsi="宋体"/>
                <w:b/>
                <w:kern w:val="0"/>
                <w:szCs w:val="21"/>
              </w:rPr>
            </w:pPr>
            <w:r>
              <w:rPr>
                <w:rFonts w:ascii="宋体" w:hAnsi="宋体"/>
                <w:b/>
                <w:kern w:val="0"/>
                <w:szCs w:val="21"/>
              </w:rPr>
              <w:t>pH值最小值</w:t>
            </w:r>
          </w:p>
        </w:tc>
        <w:tc>
          <w:tcPr>
            <w:tcW w:w="257" w:type="pct"/>
            <w:shd w:val="clear" w:color="auto" w:fill="auto"/>
            <w:noWrap/>
            <w:vAlign w:val="center"/>
          </w:tcPr>
          <w:p w14:paraId="42A179D6">
            <w:pPr>
              <w:pStyle w:val="23"/>
              <w:jc w:val="center"/>
              <w:rPr>
                <w:rFonts w:ascii="宋体" w:hAnsi="宋体"/>
                <w:kern w:val="0"/>
                <w:szCs w:val="21"/>
              </w:rPr>
            </w:pPr>
            <w:r>
              <w:rPr>
                <w:rFonts w:ascii="宋体" w:hAnsi="宋体"/>
                <w:kern w:val="0"/>
                <w:szCs w:val="21"/>
              </w:rPr>
              <w:t>4.92</w:t>
            </w:r>
          </w:p>
        </w:tc>
        <w:tc>
          <w:tcPr>
            <w:tcW w:w="257" w:type="pct"/>
            <w:shd w:val="clear" w:color="auto" w:fill="auto"/>
            <w:noWrap/>
            <w:vAlign w:val="center"/>
          </w:tcPr>
          <w:p w14:paraId="0D74CA07">
            <w:pPr>
              <w:pStyle w:val="23"/>
              <w:jc w:val="center"/>
              <w:rPr>
                <w:rFonts w:ascii="宋体" w:hAnsi="宋体"/>
                <w:kern w:val="0"/>
                <w:szCs w:val="21"/>
              </w:rPr>
            </w:pPr>
            <w:r>
              <w:rPr>
                <w:rFonts w:ascii="宋体" w:hAnsi="宋体"/>
                <w:kern w:val="0"/>
                <w:szCs w:val="21"/>
              </w:rPr>
              <w:t>5.02</w:t>
            </w:r>
          </w:p>
        </w:tc>
        <w:tc>
          <w:tcPr>
            <w:tcW w:w="257" w:type="pct"/>
            <w:shd w:val="clear" w:color="auto" w:fill="auto"/>
            <w:noWrap/>
            <w:vAlign w:val="center"/>
          </w:tcPr>
          <w:p w14:paraId="3B99F358">
            <w:pPr>
              <w:pStyle w:val="23"/>
              <w:jc w:val="center"/>
              <w:rPr>
                <w:rFonts w:ascii="宋体" w:hAnsi="宋体"/>
                <w:kern w:val="0"/>
                <w:szCs w:val="21"/>
              </w:rPr>
            </w:pPr>
            <w:r>
              <w:rPr>
                <w:rFonts w:ascii="宋体" w:hAnsi="宋体"/>
                <w:kern w:val="0"/>
                <w:szCs w:val="21"/>
              </w:rPr>
              <w:t>5.1</w:t>
            </w:r>
          </w:p>
        </w:tc>
        <w:tc>
          <w:tcPr>
            <w:tcW w:w="263" w:type="pct"/>
            <w:shd w:val="clear" w:color="auto" w:fill="auto"/>
            <w:noWrap/>
            <w:vAlign w:val="center"/>
          </w:tcPr>
          <w:p w14:paraId="1D8784CE">
            <w:pPr>
              <w:pStyle w:val="23"/>
              <w:jc w:val="center"/>
              <w:rPr>
                <w:rFonts w:ascii="宋体" w:hAnsi="宋体"/>
                <w:kern w:val="0"/>
                <w:szCs w:val="21"/>
              </w:rPr>
            </w:pPr>
            <w:r>
              <w:rPr>
                <w:rFonts w:ascii="宋体" w:hAnsi="宋体"/>
                <w:kern w:val="0"/>
                <w:szCs w:val="21"/>
              </w:rPr>
              <w:t>5.1</w:t>
            </w:r>
          </w:p>
        </w:tc>
        <w:tc>
          <w:tcPr>
            <w:tcW w:w="261" w:type="pct"/>
            <w:shd w:val="clear" w:color="auto" w:fill="auto"/>
            <w:noWrap/>
            <w:vAlign w:val="center"/>
          </w:tcPr>
          <w:p w14:paraId="1E4D0C19">
            <w:pPr>
              <w:pStyle w:val="23"/>
              <w:jc w:val="center"/>
              <w:rPr>
                <w:rFonts w:ascii="宋体" w:hAnsi="宋体"/>
                <w:kern w:val="0"/>
                <w:szCs w:val="21"/>
              </w:rPr>
            </w:pPr>
            <w:r>
              <w:rPr>
                <w:rFonts w:ascii="宋体" w:hAnsi="宋体"/>
                <w:kern w:val="0"/>
                <w:szCs w:val="21"/>
              </w:rPr>
              <w:t>5.6</w:t>
            </w:r>
          </w:p>
        </w:tc>
        <w:tc>
          <w:tcPr>
            <w:tcW w:w="261" w:type="pct"/>
            <w:shd w:val="clear" w:color="auto" w:fill="auto"/>
            <w:noWrap/>
            <w:vAlign w:val="center"/>
          </w:tcPr>
          <w:p w14:paraId="089FAF04">
            <w:pPr>
              <w:pStyle w:val="23"/>
              <w:jc w:val="center"/>
              <w:rPr>
                <w:rFonts w:ascii="宋体" w:hAnsi="宋体"/>
                <w:kern w:val="0"/>
                <w:szCs w:val="21"/>
              </w:rPr>
            </w:pPr>
            <w:r>
              <w:rPr>
                <w:rFonts w:ascii="宋体" w:hAnsi="宋体"/>
                <w:kern w:val="0"/>
                <w:szCs w:val="21"/>
              </w:rPr>
              <w:t>5.1</w:t>
            </w:r>
          </w:p>
        </w:tc>
        <w:tc>
          <w:tcPr>
            <w:tcW w:w="244" w:type="pct"/>
            <w:shd w:val="clear" w:color="auto" w:fill="auto"/>
            <w:noWrap/>
            <w:vAlign w:val="center"/>
          </w:tcPr>
          <w:p w14:paraId="2973712D">
            <w:pPr>
              <w:pStyle w:val="23"/>
              <w:jc w:val="center"/>
              <w:rPr>
                <w:rFonts w:ascii="宋体" w:hAnsi="宋体"/>
                <w:kern w:val="0"/>
                <w:szCs w:val="21"/>
              </w:rPr>
            </w:pPr>
            <w:r>
              <w:rPr>
                <w:rFonts w:ascii="宋体" w:hAnsi="宋体"/>
                <w:kern w:val="0"/>
                <w:szCs w:val="21"/>
              </w:rPr>
              <w:t>0</w:t>
            </w:r>
          </w:p>
        </w:tc>
        <w:tc>
          <w:tcPr>
            <w:tcW w:w="268" w:type="pct"/>
            <w:shd w:val="clear" w:color="auto" w:fill="auto"/>
            <w:noWrap/>
            <w:vAlign w:val="center"/>
          </w:tcPr>
          <w:p w14:paraId="31828498">
            <w:pPr>
              <w:pStyle w:val="23"/>
              <w:jc w:val="center"/>
              <w:rPr>
                <w:rFonts w:ascii="宋体" w:hAnsi="宋体"/>
                <w:kern w:val="0"/>
                <w:szCs w:val="21"/>
              </w:rPr>
            </w:pPr>
            <w:r>
              <w:rPr>
                <w:rFonts w:ascii="宋体" w:hAnsi="宋体"/>
                <w:kern w:val="0"/>
                <w:szCs w:val="21"/>
              </w:rPr>
              <w:t>5.6</w:t>
            </w:r>
          </w:p>
        </w:tc>
        <w:tc>
          <w:tcPr>
            <w:tcW w:w="293" w:type="pct"/>
            <w:shd w:val="clear" w:color="auto" w:fill="auto"/>
            <w:noWrap/>
            <w:vAlign w:val="center"/>
          </w:tcPr>
          <w:p w14:paraId="2126BBC8">
            <w:pPr>
              <w:pStyle w:val="23"/>
              <w:jc w:val="center"/>
              <w:rPr>
                <w:rFonts w:ascii="宋体" w:hAnsi="宋体"/>
                <w:kern w:val="0"/>
                <w:szCs w:val="21"/>
              </w:rPr>
            </w:pPr>
            <w:r>
              <w:rPr>
                <w:rFonts w:ascii="宋体" w:hAnsi="宋体"/>
                <w:kern w:val="0"/>
                <w:szCs w:val="21"/>
              </w:rPr>
              <w:t>4.68</w:t>
            </w:r>
          </w:p>
        </w:tc>
        <w:tc>
          <w:tcPr>
            <w:tcW w:w="231" w:type="pct"/>
            <w:shd w:val="clear" w:color="auto" w:fill="auto"/>
            <w:noWrap/>
            <w:vAlign w:val="center"/>
          </w:tcPr>
          <w:p w14:paraId="7498898F">
            <w:pPr>
              <w:pStyle w:val="23"/>
              <w:jc w:val="center"/>
              <w:rPr>
                <w:rFonts w:ascii="宋体" w:hAnsi="宋体"/>
                <w:kern w:val="0"/>
                <w:szCs w:val="21"/>
              </w:rPr>
            </w:pPr>
            <w:r>
              <w:rPr>
                <w:rFonts w:ascii="宋体" w:hAnsi="宋体"/>
                <w:kern w:val="0"/>
                <w:szCs w:val="21"/>
              </w:rPr>
              <w:t>4.72</w:t>
            </w:r>
          </w:p>
        </w:tc>
        <w:tc>
          <w:tcPr>
            <w:tcW w:w="216" w:type="pct"/>
            <w:shd w:val="clear" w:color="auto" w:fill="auto"/>
            <w:noWrap/>
            <w:vAlign w:val="center"/>
          </w:tcPr>
          <w:p w14:paraId="1F015585">
            <w:pPr>
              <w:pStyle w:val="23"/>
              <w:jc w:val="center"/>
              <w:rPr>
                <w:rFonts w:ascii="宋体" w:hAnsi="宋体"/>
                <w:kern w:val="0"/>
                <w:szCs w:val="21"/>
              </w:rPr>
            </w:pPr>
            <w:r>
              <w:rPr>
                <w:rFonts w:ascii="宋体" w:hAnsi="宋体"/>
                <w:kern w:val="0"/>
                <w:szCs w:val="21"/>
              </w:rPr>
              <w:t>4.8</w:t>
            </w:r>
          </w:p>
        </w:tc>
        <w:tc>
          <w:tcPr>
            <w:tcW w:w="293" w:type="pct"/>
            <w:shd w:val="clear" w:color="auto" w:fill="auto"/>
            <w:noWrap/>
            <w:vAlign w:val="center"/>
          </w:tcPr>
          <w:p w14:paraId="062D7FC3">
            <w:pPr>
              <w:pStyle w:val="23"/>
              <w:jc w:val="center"/>
              <w:rPr>
                <w:rFonts w:ascii="宋体" w:hAnsi="宋体"/>
                <w:kern w:val="0"/>
                <w:szCs w:val="21"/>
              </w:rPr>
            </w:pPr>
            <w:r>
              <w:rPr>
                <w:rFonts w:ascii="宋体" w:hAnsi="宋体"/>
                <w:kern w:val="0"/>
                <w:szCs w:val="21"/>
              </w:rPr>
              <w:t>4.8</w:t>
            </w:r>
          </w:p>
        </w:tc>
        <w:tc>
          <w:tcPr>
            <w:tcW w:w="268" w:type="pct"/>
            <w:shd w:val="clear" w:color="auto" w:fill="auto"/>
            <w:noWrap/>
            <w:vAlign w:val="center"/>
          </w:tcPr>
          <w:p w14:paraId="462A7821">
            <w:pPr>
              <w:pStyle w:val="23"/>
              <w:jc w:val="center"/>
              <w:rPr>
                <w:rFonts w:ascii="宋体" w:hAnsi="宋体"/>
                <w:kern w:val="0"/>
                <w:szCs w:val="21"/>
              </w:rPr>
            </w:pPr>
            <w:r>
              <w:rPr>
                <w:rFonts w:ascii="宋体" w:hAnsi="宋体"/>
                <w:kern w:val="0"/>
                <w:szCs w:val="21"/>
              </w:rPr>
              <w:t>4.68</w:t>
            </w:r>
          </w:p>
        </w:tc>
        <w:tc>
          <w:tcPr>
            <w:tcW w:w="268" w:type="pct"/>
            <w:shd w:val="clear" w:color="auto" w:fill="auto"/>
            <w:noWrap/>
            <w:vAlign w:val="center"/>
          </w:tcPr>
          <w:p w14:paraId="7C3E2927">
            <w:pPr>
              <w:pStyle w:val="23"/>
              <w:jc w:val="center"/>
              <w:rPr>
                <w:rFonts w:ascii="宋体" w:hAnsi="宋体"/>
                <w:kern w:val="0"/>
                <w:szCs w:val="21"/>
              </w:rPr>
            </w:pPr>
            <w:r>
              <w:rPr>
                <w:rFonts w:ascii="宋体" w:hAnsi="宋体"/>
                <w:kern w:val="0"/>
                <w:szCs w:val="21"/>
              </w:rPr>
              <w:t>4.78</w:t>
            </w:r>
          </w:p>
        </w:tc>
        <w:tc>
          <w:tcPr>
            <w:tcW w:w="268" w:type="pct"/>
            <w:shd w:val="clear" w:color="auto" w:fill="auto"/>
            <w:noWrap/>
            <w:vAlign w:val="center"/>
          </w:tcPr>
          <w:p w14:paraId="76C4746D">
            <w:pPr>
              <w:pStyle w:val="23"/>
              <w:jc w:val="center"/>
              <w:rPr>
                <w:rFonts w:ascii="宋体" w:hAnsi="宋体"/>
                <w:kern w:val="0"/>
                <w:szCs w:val="21"/>
              </w:rPr>
            </w:pPr>
            <w:r>
              <w:rPr>
                <w:rFonts w:ascii="宋体" w:hAnsi="宋体"/>
                <w:kern w:val="0"/>
                <w:szCs w:val="21"/>
              </w:rPr>
              <w:t>0</w:t>
            </w:r>
          </w:p>
        </w:tc>
        <w:tc>
          <w:tcPr>
            <w:tcW w:w="229" w:type="pct"/>
            <w:shd w:val="clear" w:color="auto" w:fill="auto"/>
            <w:noWrap/>
            <w:vAlign w:val="center"/>
          </w:tcPr>
          <w:p w14:paraId="6540A157">
            <w:pPr>
              <w:pStyle w:val="23"/>
              <w:jc w:val="center"/>
              <w:rPr>
                <w:rFonts w:ascii="宋体" w:hAnsi="宋体"/>
                <w:kern w:val="0"/>
                <w:szCs w:val="21"/>
              </w:rPr>
            </w:pPr>
            <w:r>
              <w:rPr>
                <w:rFonts w:ascii="宋体" w:hAnsi="宋体"/>
                <w:kern w:val="0"/>
                <w:szCs w:val="21"/>
              </w:rPr>
              <w:t>4.78</w:t>
            </w:r>
          </w:p>
        </w:tc>
        <w:tc>
          <w:tcPr>
            <w:tcW w:w="258" w:type="pct"/>
            <w:shd w:val="clear" w:color="auto" w:fill="auto"/>
            <w:noWrap/>
            <w:vAlign w:val="center"/>
          </w:tcPr>
          <w:p w14:paraId="7C2DAA9D">
            <w:pPr>
              <w:pStyle w:val="23"/>
              <w:jc w:val="center"/>
              <w:rPr>
                <w:rFonts w:ascii="宋体" w:hAnsi="宋体"/>
                <w:kern w:val="0"/>
                <w:szCs w:val="21"/>
              </w:rPr>
            </w:pPr>
            <w:r>
              <w:rPr>
                <w:rFonts w:ascii="宋体" w:hAnsi="宋体"/>
                <w:kern w:val="0"/>
                <w:szCs w:val="21"/>
              </w:rPr>
              <w:t>4.68</w:t>
            </w:r>
          </w:p>
        </w:tc>
      </w:tr>
      <w:tr w14:paraId="758D086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77" w:type="pct"/>
            <w:vMerge w:val="continue"/>
            <w:vAlign w:val="center"/>
          </w:tcPr>
          <w:p w14:paraId="48558C23">
            <w:pPr>
              <w:pStyle w:val="23"/>
              <w:jc w:val="center"/>
              <w:rPr>
                <w:rFonts w:ascii="宋体" w:hAnsi="宋体"/>
                <w:b/>
                <w:kern w:val="0"/>
                <w:szCs w:val="21"/>
              </w:rPr>
            </w:pPr>
          </w:p>
        </w:tc>
        <w:tc>
          <w:tcPr>
            <w:tcW w:w="331" w:type="pct"/>
            <w:shd w:val="clear" w:color="auto" w:fill="auto"/>
            <w:noWrap/>
            <w:vAlign w:val="center"/>
          </w:tcPr>
          <w:p w14:paraId="2C70C347">
            <w:pPr>
              <w:pStyle w:val="23"/>
              <w:jc w:val="center"/>
              <w:rPr>
                <w:rFonts w:ascii="宋体" w:hAnsi="宋体"/>
                <w:b/>
                <w:kern w:val="0"/>
                <w:szCs w:val="21"/>
              </w:rPr>
            </w:pPr>
            <w:r>
              <w:rPr>
                <w:rFonts w:ascii="宋体" w:hAnsi="宋体"/>
                <w:b/>
                <w:kern w:val="0"/>
                <w:szCs w:val="21"/>
              </w:rPr>
              <w:t>pH值平均值</w:t>
            </w:r>
          </w:p>
        </w:tc>
        <w:tc>
          <w:tcPr>
            <w:tcW w:w="257" w:type="pct"/>
            <w:shd w:val="clear" w:color="auto" w:fill="auto"/>
            <w:noWrap/>
            <w:vAlign w:val="center"/>
          </w:tcPr>
          <w:p w14:paraId="49DBD1A9">
            <w:pPr>
              <w:pStyle w:val="23"/>
              <w:jc w:val="center"/>
              <w:rPr>
                <w:rFonts w:ascii="宋体" w:hAnsi="宋体"/>
                <w:kern w:val="0"/>
                <w:szCs w:val="21"/>
              </w:rPr>
            </w:pPr>
            <w:r>
              <w:rPr>
                <w:rFonts w:ascii="宋体" w:hAnsi="宋体"/>
                <w:kern w:val="0"/>
                <w:szCs w:val="21"/>
              </w:rPr>
              <w:t>4.85</w:t>
            </w:r>
          </w:p>
        </w:tc>
        <w:tc>
          <w:tcPr>
            <w:tcW w:w="257" w:type="pct"/>
            <w:shd w:val="clear" w:color="auto" w:fill="auto"/>
            <w:noWrap/>
            <w:vAlign w:val="center"/>
          </w:tcPr>
          <w:p w14:paraId="0BFBCDE6">
            <w:pPr>
              <w:pStyle w:val="23"/>
              <w:jc w:val="center"/>
              <w:rPr>
                <w:rFonts w:ascii="宋体" w:hAnsi="宋体"/>
                <w:kern w:val="0"/>
                <w:szCs w:val="21"/>
              </w:rPr>
            </w:pPr>
            <w:r>
              <w:rPr>
                <w:rFonts w:ascii="宋体" w:hAnsi="宋体"/>
                <w:kern w:val="0"/>
                <w:szCs w:val="21"/>
              </w:rPr>
              <w:t>4.72</w:t>
            </w:r>
          </w:p>
        </w:tc>
        <w:tc>
          <w:tcPr>
            <w:tcW w:w="257" w:type="pct"/>
            <w:shd w:val="clear" w:color="auto" w:fill="auto"/>
            <w:noWrap/>
            <w:vAlign w:val="center"/>
          </w:tcPr>
          <w:p w14:paraId="41DD37FE">
            <w:pPr>
              <w:pStyle w:val="23"/>
              <w:jc w:val="center"/>
              <w:rPr>
                <w:rFonts w:ascii="宋体" w:hAnsi="宋体"/>
                <w:kern w:val="0"/>
                <w:szCs w:val="21"/>
              </w:rPr>
            </w:pPr>
            <w:r>
              <w:rPr>
                <w:rFonts w:ascii="宋体" w:hAnsi="宋体"/>
                <w:kern w:val="0"/>
                <w:szCs w:val="21"/>
              </w:rPr>
              <w:t>4.8</w:t>
            </w:r>
          </w:p>
        </w:tc>
        <w:tc>
          <w:tcPr>
            <w:tcW w:w="263" w:type="pct"/>
            <w:shd w:val="clear" w:color="auto" w:fill="auto"/>
            <w:noWrap/>
            <w:vAlign w:val="center"/>
          </w:tcPr>
          <w:p w14:paraId="7183B352">
            <w:pPr>
              <w:pStyle w:val="23"/>
              <w:jc w:val="center"/>
              <w:rPr>
                <w:rFonts w:ascii="宋体" w:hAnsi="宋体"/>
                <w:kern w:val="0"/>
                <w:szCs w:val="21"/>
              </w:rPr>
            </w:pPr>
            <w:r>
              <w:rPr>
                <w:rFonts w:ascii="宋体" w:hAnsi="宋体"/>
                <w:kern w:val="0"/>
                <w:szCs w:val="21"/>
              </w:rPr>
              <w:t>4.72</w:t>
            </w:r>
          </w:p>
        </w:tc>
        <w:tc>
          <w:tcPr>
            <w:tcW w:w="261" w:type="pct"/>
            <w:shd w:val="clear" w:color="auto" w:fill="auto"/>
            <w:noWrap/>
            <w:vAlign w:val="center"/>
          </w:tcPr>
          <w:p w14:paraId="56CD4080">
            <w:pPr>
              <w:pStyle w:val="23"/>
              <w:jc w:val="center"/>
              <w:rPr>
                <w:rFonts w:ascii="宋体" w:hAnsi="宋体"/>
                <w:kern w:val="0"/>
                <w:szCs w:val="21"/>
              </w:rPr>
            </w:pPr>
            <w:r>
              <w:rPr>
                <w:rFonts w:ascii="宋体" w:hAnsi="宋体"/>
                <w:kern w:val="0"/>
                <w:szCs w:val="21"/>
              </w:rPr>
              <w:t>4.83</w:t>
            </w:r>
          </w:p>
        </w:tc>
        <w:tc>
          <w:tcPr>
            <w:tcW w:w="261" w:type="pct"/>
            <w:shd w:val="clear" w:color="auto" w:fill="auto"/>
            <w:noWrap/>
            <w:vAlign w:val="center"/>
          </w:tcPr>
          <w:p w14:paraId="56A1B95A">
            <w:pPr>
              <w:pStyle w:val="23"/>
              <w:jc w:val="center"/>
              <w:rPr>
                <w:rFonts w:ascii="宋体" w:hAnsi="宋体"/>
                <w:kern w:val="0"/>
                <w:szCs w:val="21"/>
              </w:rPr>
            </w:pPr>
            <w:r>
              <w:rPr>
                <w:rFonts w:ascii="宋体" w:hAnsi="宋体"/>
                <w:kern w:val="0"/>
                <w:szCs w:val="21"/>
              </w:rPr>
              <w:t>4.8</w:t>
            </w:r>
          </w:p>
        </w:tc>
        <w:tc>
          <w:tcPr>
            <w:tcW w:w="244" w:type="pct"/>
            <w:shd w:val="clear" w:color="auto" w:fill="auto"/>
            <w:noWrap/>
            <w:vAlign w:val="center"/>
          </w:tcPr>
          <w:p w14:paraId="56B9C3B0">
            <w:pPr>
              <w:pStyle w:val="23"/>
              <w:jc w:val="center"/>
              <w:rPr>
                <w:rFonts w:ascii="宋体" w:hAnsi="宋体"/>
                <w:kern w:val="0"/>
                <w:szCs w:val="21"/>
              </w:rPr>
            </w:pPr>
            <w:r>
              <w:rPr>
                <w:rFonts w:ascii="宋体" w:hAnsi="宋体"/>
                <w:kern w:val="0"/>
                <w:szCs w:val="21"/>
              </w:rPr>
              <w:t>0</w:t>
            </w:r>
          </w:p>
        </w:tc>
        <w:tc>
          <w:tcPr>
            <w:tcW w:w="268" w:type="pct"/>
            <w:shd w:val="clear" w:color="auto" w:fill="auto"/>
            <w:noWrap/>
            <w:vAlign w:val="center"/>
          </w:tcPr>
          <w:p w14:paraId="419E126D">
            <w:pPr>
              <w:pStyle w:val="23"/>
              <w:jc w:val="center"/>
              <w:rPr>
                <w:rFonts w:ascii="宋体" w:hAnsi="宋体"/>
                <w:kern w:val="0"/>
                <w:szCs w:val="21"/>
              </w:rPr>
            </w:pPr>
            <w:r>
              <w:rPr>
                <w:rFonts w:ascii="宋体" w:hAnsi="宋体"/>
                <w:kern w:val="0"/>
                <w:szCs w:val="21"/>
              </w:rPr>
              <w:t>4.8</w:t>
            </w:r>
          </w:p>
        </w:tc>
        <w:tc>
          <w:tcPr>
            <w:tcW w:w="293" w:type="pct"/>
            <w:shd w:val="clear" w:color="auto" w:fill="auto"/>
            <w:noWrap/>
            <w:vAlign w:val="center"/>
          </w:tcPr>
          <w:p w14:paraId="47D4C553">
            <w:pPr>
              <w:pStyle w:val="23"/>
              <w:jc w:val="center"/>
              <w:rPr>
                <w:rFonts w:ascii="宋体" w:hAnsi="宋体"/>
                <w:kern w:val="0"/>
                <w:szCs w:val="21"/>
              </w:rPr>
            </w:pPr>
            <w:r>
              <w:rPr>
                <w:rFonts w:ascii="宋体" w:hAnsi="宋体"/>
                <w:kern w:val="0"/>
                <w:szCs w:val="21"/>
              </w:rPr>
              <w:t>4.71</w:t>
            </w:r>
          </w:p>
        </w:tc>
        <w:tc>
          <w:tcPr>
            <w:tcW w:w="231" w:type="pct"/>
            <w:shd w:val="clear" w:color="auto" w:fill="auto"/>
            <w:noWrap/>
            <w:vAlign w:val="center"/>
          </w:tcPr>
          <w:p w14:paraId="54DA6A1F">
            <w:pPr>
              <w:pStyle w:val="23"/>
              <w:jc w:val="center"/>
              <w:rPr>
                <w:rFonts w:ascii="宋体" w:hAnsi="宋体"/>
                <w:kern w:val="0"/>
                <w:szCs w:val="21"/>
              </w:rPr>
            </w:pPr>
            <w:r>
              <w:rPr>
                <w:rFonts w:ascii="宋体" w:hAnsi="宋体"/>
                <w:kern w:val="0"/>
                <w:szCs w:val="21"/>
              </w:rPr>
              <w:t>4.85</w:t>
            </w:r>
          </w:p>
        </w:tc>
        <w:tc>
          <w:tcPr>
            <w:tcW w:w="216" w:type="pct"/>
            <w:shd w:val="clear" w:color="auto" w:fill="auto"/>
            <w:noWrap/>
            <w:vAlign w:val="center"/>
          </w:tcPr>
          <w:p w14:paraId="1F56487A">
            <w:pPr>
              <w:pStyle w:val="23"/>
              <w:jc w:val="center"/>
              <w:rPr>
                <w:rFonts w:ascii="宋体" w:hAnsi="宋体"/>
                <w:kern w:val="0"/>
                <w:szCs w:val="21"/>
              </w:rPr>
            </w:pPr>
            <w:r>
              <w:rPr>
                <w:rFonts w:ascii="宋体" w:hAnsi="宋体"/>
                <w:kern w:val="0"/>
                <w:szCs w:val="21"/>
              </w:rPr>
              <w:t>5</w:t>
            </w:r>
          </w:p>
        </w:tc>
        <w:tc>
          <w:tcPr>
            <w:tcW w:w="293" w:type="pct"/>
            <w:shd w:val="clear" w:color="auto" w:fill="auto"/>
            <w:noWrap/>
            <w:vAlign w:val="center"/>
          </w:tcPr>
          <w:p w14:paraId="6C01A8DD">
            <w:pPr>
              <w:pStyle w:val="23"/>
              <w:jc w:val="center"/>
              <w:rPr>
                <w:rFonts w:ascii="宋体" w:hAnsi="宋体"/>
                <w:kern w:val="0"/>
                <w:szCs w:val="21"/>
              </w:rPr>
            </w:pPr>
            <w:r>
              <w:rPr>
                <w:rFonts w:ascii="宋体" w:hAnsi="宋体"/>
                <w:kern w:val="0"/>
                <w:szCs w:val="21"/>
              </w:rPr>
              <w:t>4.84</w:t>
            </w:r>
          </w:p>
        </w:tc>
        <w:tc>
          <w:tcPr>
            <w:tcW w:w="268" w:type="pct"/>
            <w:shd w:val="clear" w:color="auto" w:fill="auto"/>
            <w:noWrap/>
            <w:vAlign w:val="center"/>
          </w:tcPr>
          <w:p w14:paraId="6EE28AC5">
            <w:pPr>
              <w:pStyle w:val="23"/>
              <w:jc w:val="center"/>
              <w:rPr>
                <w:rFonts w:ascii="宋体" w:hAnsi="宋体"/>
                <w:kern w:val="0"/>
                <w:szCs w:val="21"/>
              </w:rPr>
            </w:pPr>
            <w:r>
              <w:rPr>
                <w:rFonts w:ascii="宋体" w:hAnsi="宋体"/>
                <w:kern w:val="0"/>
                <w:szCs w:val="21"/>
              </w:rPr>
              <w:t>4.89</w:t>
            </w:r>
          </w:p>
        </w:tc>
        <w:tc>
          <w:tcPr>
            <w:tcW w:w="268" w:type="pct"/>
            <w:shd w:val="clear" w:color="auto" w:fill="auto"/>
            <w:noWrap/>
            <w:vAlign w:val="center"/>
          </w:tcPr>
          <w:p w14:paraId="14687059">
            <w:pPr>
              <w:pStyle w:val="23"/>
              <w:jc w:val="center"/>
              <w:rPr>
                <w:rFonts w:ascii="宋体" w:hAnsi="宋体"/>
                <w:kern w:val="0"/>
                <w:szCs w:val="21"/>
              </w:rPr>
            </w:pPr>
            <w:r>
              <w:rPr>
                <w:rFonts w:ascii="宋体" w:hAnsi="宋体"/>
                <w:kern w:val="0"/>
                <w:szCs w:val="21"/>
              </w:rPr>
              <w:t>4.86</w:t>
            </w:r>
          </w:p>
        </w:tc>
        <w:tc>
          <w:tcPr>
            <w:tcW w:w="268" w:type="pct"/>
            <w:shd w:val="clear" w:color="auto" w:fill="auto"/>
            <w:noWrap/>
            <w:vAlign w:val="center"/>
          </w:tcPr>
          <w:p w14:paraId="3DA00957">
            <w:pPr>
              <w:pStyle w:val="23"/>
              <w:jc w:val="center"/>
              <w:rPr>
                <w:rFonts w:ascii="宋体" w:hAnsi="宋体"/>
                <w:kern w:val="0"/>
                <w:szCs w:val="21"/>
              </w:rPr>
            </w:pPr>
            <w:r>
              <w:rPr>
                <w:rFonts w:ascii="宋体" w:hAnsi="宋体"/>
                <w:kern w:val="0"/>
                <w:szCs w:val="21"/>
              </w:rPr>
              <w:t>0</w:t>
            </w:r>
          </w:p>
        </w:tc>
        <w:tc>
          <w:tcPr>
            <w:tcW w:w="229" w:type="pct"/>
            <w:shd w:val="clear" w:color="auto" w:fill="auto"/>
            <w:noWrap/>
            <w:vAlign w:val="center"/>
          </w:tcPr>
          <w:p w14:paraId="11768355">
            <w:pPr>
              <w:pStyle w:val="23"/>
              <w:jc w:val="center"/>
              <w:rPr>
                <w:rFonts w:ascii="宋体" w:hAnsi="宋体"/>
                <w:kern w:val="0"/>
                <w:szCs w:val="21"/>
              </w:rPr>
            </w:pPr>
            <w:r>
              <w:rPr>
                <w:rFonts w:ascii="宋体" w:hAnsi="宋体"/>
                <w:kern w:val="0"/>
                <w:szCs w:val="21"/>
              </w:rPr>
              <w:t>4.89</w:t>
            </w:r>
          </w:p>
        </w:tc>
        <w:tc>
          <w:tcPr>
            <w:tcW w:w="258" w:type="pct"/>
            <w:shd w:val="clear" w:color="auto" w:fill="auto"/>
            <w:noWrap/>
            <w:vAlign w:val="center"/>
          </w:tcPr>
          <w:p w14:paraId="7E59B56F">
            <w:pPr>
              <w:pStyle w:val="23"/>
              <w:jc w:val="center"/>
              <w:rPr>
                <w:rFonts w:ascii="宋体" w:hAnsi="宋体"/>
                <w:kern w:val="0"/>
                <w:szCs w:val="21"/>
              </w:rPr>
            </w:pPr>
            <w:r>
              <w:rPr>
                <w:rFonts w:ascii="宋体" w:hAnsi="宋体"/>
                <w:kern w:val="0"/>
                <w:szCs w:val="21"/>
              </w:rPr>
              <w:t>4.8</w:t>
            </w:r>
          </w:p>
        </w:tc>
      </w:tr>
      <w:tr w14:paraId="0D6D268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77" w:type="pct"/>
            <w:vMerge w:val="continue"/>
            <w:vAlign w:val="center"/>
          </w:tcPr>
          <w:p w14:paraId="3DF78C94">
            <w:pPr>
              <w:pStyle w:val="23"/>
              <w:jc w:val="center"/>
              <w:rPr>
                <w:rFonts w:ascii="宋体" w:hAnsi="宋体"/>
                <w:b/>
                <w:kern w:val="0"/>
                <w:szCs w:val="21"/>
              </w:rPr>
            </w:pPr>
          </w:p>
        </w:tc>
        <w:tc>
          <w:tcPr>
            <w:tcW w:w="331" w:type="pct"/>
            <w:shd w:val="clear" w:color="auto" w:fill="auto"/>
            <w:noWrap/>
            <w:vAlign w:val="center"/>
          </w:tcPr>
          <w:p w14:paraId="42A0F369">
            <w:pPr>
              <w:pStyle w:val="23"/>
              <w:jc w:val="center"/>
              <w:rPr>
                <w:rFonts w:ascii="宋体" w:hAnsi="宋体"/>
                <w:b/>
                <w:kern w:val="0"/>
                <w:szCs w:val="21"/>
              </w:rPr>
            </w:pPr>
            <w:r>
              <w:rPr>
                <w:rFonts w:ascii="宋体" w:hAnsi="宋体"/>
                <w:b/>
                <w:kern w:val="0"/>
                <w:szCs w:val="21"/>
              </w:rPr>
              <w:t>酸雨频率</w:t>
            </w:r>
          </w:p>
        </w:tc>
        <w:tc>
          <w:tcPr>
            <w:tcW w:w="257" w:type="pct"/>
            <w:shd w:val="clear" w:color="auto" w:fill="auto"/>
            <w:noWrap/>
            <w:vAlign w:val="center"/>
          </w:tcPr>
          <w:p w14:paraId="1B50947D">
            <w:pPr>
              <w:pStyle w:val="23"/>
              <w:jc w:val="center"/>
              <w:rPr>
                <w:rFonts w:ascii="宋体" w:hAnsi="宋体"/>
                <w:kern w:val="0"/>
                <w:szCs w:val="21"/>
              </w:rPr>
            </w:pPr>
            <w:r>
              <w:rPr>
                <w:rFonts w:ascii="宋体" w:hAnsi="宋体"/>
                <w:kern w:val="0"/>
                <w:szCs w:val="21"/>
              </w:rPr>
              <w:t>4.89</w:t>
            </w:r>
          </w:p>
        </w:tc>
        <w:tc>
          <w:tcPr>
            <w:tcW w:w="257" w:type="pct"/>
            <w:shd w:val="clear" w:color="auto" w:fill="auto"/>
            <w:noWrap/>
            <w:vAlign w:val="center"/>
          </w:tcPr>
          <w:p w14:paraId="6087DEE8">
            <w:pPr>
              <w:pStyle w:val="23"/>
              <w:jc w:val="center"/>
              <w:rPr>
                <w:rFonts w:ascii="宋体" w:hAnsi="宋体"/>
                <w:kern w:val="0"/>
                <w:szCs w:val="21"/>
              </w:rPr>
            </w:pPr>
            <w:r>
              <w:rPr>
                <w:rFonts w:ascii="宋体" w:hAnsi="宋体"/>
                <w:kern w:val="0"/>
                <w:szCs w:val="21"/>
              </w:rPr>
              <w:t>4.84</w:t>
            </w:r>
          </w:p>
        </w:tc>
        <w:tc>
          <w:tcPr>
            <w:tcW w:w="257" w:type="pct"/>
            <w:shd w:val="clear" w:color="auto" w:fill="auto"/>
            <w:noWrap/>
            <w:vAlign w:val="center"/>
          </w:tcPr>
          <w:p w14:paraId="7BC2BE58">
            <w:pPr>
              <w:pStyle w:val="23"/>
              <w:jc w:val="center"/>
              <w:rPr>
                <w:rFonts w:ascii="宋体" w:hAnsi="宋体"/>
                <w:kern w:val="0"/>
                <w:szCs w:val="21"/>
              </w:rPr>
            </w:pPr>
            <w:r>
              <w:rPr>
                <w:rFonts w:ascii="宋体" w:hAnsi="宋体"/>
                <w:kern w:val="0"/>
                <w:szCs w:val="21"/>
              </w:rPr>
              <w:t>5.02</w:t>
            </w:r>
          </w:p>
        </w:tc>
        <w:tc>
          <w:tcPr>
            <w:tcW w:w="263" w:type="pct"/>
            <w:shd w:val="clear" w:color="auto" w:fill="auto"/>
            <w:noWrap/>
            <w:vAlign w:val="center"/>
          </w:tcPr>
          <w:p w14:paraId="1835EB30">
            <w:pPr>
              <w:pStyle w:val="23"/>
              <w:jc w:val="center"/>
              <w:rPr>
                <w:rFonts w:ascii="宋体" w:hAnsi="宋体"/>
                <w:kern w:val="0"/>
                <w:szCs w:val="21"/>
              </w:rPr>
            </w:pPr>
            <w:r>
              <w:rPr>
                <w:rFonts w:ascii="宋体" w:hAnsi="宋体"/>
                <w:kern w:val="0"/>
                <w:szCs w:val="21"/>
              </w:rPr>
              <w:t>4.93</w:t>
            </w:r>
          </w:p>
        </w:tc>
        <w:tc>
          <w:tcPr>
            <w:tcW w:w="261" w:type="pct"/>
            <w:shd w:val="clear" w:color="auto" w:fill="auto"/>
            <w:noWrap/>
            <w:vAlign w:val="center"/>
          </w:tcPr>
          <w:p w14:paraId="7D5428CB">
            <w:pPr>
              <w:pStyle w:val="23"/>
              <w:jc w:val="center"/>
              <w:rPr>
                <w:rFonts w:ascii="宋体" w:hAnsi="宋体"/>
                <w:kern w:val="0"/>
                <w:szCs w:val="21"/>
              </w:rPr>
            </w:pPr>
            <w:r>
              <w:rPr>
                <w:rFonts w:ascii="宋体" w:hAnsi="宋体"/>
                <w:kern w:val="0"/>
                <w:szCs w:val="21"/>
              </w:rPr>
              <w:t>4.89</w:t>
            </w:r>
          </w:p>
        </w:tc>
        <w:tc>
          <w:tcPr>
            <w:tcW w:w="261" w:type="pct"/>
            <w:shd w:val="clear" w:color="auto" w:fill="auto"/>
            <w:noWrap/>
            <w:vAlign w:val="center"/>
          </w:tcPr>
          <w:p w14:paraId="45B31E26">
            <w:pPr>
              <w:pStyle w:val="23"/>
              <w:jc w:val="center"/>
              <w:rPr>
                <w:rFonts w:ascii="宋体" w:hAnsi="宋体"/>
                <w:kern w:val="0"/>
                <w:szCs w:val="21"/>
              </w:rPr>
            </w:pPr>
            <w:r>
              <w:rPr>
                <w:rFonts w:ascii="宋体" w:hAnsi="宋体"/>
                <w:kern w:val="0"/>
                <w:szCs w:val="21"/>
              </w:rPr>
              <w:t>4.87</w:t>
            </w:r>
          </w:p>
        </w:tc>
        <w:tc>
          <w:tcPr>
            <w:tcW w:w="244" w:type="pct"/>
            <w:shd w:val="clear" w:color="auto" w:fill="auto"/>
            <w:noWrap/>
            <w:vAlign w:val="center"/>
          </w:tcPr>
          <w:p w14:paraId="62568E49">
            <w:pPr>
              <w:pStyle w:val="23"/>
              <w:jc w:val="center"/>
              <w:rPr>
                <w:rFonts w:ascii="宋体" w:hAnsi="宋体"/>
                <w:kern w:val="0"/>
                <w:szCs w:val="21"/>
              </w:rPr>
            </w:pPr>
            <w:r>
              <w:rPr>
                <w:rFonts w:ascii="宋体" w:hAnsi="宋体"/>
                <w:kern w:val="0"/>
                <w:szCs w:val="21"/>
              </w:rPr>
              <w:t>0</w:t>
            </w:r>
          </w:p>
        </w:tc>
        <w:tc>
          <w:tcPr>
            <w:tcW w:w="268" w:type="pct"/>
            <w:shd w:val="clear" w:color="auto" w:fill="auto"/>
            <w:noWrap/>
            <w:vAlign w:val="center"/>
          </w:tcPr>
          <w:p w14:paraId="1EE60361">
            <w:pPr>
              <w:pStyle w:val="23"/>
              <w:jc w:val="center"/>
              <w:rPr>
                <w:rFonts w:ascii="宋体" w:hAnsi="宋体"/>
                <w:kern w:val="0"/>
                <w:szCs w:val="21"/>
              </w:rPr>
            </w:pPr>
            <w:r>
              <w:rPr>
                <w:rFonts w:ascii="宋体" w:hAnsi="宋体"/>
                <w:kern w:val="0"/>
                <w:szCs w:val="21"/>
              </w:rPr>
              <w:t>4.87</w:t>
            </w:r>
          </w:p>
        </w:tc>
        <w:tc>
          <w:tcPr>
            <w:tcW w:w="293" w:type="pct"/>
            <w:shd w:val="clear" w:color="auto" w:fill="auto"/>
            <w:noWrap/>
            <w:vAlign w:val="center"/>
          </w:tcPr>
          <w:p w14:paraId="64EDAE0F">
            <w:pPr>
              <w:pStyle w:val="23"/>
              <w:jc w:val="center"/>
              <w:rPr>
                <w:rFonts w:ascii="宋体" w:hAnsi="宋体"/>
                <w:kern w:val="0"/>
                <w:szCs w:val="21"/>
              </w:rPr>
            </w:pPr>
            <w:r>
              <w:rPr>
                <w:rFonts w:ascii="宋体" w:hAnsi="宋体"/>
                <w:kern w:val="0"/>
                <w:szCs w:val="21"/>
              </w:rPr>
              <w:t>100</w:t>
            </w:r>
          </w:p>
        </w:tc>
        <w:tc>
          <w:tcPr>
            <w:tcW w:w="231" w:type="pct"/>
            <w:shd w:val="clear" w:color="auto" w:fill="auto"/>
            <w:noWrap/>
            <w:vAlign w:val="center"/>
          </w:tcPr>
          <w:p w14:paraId="197AA915">
            <w:pPr>
              <w:pStyle w:val="23"/>
              <w:jc w:val="center"/>
              <w:rPr>
                <w:rFonts w:ascii="宋体" w:hAnsi="宋体"/>
                <w:kern w:val="0"/>
                <w:szCs w:val="21"/>
              </w:rPr>
            </w:pPr>
            <w:r>
              <w:rPr>
                <w:rFonts w:ascii="宋体" w:hAnsi="宋体"/>
                <w:kern w:val="0"/>
                <w:szCs w:val="21"/>
              </w:rPr>
              <w:t>100</w:t>
            </w:r>
          </w:p>
        </w:tc>
        <w:tc>
          <w:tcPr>
            <w:tcW w:w="216" w:type="pct"/>
            <w:shd w:val="clear" w:color="auto" w:fill="auto"/>
            <w:noWrap/>
            <w:vAlign w:val="center"/>
          </w:tcPr>
          <w:p w14:paraId="70C6A021">
            <w:pPr>
              <w:pStyle w:val="23"/>
              <w:jc w:val="center"/>
              <w:rPr>
                <w:rFonts w:ascii="宋体" w:hAnsi="宋体"/>
                <w:kern w:val="0"/>
                <w:szCs w:val="21"/>
              </w:rPr>
            </w:pPr>
            <w:r>
              <w:rPr>
                <w:rFonts w:ascii="宋体" w:hAnsi="宋体"/>
                <w:kern w:val="0"/>
                <w:szCs w:val="21"/>
              </w:rPr>
              <w:t>10</w:t>
            </w:r>
          </w:p>
        </w:tc>
        <w:tc>
          <w:tcPr>
            <w:tcW w:w="293" w:type="pct"/>
            <w:shd w:val="clear" w:color="auto" w:fill="auto"/>
            <w:noWrap/>
            <w:vAlign w:val="center"/>
          </w:tcPr>
          <w:p w14:paraId="4B43D871">
            <w:pPr>
              <w:pStyle w:val="23"/>
              <w:jc w:val="center"/>
              <w:rPr>
                <w:rFonts w:ascii="宋体" w:hAnsi="宋体"/>
                <w:kern w:val="0"/>
                <w:szCs w:val="21"/>
              </w:rPr>
            </w:pPr>
            <w:r>
              <w:rPr>
                <w:rFonts w:ascii="宋体" w:hAnsi="宋体"/>
                <w:kern w:val="0"/>
                <w:szCs w:val="21"/>
              </w:rPr>
              <w:t>100</w:t>
            </w:r>
          </w:p>
        </w:tc>
        <w:tc>
          <w:tcPr>
            <w:tcW w:w="268" w:type="pct"/>
            <w:shd w:val="clear" w:color="auto" w:fill="auto"/>
            <w:noWrap/>
            <w:vAlign w:val="center"/>
          </w:tcPr>
          <w:p w14:paraId="67E5F7C6">
            <w:pPr>
              <w:pStyle w:val="23"/>
              <w:jc w:val="center"/>
              <w:rPr>
                <w:rFonts w:ascii="宋体" w:hAnsi="宋体"/>
                <w:kern w:val="0"/>
                <w:szCs w:val="21"/>
              </w:rPr>
            </w:pPr>
            <w:r>
              <w:rPr>
                <w:rFonts w:ascii="宋体" w:hAnsi="宋体"/>
                <w:kern w:val="0"/>
                <w:szCs w:val="21"/>
              </w:rPr>
              <w:t>100</w:t>
            </w:r>
          </w:p>
        </w:tc>
        <w:tc>
          <w:tcPr>
            <w:tcW w:w="268" w:type="pct"/>
            <w:shd w:val="clear" w:color="auto" w:fill="auto"/>
            <w:noWrap/>
            <w:vAlign w:val="center"/>
          </w:tcPr>
          <w:p w14:paraId="23B8A24B">
            <w:pPr>
              <w:pStyle w:val="23"/>
              <w:jc w:val="center"/>
              <w:rPr>
                <w:rFonts w:ascii="宋体" w:hAnsi="宋体"/>
                <w:kern w:val="0"/>
                <w:szCs w:val="21"/>
              </w:rPr>
            </w:pPr>
            <w:r>
              <w:rPr>
                <w:rFonts w:ascii="宋体" w:hAnsi="宋体"/>
                <w:kern w:val="0"/>
                <w:szCs w:val="21"/>
              </w:rPr>
              <w:t>100</w:t>
            </w:r>
          </w:p>
        </w:tc>
        <w:tc>
          <w:tcPr>
            <w:tcW w:w="268" w:type="pct"/>
            <w:shd w:val="clear" w:color="auto" w:fill="auto"/>
            <w:noWrap/>
            <w:vAlign w:val="center"/>
          </w:tcPr>
          <w:p w14:paraId="4DE49EDC">
            <w:pPr>
              <w:pStyle w:val="23"/>
              <w:jc w:val="center"/>
              <w:rPr>
                <w:rFonts w:ascii="宋体" w:hAnsi="宋体"/>
                <w:kern w:val="0"/>
                <w:szCs w:val="21"/>
              </w:rPr>
            </w:pPr>
            <w:r>
              <w:rPr>
                <w:rFonts w:ascii="宋体" w:hAnsi="宋体"/>
                <w:kern w:val="0"/>
                <w:szCs w:val="21"/>
              </w:rPr>
              <w:t>0</w:t>
            </w:r>
          </w:p>
        </w:tc>
        <w:tc>
          <w:tcPr>
            <w:tcW w:w="229" w:type="pct"/>
            <w:shd w:val="clear" w:color="auto" w:fill="auto"/>
            <w:noWrap/>
            <w:vAlign w:val="center"/>
          </w:tcPr>
          <w:p w14:paraId="276B704B">
            <w:pPr>
              <w:pStyle w:val="23"/>
              <w:jc w:val="center"/>
              <w:rPr>
                <w:rFonts w:ascii="宋体" w:hAnsi="宋体"/>
                <w:kern w:val="0"/>
                <w:szCs w:val="21"/>
              </w:rPr>
            </w:pPr>
            <w:r>
              <w:rPr>
                <w:rFonts w:ascii="宋体" w:hAnsi="宋体"/>
                <w:kern w:val="0"/>
                <w:szCs w:val="21"/>
              </w:rPr>
              <w:t>100</w:t>
            </w:r>
          </w:p>
        </w:tc>
        <w:tc>
          <w:tcPr>
            <w:tcW w:w="258" w:type="pct"/>
            <w:shd w:val="clear" w:color="auto" w:fill="auto"/>
            <w:noWrap/>
            <w:vAlign w:val="center"/>
          </w:tcPr>
          <w:p w14:paraId="281A4691">
            <w:pPr>
              <w:pStyle w:val="23"/>
              <w:jc w:val="center"/>
              <w:rPr>
                <w:rFonts w:ascii="宋体" w:hAnsi="宋体"/>
                <w:kern w:val="0"/>
                <w:szCs w:val="21"/>
              </w:rPr>
            </w:pPr>
            <w:r>
              <w:rPr>
                <w:rFonts w:ascii="宋体" w:hAnsi="宋体"/>
                <w:kern w:val="0"/>
                <w:szCs w:val="21"/>
              </w:rPr>
              <w:t>98.0</w:t>
            </w:r>
          </w:p>
        </w:tc>
      </w:tr>
      <w:tr w14:paraId="175BF3F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77" w:type="pct"/>
            <w:vMerge w:val="continue"/>
            <w:vAlign w:val="center"/>
          </w:tcPr>
          <w:p w14:paraId="39F9ED86">
            <w:pPr>
              <w:pStyle w:val="23"/>
              <w:jc w:val="center"/>
              <w:rPr>
                <w:rFonts w:ascii="宋体" w:hAnsi="宋体"/>
                <w:b/>
                <w:kern w:val="0"/>
                <w:szCs w:val="21"/>
              </w:rPr>
            </w:pPr>
          </w:p>
        </w:tc>
        <w:tc>
          <w:tcPr>
            <w:tcW w:w="331" w:type="pct"/>
            <w:shd w:val="clear" w:color="auto" w:fill="auto"/>
            <w:noWrap/>
            <w:vAlign w:val="center"/>
          </w:tcPr>
          <w:p w14:paraId="61D87974">
            <w:pPr>
              <w:pStyle w:val="23"/>
              <w:jc w:val="center"/>
              <w:rPr>
                <w:rFonts w:ascii="宋体" w:hAnsi="宋体"/>
                <w:b/>
                <w:kern w:val="0"/>
                <w:szCs w:val="21"/>
              </w:rPr>
            </w:pPr>
            <w:r>
              <w:rPr>
                <w:rFonts w:ascii="宋体" w:hAnsi="宋体"/>
                <w:b/>
                <w:kern w:val="0"/>
                <w:szCs w:val="21"/>
              </w:rPr>
              <w:t>降雨量(毫米)</w:t>
            </w:r>
          </w:p>
        </w:tc>
        <w:tc>
          <w:tcPr>
            <w:tcW w:w="257" w:type="pct"/>
            <w:shd w:val="clear" w:color="auto" w:fill="auto"/>
            <w:noWrap/>
            <w:vAlign w:val="center"/>
          </w:tcPr>
          <w:p w14:paraId="4ED9918F">
            <w:pPr>
              <w:pStyle w:val="23"/>
              <w:jc w:val="center"/>
              <w:rPr>
                <w:rFonts w:ascii="宋体" w:hAnsi="宋体"/>
                <w:kern w:val="0"/>
                <w:szCs w:val="21"/>
              </w:rPr>
            </w:pPr>
            <w:r>
              <w:rPr>
                <w:rFonts w:ascii="宋体" w:hAnsi="宋体"/>
                <w:kern w:val="0"/>
                <w:szCs w:val="21"/>
              </w:rPr>
              <w:t>100</w:t>
            </w:r>
          </w:p>
        </w:tc>
        <w:tc>
          <w:tcPr>
            <w:tcW w:w="257" w:type="pct"/>
            <w:shd w:val="clear" w:color="auto" w:fill="auto"/>
            <w:noWrap/>
            <w:vAlign w:val="center"/>
          </w:tcPr>
          <w:p w14:paraId="524785D1">
            <w:pPr>
              <w:pStyle w:val="23"/>
              <w:jc w:val="center"/>
              <w:rPr>
                <w:rFonts w:ascii="宋体" w:hAnsi="宋体"/>
                <w:kern w:val="0"/>
                <w:szCs w:val="21"/>
              </w:rPr>
            </w:pPr>
            <w:r>
              <w:rPr>
                <w:rFonts w:ascii="宋体" w:hAnsi="宋体"/>
                <w:kern w:val="0"/>
                <w:szCs w:val="21"/>
              </w:rPr>
              <w:t>100</w:t>
            </w:r>
          </w:p>
        </w:tc>
        <w:tc>
          <w:tcPr>
            <w:tcW w:w="257" w:type="pct"/>
            <w:shd w:val="clear" w:color="auto" w:fill="auto"/>
            <w:noWrap/>
            <w:vAlign w:val="center"/>
          </w:tcPr>
          <w:p w14:paraId="641884EB">
            <w:pPr>
              <w:pStyle w:val="23"/>
              <w:jc w:val="center"/>
              <w:rPr>
                <w:rFonts w:ascii="宋体" w:hAnsi="宋体"/>
                <w:kern w:val="0"/>
                <w:szCs w:val="21"/>
              </w:rPr>
            </w:pPr>
            <w:r>
              <w:rPr>
                <w:rFonts w:ascii="宋体" w:hAnsi="宋体"/>
                <w:kern w:val="0"/>
                <w:szCs w:val="21"/>
              </w:rPr>
              <w:t>100</w:t>
            </w:r>
          </w:p>
        </w:tc>
        <w:tc>
          <w:tcPr>
            <w:tcW w:w="263" w:type="pct"/>
            <w:shd w:val="clear" w:color="auto" w:fill="auto"/>
            <w:noWrap/>
            <w:vAlign w:val="center"/>
          </w:tcPr>
          <w:p w14:paraId="5EBB5390">
            <w:pPr>
              <w:pStyle w:val="23"/>
              <w:jc w:val="center"/>
              <w:rPr>
                <w:rFonts w:ascii="宋体" w:hAnsi="宋体"/>
                <w:kern w:val="0"/>
                <w:szCs w:val="21"/>
              </w:rPr>
            </w:pPr>
            <w:r>
              <w:rPr>
                <w:rFonts w:ascii="宋体" w:hAnsi="宋体"/>
                <w:kern w:val="0"/>
                <w:szCs w:val="21"/>
              </w:rPr>
              <w:t>100</w:t>
            </w:r>
          </w:p>
        </w:tc>
        <w:tc>
          <w:tcPr>
            <w:tcW w:w="261" w:type="pct"/>
            <w:shd w:val="clear" w:color="auto" w:fill="auto"/>
            <w:noWrap/>
            <w:vAlign w:val="center"/>
          </w:tcPr>
          <w:p w14:paraId="606056A3">
            <w:pPr>
              <w:pStyle w:val="23"/>
              <w:jc w:val="center"/>
              <w:rPr>
                <w:rFonts w:ascii="宋体" w:hAnsi="宋体"/>
                <w:kern w:val="0"/>
                <w:szCs w:val="21"/>
              </w:rPr>
            </w:pPr>
            <w:r>
              <w:rPr>
                <w:rFonts w:ascii="宋体" w:hAnsi="宋体"/>
                <w:kern w:val="0"/>
                <w:szCs w:val="21"/>
              </w:rPr>
              <w:t>83.3</w:t>
            </w:r>
          </w:p>
        </w:tc>
        <w:tc>
          <w:tcPr>
            <w:tcW w:w="261" w:type="pct"/>
            <w:shd w:val="clear" w:color="auto" w:fill="auto"/>
            <w:noWrap/>
            <w:vAlign w:val="center"/>
          </w:tcPr>
          <w:p w14:paraId="76F289F8">
            <w:pPr>
              <w:pStyle w:val="23"/>
              <w:jc w:val="center"/>
              <w:rPr>
                <w:rFonts w:ascii="宋体" w:hAnsi="宋体"/>
                <w:kern w:val="0"/>
                <w:szCs w:val="21"/>
              </w:rPr>
            </w:pPr>
            <w:r>
              <w:rPr>
                <w:rFonts w:ascii="宋体" w:hAnsi="宋体"/>
                <w:kern w:val="0"/>
                <w:szCs w:val="21"/>
              </w:rPr>
              <w:t>100</w:t>
            </w:r>
          </w:p>
        </w:tc>
        <w:tc>
          <w:tcPr>
            <w:tcW w:w="244" w:type="pct"/>
            <w:shd w:val="clear" w:color="auto" w:fill="auto"/>
            <w:noWrap/>
            <w:vAlign w:val="center"/>
          </w:tcPr>
          <w:p w14:paraId="43631D2E">
            <w:pPr>
              <w:pStyle w:val="23"/>
              <w:jc w:val="center"/>
              <w:rPr>
                <w:rFonts w:ascii="宋体" w:hAnsi="宋体"/>
                <w:kern w:val="0"/>
                <w:szCs w:val="21"/>
              </w:rPr>
            </w:pPr>
            <w:r>
              <w:rPr>
                <w:rFonts w:ascii="宋体" w:hAnsi="宋体"/>
                <w:kern w:val="0"/>
                <w:szCs w:val="21"/>
              </w:rPr>
              <w:t>0</w:t>
            </w:r>
          </w:p>
        </w:tc>
        <w:tc>
          <w:tcPr>
            <w:tcW w:w="268" w:type="pct"/>
            <w:shd w:val="clear" w:color="auto" w:fill="auto"/>
            <w:noWrap/>
            <w:vAlign w:val="center"/>
          </w:tcPr>
          <w:p w14:paraId="36459CE5">
            <w:pPr>
              <w:pStyle w:val="23"/>
              <w:jc w:val="center"/>
              <w:rPr>
                <w:rFonts w:ascii="宋体" w:hAnsi="宋体"/>
                <w:kern w:val="0"/>
                <w:szCs w:val="21"/>
              </w:rPr>
            </w:pPr>
            <w:r>
              <w:rPr>
                <w:rFonts w:ascii="宋体" w:hAnsi="宋体"/>
                <w:kern w:val="0"/>
                <w:szCs w:val="21"/>
              </w:rPr>
              <w:t>95.2</w:t>
            </w:r>
          </w:p>
        </w:tc>
        <w:tc>
          <w:tcPr>
            <w:tcW w:w="293" w:type="pct"/>
            <w:shd w:val="clear" w:color="auto" w:fill="auto"/>
            <w:noWrap/>
            <w:vAlign w:val="center"/>
          </w:tcPr>
          <w:p w14:paraId="5B51D917">
            <w:pPr>
              <w:pStyle w:val="23"/>
              <w:jc w:val="center"/>
              <w:rPr>
                <w:rFonts w:ascii="宋体" w:hAnsi="宋体"/>
                <w:kern w:val="0"/>
                <w:szCs w:val="21"/>
              </w:rPr>
            </w:pPr>
            <w:r>
              <w:rPr>
                <w:rFonts w:ascii="宋体" w:hAnsi="宋体"/>
                <w:kern w:val="0"/>
                <w:szCs w:val="21"/>
              </w:rPr>
              <w:t>493.6</w:t>
            </w:r>
          </w:p>
        </w:tc>
        <w:tc>
          <w:tcPr>
            <w:tcW w:w="231" w:type="pct"/>
            <w:shd w:val="clear" w:color="auto" w:fill="auto"/>
            <w:noWrap/>
            <w:vAlign w:val="center"/>
          </w:tcPr>
          <w:p w14:paraId="45AB3BC3">
            <w:pPr>
              <w:pStyle w:val="23"/>
              <w:jc w:val="center"/>
              <w:rPr>
                <w:rFonts w:ascii="宋体" w:hAnsi="宋体"/>
                <w:kern w:val="0"/>
                <w:szCs w:val="21"/>
              </w:rPr>
            </w:pPr>
            <w:r>
              <w:rPr>
                <w:rFonts w:ascii="宋体" w:hAnsi="宋体"/>
                <w:kern w:val="0"/>
                <w:szCs w:val="21"/>
              </w:rPr>
              <w:t>88.8</w:t>
            </w:r>
          </w:p>
        </w:tc>
        <w:tc>
          <w:tcPr>
            <w:tcW w:w="216" w:type="pct"/>
            <w:shd w:val="clear" w:color="auto" w:fill="auto"/>
            <w:noWrap/>
            <w:vAlign w:val="center"/>
          </w:tcPr>
          <w:p w14:paraId="18D83605">
            <w:pPr>
              <w:pStyle w:val="23"/>
              <w:jc w:val="center"/>
              <w:rPr>
                <w:rFonts w:ascii="宋体" w:hAnsi="宋体"/>
                <w:kern w:val="0"/>
                <w:szCs w:val="21"/>
              </w:rPr>
            </w:pPr>
            <w:r>
              <w:rPr>
                <w:rFonts w:ascii="宋体" w:hAnsi="宋体"/>
                <w:kern w:val="0"/>
                <w:szCs w:val="21"/>
              </w:rPr>
              <w:t>105</w:t>
            </w:r>
          </w:p>
        </w:tc>
        <w:tc>
          <w:tcPr>
            <w:tcW w:w="293" w:type="pct"/>
            <w:shd w:val="clear" w:color="auto" w:fill="auto"/>
            <w:noWrap/>
            <w:vAlign w:val="center"/>
          </w:tcPr>
          <w:p w14:paraId="4175F23A">
            <w:pPr>
              <w:pStyle w:val="23"/>
              <w:jc w:val="center"/>
              <w:rPr>
                <w:rFonts w:ascii="宋体" w:hAnsi="宋体"/>
                <w:kern w:val="0"/>
                <w:szCs w:val="21"/>
              </w:rPr>
            </w:pPr>
            <w:r>
              <w:rPr>
                <w:rFonts w:ascii="宋体" w:hAnsi="宋体"/>
                <w:kern w:val="0"/>
                <w:szCs w:val="21"/>
              </w:rPr>
              <w:t>687.4</w:t>
            </w:r>
          </w:p>
        </w:tc>
        <w:tc>
          <w:tcPr>
            <w:tcW w:w="268" w:type="pct"/>
            <w:shd w:val="clear" w:color="auto" w:fill="auto"/>
            <w:noWrap/>
            <w:vAlign w:val="center"/>
          </w:tcPr>
          <w:p w14:paraId="7D1AC6FA">
            <w:pPr>
              <w:pStyle w:val="23"/>
              <w:jc w:val="center"/>
              <w:rPr>
                <w:rFonts w:ascii="宋体" w:hAnsi="宋体"/>
                <w:kern w:val="0"/>
                <w:szCs w:val="21"/>
              </w:rPr>
            </w:pPr>
            <w:r>
              <w:rPr>
                <w:rFonts w:ascii="宋体" w:hAnsi="宋体"/>
                <w:kern w:val="0"/>
                <w:szCs w:val="21"/>
              </w:rPr>
              <w:t>60.3</w:t>
            </w:r>
          </w:p>
        </w:tc>
        <w:tc>
          <w:tcPr>
            <w:tcW w:w="268" w:type="pct"/>
            <w:shd w:val="clear" w:color="auto" w:fill="auto"/>
            <w:noWrap/>
            <w:vAlign w:val="center"/>
          </w:tcPr>
          <w:p w14:paraId="28FB56FF">
            <w:pPr>
              <w:pStyle w:val="23"/>
              <w:jc w:val="center"/>
              <w:rPr>
                <w:rFonts w:ascii="宋体" w:hAnsi="宋体"/>
                <w:kern w:val="0"/>
                <w:szCs w:val="21"/>
              </w:rPr>
            </w:pPr>
            <w:r>
              <w:rPr>
                <w:rFonts w:ascii="宋体" w:hAnsi="宋体"/>
                <w:kern w:val="0"/>
                <w:szCs w:val="21"/>
              </w:rPr>
              <w:t>15</w:t>
            </w:r>
          </w:p>
        </w:tc>
        <w:tc>
          <w:tcPr>
            <w:tcW w:w="268" w:type="pct"/>
            <w:shd w:val="clear" w:color="auto" w:fill="auto"/>
            <w:noWrap/>
            <w:vAlign w:val="center"/>
          </w:tcPr>
          <w:p w14:paraId="67723D6D">
            <w:pPr>
              <w:pStyle w:val="23"/>
              <w:jc w:val="center"/>
              <w:rPr>
                <w:rFonts w:ascii="宋体" w:hAnsi="宋体"/>
                <w:kern w:val="0"/>
                <w:szCs w:val="21"/>
              </w:rPr>
            </w:pPr>
            <w:r>
              <w:rPr>
                <w:rFonts w:ascii="宋体" w:hAnsi="宋体"/>
                <w:kern w:val="0"/>
                <w:szCs w:val="21"/>
              </w:rPr>
              <w:t>0</w:t>
            </w:r>
          </w:p>
        </w:tc>
        <w:tc>
          <w:tcPr>
            <w:tcW w:w="229" w:type="pct"/>
            <w:shd w:val="clear" w:color="auto" w:fill="auto"/>
            <w:noWrap/>
            <w:vAlign w:val="center"/>
          </w:tcPr>
          <w:p w14:paraId="398BF9B1">
            <w:pPr>
              <w:pStyle w:val="23"/>
              <w:jc w:val="center"/>
              <w:rPr>
                <w:rFonts w:ascii="宋体" w:hAnsi="宋体"/>
                <w:kern w:val="0"/>
                <w:szCs w:val="21"/>
              </w:rPr>
            </w:pPr>
            <w:r>
              <w:rPr>
                <w:rFonts w:ascii="宋体" w:hAnsi="宋体"/>
                <w:kern w:val="0"/>
                <w:szCs w:val="21"/>
              </w:rPr>
              <w:t>75.3</w:t>
            </w:r>
          </w:p>
        </w:tc>
        <w:tc>
          <w:tcPr>
            <w:tcW w:w="258" w:type="pct"/>
            <w:shd w:val="clear" w:color="auto" w:fill="auto"/>
            <w:noWrap/>
            <w:vAlign w:val="center"/>
          </w:tcPr>
          <w:p w14:paraId="64844A3D">
            <w:pPr>
              <w:pStyle w:val="23"/>
              <w:jc w:val="center"/>
              <w:rPr>
                <w:rFonts w:ascii="宋体" w:hAnsi="宋体"/>
                <w:kern w:val="0"/>
                <w:szCs w:val="21"/>
              </w:rPr>
            </w:pPr>
            <w:r>
              <w:rPr>
                <w:rFonts w:ascii="宋体" w:hAnsi="宋体"/>
                <w:kern w:val="0"/>
                <w:szCs w:val="21"/>
              </w:rPr>
              <w:t>1467.5</w:t>
            </w:r>
          </w:p>
        </w:tc>
      </w:tr>
    </w:tbl>
    <w:p w14:paraId="22CD9DAF">
      <w:pPr>
        <w:pStyle w:val="2"/>
      </w:pPr>
      <w:r>
        <w:rPr>
          <w:rFonts w:hint="eastAsia"/>
        </w:rPr>
        <w:t>商贸·旅游</w:t>
      </w:r>
    </w:p>
    <w:p w14:paraId="0F7F3024">
      <w:pPr>
        <w:pStyle w:val="3"/>
      </w:pPr>
      <w:r>
        <w:rPr>
          <w:rFonts w:hint="eastAsia"/>
        </w:rPr>
        <w:t>供销</w:t>
      </w:r>
    </w:p>
    <w:p w14:paraId="7B30AA97">
      <w:pPr>
        <w:pStyle w:val="4"/>
      </w:pPr>
      <w:r>
        <w:rPr>
          <w:rFonts w:hint="eastAsia"/>
        </w:rPr>
        <w:t>【概况】</w:t>
      </w:r>
    </w:p>
    <w:p w14:paraId="2D70958A">
      <w:pPr>
        <w:ind w:firstLine="420"/>
        <w:rPr>
          <w:rFonts w:ascii="宋体" w:hAnsi="宋体"/>
          <w:szCs w:val="21"/>
        </w:rPr>
      </w:pPr>
      <w:r>
        <w:rPr>
          <w:rFonts w:hint="eastAsia" w:ascii="宋体" w:hAnsi="宋体"/>
          <w:szCs w:val="21"/>
        </w:rPr>
        <w:t>2011年，南雄市供销合作联社全系统有干部职工108人，市社本部25人，离退休人员456人。供销合作社机关设办公室、财会统计股、人事监察股、业务基层股。主要职能是担负对社员社组织指导、协调、服务和监督的职责，组织发展农村经济合作社组织，负责组织农资、烟花爆竹、再生资源经营管理，开拓城乡农产品流通市场，为“三农”提供服务，承办市委、市政府及上级社交办的其他事项。</w:t>
      </w:r>
    </w:p>
    <w:p w14:paraId="56484A69">
      <w:pPr>
        <w:pStyle w:val="4"/>
      </w:pPr>
      <w:r>
        <w:rPr>
          <w:rFonts w:hint="eastAsia"/>
        </w:rPr>
        <w:t>【农业生产资料购销】</w:t>
      </w:r>
    </w:p>
    <w:p w14:paraId="0978AD49">
      <w:pPr>
        <w:ind w:firstLine="420"/>
        <w:rPr>
          <w:rFonts w:ascii="宋体" w:hAnsi="宋体"/>
          <w:szCs w:val="21"/>
        </w:rPr>
      </w:pPr>
      <w:r>
        <w:rPr>
          <w:rFonts w:hint="eastAsia" w:ascii="宋体" w:hAnsi="宋体"/>
          <w:szCs w:val="21"/>
        </w:rPr>
        <w:t>南雄市农业生产资料有限责任公司是承担全市化肥、农药救灾储备和化肥淡季储备任务的主要企业，承担着全市化肥、农药救灾储备，采取“宣传、示范、解难”三位一体的服务方式。到2011年12月，发展自营连锁店45间，加盟连锁店56间、配送直销点79个，组建农资专业合作社16个，销售点196个，网点覆盖率75%，销售肥料40986吨、农药182吨，实现销售额10779万元。</w:t>
      </w:r>
    </w:p>
    <w:p w14:paraId="16E6E891">
      <w:pPr>
        <w:pStyle w:val="4"/>
      </w:pPr>
      <w:r>
        <w:rPr>
          <w:rFonts w:hint="eastAsia"/>
        </w:rPr>
        <w:t>【农产品购销】</w:t>
      </w:r>
    </w:p>
    <w:p w14:paraId="0FA778B2">
      <w:pPr>
        <w:ind w:firstLine="420"/>
        <w:rPr>
          <w:rFonts w:ascii="宋体" w:hAnsi="宋体"/>
          <w:szCs w:val="21"/>
        </w:rPr>
      </w:pPr>
      <w:r>
        <w:rPr>
          <w:rFonts w:hint="eastAsia" w:ascii="宋体" w:hAnsi="宋体"/>
          <w:szCs w:val="21"/>
        </w:rPr>
        <w:t>2011年全市完成订单种植甜玉米3200多亩，直接带动农户2860户，实现助农增收446万元、“农超对接”销售20.5万元。领办野山椒、蔬菜、花生、果树等类型的20个专业合作社。发展月饼加工、板鸭等特产肉制腊味业务，拓展销售市场，年营业额达到180多万元。</w:t>
      </w:r>
    </w:p>
    <w:p w14:paraId="180B0AC1">
      <w:pPr>
        <w:pStyle w:val="4"/>
      </w:pPr>
      <w:r>
        <w:rPr>
          <w:rFonts w:hint="eastAsia"/>
        </w:rPr>
        <w:t>【生活资料购销】</w:t>
      </w:r>
    </w:p>
    <w:p w14:paraId="10F96311">
      <w:pPr>
        <w:ind w:firstLine="420"/>
        <w:rPr>
          <w:rFonts w:ascii="宋体" w:hAnsi="宋体"/>
          <w:szCs w:val="21"/>
        </w:rPr>
      </w:pPr>
      <w:r>
        <w:rPr>
          <w:rFonts w:hint="eastAsia" w:ascii="宋体" w:hAnsi="宋体"/>
          <w:szCs w:val="21"/>
        </w:rPr>
        <w:t>南雄市万安日用杂品有限责任公司主要经营日用杂品、烟花爆竹。2011年12月，全系统建立日用消费品“万村千乡”市场工程农家店35个，配送中心2个，销售网点250多个，实现旅游销售415万元，同比增长9.2%。通过深化专项整治工作，规范烟花爆竹生产、销售秩序，提高烟花爆竹安全管理水平。</w:t>
      </w:r>
    </w:p>
    <w:p w14:paraId="6FC979D5">
      <w:pPr>
        <w:pStyle w:val="4"/>
      </w:pPr>
      <w:r>
        <w:rPr>
          <w:rFonts w:hint="eastAsia"/>
        </w:rPr>
        <w:t>【废品经营】</w:t>
      </w:r>
    </w:p>
    <w:p w14:paraId="7888CDD4">
      <w:pPr>
        <w:ind w:firstLine="420"/>
        <w:rPr>
          <w:rFonts w:ascii="宋体" w:hAnsi="宋体"/>
          <w:szCs w:val="21"/>
        </w:rPr>
      </w:pPr>
      <w:r>
        <w:rPr>
          <w:rFonts w:hint="eastAsia" w:ascii="宋体" w:hAnsi="宋体"/>
          <w:szCs w:val="21"/>
        </w:rPr>
        <w:t>2011年全市再生资源回收站网点53个，全面进行统一标识、统一管理，建立以社区回收点为基础、以集散交易中心为载体、以综合加工利用为目标的再生资源回收利用网络体系，形成较为完善的再生资源产业链，逐步实现再生能源产业化、资源化和无害化的目标。</w:t>
      </w:r>
    </w:p>
    <w:p w14:paraId="7B61295E">
      <w:pPr>
        <w:pStyle w:val="4"/>
      </w:pPr>
      <w:r>
        <w:rPr>
          <w:rFonts w:hint="eastAsia"/>
        </w:rPr>
        <w:t>【生猪定点屠宰管理、经营】</w:t>
      </w:r>
    </w:p>
    <w:p w14:paraId="2E4C9DCE">
      <w:pPr>
        <w:ind w:firstLine="420"/>
        <w:rPr>
          <w:rFonts w:ascii="宋体" w:hAnsi="宋体"/>
          <w:b/>
          <w:szCs w:val="21"/>
        </w:rPr>
      </w:pPr>
      <w:r>
        <w:rPr>
          <w:rFonts w:hint="eastAsia" w:ascii="宋体" w:hAnsi="宋体"/>
          <w:szCs w:val="21"/>
        </w:rPr>
        <w:t>南雄市利民肉联厂是南雄市区生猪定点屠宰的唯一企业，拥有两套湖南常德产100型生猪屠宰生产线和相应的配套实施。近年来，利民肉联厂通过加强管理，规范经营，加大科技改造力度，实现生产工艺技术升级改造，污水处理达标排放，病、害、死猪无公害处理，肉品塑源产、销信息化管理，经营业务得到很大发展，市区产品市场占有率达到95%，生猪屠宰量2011年达到4.3万头，实现利润23万元。维护南雄市食品公共安全，确保让广大群众吃上“放心肉”，同时带动本地及周边地区生猪产业的发展。（张  涛）</w:t>
      </w:r>
      <w:r>
        <w:rPr>
          <w:rFonts w:hint="eastAsia" w:ascii="宋体" w:hAnsi="宋体"/>
          <w:b/>
          <w:szCs w:val="21"/>
        </w:rPr>
        <w:t>附：2011年市供销联社领导班子成员名单</w:t>
      </w:r>
    </w:p>
    <w:p w14:paraId="745C331D">
      <w:pPr>
        <w:ind w:firstLine="0" w:firstLineChars="0"/>
        <w:rPr>
          <w:rFonts w:ascii="宋体" w:hAnsi="宋体"/>
          <w:szCs w:val="21"/>
        </w:rPr>
      </w:pPr>
      <w:r>
        <w:rPr>
          <w:rFonts w:hint="eastAsia" w:ascii="宋体" w:hAnsi="宋体"/>
          <w:szCs w:val="21"/>
        </w:rPr>
        <w:t>主  任：刘富平</w:t>
      </w:r>
    </w:p>
    <w:p w14:paraId="6B92B9C5">
      <w:pPr>
        <w:ind w:firstLine="0" w:firstLineChars="0"/>
        <w:rPr>
          <w:rFonts w:ascii="宋体" w:hAnsi="宋体"/>
          <w:szCs w:val="21"/>
        </w:rPr>
      </w:pPr>
      <w:r>
        <w:rPr>
          <w:rFonts w:hint="eastAsia" w:ascii="宋体" w:hAnsi="宋体"/>
          <w:szCs w:val="21"/>
        </w:rPr>
        <w:t>副主任：刘光明  卢德文  张岳桦</w:t>
      </w:r>
    </w:p>
    <w:p w14:paraId="1903DAE7">
      <w:pPr>
        <w:ind w:firstLine="0" w:firstLineChars="0"/>
        <w:rPr>
          <w:rFonts w:ascii="宋体" w:hAnsi="宋体"/>
          <w:szCs w:val="21"/>
        </w:rPr>
      </w:pPr>
      <w:r>
        <w:rPr>
          <w:rFonts w:hint="eastAsia" w:ascii="宋体" w:hAnsi="宋体"/>
          <w:szCs w:val="21"/>
        </w:rPr>
        <w:t>工会主席：陈亿红</w:t>
      </w:r>
    </w:p>
    <w:p w14:paraId="1E171260">
      <w:pPr>
        <w:pStyle w:val="3"/>
      </w:pPr>
      <w:r>
        <w:rPr>
          <w:rFonts w:hint="eastAsia"/>
        </w:rPr>
        <w:t>盐业</w:t>
      </w:r>
    </w:p>
    <w:p w14:paraId="44BC45BD">
      <w:pPr>
        <w:pStyle w:val="4"/>
      </w:pPr>
      <w:r>
        <w:rPr>
          <w:rFonts w:hint="eastAsia"/>
        </w:rPr>
        <w:t>【概况】</w:t>
      </w:r>
    </w:p>
    <w:p w14:paraId="26A1FA7F">
      <w:pPr>
        <w:ind w:firstLine="420"/>
        <w:rPr>
          <w:rFonts w:ascii="宋体" w:hAnsi="宋体"/>
          <w:szCs w:val="21"/>
        </w:rPr>
      </w:pPr>
      <w:r>
        <w:rPr>
          <w:rFonts w:hint="eastAsia" w:ascii="宋体" w:hAnsi="宋体"/>
          <w:szCs w:val="21"/>
        </w:rPr>
        <w:t>广东省韶关盐业总公司南雄分公司（广东省韶关市盐务局南雄分局。以下简称为南雄分公司、南雄分局），隶属于广东省韶关盐业总公司（广东省韶关市盐务局），是广东省国资委监管的全民所有制企业。2004年6月改制组建南雄分公司、南雄分局，实行两块牌子一套人马的管理体制，既是全市食盐专营的经营主体，又是依法行使盐业行政管理职能的部门，承担全市盐业行政管理，贯彻执行国家有关盐业法规、规章、政策，依法治盐、整顿和规范盐业市场秩序。贯彻落实省盐务局关于加强食盐安全的工作意见，确保食盐的安全供应。坚持食盐专营，加强食盐计划管理，严格执行食盐价格政策，落实盐政执法责任制，健全盐政执法体系和管理制度，加强盐政队伍建设，提高人员素质和依法行政能力，建立联合执法机制，充分发挥“政府领导、部门配合、社会参与”的工作机制，联合执法，共同维护食盐市场秩序。在岗员工5人。</w:t>
      </w:r>
    </w:p>
    <w:p w14:paraId="0B41F040">
      <w:pPr>
        <w:pStyle w:val="4"/>
      </w:pPr>
      <w:r>
        <w:rPr>
          <w:rFonts w:hint="eastAsia"/>
        </w:rPr>
        <w:t>【食盐销售】</w:t>
      </w:r>
    </w:p>
    <w:p w14:paraId="5EECEE22">
      <w:pPr>
        <w:ind w:firstLine="420"/>
        <w:rPr>
          <w:rFonts w:ascii="宋体" w:hAnsi="宋体"/>
          <w:szCs w:val="21"/>
        </w:rPr>
      </w:pPr>
      <w:r>
        <w:rPr>
          <w:rFonts w:hint="eastAsia" w:ascii="宋体" w:hAnsi="宋体"/>
          <w:szCs w:val="21"/>
        </w:rPr>
        <w:t>南雄分公司（南雄分局）担负着南雄市供应合格加碘食盐、消除碘缺乏病的社会责任和盐业市场的管理工作，食盐销售网络覆盖全市1个街道、17个镇，担负全市的食用盐、生产用盐、农牧盐供应任务。2011年，销售各类盐产品总销售1440吨（其中：小包装食盐1270吨，食品加工用盐75吨，小工业盐95吨。）</w:t>
      </w:r>
    </w:p>
    <w:p w14:paraId="42F03240">
      <w:pPr>
        <w:pStyle w:val="4"/>
      </w:pPr>
      <w:r>
        <w:rPr>
          <w:rFonts w:hint="eastAsia"/>
        </w:rPr>
        <w:t>【盐政管理】</w:t>
      </w:r>
    </w:p>
    <w:p w14:paraId="5F1F1FCB">
      <w:pPr>
        <w:ind w:firstLine="420"/>
        <w:rPr>
          <w:rFonts w:ascii="宋体" w:hAnsi="宋体"/>
          <w:szCs w:val="21"/>
        </w:rPr>
      </w:pPr>
      <w:r>
        <w:rPr>
          <w:rFonts w:hint="eastAsia" w:ascii="宋体" w:hAnsi="宋体"/>
          <w:szCs w:val="21"/>
        </w:rPr>
        <w:t>2011年，南雄分局对全市食盐市场存在的问题，有针对性地开展维护盐业市场秩序专项整治行动。对外加强与外省边界区域供应政策的对接，互通信息，实现资源共享，巩固多年来共同取得的合作成果，完善双边盐政协管的长效机制；对内与始兴分局、仁化分局实行区域互动，一方有案三方增援的动态管理模式，发挥人少效果大的扛杆作用，分片区对各销区重点、难点、边界区域，分期进行认真的清理和整顿，加大打击盐业违法行为，加大食品生产加工、腌制、餐饮、学校等场所的监管力度。2011年，出动盐政执法人员458人次，出动车辆242台次。</w:t>
      </w:r>
    </w:p>
    <w:p w14:paraId="5441038A">
      <w:pPr>
        <w:pStyle w:val="4"/>
      </w:pPr>
      <w:r>
        <w:rPr>
          <w:rFonts w:hint="eastAsia"/>
        </w:rPr>
        <w:t>【食盐安全宣传】</w:t>
      </w:r>
    </w:p>
    <w:p w14:paraId="04C5F7C5">
      <w:pPr>
        <w:ind w:firstLine="420"/>
        <w:rPr>
          <w:rFonts w:ascii="宋体" w:hAnsi="宋体"/>
          <w:szCs w:val="21"/>
        </w:rPr>
      </w:pPr>
      <w:r>
        <w:rPr>
          <w:rFonts w:hint="eastAsia" w:ascii="宋体" w:hAnsi="宋体"/>
          <w:szCs w:val="21"/>
        </w:rPr>
        <w:t>南雄分局结合当地实际，联合卫生、工商、质监等职能部门，利用“3·15”消费者权益日和“5·15”消除碘缺乏病活动日平台，开展第18个以“坚持科学补碘，预防碘缺乏病”为主题的防治碘缺乏病日宣传活动。通过悬挂横幅、展示图片、发放资料、真假碘盐识别和现场咨询等形式，开展内容丰富的宣传活动，营造了全社会共同关注碘缺乏病防治工作的良好氛围。</w:t>
      </w:r>
    </w:p>
    <w:p w14:paraId="584515B2">
      <w:pPr>
        <w:pStyle w:val="4"/>
      </w:pPr>
      <w:r>
        <w:rPr>
          <w:rFonts w:hint="eastAsia"/>
        </w:rPr>
        <w:t>【碘盐质量监管】</w:t>
      </w:r>
    </w:p>
    <w:p w14:paraId="7BA456A8">
      <w:pPr>
        <w:ind w:firstLine="420"/>
        <w:rPr>
          <w:rFonts w:ascii="宋体" w:hAnsi="宋体"/>
          <w:szCs w:val="21"/>
        </w:rPr>
      </w:pPr>
      <w:r>
        <w:rPr>
          <w:rFonts w:hint="eastAsia" w:ascii="宋体" w:hAnsi="宋体"/>
          <w:szCs w:val="21"/>
        </w:rPr>
        <w:t>严格按照《中华人民共和国食品安全法》和食品标识管理有关规定，进一步落实盐产品质量管理的各项举措、责任追究、监督检测和工作考核等办法，全面构建质量监管体系，建立食盐安全责任制，层层签订食盐安全责任书，落实一把手负总责、分管领导亲自抓、专门机构具体实施的责任制，把人民群众吃上合格碘盐作为政治任务来抓，把社会责任落到实处。向社会公众郑重承诺，确保合格碘盐供应和食盐安全。</w:t>
      </w:r>
    </w:p>
    <w:p w14:paraId="46B692C7">
      <w:pPr>
        <w:pStyle w:val="4"/>
      </w:pPr>
      <w:r>
        <w:rPr>
          <w:rFonts w:hint="eastAsia"/>
        </w:rPr>
        <w:t>【应对突发事件】</w:t>
      </w:r>
    </w:p>
    <w:p w14:paraId="38D952B8">
      <w:pPr>
        <w:ind w:firstLine="420"/>
        <w:rPr>
          <w:rFonts w:ascii="宋体" w:hAnsi="宋体"/>
          <w:szCs w:val="21"/>
        </w:rPr>
      </w:pPr>
      <w:r>
        <w:rPr>
          <w:rFonts w:hint="eastAsia" w:ascii="宋体" w:hAnsi="宋体"/>
          <w:szCs w:val="21"/>
        </w:rPr>
        <w:t>3月16日，受日本核辐射影响，南雄市也出现了食盐抢购现象，在市委、市政府和市盐务局的正确领导下，在市政府有关职能部门的支持下，南雄分公司（南雄分局）以强烈的政治敏锐感，反映迅速、周密部署、措施得力、实行24小时配送服务，以最快的速度满足市场供应，稳定食盐价格，迅速平息食盐抢购风潮。</w:t>
      </w:r>
    </w:p>
    <w:p w14:paraId="073CCCFC">
      <w:pPr>
        <w:pStyle w:val="4"/>
      </w:pPr>
      <w:r>
        <w:rPr>
          <w:rFonts w:hint="eastAsia"/>
        </w:rPr>
        <w:t>【推广食用低钠盐】</w:t>
      </w:r>
    </w:p>
    <w:p w14:paraId="33588E1E">
      <w:pPr>
        <w:ind w:firstLine="420"/>
        <w:rPr>
          <w:rFonts w:ascii="宋体" w:hAnsi="宋体"/>
          <w:szCs w:val="21"/>
        </w:rPr>
      </w:pPr>
      <w:r>
        <w:rPr>
          <w:rFonts w:hint="eastAsia" w:ascii="宋体" w:hAnsi="宋体"/>
          <w:szCs w:val="21"/>
        </w:rPr>
        <w:t>南雄分局依托当地政府职能部门开展推广低钠盐宣传工作，引导市民主动食用低钠盐。10月10日，联合市卫生局、市疾病预防控制中心、市健康教育所等相关单位主办了主题为“知晓你的血压和控制目标”的宣传活动，积极倡导民众食用低钠盐，预防和控制高血压、糖尿病。在活动中，向卫生部门草起宣传稿一份，制作宣传横幅2条，派发预防高血压、推广低钠盐等宣传单张500份、低钠盐320袋、环保袋300个。市有线电视台对这次举办的活动进行了宣传报道。2011年10月在保证普通加碘食盐销售的前提下“低钠盐”正式上市推广。</w:t>
      </w:r>
    </w:p>
    <w:p w14:paraId="4C4F6F58">
      <w:pPr>
        <w:ind w:firstLine="0" w:firstLineChars="0"/>
        <w:rPr>
          <w:rFonts w:ascii="宋体" w:hAnsi="宋体"/>
          <w:b/>
          <w:szCs w:val="21"/>
        </w:rPr>
      </w:pPr>
      <w:r>
        <w:rPr>
          <w:rFonts w:hint="eastAsia" w:ascii="宋体" w:hAnsi="宋体"/>
          <w:b/>
          <w:szCs w:val="21"/>
        </w:rPr>
        <w:t>附：盐业南雄分公司（分局）领导班子成员名单</w:t>
      </w:r>
    </w:p>
    <w:p w14:paraId="2F03E540">
      <w:pPr>
        <w:ind w:firstLine="0" w:firstLineChars="0"/>
        <w:rPr>
          <w:rFonts w:ascii="宋体" w:hAnsi="宋体"/>
          <w:szCs w:val="21"/>
        </w:rPr>
      </w:pPr>
      <w:r>
        <w:rPr>
          <w:rFonts w:hint="eastAsia" w:ascii="宋体" w:hAnsi="宋体"/>
          <w:szCs w:val="21"/>
        </w:rPr>
        <w:t>经理（局长）：曾建中</w:t>
      </w:r>
    </w:p>
    <w:p w14:paraId="503B35D8">
      <w:pPr>
        <w:pStyle w:val="3"/>
      </w:pPr>
      <w:r>
        <w:rPr>
          <w:rFonts w:hint="eastAsia"/>
        </w:rPr>
        <w:t>粮食</w:t>
      </w:r>
    </w:p>
    <w:p w14:paraId="2A9348F5">
      <w:pPr>
        <w:pStyle w:val="4"/>
      </w:pPr>
      <w:r>
        <w:rPr>
          <w:rFonts w:hint="eastAsia"/>
        </w:rPr>
        <w:t>【概况】</w:t>
      </w:r>
    </w:p>
    <w:p w14:paraId="07E9FA18">
      <w:pPr>
        <w:ind w:firstLine="420"/>
        <w:rPr>
          <w:rFonts w:ascii="宋体" w:hAnsi="宋体"/>
          <w:szCs w:val="21"/>
        </w:rPr>
      </w:pPr>
      <w:r>
        <w:rPr>
          <w:rFonts w:hint="eastAsia" w:ascii="宋体" w:hAnsi="宋体"/>
          <w:szCs w:val="21"/>
        </w:rPr>
        <w:t>南雄市粮食管理储备局是市政府赋予粮食行政管理职能机构。设人秘股、储备管理股、财会股、计划综合股4个股室，现有干部职工46人（其中离退休人员33人，在职人员13人）；南雄市粮食购销有限公司（下简称“购销公司”）为国有粮食企业，由粮食局主管，购销公司实行独立核算，现有员工53人，购销公司主要职责是承担各级粮油储备轮换及仓储安全管理。</w:t>
      </w:r>
    </w:p>
    <w:p w14:paraId="76C0E5DA">
      <w:pPr>
        <w:pStyle w:val="4"/>
      </w:pPr>
      <w:r>
        <w:rPr>
          <w:rFonts w:hint="eastAsia"/>
        </w:rPr>
        <w:t>【体制改革】</w:t>
      </w:r>
    </w:p>
    <w:p w14:paraId="497F7B0B">
      <w:pPr>
        <w:ind w:firstLine="420"/>
        <w:rPr>
          <w:rFonts w:ascii="宋体" w:hAnsi="宋体"/>
          <w:szCs w:val="21"/>
        </w:rPr>
      </w:pPr>
      <w:r>
        <w:rPr>
          <w:rFonts w:hint="eastAsia" w:ascii="宋体" w:hAnsi="宋体"/>
          <w:szCs w:val="21"/>
        </w:rPr>
        <w:t>2011年7月，根据该市粮油储备结构变化，对购销公司辖管的粮所机构及人员作出相应调整，由原乌迳、油山、全安、古市、雄州粮所调整为油山、湖口、全安、古市、雄州五个中心粮所，重新返聘企业员工53人。</w:t>
      </w:r>
    </w:p>
    <w:p w14:paraId="1CDCE665">
      <w:pPr>
        <w:pStyle w:val="4"/>
      </w:pPr>
      <w:r>
        <w:rPr>
          <w:rFonts w:hint="eastAsia"/>
        </w:rPr>
        <w:t>【粮油仓储】</w:t>
      </w:r>
    </w:p>
    <w:p w14:paraId="6808DFFA">
      <w:pPr>
        <w:ind w:firstLine="420"/>
        <w:rPr>
          <w:rFonts w:ascii="宋体" w:hAnsi="宋体"/>
          <w:szCs w:val="21"/>
        </w:rPr>
      </w:pPr>
      <w:r>
        <w:rPr>
          <w:rFonts w:hint="eastAsia" w:ascii="宋体" w:hAnsi="宋体"/>
          <w:szCs w:val="21"/>
        </w:rPr>
        <w:t>2011年4月，开展库存粮油“清仓查库”工作，储备粮油数量真实，质量良好，“三帐统一”，库贷一致，顺利通过韶关市检查组考评。</w:t>
      </w:r>
    </w:p>
    <w:p w14:paraId="636694BD">
      <w:pPr>
        <w:pStyle w:val="4"/>
      </w:pPr>
      <w:r>
        <w:rPr>
          <w:rFonts w:hint="eastAsia"/>
        </w:rPr>
        <w:t>【粮油轮换】</w:t>
      </w:r>
    </w:p>
    <w:p w14:paraId="76185248">
      <w:pPr>
        <w:ind w:firstLine="420"/>
        <w:rPr>
          <w:rFonts w:ascii="宋体" w:hAnsi="宋体"/>
          <w:szCs w:val="21"/>
        </w:rPr>
      </w:pPr>
      <w:r>
        <w:rPr>
          <w:rFonts w:hint="eastAsia" w:ascii="宋体" w:hAnsi="宋体"/>
          <w:szCs w:val="21"/>
        </w:rPr>
        <w:t>2011年7月，召开全市粮食收购工作会议，开展全年粮油轮换，其中收购夏粮11073吨，粮食销售10673吨，全面完成粮食轮换任务。</w:t>
      </w:r>
    </w:p>
    <w:p w14:paraId="5A7307F7">
      <w:pPr>
        <w:pStyle w:val="4"/>
      </w:pPr>
      <w:r>
        <w:rPr>
          <w:rFonts w:hint="eastAsia"/>
        </w:rPr>
        <w:t>【粮油宣传】</w:t>
      </w:r>
    </w:p>
    <w:p w14:paraId="4257B670">
      <w:pPr>
        <w:ind w:firstLine="420"/>
        <w:rPr>
          <w:rFonts w:ascii="宋体" w:hAnsi="宋体"/>
          <w:szCs w:val="21"/>
        </w:rPr>
      </w:pPr>
      <w:r>
        <w:rPr>
          <w:rFonts w:hint="eastAsia" w:ascii="宋体" w:hAnsi="宋体"/>
          <w:szCs w:val="21"/>
        </w:rPr>
        <w:t>2011年7月，《广东省粮食安全保障条例》颁布实施二周年，粮食局举办以“关注粮食安全，共创和谐社会”为主题的宣传活动。</w:t>
      </w:r>
    </w:p>
    <w:p w14:paraId="4C0A23B5">
      <w:pPr>
        <w:pStyle w:val="4"/>
      </w:pPr>
      <w:r>
        <w:rPr>
          <w:rFonts w:hint="eastAsia"/>
        </w:rPr>
        <w:t>【粮食基础设施建设】</w:t>
      </w:r>
    </w:p>
    <w:p w14:paraId="719BC662">
      <w:pPr>
        <w:ind w:firstLine="420"/>
        <w:rPr>
          <w:rFonts w:ascii="宋体" w:hAnsi="宋体"/>
          <w:szCs w:val="21"/>
        </w:rPr>
      </w:pPr>
      <w:r>
        <w:rPr>
          <w:rFonts w:hint="eastAsia" w:ascii="宋体" w:hAnsi="宋体"/>
          <w:szCs w:val="21"/>
        </w:rPr>
        <w:t>2011年，该市全安5.2万吨新粮食仓储设施第一期工程动工兴建，建设粮食仓库4座、仓容3万吨；建设功能楼一座，备品药品库一座及配备相关现代化储粮设备。</w:t>
      </w:r>
    </w:p>
    <w:p w14:paraId="503285A9">
      <w:pPr>
        <w:pStyle w:val="4"/>
      </w:pPr>
      <w:r>
        <w:rPr>
          <w:rFonts w:hint="eastAsia"/>
        </w:rPr>
        <w:t>【粮油加工】</w:t>
      </w:r>
    </w:p>
    <w:p w14:paraId="3A9E3CA1">
      <w:pPr>
        <w:ind w:firstLine="420"/>
        <w:rPr>
          <w:rFonts w:ascii="宋体" w:hAnsi="宋体"/>
          <w:szCs w:val="21"/>
        </w:rPr>
      </w:pPr>
      <w:r>
        <w:rPr>
          <w:rFonts w:hint="eastAsia" w:ascii="宋体" w:hAnsi="宋体"/>
          <w:szCs w:val="21"/>
        </w:rPr>
        <w:t>广东省金友集团有限公司，是该市从事粮食生产、加工和经营规模较大的民营粮食企业，是广东省、韶关市农业龙头企业，2011年，金友牌贡米、粤香王（米）通过国家农业部绿色食品认证。</w:t>
      </w:r>
    </w:p>
    <w:p w14:paraId="333B10CD">
      <w:pPr>
        <w:pStyle w:val="4"/>
      </w:pPr>
      <w:r>
        <w:rPr>
          <w:rFonts w:hint="eastAsia"/>
        </w:rPr>
        <w:t>【组织建设】</w:t>
      </w:r>
    </w:p>
    <w:p w14:paraId="0B9D0424">
      <w:pPr>
        <w:ind w:firstLine="420"/>
        <w:rPr>
          <w:rFonts w:ascii="宋体" w:hAnsi="宋体"/>
          <w:szCs w:val="21"/>
        </w:rPr>
      </w:pPr>
      <w:r>
        <w:rPr>
          <w:rFonts w:hint="eastAsia" w:ascii="宋体" w:hAnsi="宋体"/>
          <w:szCs w:val="21"/>
        </w:rPr>
        <w:t>2011年11月，粮食局党总支部举行换届选举大会，选举董书海同志为党总支书记，何春京、叶祖全、陈日川、饶盛优等四位同志为党总支委员。                                               （张升金）</w:t>
      </w:r>
    </w:p>
    <w:p w14:paraId="7AE251E4">
      <w:pPr>
        <w:ind w:firstLine="0" w:firstLineChars="0"/>
        <w:rPr>
          <w:rFonts w:ascii="宋体" w:hAnsi="宋体"/>
          <w:szCs w:val="21"/>
        </w:rPr>
      </w:pPr>
      <w:r>
        <w:rPr>
          <w:rFonts w:hint="eastAsia" w:ascii="宋体" w:hAnsi="宋体"/>
          <w:b/>
          <w:szCs w:val="21"/>
        </w:rPr>
        <w:t>附：2011年市粮食局领导班子成员名单</w:t>
      </w:r>
    </w:p>
    <w:p w14:paraId="387144D0">
      <w:pPr>
        <w:ind w:firstLine="0" w:firstLineChars="0"/>
        <w:rPr>
          <w:rFonts w:ascii="宋体" w:hAnsi="宋体"/>
          <w:szCs w:val="21"/>
        </w:rPr>
      </w:pPr>
      <w:r>
        <w:rPr>
          <w:rFonts w:hint="eastAsia" w:ascii="宋体" w:hAnsi="宋体"/>
          <w:szCs w:val="21"/>
        </w:rPr>
        <w:t>局长：董书海</w:t>
      </w:r>
    </w:p>
    <w:p w14:paraId="16178F6A">
      <w:pPr>
        <w:ind w:firstLine="0" w:firstLineChars="0"/>
        <w:rPr>
          <w:rFonts w:ascii="宋体" w:hAnsi="宋体"/>
          <w:szCs w:val="21"/>
        </w:rPr>
      </w:pPr>
      <w:r>
        <w:rPr>
          <w:rFonts w:hint="eastAsia" w:ascii="宋体" w:hAnsi="宋体"/>
          <w:szCs w:val="21"/>
        </w:rPr>
        <w:t>副局长：何春京</w:t>
      </w:r>
    </w:p>
    <w:p w14:paraId="00B3CEF4">
      <w:pPr>
        <w:ind w:firstLine="0" w:firstLineChars="0"/>
        <w:rPr>
          <w:rFonts w:ascii="宋体" w:hAnsi="宋体"/>
          <w:szCs w:val="21"/>
        </w:rPr>
      </w:pPr>
      <w:r>
        <w:rPr>
          <w:rFonts w:hint="eastAsia" w:ascii="宋体" w:hAnsi="宋体"/>
          <w:szCs w:val="21"/>
        </w:rPr>
        <w:t>工会主席：叶祖全</w:t>
      </w:r>
    </w:p>
    <w:p w14:paraId="014420EC">
      <w:pPr>
        <w:pStyle w:val="3"/>
      </w:pPr>
      <w:r>
        <w:rPr>
          <w:rFonts w:hint="eastAsia"/>
        </w:rPr>
        <w:t>石油</w:t>
      </w:r>
    </w:p>
    <w:p w14:paraId="728C2700">
      <w:pPr>
        <w:pStyle w:val="4"/>
      </w:pPr>
      <w:r>
        <w:rPr>
          <w:rFonts w:hint="eastAsia"/>
        </w:rPr>
        <w:t>【概况】</w:t>
      </w:r>
    </w:p>
    <w:p w14:paraId="52B6349A">
      <w:pPr>
        <w:ind w:firstLine="420"/>
        <w:rPr>
          <w:rFonts w:ascii="宋体" w:hAnsi="宋体"/>
          <w:szCs w:val="21"/>
        </w:rPr>
      </w:pPr>
      <w:r>
        <w:rPr>
          <w:rFonts w:hint="eastAsia" w:ascii="宋体" w:hAnsi="宋体"/>
          <w:szCs w:val="21"/>
        </w:rPr>
        <w:t>中国石油化工股份有限公司广东韶关南雄石油分公司的前身是广东省石油企业集团南雄市公司，是国有正科级企业单位，办公地址位于广东省南雄市雄州镇雄中路25号。2011年在岗干部职工共有：84人，离退休22人。2011年新增租赁南雄市农用石油供应站，改名为雄江加油站，位于南雄市珠玑大茶棚村口。韶赣高速全安服务区加油站，位于韶赣高速南雄收费站北行2KM。雄东加油站位于南雄市雄东路262号，雄南加油站位于南雄市河南管理区157号，乌迳加油站位于南雄市乌江镇孔江路口。2011年雄东加油站有员工12人，站长1人。雄南加油站有员工13人，站长1人。乌迳加油站有员工6人，站长1人。雄江加油站有员工5人，站长1人。全安服务区加油站有员工45人，站长1人，区长1人。</w:t>
      </w:r>
    </w:p>
    <w:p w14:paraId="2CA6135D">
      <w:pPr>
        <w:pStyle w:val="4"/>
      </w:pPr>
      <w:r>
        <w:rPr>
          <w:rFonts w:hint="eastAsia"/>
        </w:rPr>
        <w:t>【经营状况】</w:t>
      </w:r>
    </w:p>
    <w:p w14:paraId="1C6F6581">
      <w:pPr>
        <w:ind w:firstLine="420"/>
        <w:rPr>
          <w:rFonts w:ascii="宋体" w:hAnsi="宋体"/>
          <w:szCs w:val="21"/>
        </w:rPr>
      </w:pPr>
      <w:r>
        <w:rPr>
          <w:rFonts w:hint="eastAsia" w:ascii="宋体" w:hAnsi="宋体"/>
          <w:szCs w:val="21"/>
        </w:rPr>
        <w:t>2011年公司的财务由上级公司（韶关公司）统一核算；纳税人资格是一般纳税人资格；人事管理由上级公司统一管理；2011年成品油销售量为5.14万吨，其中下属加油站零售量为4.43万吨。</w:t>
      </w:r>
    </w:p>
    <w:p w14:paraId="5638AFA2">
      <w:pPr>
        <w:ind w:firstLine="0" w:firstLineChars="0"/>
        <w:rPr>
          <w:rFonts w:ascii="宋体" w:hAnsi="宋体"/>
          <w:szCs w:val="21"/>
        </w:rPr>
      </w:pPr>
      <w:r>
        <w:rPr>
          <w:rFonts w:hint="eastAsia" w:ascii="宋体" w:hAnsi="宋体"/>
          <w:b/>
          <w:szCs w:val="21"/>
        </w:rPr>
        <w:t>附：2011年市石油分公司领导班子成员名单</w:t>
      </w:r>
    </w:p>
    <w:p w14:paraId="6D93D140">
      <w:pPr>
        <w:ind w:firstLine="0" w:firstLineChars="0"/>
        <w:rPr>
          <w:rFonts w:ascii="宋体" w:hAnsi="宋体"/>
          <w:szCs w:val="21"/>
        </w:rPr>
      </w:pPr>
      <w:r>
        <w:rPr>
          <w:rFonts w:hint="eastAsia" w:ascii="宋体" w:hAnsi="宋体"/>
          <w:szCs w:val="21"/>
        </w:rPr>
        <w:t>经理：陈书榕</w:t>
      </w:r>
    </w:p>
    <w:p w14:paraId="7D5C1FC0">
      <w:pPr>
        <w:pStyle w:val="3"/>
      </w:pPr>
      <w:r>
        <w:rPr>
          <w:rFonts w:hint="eastAsia"/>
        </w:rPr>
        <w:t>对外贸易</w:t>
      </w:r>
    </w:p>
    <w:p w14:paraId="441C7110">
      <w:pPr>
        <w:pStyle w:val="4"/>
      </w:pPr>
      <w:r>
        <w:rPr>
          <w:rFonts w:hint="eastAsia"/>
        </w:rPr>
        <w:t>【概况】</w:t>
      </w:r>
    </w:p>
    <w:p w14:paraId="27EE67F0">
      <w:pPr>
        <w:ind w:firstLine="420"/>
        <w:rPr>
          <w:rFonts w:ascii="宋体" w:hAnsi="宋体"/>
          <w:szCs w:val="21"/>
        </w:rPr>
      </w:pPr>
      <w:r>
        <w:rPr>
          <w:rFonts w:hint="eastAsia" w:ascii="宋体" w:hAnsi="宋体"/>
          <w:szCs w:val="21"/>
        </w:rPr>
        <w:t>南雄市外经局成立于1982年，其前身是南雄县外经委，是县政府工作部门之一。现有人员9名，在编人员8名，其中行政编制7名，纪检组长1名（市纪委驻外经局纪检组长，不占编制）工勤编制1名，内设办公室、外资股、贸易发展股、口岸办。负责南雄市利用外资、出口创汇、劳务输出及进出口贸易工作。管理、协调全市举办或参与境内外各类外经贸交易会、展销会、洽谈会，协同有关部门进行经济贸易合作谈判、签约，指导协调全市招商引资投资促进和引进外资工作，组织承办全市性招商引资活动，指导和管理全市外商投资企业的合同章程及其变更事项审批，协调解决外资企业在生产经营中的重大问题。联系东莞大岭山（南雄）产业转移工业园管理处、进出口贸易公司、中国银行韶关（南雄）支行、对外贸易总公司、粤华经贸实业总公司，2011年，签订投资合同项目20个，投资金额达41.41亿元；实际利用外资2050万美元，同比增长13.7%；合同利用外资2993万美元，同比增长89.2%；外贸出口2360万美元，同比增长16.5%。</w:t>
      </w:r>
    </w:p>
    <w:p w14:paraId="664F0E2C">
      <w:pPr>
        <w:pStyle w:val="4"/>
      </w:pPr>
      <w:r>
        <w:rPr>
          <w:rFonts w:hint="eastAsia"/>
        </w:rPr>
        <w:t>【重大项目招商】</w:t>
      </w:r>
    </w:p>
    <w:p w14:paraId="7A7E8743">
      <w:pPr>
        <w:ind w:firstLine="420"/>
        <w:rPr>
          <w:rFonts w:ascii="宋体" w:hAnsi="宋体"/>
          <w:szCs w:val="21"/>
        </w:rPr>
      </w:pPr>
      <w:r>
        <w:rPr>
          <w:rFonts w:hint="eastAsia" w:ascii="宋体" w:hAnsi="宋体"/>
          <w:szCs w:val="21"/>
        </w:rPr>
        <w:t>2011年，签订投资合同项目20个，投资金额达41.41亿元；实际利用外资2050万美元，同比增长13.7%；合同利用外资2993万美元，同比增长89.2%；外贸出口2360万美元，同比增长16.5%。成功引进总投资6.6亿元的康绿宝（南雄）科技园项目和中山大桥化工集团项目；引进了上市公司一广州阳普医疗有限公司落户园区，并储备了广东巴德士化工有限公司、广东新协力集团、天威保变电气股份有限公司、广药集团、中顺洁柔等60多家国内外知名企业的投资项目。届时，将择优选强优先安排到园区二期。</w:t>
      </w:r>
    </w:p>
    <w:p w14:paraId="4CB3EC2F">
      <w:pPr>
        <w:pStyle w:val="4"/>
      </w:pPr>
      <w:r>
        <w:rPr>
          <w:rFonts w:hint="eastAsia"/>
        </w:rPr>
        <w:t>【对外贸易交流】</w:t>
      </w:r>
    </w:p>
    <w:p w14:paraId="698597CD">
      <w:pPr>
        <w:ind w:firstLine="420"/>
        <w:rPr>
          <w:rFonts w:ascii="宋体" w:hAnsi="宋体"/>
          <w:szCs w:val="21"/>
        </w:rPr>
      </w:pPr>
      <w:r>
        <w:rPr>
          <w:rFonts w:hint="eastAsia" w:ascii="宋体" w:hAnsi="宋体"/>
          <w:szCs w:val="21"/>
        </w:rPr>
        <w:t>10月15日。南雄市东莞大岭山（南雄）产业转移工业园隆重举行10家企业竣工投产庆典仪式。此次竣工投产的10家企业，总资额4.03亿元，年产值将达13.4亿元，标志着该园区建设迈上新的发展步伐。参加庆典仪式的有市四套班子领导、十大企业跟踪单位及企业负责人共300多人。该市全力做好园区的基础设施建设，“贴心”服务企业，“贴身”项目服务的高效运作，促进了“仟邦”、“沃太”、“科达”、“康博化工”等一批环保优质的精细化工企业落户投产，园区形成了大开发、大建设的热潮。迄今止，精细化工产业转移园实现入园企业99家，总投资49.44亿元，其中试投产企业40家，被认定为省级产业转移园、省市共建循环经济基地、省中小企业创业基地。今年上半年，园区实现工业总产值11.82亿元，同比增长162.9%。</w:t>
      </w:r>
    </w:p>
    <w:p w14:paraId="5753F59D">
      <w:pPr>
        <w:pStyle w:val="4"/>
      </w:pPr>
      <w:r>
        <w:rPr>
          <w:rFonts w:hint="eastAsia"/>
        </w:rPr>
        <w:t>【服务环境建设】</w:t>
      </w:r>
    </w:p>
    <w:p w14:paraId="67224540">
      <w:pPr>
        <w:ind w:firstLine="420"/>
        <w:rPr>
          <w:rFonts w:ascii="宋体" w:hAnsi="宋体"/>
          <w:szCs w:val="21"/>
        </w:rPr>
      </w:pPr>
      <w:r>
        <w:rPr>
          <w:rFonts w:hint="eastAsia" w:ascii="宋体" w:hAnsi="宋体"/>
          <w:szCs w:val="21"/>
        </w:rPr>
        <w:t>成立招商办和精细化工基地管理处，并对招商办、外经局、投资服务中心人力资源进行优化整合，成立外来投资服务中心，为企业提供优质高效的服务；贯彻落实市委、市政府关于实施“工业绿灯工程”，各职能部门广开“绿灯”，优先解决外商的户口、子女读书等实际问题。全面推行限时办结制，投资在1000万元以下项目，3天内办好一切审批手续；1000万元以上（含1000万元）项目，7天内办好一切相关手续；出台外来投资企业优惠政策，对精细化工企业用地、用工、规划、建设、工商登记等全面实行优惠让利政策，免收费、减半收费项目达40多项，降低企业的投资成本；对外来投资企业实行“一牌一证一卡”重点保护制度，严禁对持证投资企业乱检查、乱收费、乱罚款，严禁干扰企业的正常生产经营活动。</w:t>
      </w:r>
    </w:p>
    <w:p w14:paraId="59859038">
      <w:pPr>
        <w:pStyle w:val="4"/>
      </w:pPr>
      <w:r>
        <w:rPr>
          <w:rFonts w:hint="eastAsia"/>
        </w:rPr>
        <w:t>【创新招商方式】</w:t>
      </w:r>
    </w:p>
    <w:p w14:paraId="4B5B84EC">
      <w:pPr>
        <w:ind w:firstLine="420"/>
        <w:rPr>
          <w:rFonts w:ascii="宋体" w:hAnsi="宋体"/>
          <w:szCs w:val="21"/>
        </w:rPr>
      </w:pPr>
      <w:r>
        <w:rPr>
          <w:rFonts w:hint="eastAsia" w:ascii="宋体" w:hAnsi="宋体"/>
          <w:szCs w:val="21"/>
        </w:rPr>
        <w:t>1、实行“双向承诺”，服务外来投资企业。2、培育优势企业，推进企业改制上市。3、建立招商项目准入评价体系。</w:t>
      </w:r>
    </w:p>
    <w:p w14:paraId="30071BBA">
      <w:pPr>
        <w:pStyle w:val="4"/>
      </w:pPr>
      <w:r>
        <w:rPr>
          <w:rFonts w:hint="eastAsia"/>
        </w:rPr>
        <w:t>【扩发招商宣传】</w:t>
      </w:r>
    </w:p>
    <w:p w14:paraId="6ABCA1B7">
      <w:pPr>
        <w:ind w:firstLine="420"/>
        <w:rPr>
          <w:rFonts w:ascii="宋体" w:hAnsi="宋体"/>
          <w:szCs w:val="21"/>
        </w:rPr>
      </w:pPr>
      <w:r>
        <w:rPr>
          <w:rFonts w:hint="eastAsia" w:ascii="宋体" w:hAnsi="宋体"/>
          <w:szCs w:val="21"/>
        </w:rPr>
        <w:t>编制《南雄市投资指南》，对南雄实行整体包装、宣传和推介。在韶关日报、南雄电视台、广播电台、以新闻稿件、系列专栏、滚动字幕等形式介绍市情、优势资源、招商项目、重点企业，播放介绍南雄市情的电视专题片，营造良好的氛围。在东莞、深圳、珠海等地发布大型推介南雄市精细化工广告。在南雄市政府信息网等网站开辟招商项目网页，建立信息发布平台，推介优势资源和重点项目，为外界搭建一条了解南雄的快速通道。组团参加“广东省产业转移工业园开放周活动”、东莞“交流会”、粤北片会等各类重点招商活动，与市内外客商广交朋友，共叙友情，为开展招商引资工作奠定基础。</w:t>
      </w:r>
    </w:p>
    <w:p w14:paraId="0C874ED9">
      <w:pPr>
        <w:pStyle w:val="4"/>
      </w:pPr>
      <w:r>
        <w:rPr>
          <w:rFonts w:hint="eastAsia"/>
        </w:rPr>
        <w:t>【出口贸易方式结构】</w:t>
      </w:r>
    </w:p>
    <w:p w14:paraId="155C41BB">
      <w:pPr>
        <w:ind w:firstLine="420"/>
        <w:rPr>
          <w:rFonts w:ascii="宋体" w:hAnsi="宋体"/>
          <w:szCs w:val="21"/>
        </w:rPr>
      </w:pPr>
      <w:r>
        <w:rPr>
          <w:rFonts w:hint="eastAsia" w:ascii="宋体" w:hAnsi="宋体"/>
          <w:szCs w:val="21"/>
        </w:rPr>
        <w:t>1、是加强与上级海关、技监等有关部门的联系，搞好外贸出口。2、是实施以进带出战略，抓好新的出口增长点。3、是实行重点突破战略，抓好重点出口企业和重点出口市场。4、是引导鼓励外贸企业积极开拓创新，不断拓宽出口业务。</w:t>
      </w:r>
    </w:p>
    <w:p w14:paraId="2F43D283">
      <w:pPr>
        <w:pStyle w:val="4"/>
      </w:pPr>
      <w:r>
        <w:rPr>
          <w:rFonts w:hint="eastAsia"/>
        </w:rPr>
        <w:t>【出口主要商品结构】</w:t>
      </w:r>
    </w:p>
    <w:p w14:paraId="23F50B57">
      <w:pPr>
        <w:ind w:firstLine="420"/>
        <w:rPr>
          <w:rFonts w:ascii="宋体" w:hAnsi="宋体"/>
          <w:szCs w:val="21"/>
        </w:rPr>
      </w:pPr>
      <w:r>
        <w:rPr>
          <w:rFonts w:hint="eastAsia" w:ascii="宋体" w:hAnsi="宋体"/>
          <w:szCs w:val="21"/>
        </w:rPr>
        <w:t>出口藤竹制品（竹筷子）、次性餐具、圣诞礼品袋、化工产品。201年产值350万元。      （陈如亮）</w:t>
      </w:r>
    </w:p>
    <w:p w14:paraId="39704C51">
      <w:pPr>
        <w:ind w:firstLine="0" w:firstLineChars="0"/>
        <w:rPr>
          <w:rFonts w:ascii="宋体" w:hAnsi="宋体"/>
          <w:szCs w:val="21"/>
        </w:rPr>
      </w:pPr>
      <w:r>
        <w:rPr>
          <w:rFonts w:hint="eastAsia" w:ascii="宋体" w:hAnsi="宋体"/>
          <w:b/>
          <w:szCs w:val="21"/>
        </w:rPr>
        <w:t>附：2011年市外经局领导班子成员名单</w:t>
      </w:r>
    </w:p>
    <w:p w14:paraId="3B49AAAC">
      <w:pPr>
        <w:ind w:firstLine="0" w:firstLineChars="0"/>
        <w:rPr>
          <w:rFonts w:ascii="宋体" w:hAnsi="宋体"/>
          <w:szCs w:val="21"/>
        </w:rPr>
      </w:pPr>
      <w:r>
        <w:rPr>
          <w:rFonts w:hint="eastAsia" w:ascii="宋体" w:hAnsi="宋体"/>
          <w:szCs w:val="21"/>
        </w:rPr>
        <w:t>局长：李祥</w:t>
      </w:r>
    </w:p>
    <w:p w14:paraId="7B09A215">
      <w:pPr>
        <w:ind w:firstLine="0" w:firstLineChars="0"/>
        <w:rPr>
          <w:rFonts w:ascii="宋体" w:hAnsi="宋体"/>
          <w:szCs w:val="21"/>
        </w:rPr>
      </w:pPr>
      <w:r>
        <w:rPr>
          <w:rFonts w:hint="eastAsia" w:ascii="宋体" w:hAnsi="宋体"/>
          <w:szCs w:val="21"/>
        </w:rPr>
        <w:t>副局长：李  宇  叶世明</w:t>
      </w:r>
    </w:p>
    <w:p w14:paraId="115CF5A3">
      <w:pPr>
        <w:ind w:firstLine="0" w:firstLineChars="0"/>
        <w:rPr>
          <w:rFonts w:ascii="宋体" w:hAnsi="宋体"/>
          <w:szCs w:val="21"/>
        </w:rPr>
      </w:pPr>
      <w:r>
        <w:rPr>
          <w:rFonts w:hint="eastAsia" w:ascii="宋体" w:hAnsi="宋体"/>
          <w:szCs w:val="21"/>
        </w:rPr>
        <w:t>纪检组长：吴良勇</w:t>
      </w:r>
    </w:p>
    <w:p w14:paraId="79E67836">
      <w:pPr>
        <w:pStyle w:val="4"/>
      </w:pPr>
      <w:r>
        <w:rPr>
          <w:rFonts w:hint="eastAsia"/>
        </w:rPr>
        <w:t>【外贸总公司】</w:t>
      </w:r>
    </w:p>
    <w:p w14:paraId="05D1586B">
      <w:pPr>
        <w:ind w:firstLine="420"/>
        <w:rPr>
          <w:rFonts w:ascii="宋体" w:hAnsi="宋体"/>
          <w:szCs w:val="21"/>
        </w:rPr>
      </w:pPr>
      <w:r>
        <w:rPr>
          <w:rFonts w:hint="eastAsia" w:ascii="宋体" w:hAnsi="宋体"/>
          <w:szCs w:val="21"/>
        </w:rPr>
        <w:t>南雄市对外贸易总公司于1984年根据南雄县人民政府雄府[84]88号文成立，（全称为南雄县外贸局，属正科级行政编制，核定在编人数21人）。1988年南雄县人民政府通过机构改革将外贸局由行政编制转制为全民所有制企业，更名为对外贸易总公司至今，在册职工52人，离休干部3人，退休职工25人，由于国家调整由计划经济转为市场经济，受此影响和经营管理等因素，对外贸易总公司一直处于亏损状态，有部分职工只投保缴交部分社保后，离岗至今未再缴交社保，这种现状给社会的稳定和外贸总公司职工在经济上、思想上都有一定的负面影响。</w:t>
      </w:r>
    </w:p>
    <w:p w14:paraId="24C383E0">
      <w:pPr>
        <w:ind w:firstLine="0" w:firstLineChars="0"/>
        <w:rPr>
          <w:rFonts w:ascii="宋体" w:hAnsi="宋体"/>
          <w:szCs w:val="21"/>
        </w:rPr>
      </w:pPr>
      <w:r>
        <w:rPr>
          <w:rFonts w:hint="eastAsia" w:ascii="宋体" w:hAnsi="宋体"/>
          <w:b/>
          <w:szCs w:val="21"/>
        </w:rPr>
        <w:t>附：2011年市外贸易总公司领导班子成员名单</w:t>
      </w:r>
    </w:p>
    <w:p w14:paraId="746355C5">
      <w:pPr>
        <w:ind w:firstLine="0" w:firstLineChars="0"/>
        <w:rPr>
          <w:rFonts w:ascii="宋体" w:hAnsi="宋体"/>
          <w:szCs w:val="21"/>
        </w:rPr>
      </w:pPr>
      <w:r>
        <w:rPr>
          <w:rFonts w:hint="eastAsia" w:ascii="宋体" w:hAnsi="宋体"/>
          <w:szCs w:val="21"/>
        </w:rPr>
        <w:t>副总经理：叶伟存</w:t>
      </w:r>
    </w:p>
    <w:p w14:paraId="24405465">
      <w:pPr>
        <w:pStyle w:val="3"/>
      </w:pPr>
      <w:r>
        <w:rPr>
          <w:rFonts w:hint="eastAsia"/>
        </w:rPr>
        <w:t>旅游</w:t>
      </w:r>
    </w:p>
    <w:p w14:paraId="029B5005">
      <w:pPr>
        <w:pStyle w:val="4"/>
      </w:pPr>
      <w:r>
        <w:rPr>
          <w:rFonts w:hint="eastAsia"/>
        </w:rPr>
        <w:t>【概况】</w:t>
      </w:r>
    </w:p>
    <w:p w14:paraId="442989A3">
      <w:pPr>
        <w:ind w:firstLine="420"/>
        <w:rPr>
          <w:rFonts w:ascii="宋体" w:hAnsi="宋体"/>
          <w:szCs w:val="21"/>
        </w:rPr>
      </w:pPr>
      <w:r>
        <w:rPr>
          <w:rFonts w:hint="eastAsia" w:ascii="宋体" w:hAnsi="宋体"/>
          <w:szCs w:val="21"/>
        </w:rPr>
        <w:t>南雄市旅游局成立于1986年，行政编制有5人，内设办公室、行业管理股两个职能股室。主要职责：研究拟定全市旅游业发展战略目标和政策，编制全市旅游发展中长期规划和近期计划并组织实施；拟定旅游业管理政策并组织实施；贯彻执行国家关于旅游业的方针政策和法规，培育和完善国内旅游市场；研究拟定发展国内旅游的措施并监督执行；指导全市旅游工作；组织旅游资源的普查；组织南雄旅游整体形象的对外宣传和重大促销活动；指导旅游企业对外交流与合作；承办上级交办的其他事项。</w:t>
      </w:r>
    </w:p>
    <w:p w14:paraId="2060E62D">
      <w:pPr>
        <w:ind w:firstLine="420"/>
        <w:rPr>
          <w:rFonts w:ascii="宋体" w:hAnsi="宋体"/>
          <w:szCs w:val="21"/>
        </w:rPr>
      </w:pPr>
      <w:r>
        <w:rPr>
          <w:rFonts w:hint="eastAsia" w:ascii="宋体" w:hAnsi="宋体"/>
          <w:szCs w:val="21"/>
        </w:rPr>
        <w:t>2011年，在市委、市政府正确领导和上级旅游主管部门的大力支持下，旅游局认真贯彻落实科学发展观，围绕打造“粤赣边际旅游休闲度假优选地”和创建广东省旅游强县（市）的工作目标，抢抓丹霞山申遗成功、武广高铁和韶赣高速公路开通的重要机遇，着力加快奥威斯星级温泉休闲度假中心、珠玑古巷和梅关古道等旅游景区建设，主动融入韶关“大丹霞、大南华、大南岭、大珠玑”旅游圈，推进珠玑文化、红色文化、恐龙文化、温泉养生、生态观光五大旅游品牌建设，全市旅游业发展形势喜人，全年接待游客预计134.22万人次，同比增长22.8%；旅游总收入预计9.1亿元，同比增长31%。</w:t>
      </w:r>
    </w:p>
    <w:p w14:paraId="11A8F4A4">
      <w:pPr>
        <w:pStyle w:val="4"/>
      </w:pPr>
      <w:r>
        <w:rPr>
          <w:rFonts w:hint="eastAsia"/>
        </w:rPr>
        <w:t>【旅游商品】</w:t>
      </w:r>
    </w:p>
    <w:p w14:paraId="7ABCA676">
      <w:pPr>
        <w:ind w:firstLine="420"/>
        <w:rPr>
          <w:rFonts w:ascii="宋体" w:hAnsi="宋体"/>
          <w:szCs w:val="21"/>
        </w:rPr>
      </w:pPr>
      <w:r>
        <w:rPr>
          <w:rFonts w:hint="eastAsia" w:ascii="宋体" w:hAnsi="宋体"/>
          <w:szCs w:val="21"/>
        </w:rPr>
        <w:t>1、金友有机米</w:t>
      </w:r>
    </w:p>
    <w:p w14:paraId="4C0C729D">
      <w:pPr>
        <w:ind w:firstLine="420"/>
        <w:rPr>
          <w:rFonts w:ascii="宋体" w:hAnsi="宋体"/>
          <w:szCs w:val="21"/>
        </w:rPr>
      </w:pPr>
      <w:r>
        <w:rPr>
          <w:rFonts w:hint="eastAsia" w:ascii="宋体" w:hAnsi="宋体"/>
          <w:szCs w:val="21"/>
        </w:rPr>
        <w:t>产自粤北山区南雄，其条件得天独厚，拥有富含钾磷的紫色土囊灌溉用水来自珠江水源发祥地之一的五岭南麓大庾岭。选用原生谷种，在苛刻环保的自然环境中，全程应用“鸭稻共作”等种类复合，农牧组合的生态耕种模式种植而来。</w:t>
      </w:r>
    </w:p>
    <w:p w14:paraId="3D6DBB11">
      <w:pPr>
        <w:ind w:firstLine="420"/>
        <w:rPr>
          <w:rFonts w:ascii="宋体" w:hAnsi="宋体"/>
          <w:szCs w:val="21"/>
        </w:rPr>
      </w:pPr>
      <w:r>
        <w:rPr>
          <w:rFonts w:hint="eastAsia" w:ascii="宋体" w:hAnsi="宋体"/>
          <w:szCs w:val="21"/>
        </w:rPr>
        <w:t>2、金银花茶</w:t>
      </w:r>
    </w:p>
    <w:p w14:paraId="13F7F075">
      <w:pPr>
        <w:ind w:firstLine="420"/>
        <w:rPr>
          <w:rFonts w:ascii="宋体" w:hAnsi="宋体"/>
          <w:szCs w:val="21"/>
        </w:rPr>
      </w:pPr>
      <w:r>
        <w:rPr>
          <w:rFonts w:hint="eastAsia" w:ascii="宋体" w:hAnsi="宋体"/>
          <w:szCs w:val="21"/>
        </w:rPr>
        <w:t>采用本地产的金银花，经过精心加工制作而成。金银花茶不但能清热解毒、治疗多种疾病，还具有抗癌、治癌的功效。</w:t>
      </w:r>
    </w:p>
    <w:p w14:paraId="40629D75">
      <w:pPr>
        <w:ind w:firstLine="420"/>
        <w:rPr>
          <w:rFonts w:ascii="宋体" w:hAnsi="宋体"/>
          <w:szCs w:val="21"/>
        </w:rPr>
      </w:pPr>
      <w:r>
        <w:rPr>
          <w:rFonts w:hint="eastAsia" w:ascii="宋体" w:hAnsi="宋体"/>
          <w:szCs w:val="21"/>
        </w:rPr>
        <w:t>3、牛干脯</w:t>
      </w:r>
    </w:p>
    <w:p w14:paraId="2B32AD94">
      <w:pPr>
        <w:ind w:firstLine="420"/>
        <w:rPr>
          <w:rFonts w:ascii="宋体" w:hAnsi="宋体"/>
          <w:szCs w:val="21"/>
        </w:rPr>
      </w:pPr>
      <w:r>
        <w:rPr>
          <w:rFonts w:hint="eastAsia" w:ascii="宋体" w:hAnsi="宋体"/>
          <w:szCs w:val="21"/>
        </w:rPr>
        <w:t>牛干脯是历经千年南北饮食文化交融、沉淀逐渐形成的最具代表性、标志性的地方特色食品。</w:t>
      </w:r>
    </w:p>
    <w:p w14:paraId="083986E8">
      <w:pPr>
        <w:ind w:firstLine="420"/>
        <w:rPr>
          <w:rFonts w:ascii="宋体" w:hAnsi="宋体"/>
          <w:szCs w:val="21"/>
        </w:rPr>
      </w:pPr>
      <w:r>
        <w:rPr>
          <w:rFonts w:hint="eastAsia" w:ascii="宋体" w:hAnsi="宋体"/>
          <w:szCs w:val="21"/>
        </w:rPr>
        <w:t>4、木雕工艺品</w:t>
      </w:r>
    </w:p>
    <w:p w14:paraId="6906A84C">
      <w:pPr>
        <w:ind w:firstLine="420"/>
        <w:rPr>
          <w:rFonts w:ascii="宋体" w:hAnsi="宋体"/>
          <w:szCs w:val="21"/>
        </w:rPr>
      </w:pPr>
      <w:r>
        <w:rPr>
          <w:rFonts w:hint="eastAsia" w:ascii="宋体" w:hAnsi="宋体"/>
          <w:szCs w:val="21"/>
        </w:rPr>
        <w:t>木雕原料是来自一种香气扑鼻的香樟树。在类型上有香樟茶几、香樟茶盘、香樟屏风挂件、香樟落地屏风等等。</w:t>
      </w:r>
    </w:p>
    <w:p w14:paraId="7341D0FB">
      <w:pPr>
        <w:ind w:firstLine="420"/>
        <w:rPr>
          <w:rFonts w:ascii="宋体" w:hAnsi="宋体"/>
          <w:szCs w:val="21"/>
        </w:rPr>
      </w:pPr>
      <w:r>
        <w:rPr>
          <w:rFonts w:hint="eastAsia" w:ascii="宋体" w:hAnsi="宋体"/>
          <w:szCs w:val="21"/>
        </w:rPr>
        <w:t>5、香酥铜勺饼、团圆花生、紫心薯</w:t>
      </w:r>
    </w:p>
    <w:p w14:paraId="5373D661">
      <w:pPr>
        <w:ind w:firstLine="420"/>
        <w:rPr>
          <w:rFonts w:ascii="宋体" w:hAnsi="宋体"/>
          <w:szCs w:val="21"/>
        </w:rPr>
      </w:pPr>
      <w:r>
        <w:rPr>
          <w:rFonts w:hint="eastAsia" w:ascii="宋体" w:hAnsi="宋体"/>
          <w:szCs w:val="21"/>
        </w:rPr>
        <w:t>6、腊鸭</w:t>
      </w:r>
    </w:p>
    <w:p w14:paraId="0E0D1011">
      <w:pPr>
        <w:ind w:firstLine="420"/>
        <w:rPr>
          <w:rFonts w:ascii="宋体" w:hAnsi="宋体"/>
          <w:szCs w:val="21"/>
        </w:rPr>
      </w:pPr>
      <w:r>
        <w:rPr>
          <w:rFonts w:hint="eastAsia" w:ascii="宋体" w:hAnsi="宋体"/>
          <w:szCs w:val="21"/>
        </w:rPr>
        <w:t>腊鸭又称板鸭，具有造型美观、鸭皮白中透黄、油尾丰满、皮薄肉嫩、肉红味鲜、骨脆可嚼、风味独特的特点。</w:t>
      </w:r>
    </w:p>
    <w:p w14:paraId="35AA1B8D">
      <w:pPr>
        <w:ind w:firstLine="420"/>
        <w:rPr>
          <w:rFonts w:ascii="宋体" w:hAnsi="宋体"/>
          <w:szCs w:val="21"/>
        </w:rPr>
      </w:pPr>
      <w:r>
        <w:rPr>
          <w:rFonts w:hint="eastAsia" w:ascii="宋体" w:hAnsi="宋体"/>
          <w:szCs w:val="21"/>
        </w:rPr>
        <w:t>7、白果</w:t>
      </w:r>
    </w:p>
    <w:p w14:paraId="7110A5D4">
      <w:pPr>
        <w:ind w:firstLine="420"/>
        <w:rPr>
          <w:rFonts w:ascii="宋体" w:hAnsi="宋体"/>
          <w:szCs w:val="21"/>
        </w:rPr>
      </w:pPr>
      <w:r>
        <w:rPr>
          <w:rFonts w:hint="eastAsia" w:ascii="宋体" w:hAnsi="宋体"/>
          <w:szCs w:val="21"/>
        </w:rPr>
        <w:t>白果又称银杏，具有壳薄洁白，肉质芳香爽口，核肉无芯等特点，在国内外享有很高的声誉。尤其在港澳和东南亚一带，店家往往挂起“南雄白果”招牌，以示白果产品的正宗。</w:t>
      </w:r>
    </w:p>
    <w:p w14:paraId="3373A324">
      <w:pPr>
        <w:pStyle w:val="4"/>
      </w:pPr>
      <w:r>
        <w:rPr>
          <w:rFonts w:hint="eastAsia"/>
        </w:rPr>
        <w:t>【旅游资源开发】</w:t>
      </w:r>
    </w:p>
    <w:p w14:paraId="54F5EDE8">
      <w:pPr>
        <w:ind w:firstLine="420"/>
        <w:rPr>
          <w:rFonts w:ascii="宋体" w:hAnsi="宋体"/>
          <w:szCs w:val="21"/>
        </w:rPr>
      </w:pPr>
      <w:r>
        <w:rPr>
          <w:rFonts w:hint="eastAsia" w:ascii="宋体" w:hAnsi="宋体"/>
          <w:szCs w:val="21"/>
        </w:rPr>
        <w:t>南雄市融入全省和韶关大旅游产业之中，以“泛珠三角”、“红三角”经济圈为平台，加强与周边兄弟市（县）的协调沟通，努力构建“区域联动、资源共享、优势互补”的联合旅游促销体系，突出“中华文化驿站，天下广府根源”南雄旅游新形象，在主要客源地、重要城市等游客集散地，集中开展南雄旅游形象宣传；集中力量办好珠玑姓氏文化节、梅岭梅花节、南雄旅游农土特产品博览会等一系列重大旅游节庆活动，扩大南雄旅游形象宣传；加快旅游信息化建设工作，充实、更新、完善南雄旅游网，并使之成为我市旅游资讯对外宣传推介的良好平台。</w:t>
      </w:r>
    </w:p>
    <w:p w14:paraId="79862951">
      <w:pPr>
        <w:ind w:firstLine="420"/>
        <w:rPr>
          <w:rFonts w:ascii="宋体" w:hAnsi="宋体"/>
          <w:szCs w:val="21"/>
        </w:rPr>
      </w:pPr>
      <w:r>
        <w:rPr>
          <w:rFonts w:hint="eastAsia" w:ascii="宋体" w:hAnsi="宋体"/>
          <w:szCs w:val="21"/>
        </w:rPr>
        <w:t>同时，加大特色旅游规划力度，重点打造“大珠玑”旅游文化品牌，突出温泉养生、自然生态、人文历史、红色经典、溯源寻根五大特色。根据这一规划，树立“大理念、大规划、大投入、大设施、大服务”意识，加大力度完善珠玑古巷、梅关古道景区的基础设施和配套设施，争取在2012年把珠玑古巷、梅关古道创建成为国家4A级旅游景区，同时加快奥威斯旅游休闲度假中心的建设步伐，以此全面提升南雄的接待能力和水平。</w:t>
      </w:r>
    </w:p>
    <w:p w14:paraId="1ADE1E0A">
      <w:pPr>
        <w:pStyle w:val="4"/>
      </w:pPr>
      <w:r>
        <w:rPr>
          <w:rFonts w:hint="eastAsia"/>
        </w:rPr>
        <w:t>【旅游景点】</w:t>
      </w:r>
    </w:p>
    <w:p w14:paraId="6D2A1B44">
      <w:pPr>
        <w:ind w:firstLine="420"/>
        <w:rPr>
          <w:rFonts w:ascii="宋体" w:hAnsi="宋体"/>
          <w:szCs w:val="21"/>
        </w:rPr>
      </w:pPr>
      <w:r>
        <w:rPr>
          <w:rFonts w:hint="eastAsia" w:ascii="宋体" w:hAnsi="宋体"/>
          <w:szCs w:val="21"/>
        </w:rPr>
        <w:t>1、三影古塔</w:t>
      </w:r>
    </w:p>
    <w:p w14:paraId="298C3D15">
      <w:pPr>
        <w:ind w:firstLine="420"/>
        <w:rPr>
          <w:rFonts w:ascii="宋体" w:hAnsi="宋体"/>
          <w:szCs w:val="21"/>
        </w:rPr>
      </w:pPr>
      <w:r>
        <w:rPr>
          <w:rFonts w:hint="eastAsia" w:ascii="宋体" w:hAnsi="宋体"/>
          <w:szCs w:val="21"/>
        </w:rPr>
        <w:t>三影塔位于三影塔广场，又名延祥寺塔，建于北宋大中祥符二年（1009年），为六角九层楼阁式砖塔。是广东省有绝对年代可考的北宋早期砖塔，是全国重点文物保护单位。</w:t>
      </w:r>
    </w:p>
    <w:p w14:paraId="77DF883F">
      <w:pPr>
        <w:ind w:firstLine="420"/>
        <w:rPr>
          <w:rFonts w:ascii="宋体" w:hAnsi="宋体"/>
          <w:szCs w:val="21"/>
        </w:rPr>
      </w:pPr>
      <w:r>
        <w:rPr>
          <w:rFonts w:hint="eastAsia" w:ascii="宋体" w:hAnsi="宋体"/>
          <w:szCs w:val="21"/>
        </w:rPr>
        <w:t>2、珠玑古巷</w:t>
      </w:r>
    </w:p>
    <w:p w14:paraId="7C13DB19">
      <w:pPr>
        <w:ind w:firstLine="420"/>
        <w:rPr>
          <w:rFonts w:ascii="宋体" w:hAnsi="宋体"/>
          <w:szCs w:val="21"/>
        </w:rPr>
      </w:pPr>
      <w:r>
        <w:rPr>
          <w:rFonts w:hint="eastAsia" w:ascii="宋体" w:hAnsi="宋体"/>
          <w:szCs w:val="21"/>
        </w:rPr>
        <w:t>珠玑古巷位于南雄市东北、距市区9公里的珠玑镇境内。珠玑古巷处在梅关古驿道上，它是古代中原和江南通往岭南古驿道上的一个商业重镇。宋代沙角巡检司就设在古巷北面出口处的沙角。历史上在古巷居住有175姓，古巷后裔现分布在珠江三角洲各地及海外，达五千多万。珠玑古巷被称为珠江三角洲居民的发祥地和祖居。</w:t>
      </w:r>
    </w:p>
    <w:p w14:paraId="498F8680">
      <w:pPr>
        <w:ind w:firstLine="420"/>
        <w:rPr>
          <w:rFonts w:ascii="宋体" w:hAnsi="宋体"/>
          <w:szCs w:val="21"/>
        </w:rPr>
      </w:pPr>
      <w:r>
        <w:rPr>
          <w:rFonts w:hint="eastAsia" w:ascii="宋体" w:hAnsi="宋体"/>
          <w:szCs w:val="21"/>
        </w:rPr>
        <w:t>珠玑古巷是广东省仅存的宋代古巷古道。它北起凤凰桥，南至驷马桥，全长1500多米，路面宽4米多，全部用鹅卵石铺砌而成。两旁民宅祠堂、店铺商号鳞次栉比。巷道曲直有致，古朴清悠。巷内有古楼、古塔、古榕、古桥等古迹。巷内现有居民20多姓，320多户，1400多人。这里民俗古朴，民情淳厚。走进珠玑古巷，当年的古镇风貌依稀可辨。</w:t>
      </w:r>
    </w:p>
    <w:p w14:paraId="42243EC8">
      <w:pPr>
        <w:ind w:firstLine="420"/>
        <w:rPr>
          <w:rFonts w:ascii="宋体" w:hAnsi="宋体"/>
          <w:szCs w:val="21"/>
        </w:rPr>
      </w:pPr>
      <w:r>
        <w:rPr>
          <w:rFonts w:hint="eastAsia" w:ascii="宋体" w:hAnsi="宋体"/>
          <w:szCs w:val="21"/>
        </w:rPr>
        <w:t>珠玑巷原来叫敬宗巷。据史料记载，珠玑巷得名始于唐朝张昌。昌之先，为南雄敬宗巷孝义门人。其始祖辙，生子兴，七世同居。唐敬宗宝历元年，朝廷闻其孝义，赐予珠玑绦环以旌之。因避敬宗讳，改所居敬宗巷为珠玑巷。</w:t>
      </w:r>
    </w:p>
    <w:p w14:paraId="7B8923FC">
      <w:pPr>
        <w:ind w:firstLine="420"/>
        <w:rPr>
          <w:rFonts w:ascii="宋体" w:hAnsi="宋体"/>
          <w:szCs w:val="21"/>
        </w:rPr>
      </w:pPr>
      <w:r>
        <w:rPr>
          <w:rFonts w:hint="eastAsia" w:ascii="宋体" w:hAnsi="宋体"/>
          <w:szCs w:val="21"/>
        </w:rPr>
        <w:t>珠玑古巷被评为国家4A旅游景区、中华文化交流基地、广东统一战线基地、广东省“侨界文化交流基地”、“广东最美的地方、广东最美的街区”、“广东最美丽乡村示范区”、“第二届广东省自驾游最佳目的地”、“韶关最佳休闲旅游好去处”等荣誉称号。</w:t>
      </w:r>
    </w:p>
    <w:p w14:paraId="672AE18D">
      <w:pPr>
        <w:ind w:firstLine="420"/>
        <w:rPr>
          <w:rFonts w:ascii="宋体" w:hAnsi="宋体"/>
          <w:szCs w:val="21"/>
        </w:rPr>
      </w:pPr>
      <w:r>
        <w:rPr>
          <w:rFonts w:hint="eastAsia" w:ascii="宋体" w:hAnsi="宋体"/>
          <w:szCs w:val="21"/>
        </w:rPr>
        <w:t>3、梅岭梅岭</w:t>
      </w:r>
    </w:p>
    <w:p w14:paraId="0924CEA1">
      <w:pPr>
        <w:ind w:firstLine="420"/>
        <w:rPr>
          <w:rFonts w:ascii="宋体" w:hAnsi="宋体"/>
          <w:szCs w:val="21"/>
        </w:rPr>
      </w:pPr>
      <w:r>
        <w:rPr>
          <w:rFonts w:hint="eastAsia" w:ascii="宋体" w:hAnsi="宋体"/>
          <w:szCs w:val="21"/>
        </w:rPr>
        <w:t>又称大庾岭，位于广东省南雄市区北26公里，地势险要，奇峰叠秀，逶迤数百里，是粤赣两省的天然屏障，是一处集红色旅游、名胜古迹、自然景观、人文景观为主，融娱乐、健身、观光为一体的怀古观光、爱国主义教育、休闲度假型综合景区。</w:t>
      </w:r>
    </w:p>
    <w:p w14:paraId="41CB50D1">
      <w:pPr>
        <w:ind w:firstLine="420"/>
        <w:rPr>
          <w:rFonts w:ascii="宋体" w:hAnsi="宋体"/>
          <w:szCs w:val="21"/>
        </w:rPr>
      </w:pPr>
      <w:r>
        <w:rPr>
          <w:rFonts w:hint="eastAsia" w:ascii="宋体" w:hAnsi="宋体"/>
          <w:szCs w:val="21"/>
        </w:rPr>
        <w:t>梅岭上的古驿道—梅关古道是“中国四大赏梅地”之一，是全国保存最完好的古驿道，跨越粤赣两省。此古道秦汉时即开通，秦时设关，叫横蒲关。唐开元四年（公元716年），朝廷为促进中国南北经济文化交流，发展海外贸易，派遣左拾遗张九龄主持开拓梅关古道。工程历时二年，将一条羊肠小道拓展为二丈（6公尺）宽，用青石铺垫的通衢大道。从此，此古道是古代中原通往岭南及东南亚的咽喉之地，是古代连接长江、珠江两水系最短的陆上交通要道，它在中国乃至世界古代人文发展史上起过重要的作用。</w:t>
      </w:r>
    </w:p>
    <w:p w14:paraId="5ED1F74F">
      <w:pPr>
        <w:ind w:firstLine="420"/>
        <w:rPr>
          <w:rFonts w:ascii="宋体" w:hAnsi="宋体"/>
          <w:szCs w:val="21"/>
        </w:rPr>
      </w:pPr>
      <w:r>
        <w:rPr>
          <w:rFonts w:hint="eastAsia" w:ascii="宋体" w:hAnsi="宋体"/>
          <w:szCs w:val="21"/>
        </w:rPr>
        <w:t>梅岭以梅著称，“庾岭寒梅”，闻名于世，有南枝花落，北枝始开的特有自然景观，又有“梅国”的美称。其娇艳独特的梅花景致更是吸引了古往今来的文人墨客前来观景赏梅，吟诗作赋，挥豪刻碑，真可谓“一路梅花一路诗”。其地势险峻，山顶的梅关有“岭南第一关”之称，历来是兵家必争之地。现保存较完好的古道位于梅岭南北坡，长8公里。古道自然风光秀美，人文资源丰富，两旁青松叠翠，梅林婆娑，杜鹃遍野，流水淙淙，更有历代人文遗迹，如关楼、六祖寺、挂角寺、夫人庙、来雁亭、状元树、陈毅元帅《梅岭三章》诗碑廊、两江亭等点缀其间。旅客可闲步村庄，寻幽览胜，采访山野人家。登上两江亭可欣赏粤赣两省风光。</w:t>
      </w:r>
    </w:p>
    <w:p w14:paraId="79490FF9">
      <w:pPr>
        <w:ind w:firstLine="420"/>
        <w:rPr>
          <w:rFonts w:ascii="宋体" w:hAnsi="宋体"/>
          <w:szCs w:val="21"/>
        </w:rPr>
      </w:pPr>
      <w:r>
        <w:rPr>
          <w:rFonts w:hint="eastAsia" w:ascii="宋体" w:hAnsi="宋体"/>
          <w:szCs w:val="21"/>
        </w:rPr>
        <w:t>梅岭又是一座革命名山。土地革命战争时期，毛泽东曾经分别在1929年、1930年、1932年、1934年，四次率领中国工农红军经过粤赣交界的梅岭，进入广东南雄从事革命活动，为南雄人民革命史增添了浓厚的一笔。1934年10月中央红军长征后，陈毅元帅带领余下部队在梅岭、油山一带坚持了艰苦卓绝的三年游击战争，并留下了《梅岭三章》、《偷渡梅关》等英雄诗篇。现景区规划面积3.5平方公里，景点20余处，主要景点有陈毅元帅《梅岭三章》诗碑廊、战壕遗址、两江亭、来雁亭、岭南梅园、夫人庙、半山亭、六祖寺、挂角寺、状元树、千亩梅林、关楼等20多个景点。</w:t>
      </w:r>
    </w:p>
    <w:p w14:paraId="22ACF6DD">
      <w:pPr>
        <w:ind w:firstLine="420"/>
        <w:rPr>
          <w:rFonts w:ascii="宋体" w:hAnsi="宋体"/>
          <w:szCs w:val="21"/>
        </w:rPr>
      </w:pPr>
      <w:r>
        <w:rPr>
          <w:rFonts w:hint="eastAsia" w:ascii="宋体" w:hAnsi="宋体"/>
          <w:szCs w:val="21"/>
        </w:rPr>
        <w:t>梅岭景区被评为国家4A旅游景区、“广东省红色旅游示范基地”等荣誉称号。</w:t>
      </w:r>
    </w:p>
    <w:p w14:paraId="3B2EA88B">
      <w:pPr>
        <w:ind w:firstLine="420"/>
        <w:rPr>
          <w:rFonts w:ascii="宋体" w:hAnsi="宋体"/>
          <w:szCs w:val="21"/>
        </w:rPr>
      </w:pPr>
      <w:r>
        <w:rPr>
          <w:rFonts w:hint="eastAsia" w:ascii="宋体" w:hAnsi="宋体"/>
          <w:szCs w:val="21"/>
        </w:rPr>
        <w:t>4、莲开净寺</w:t>
      </w:r>
    </w:p>
    <w:p w14:paraId="1B20BDF5">
      <w:pPr>
        <w:ind w:firstLine="420"/>
        <w:rPr>
          <w:rFonts w:ascii="宋体" w:hAnsi="宋体"/>
          <w:szCs w:val="21"/>
        </w:rPr>
      </w:pPr>
      <w:r>
        <w:rPr>
          <w:rFonts w:hint="eastAsia" w:ascii="宋体" w:hAnsi="宋体"/>
          <w:szCs w:val="21"/>
        </w:rPr>
        <w:t>莲开净寺位于南雄市南郊一公里处、浈江河畔，风景优美、环境清幽，花树环绕，百花飘香，殿堂雄伟庄严，近小城而不喧，居尘寰而不染，是一处修行学习的好道场，也是粤北较大的尼众丛林之一。1994年由南雄市政府礼请当代禅宗大师、佛门泰斗本焕老和尚（上本下焕老和尚）发起重建，于1994年发起策划筹备，并委派其徒印先、徒孙顿勇等人筹建，得到了政府及十方善信的大力支持。</w:t>
      </w:r>
    </w:p>
    <w:p w14:paraId="435D6693">
      <w:pPr>
        <w:ind w:firstLine="420"/>
        <w:rPr>
          <w:rFonts w:ascii="宋体" w:hAnsi="宋体"/>
          <w:szCs w:val="21"/>
        </w:rPr>
      </w:pPr>
      <w:r>
        <w:rPr>
          <w:rFonts w:hint="eastAsia" w:ascii="宋体" w:hAnsi="宋体"/>
          <w:szCs w:val="21"/>
        </w:rPr>
        <w:t>5、孔江湿地公园</w:t>
      </w:r>
    </w:p>
    <w:p w14:paraId="1B823F37">
      <w:pPr>
        <w:ind w:firstLine="420"/>
        <w:rPr>
          <w:rFonts w:ascii="宋体" w:hAnsi="宋体"/>
          <w:szCs w:val="21"/>
        </w:rPr>
      </w:pPr>
      <w:r>
        <w:rPr>
          <w:rFonts w:hint="eastAsia" w:ascii="宋体" w:hAnsi="宋体"/>
          <w:szCs w:val="21"/>
        </w:rPr>
        <w:t>孔江湿地公园地处南雄市东北部、离市区32公里的乌迳镇境内。2011年3月30日，孔江湿地公园被国家林业局批准为国家湿地公园。整个湿地公园东西垂直长约6.8公里，南北垂直长约5.3公里，规划总面积1667.9公顷。</w:t>
      </w:r>
    </w:p>
    <w:p w14:paraId="6200373B">
      <w:pPr>
        <w:ind w:firstLine="420"/>
        <w:rPr>
          <w:rFonts w:ascii="宋体" w:hAnsi="宋体"/>
          <w:szCs w:val="21"/>
        </w:rPr>
      </w:pPr>
      <w:r>
        <w:rPr>
          <w:rFonts w:hint="eastAsia" w:ascii="宋体" w:hAnsi="宋体"/>
          <w:szCs w:val="21"/>
        </w:rPr>
        <w:t>该湿地公园由入库溪流、水库、沼泽、洪泛湿地、洲滩与环库森林，生态系统结构完整，自然景观独特，物种丰富，珍稀物种众多，有国家重点保护动物34种，中国红皮书确定濒危动物22种，国家保护植物13科12属14种。孔江水库中点缀着众多的岛屿，如同珠玉散落玉盘，造就了上百个库汊，开成湖中有湖，山外有山，山重水复，山环水抱的奇景，有“百岛湖”和粤北第一库之称。而尤为可贵的是，水库周边出露着大面积发育典型的丹霞地貌，丹霞地貌与水域环境相得益彰，是广东唯一的水映丹霞景区。</w:t>
      </w:r>
    </w:p>
    <w:p w14:paraId="19657222">
      <w:pPr>
        <w:ind w:firstLine="420"/>
        <w:rPr>
          <w:rFonts w:ascii="宋体" w:hAnsi="宋体"/>
          <w:szCs w:val="21"/>
        </w:rPr>
      </w:pPr>
      <w:r>
        <w:rPr>
          <w:rFonts w:hint="eastAsia" w:ascii="宋体" w:hAnsi="宋体"/>
          <w:szCs w:val="21"/>
        </w:rPr>
        <w:t>6、钟鼓岩</w:t>
      </w:r>
    </w:p>
    <w:p w14:paraId="7A2A859F">
      <w:pPr>
        <w:ind w:firstLine="420"/>
        <w:rPr>
          <w:rFonts w:ascii="宋体" w:hAnsi="宋体"/>
          <w:szCs w:val="21"/>
        </w:rPr>
      </w:pPr>
      <w:r>
        <w:rPr>
          <w:rFonts w:hint="eastAsia" w:ascii="宋体" w:hAnsi="宋体"/>
          <w:szCs w:val="21"/>
        </w:rPr>
        <w:t>钟鼓岩原称翠屏山，距南雄市区25公里的珠玑镇梅岭村委会323线国道旁，与梅关古道相望。钟鼓岩方园2公里，高65米，二个石灰岩溶洞内各有一块钟乳石，一石形如钟，叩之有钟声；一石状如鼓，击之有鼓声，合称为钟鼓岩，是梅岭胜景之一，属省重点文物保护单位。</w:t>
      </w:r>
    </w:p>
    <w:p w14:paraId="04AEB825">
      <w:pPr>
        <w:ind w:firstLine="420"/>
        <w:rPr>
          <w:rFonts w:ascii="宋体" w:hAnsi="宋体"/>
          <w:szCs w:val="21"/>
        </w:rPr>
      </w:pPr>
      <w:r>
        <w:rPr>
          <w:rFonts w:hint="eastAsia" w:ascii="宋体" w:hAnsi="宋体"/>
          <w:szCs w:val="21"/>
        </w:rPr>
        <w:t>7、青嶂山</w:t>
      </w:r>
    </w:p>
    <w:p w14:paraId="2F80817A">
      <w:pPr>
        <w:ind w:firstLine="420"/>
        <w:rPr>
          <w:rFonts w:ascii="宋体" w:hAnsi="宋体"/>
          <w:szCs w:val="21"/>
        </w:rPr>
      </w:pPr>
      <w:r>
        <w:rPr>
          <w:rFonts w:hint="eastAsia" w:ascii="宋体" w:hAnsi="宋体"/>
          <w:szCs w:val="21"/>
        </w:rPr>
        <w:t>青嶂山省级自然保护区于2007年成立，位于广东南雄市区东南部，属森林和野生动物类型自然保护区，重点保护对象为亚热带森林生态系统及珍稀动植物资源。</w:t>
      </w:r>
    </w:p>
    <w:p w14:paraId="29BFA5C7">
      <w:pPr>
        <w:ind w:firstLine="420"/>
        <w:rPr>
          <w:rFonts w:ascii="宋体" w:hAnsi="宋体"/>
          <w:szCs w:val="21"/>
        </w:rPr>
      </w:pPr>
      <w:r>
        <w:rPr>
          <w:rFonts w:hint="eastAsia" w:ascii="宋体" w:hAnsi="宋体"/>
          <w:szCs w:val="21"/>
        </w:rPr>
        <w:t>8、苍石寨</w:t>
      </w:r>
    </w:p>
    <w:p w14:paraId="1000D1D0">
      <w:pPr>
        <w:ind w:firstLine="420"/>
        <w:rPr>
          <w:rFonts w:ascii="宋体" w:hAnsi="宋体"/>
          <w:szCs w:val="21"/>
        </w:rPr>
      </w:pPr>
      <w:r>
        <w:rPr>
          <w:rFonts w:hint="eastAsia" w:ascii="宋体" w:hAnsi="宋体"/>
          <w:szCs w:val="21"/>
        </w:rPr>
        <w:t>苍石寨位于南雄西北部的全安镇境内，距南雄市区13公里，交通、通信便利。全寨由九座形态各异的山峰组成，在登寨必经的险要处，有石块筑成的隘口，成为扼守山寨的险门，足成“以一挡万”之势。</w:t>
      </w:r>
    </w:p>
    <w:p w14:paraId="002A82DD">
      <w:pPr>
        <w:ind w:firstLine="420"/>
        <w:rPr>
          <w:rFonts w:ascii="宋体" w:hAnsi="宋体"/>
          <w:szCs w:val="21"/>
        </w:rPr>
      </w:pPr>
      <w:r>
        <w:rPr>
          <w:rFonts w:hint="eastAsia" w:ascii="宋体" w:hAnsi="宋体"/>
          <w:szCs w:val="21"/>
        </w:rPr>
        <w:t>该景区占地4.5平方公里，主景区0.6平方公里，属红色丹霞地貌，景区由九个形态各异的山峰组成，其状如腾龙奔马，群山间有羊肠小径连接，小径或藏于树丛和悬崖峭壁之中，或显于群峰山谷之间，“苍石寨”由此得“寨”名。寨内山清水秀，峡谷幽深，瀑布雄伟壮观，奇花异草随处可见，状元桥、情人谷、情人桥、五龙潭、温泉是寨内最令年青人情有独钟的去处；瑶隆峡，首阳峰，远眺南雄市区全貌，品味“一览众山小”“荣辱皆忘”的意境，成为所有游客最热切登临的胜地。</w:t>
      </w:r>
    </w:p>
    <w:p w14:paraId="2B9FDE56">
      <w:pPr>
        <w:ind w:firstLine="420"/>
        <w:rPr>
          <w:rFonts w:ascii="宋体" w:hAnsi="宋体"/>
          <w:szCs w:val="21"/>
        </w:rPr>
      </w:pPr>
      <w:r>
        <w:rPr>
          <w:rFonts w:hint="eastAsia" w:ascii="宋体" w:hAnsi="宋体"/>
          <w:szCs w:val="21"/>
        </w:rPr>
        <w:t>9、大雄禅寺</w:t>
      </w:r>
    </w:p>
    <w:p w14:paraId="5C3303E0">
      <w:pPr>
        <w:ind w:firstLine="420"/>
        <w:rPr>
          <w:rFonts w:ascii="宋体" w:hAnsi="宋体"/>
          <w:szCs w:val="21"/>
        </w:rPr>
      </w:pPr>
      <w:r>
        <w:rPr>
          <w:rFonts w:hint="eastAsia" w:ascii="宋体" w:hAnsi="宋体"/>
          <w:szCs w:val="21"/>
        </w:rPr>
        <w:t>大雄禅寺位于南雄东北方向、离南雄市区9公里的珠玑镇珠玑古巷。大雄禅寺初名沙水院，后称沙水寺，始建于宋德佑元年（1275年）至今已有700余年的历史，是岭南广东古代名刹之一。</w:t>
      </w:r>
    </w:p>
    <w:p w14:paraId="6A7355B7">
      <w:pPr>
        <w:ind w:firstLine="420"/>
        <w:rPr>
          <w:rFonts w:ascii="宋体" w:hAnsi="宋体"/>
          <w:szCs w:val="21"/>
        </w:rPr>
      </w:pPr>
      <w:r>
        <w:rPr>
          <w:rFonts w:hint="eastAsia" w:ascii="宋体" w:hAnsi="宋体"/>
          <w:szCs w:val="21"/>
        </w:rPr>
        <w:t>1998年，南雄市政府礼请本焕老和尚主持规划，并于2001年农历闰4月16日举行奠基典礼。规划后的大雄禅寺，占地10万余平方米，规模宏大、雄伟壮观，总投资达人民币2亿多元，建筑规模位于华夏丛林之首，也是本焕老和尚一生中所建的最大寺院。</w:t>
      </w:r>
    </w:p>
    <w:p w14:paraId="2FAEB69F">
      <w:pPr>
        <w:ind w:firstLine="420"/>
        <w:rPr>
          <w:rFonts w:ascii="宋体" w:hAnsi="宋体"/>
          <w:szCs w:val="21"/>
        </w:rPr>
      </w:pPr>
      <w:r>
        <w:rPr>
          <w:rFonts w:hint="eastAsia" w:ascii="宋体" w:hAnsi="宋体"/>
          <w:szCs w:val="21"/>
        </w:rPr>
        <w:t>10、中共广东省委机关旧址瑶坑</w:t>
      </w:r>
    </w:p>
    <w:p w14:paraId="78A9FCC1">
      <w:pPr>
        <w:ind w:firstLine="420"/>
        <w:rPr>
          <w:rFonts w:ascii="宋体" w:hAnsi="宋体"/>
          <w:szCs w:val="21"/>
        </w:rPr>
      </w:pPr>
      <w:r>
        <w:rPr>
          <w:rFonts w:hint="eastAsia" w:ascii="宋体" w:hAnsi="宋体"/>
          <w:szCs w:val="21"/>
        </w:rPr>
        <w:t>中共广东省委机关旧址瑶坑位于南雄市雄州街道荆岗村委会瑶坑村，距离南雄市区仅3公里。抗日战争时期，中共广东省委北迁韶关，于1939年冬迁到南雄城郊的瑶坑村，在这里领导全省地下党和广大群众进行抗日救亡斗争。省委在瑶坑驻扎了一年多时间。</w:t>
      </w:r>
    </w:p>
    <w:p w14:paraId="0AC9F16F">
      <w:pPr>
        <w:ind w:firstLine="420"/>
        <w:rPr>
          <w:rFonts w:ascii="宋体" w:hAnsi="宋体"/>
          <w:szCs w:val="21"/>
        </w:rPr>
      </w:pPr>
      <w:r>
        <w:rPr>
          <w:rFonts w:hint="eastAsia" w:ascii="宋体" w:hAnsi="宋体"/>
          <w:szCs w:val="21"/>
        </w:rPr>
        <w:t>省委旧址为一排小学校舍，面宽五间，为民国时的私塾扩建的校舍，校舍后向为后垄山，前向为校门坪，2010年，省委旧址重修，并按旧时历史面貌予以布展，旧址壁有一间反映省委在瑶坑工作期间的历史资料陈列室。并于同年“七.一”前对外开放。2010年5月，省委机关旧址瑶坑被评为省级重点保护单位。</w:t>
      </w:r>
    </w:p>
    <w:p w14:paraId="7AE56B74">
      <w:pPr>
        <w:ind w:firstLine="420"/>
        <w:rPr>
          <w:rFonts w:ascii="宋体" w:hAnsi="宋体"/>
          <w:szCs w:val="21"/>
        </w:rPr>
      </w:pPr>
      <w:r>
        <w:rPr>
          <w:rFonts w:hint="eastAsia" w:ascii="宋体" w:hAnsi="宋体"/>
          <w:szCs w:val="21"/>
        </w:rPr>
        <w:t>11、南雄县苏维埃政府遗址—上朔村</w:t>
      </w:r>
    </w:p>
    <w:p w14:paraId="576DBB16">
      <w:pPr>
        <w:ind w:firstLine="420"/>
        <w:rPr>
          <w:rFonts w:ascii="宋体" w:hAnsi="宋体"/>
          <w:szCs w:val="21"/>
        </w:rPr>
      </w:pPr>
      <w:r>
        <w:rPr>
          <w:rFonts w:hint="eastAsia" w:ascii="宋体" w:hAnsi="宋体"/>
          <w:szCs w:val="21"/>
        </w:rPr>
        <w:t>南雄县苏维埃政府遗址位于广东省韶关市南雄市油山镇上朔村委会上朔村。建筑占地面积250平方米。</w:t>
      </w:r>
    </w:p>
    <w:p w14:paraId="75714A68">
      <w:pPr>
        <w:ind w:firstLine="420"/>
        <w:rPr>
          <w:rFonts w:ascii="宋体" w:hAnsi="宋体"/>
          <w:szCs w:val="21"/>
        </w:rPr>
      </w:pPr>
      <w:r>
        <w:rPr>
          <w:rFonts w:hint="eastAsia" w:ascii="宋体" w:hAnsi="宋体"/>
          <w:szCs w:val="21"/>
        </w:rPr>
        <w:t>遗址平面似方形，面宽13.5米，进深二间13.15米。夯土墙，二层，现仅存首层夯土墙和一堵间墙，其它瓦、木、门窗全部被烧毁，该遗址是南雄县苏维埃政府历史的见证，1982年5月被公布为南雄县文物保护单位。</w:t>
      </w:r>
    </w:p>
    <w:p w14:paraId="1F214820">
      <w:pPr>
        <w:ind w:firstLine="420"/>
        <w:rPr>
          <w:rFonts w:ascii="宋体" w:hAnsi="宋体"/>
          <w:szCs w:val="21"/>
        </w:rPr>
      </w:pPr>
      <w:r>
        <w:rPr>
          <w:rFonts w:hint="eastAsia" w:ascii="宋体" w:hAnsi="宋体"/>
          <w:szCs w:val="21"/>
        </w:rPr>
        <w:t>12、水口战役战场旧址—水口镇</w:t>
      </w:r>
    </w:p>
    <w:p w14:paraId="05C1FA12">
      <w:pPr>
        <w:ind w:firstLine="420"/>
        <w:rPr>
          <w:rFonts w:ascii="宋体" w:hAnsi="宋体"/>
          <w:szCs w:val="21"/>
        </w:rPr>
      </w:pPr>
      <w:r>
        <w:rPr>
          <w:rFonts w:hint="eastAsia" w:ascii="宋体" w:hAnsi="宋体"/>
          <w:szCs w:val="21"/>
        </w:rPr>
        <w:t>水口村水口战役战场旧址位于广东省韶关市南雄市水口镇水口村委会水口村。</w:t>
      </w:r>
    </w:p>
    <w:p w14:paraId="2991895C">
      <w:pPr>
        <w:ind w:firstLine="420"/>
        <w:rPr>
          <w:rFonts w:ascii="宋体" w:hAnsi="宋体"/>
          <w:szCs w:val="21"/>
        </w:rPr>
      </w:pPr>
      <w:r>
        <w:rPr>
          <w:rFonts w:hint="eastAsia" w:ascii="宋体" w:hAnsi="宋体"/>
          <w:szCs w:val="21"/>
        </w:rPr>
        <w:t>水口战役是中国革命战争史上有名的战役，也是第二次国内革命战争时期一场罕见的恶仗。此役共歼灭粤军近三千人。粤军遭此打击，全部退出了赣南根据地，以后很长时间未敢轻举妄动，使中央苏区的南翼得以安宁。</w:t>
      </w:r>
    </w:p>
    <w:p w14:paraId="61164B1C">
      <w:pPr>
        <w:ind w:firstLine="420"/>
        <w:rPr>
          <w:rFonts w:ascii="宋体" w:hAnsi="宋体"/>
          <w:szCs w:val="21"/>
        </w:rPr>
      </w:pPr>
      <w:r>
        <w:rPr>
          <w:rFonts w:hint="eastAsia" w:ascii="宋体" w:hAnsi="宋体"/>
          <w:szCs w:val="21"/>
        </w:rPr>
        <w:t>1995年5月，南雄市人民政府在水口镇建立水口战役战场纪念碑，2004年建水口战役纪念公园。</w:t>
      </w:r>
    </w:p>
    <w:p w14:paraId="376F5A11">
      <w:pPr>
        <w:ind w:firstLine="420"/>
        <w:rPr>
          <w:rFonts w:ascii="宋体" w:hAnsi="宋体"/>
          <w:szCs w:val="21"/>
        </w:rPr>
      </w:pPr>
      <w:r>
        <w:rPr>
          <w:rFonts w:hint="eastAsia" w:ascii="宋体" w:hAnsi="宋体"/>
          <w:szCs w:val="21"/>
        </w:rPr>
        <w:t>13、帽子峰省级森林</w:t>
      </w:r>
    </w:p>
    <w:p w14:paraId="0C13547D">
      <w:pPr>
        <w:ind w:firstLine="420"/>
        <w:rPr>
          <w:rFonts w:ascii="宋体" w:hAnsi="宋体"/>
          <w:szCs w:val="21"/>
        </w:rPr>
      </w:pPr>
      <w:r>
        <w:rPr>
          <w:rFonts w:hint="eastAsia" w:ascii="宋体" w:hAnsi="宋体"/>
          <w:szCs w:val="21"/>
        </w:rPr>
        <w:t>公园帽子峰森林公园位于南雄市西北部，北及西北部与江西省大余县接壤，东邻本市帽子峰镇新跃林场，离南雄市区约42公里，今年5月被评为省级森林生态旅游示范基地。全年气候温和，雨量充沛，冬季降雪，呈现出南方少有的雪景。林场树木、花草繁多，很多地方保留了原始森林风貌，野果也满山遍野。林场四季鸟语花香，飞禽走兽在林间出没，林场花卉众多，四季飘香。特别是深秋季节，林场银杏金黄，层林尽染，被许多摄影发烧友誉为“南雄九寨沟”。</w:t>
      </w:r>
    </w:p>
    <w:p w14:paraId="1776FF2E">
      <w:pPr>
        <w:ind w:firstLine="420"/>
        <w:rPr>
          <w:rFonts w:ascii="宋体" w:hAnsi="宋体"/>
          <w:szCs w:val="21"/>
        </w:rPr>
      </w:pPr>
      <w:r>
        <w:rPr>
          <w:rFonts w:hint="eastAsia" w:ascii="宋体" w:hAnsi="宋体"/>
          <w:szCs w:val="21"/>
        </w:rPr>
        <w:t>公园内帽子峰属大庾岭山脉。海拔1058米。山上经常浓雾密布，每到天晴，方露出帽子般的顶峰，世人故以帽子喻之。帽子峰森林公园总面积为2924.6公顷。</w:t>
      </w:r>
    </w:p>
    <w:p w14:paraId="05DC088D">
      <w:pPr>
        <w:ind w:firstLine="420"/>
        <w:rPr>
          <w:rFonts w:ascii="宋体" w:hAnsi="宋体"/>
          <w:szCs w:val="21"/>
        </w:rPr>
      </w:pPr>
      <w:r>
        <w:rPr>
          <w:rFonts w:hint="eastAsia" w:ascii="宋体" w:hAnsi="宋体"/>
          <w:szCs w:val="21"/>
        </w:rPr>
        <w:t>14、坪田千年银杏林</w:t>
      </w:r>
    </w:p>
    <w:p w14:paraId="57D0E76A">
      <w:pPr>
        <w:ind w:firstLine="420"/>
        <w:rPr>
          <w:rFonts w:ascii="宋体" w:hAnsi="宋体"/>
          <w:szCs w:val="21"/>
        </w:rPr>
      </w:pPr>
      <w:r>
        <w:rPr>
          <w:rFonts w:hint="eastAsia" w:ascii="宋体" w:hAnsi="宋体"/>
          <w:szCs w:val="21"/>
        </w:rPr>
        <w:t>千年古银杏位于南雄市东北，距南雄市区58公里的坪田镇。坪田镇境内有一大片丛生千年银杏林，2000多株银杏树中，树龄最长的有1680多年，树龄最短的也有二三百年。成了南雄独特一景古银杏群落。</w:t>
      </w:r>
    </w:p>
    <w:p w14:paraId="56F7D155">
      <w:pPr>
        <w:ind w:firstLine="420"/>
        <w:rPr>
          <w:rFonts w:ascii="宋体" w:hAnsi="宋体"/>
          <w:szCs w:val="21"/>
        </w:rPr>
      </w:pPr>
      <w:r>
        <w:rPr>
          <w:rFonts w:hint="eastAsia" w:ascii="宋体" w:hAnsi="宋体"/>
          <w:szCs w:val="21"/>
        </w:rPr>
        <w:t>“银杏染秋”是银杏到了秋天，树叶变得金黄且撒落地面。此时正值秋收季节，果农收果，一派丰收景象。“银杏染秋”是摄影爱好者钟爱的景物。</w:t>
      </w:r>
    </w:p>
    <w:p w14:paraId="43A10AFE">
      <w:pPr>
        <w:ind w:firstLine="420"/>
        <w:rPr>
          <w:rFonts w:ascii="宋体" w:hAnsi="宋体"/>
          <w:szCs w:val="21"/>
        </w:rPr>
      </w:pPr>
      <w:r>
        <w:rPr>
          <w:rFonts w:hint="eastAsia" w:ascii="宋体" w:hAnsi="宋体"/>
          <w:szCs w:val="21"/>
        </w:rPr>
        <w:t>15、广东南雄恐龙化石群省级自然保护区</w:t>
      </w:r>
    </w:p>
    <w:p w14:paraId="39A2F6CA">
      <w:pPr>
        <w:ind w:firstLine="420"/>
        <w:rPr>
          <w:rFonts w:ascii="宋体" w:hAnsi="宋体"/>
          <w:szCs w:val="21"/>
        </w:rPr>
      </w:pPr>
      <w:r>
        <w:rPr>
          <w:rFonts w:hint="eastAsia" w:ascii="宋体" w:hAnsi="宋体"/>
          <w:szCs w:val="21"/>
        </w:rPr>
        <w:t>广东南雄恐龙化石群省级自然保护区分为三个区。保护一区位于南雄城南一主田镇一带。保护二区位于湖口镇一水口镇公路西南一带的龙凤塘一上湖洞—罗佛寨等地。保护三区位于黄坑镇东北一带的杨梅坑—坪岭等地。整个自然保护区共涉及7个镇，总面积为42.21km</w:t>
      </w:r>
      <w:r>
        <w:rPr>
          <w:rFonts w:ascii="宋体" w:hAnsi="宋体"/>
          <w:szCs w:val="21"/>
          <w:vertAlign w:val="superscript"/>
        </w:rPr>
        <w:t>2</w:t>
      </w:r>
      <w:r>
        <w:rPr>
          <w:rFonts w:hint="eastAsia" w:ascii="宋体" w:hAnsi="宋体"/>
          <w:szCs w:val="21"/>
        </w:rPr>
        <w:t>。整个自然保护区将形成一个以核心区为中心、以缓冲区及实验区为边沿，有恐龙蛋化石原址展棚、有恐龙脚印化石原址展棚、有恐龙骨骼化石原址展棚、有恐龙化石展馆及完整的E/K界线地层剖面。</w:t>
      </w:r>
    </w:p>
    <w:p w14:paraId="15454EE2">
      <w:pPr>
        <w:ind w:firstLine="420"/>
        <w:rPr>
          <w:rFonts w:ascii="宋体" w:hAnsi="宋体"/>
          <w:szCs w:val="21"/>
        </w:rPr>
      </w:pPr>
      <w:r>
        <w:rPr>
          <w:rFonts w:hint="eastAsia" w:ascii="宋体" w:hAnsi="宋体"/>
          <w:szCs w:val="21"/>
        </w:rPr>
        <w:t>南雄恐龙化石群遗址是地址历史时期的宝贵自然遗产，保护区内的恐龙化石群集稀有性、典型性、自然性和系统完整性于一身，属于一种特殊环境条件下保存规模较大的古生物化石遗迹，在国内是少见的，在国际上有重大的影响和特殊的科学研究价值，能为国内外地质学家和古生物学家研究全球晚白垩世末生物绝灭事件、地质灾变事件、全球性的地层划分和对比、生物进化、生态环境的演替、气候变化、恐龙家族的兴衰及绝灭等科学问题，提供多方面的证据。由于该保护区的地质遗迹原始状态保持完好、清晰分明、延续完整，在世界上都极具典型意义。中国科学院著名恐龙研究专家赵资奎教授指出“南雄红层”是目前世界上研究恐龙灭绝问题的最佳地点。</w:t>
      </w:r>
    </w:p>
    <w:p w14:paraId="0DA808EE">
      <w:pPr>
        <w:ind w:firstLine="420"/>
        <w:rPr>
          <w:rFonts w:ascii="宋体" w:hAnsi="宋体"/>
          <w:szCs w:val="21"/>
        </w:rPr>
      </w:pPr>
      <w:r>
        <w:rPr>
          <w:rFonts w:hint="eastAsia" w:ascii="宋体" w:hAnsi="宋体"/>
          <w:szCs w:val="21"/>
        </w:rPr>
        <w:t>16、古村落（新田、鱼鲜、溪塘、黄屋城）</w:t>
      </w:r>
    </w:p>
    <w:p w14:paraId="4C0F00E1">
      <w:pPr>
        <w:ind w:firstLine="420"/>
        <w:rPr>
          <w:rFonts w:ascii="宋体" w:hAnsi="宋体"/>
          <w:szCs w:val="21"/>
        </w:rPr>
      </w:pPr>
      <w:r>
        <w:rPr>
          <w:rFonts w:hint="eastAsia" w:ascii="宋体" w:hAnsi="宋体"/>
          <w:szCs w:val="21"/>
        </w:rPr>
        <w:t>（1）新田古村落：位于南雄市乌迳镇，距南雄市区33公里，东至江西省信丰县城约40公里，是具有悠久历史的粤北古村落，与梅关古道同属古代陆上和海上丝绸之路交接点，在历史上有着“中原南迁第一村”之称，自西晋建村至今已有近1700年历史。据史料记载，官拜太常卿（正四品、掌管礼乐的最高行政机关）的李耿在公元315年徙居新田，至今李姓是村里唯一的姓。</w:t>
      </w:r>
    </w:p>
    <w:p w14:paraId="406568DA">
      <w:pPr>
        <w:ind w:firstLine="420"/>
        <w:rPr>
          <w:rFonts w:ascii="宋体" w:hAnsi="宋体"/>
          <w:szCs w:val="21"/>
        </w:rPr>
      </w:pPr>
      <w:r>
        <w:rPr>
          <w:rFonts w:hint="eastAsia" w:ascii="宋体" w:hAnsi="宋体"/>
          <w:szCs w:val="21"/>
        </w:rPr>
        <w:t>古村落中，有明、清、民国初年古民居建筑多幢，其中保存较好的明清建筑达1万多平方米，虽多为客家建筑，但保留着许多中原风格，青墙玄瓦、凤头檐角，错落有致。体现建筑艺术精华的石、木、砖“三雕”在这里都能得到完美的展现，而其中犹以木雕为绝。屋里天井四周用特制打磨的青砖镶嵌，墙上屋顶还有精雕细凿的花纹图案。木雕内容尽显家族历史的久远。而窗则是唐人喜欢的石窗，万字花纹的、古钱币花纹的、哪吒火轮花纹的，多达70多种花纹，带着如意、吉祥、富裕等美好祝福镶嵌在石壁之上。</w:t>
      </w:r>
    </w:p>
    <w:p w14:paraId="7DD20FDF">
      <w:pPr>
        <w:ind w:firstLine="420"/>
        <w:rPr>
          <w:rFonts w:ascii="宋体" w:hAnsi="宋体"/>
          <w:szCs w:val="21"/>
        </w:rPr>
      </w:pPr>
      <w:r>
        <w:rPr>
          <w:rFonts w:hint="eastAsia" w:ascii="宋体" w:hAnsi="宋体"/>
          <w:szCs w:val="21"/>
        </w:rPr>
        <w:t>2009年12月3日新田村被广东省文联、广东省民间文艺家协会认定为第二批“广东省古村落”。</w:t>
      </w:r>
    </w:p>
    <w:p w14:paraId="6DC05B4F">
      <w:pPr>
        <w:ind w:firstLine="420"/>
        <w:rPr>
          <w:rFonts w:ascii="宋体" w:hAnsi="宋体"/>
          <w:szCs w:val="21"/>
        </w:rPr>
      </w:pPr>
      <w:r>
        <w:rPr>
          <w:rFonts w:hint="eastAsia" w:ascii="宋体" w:hAnsi="宋体"/>
          <w:szCs w:val="21"/>
        </w:rPr>
        <w:t>（2）鱼鲜古村落：位于南雄市东部的南亩镇境内，距市区约30多公里。</w:t>
      </w:r>
    </w:p>
    <w:p w14:paraId="001C7BDE">
      <w:pPr>
        <w:ind w:firstLine="420"/>
        <w:rPr>
          <w:rFonts w:ascii="宋体" w:hAnsi="宋体"/>
          <w:szCs w:val="21"/>
        </w:rPr>
      </w:pPr>
      <w:r>
        <w:rPr>
          <w:rFonts w:hint="eastAsia" w:ascii="宋体" w:hAnsi="宋体"/>
          <w:szCs w:val="21"/>
        </w:rPr>
        <w:t>据鱼鲜王氏族谱记载，该村建于南宋干道五年（即公元1169年）。有关专家认为，鱼鲜较好地保留与传承了村民风俗的活态民间文化，传统的民间文体表演活动如采茶戏、舞鸳鸯狮等也得以传承，此外，民间故事、传说也比较活跃。</w:t>
      </w:r>
    </w:p>
    <w:p w14:paraId="50126E10">
      <w:pPr>
        <w:ind w:firstLine="420"/>
        <w:rPr>
          <w:rFonts w:ascii="宋体" w:hAnsi="宋体"/>
          <w:szCs w:val="21"/>
        </w:rPr>
      </w:pPr>
      <w:r>
        <w:rPr>
          <w:rFonts w:hint="eastAsia" w:ascii="宋体" w:hAnsi="宋体"/>
          <w:szCs w:val="21"/>
        </w:rPr>
        <w:t>鱼鲜村的古建筑主要有先祖堂、世盛堂、千年古寺花林寺以及大量精美绝伦的石雕、牌坊。鱼鲜村在获得“广东省古村落”的称号后，吸引了更多的游客前往该村探古、旅游。</w:t>
      </w:r>
    </w:p>
    <w:p w14:paraId="6C06F52F">
      <w:pPr>
        <w:ind w:firstLine="420"/>
        <w:rPr>
          <w:rFonts w:ascii="宋体" w:hAnsi="宋体"/>
          <w:szCs w:val="21"/>
        </w:rPr>
      </w:pPr>
      <w:r>
        <w:rPr>
          <w:rFonts w:hint="eastAsia" w:ascii="宋体" w:hAnsi="宋体"/>
          <w:szCs w:val="21"/>
        </w:rPr>
        <w:t>2008年，鱼鲜村被广东省文联、广东省民间文艺家协会认定为第一批“广东省古村落”，全省仅有27个村获此殊荣。</w:t>
      </w:r>
    </w:p>
    <w:p w14:paraId="5EF9FF30">
      <w:pPr>
        <w:ind w:firstLine="420"/>
        <w:rPr>
          <w:rFonts w:ascii="宋体" w:hAnsi="宋体"/>
          <w:szCs w:val="21"/>
        </w:rPr>
      </w:pPr>
      <w:r>
        <w:rPr>
          <w:rFonts w:hint="eastAsia" w:ascii="宋体" w:hAnsi="宋体"/>
          <w:szCs w:val="21"/>
        </w:rPr>
        <w:t>（3）溪塘古村落：位于南雄市东北部的黄坑镇境内，距市区16公里，又称莲溪村。明嘉靖四十三年（1564年）谭大初撰的《溪塘水东陈氏地舆记》载：“雄城东七十里，古志名莲溪。初置雄州，经之营之，度地居民，则于溪塘是卜，此古营建处也。学宫神庙设其制，衙署城池定其规，至今基址犹不朽焉。”可见，南汉初置雄州城于溪塘。</w:t>
      </w:r>
    </w:p>
    <w:p w14:paraId="774ED122">
      <w:pPr>
        <w:ind w:firstLine="420"/>
        <w:rPr>
          <w:rFonts w:ascii="宋体" w:hAnsi="宋体"/>
          <w:szCs w:val="21"/>
        </w:rPr>
      </w:pPr>
      <w:r>
        <w:rPr>
          <w:rFonts w:hint="eastAsia" w:ascii="宋体" w:hAnsi="宋体"/>
          <w:szCs w:val="21"/>
        </w:rPr>
        <w:t>溪塘村建村于公元1276年，是南雄市一个较大规模的村落，有“千家村、百家姓”之称。据史书记载，南汉乾亨时期，雄州州城曾建于溪塘村，因此溪塘村又有“南汉雄州第一城”之称。溪塘西平堂李氏（水西李屋）宗祠是一座具有非常重要历史意义的祠堂，据我市考古工作者初步查证，溪塘西平堂李氏宗祠是岭南迄今为止，历史最悠久，保存最完整的西平堂李氏祠堂，堪称为“岭南西平李氏第一祠”。经过千年风雨洗礼，溪塘村作为“南雄第一州府”的辉煌虽然已不复存在，但村内保存较多的古祠堂、古门楼等古建筑依然在诉说着当年的繁华。</w:t>
      </w:r>
    </w:p>
    <w:p w14:paraId="6B72528E">
      <w:pPr>
        <w:ind w:firstLine="420"/>
        <w:rPr>
          <w:rFonts w:ascii="宋体" w:hAnsi="宋体"/>
          <w:szCs w:val="21"/>
        </w:rPr>
      </w:pPr>
      <w:r>
        <w:rPr>
          <w:rFonts w:hint="eastAsia" w:ascii="宋体" w:hAnsi="宋体"/>
          <w:szCs w:val="21"/>
        </w:rPr>
        <w:t>溪塘村附近的塔子下有岩石，色浅赭，质优良，可雕刻，称为“溪塘石”。溪塘村建筑多用此石料，作石柱、石门框、石窗、石匾，雕以花草人物图案，甚精细。村民常取石用以制作石磨、磨刀石、石凳等，或用或出售。南雄现存古代石狮以及珠玑古巷石塔，可能均取料于溪塘石。溪塘石实为溪塘村特有的资源。</w:t>
      </w:r>
    </w:p>
    <w:p w14:paraId="67684AC6">
      <w:pPr>
        <w:ind w:firstLine="420"/>
        <w:rPr>
          <w:rFonts w:ascii="宋体" w:hAnsi="宋体"/>
          <w:szCs w:val="21"/>
        </w:rPr>
      </w:pPr>
      <w:r>
        <w:rPr>
          <w:rFonts w:hint="eastAsia" w:ascii="宋体" w:hAnsi="宋体"/>
          <w:szCs w:val="21"/>
        </w:rPr>
        <w:t>2009年12月3日新田村被广东省文联、广东省民间文艺家协会认定为第二批“广东省古村落”。</w:t>
      </w:r>
    </w:p>
    <w:p w14:paraId="2FB00453">
      <w:pPr>
        <w:ind w:firstLine="420"/>
        <w:rPr>
          <w:rFonts w:ascii="宋体" w:hAnsi="宋体"/>
          <w:szCs w:val="21"/>
        </w:rPr>
      </w:pPr>
      <w:r>
        <w:rPr>
          <w:rFonts w:hint="eastAsia" w:ascii="宋体" w:hAnsi="宋体"/>
          <w:szCs w:val="21"/>
        </w:rPr>
        <w:t>（4）黄屋城古村落：位于百顺镇百顺村委会，是建于明朝洪武十年（1377年）的古城堡，至今有600多年的历史。黄屋城为椭圆形，城墙用花岗条石和青砖砌成。墙高9米多，厚0.6至0.7米，门宽1米多。南门上方石刻“义路礼门”四个楷书大字，书法古雅、劲秀。整座城占地面积一万多平方米。城内有街巷8条（段），用花岗石和鹅卵石砌成。现在有黄姓26户130多人居住在里面。黄屋城建筑规模宏大，技术精湛，结构牢固，风格独特，具有较高的历史文物价值。</w:t>
      </w:r>
    </w:p>
    <w:p w14:paraId="7D51457B">
      <w:pPr>
        <w:ind w:firstLine="420"/>
        <w:rPr>
          <w:rFonts w:ascii="宋体" w:hAnsi="宋体"/>
          <w:szCs w:val="21"/>
        </w:rPr>
      </w:pPr>
      <w:r>
        <w:rPr>
          <w:rFonts w:hint="eastAsia" w:ascii="宋体" w:hAnsi="宋体"/>
          <w:szCs w:val="21"/>
        </w:rPr>
        <w:t>2012年3月20日，被广东省文联、广东省民间文艺家协会认定为第三批“广东省古村落”。</w:t>
      </w:r>
    </w:p>
    <w:p w14:paraId="712B1968">
      <w:pPr>
        <w:pStyle w:val="4"/>
      </w:pPr>
      <w:r>
        <w:rPr>
          <w:rFonts w:hint="eastAsia"/>
        </w:rPr>
        <w:t>【旅游线路】</w:t>
      </w:r>
    </w:p>
    <w:p w14:paraId="597AA72C">
      <w:pPr>
        <w:ind w:firstLine="420"/>
        <w:rPr>
          <w:rFonts w:ascii="宋体" w:hAnsi="宋体"/>
          <w:szCs w:val="21"/>
        </w:rPr>
      </w:pPr>
      <w:r>
        <w:rPr>
          <w:rFonts w:hint="eastAsia" w:ascii="宋体" w:hAnsi="宋体"/>
          <w:szCs w:val="21"/>
        </w:rPr>
        <w:t>A线：红色旅游线路</w:t>
      </w:r>
    </w:p>
    <w:p w14:paraId="47812640">
      <w:pPr>
        <w:ind w:firstLine="420"/>
        <w:rPr>
          <w:rFonts w:ascii="宋体" w:hAnsi="宋体"/>
          <w:szCs w:val="21"/>
        </w:rPr>
      </w:pPr>
      <w:r>
        <w:rPr>
          <w:rFonts w:hint="eastAsia" w:ascii="宋体" w:hAnsi="宋体"/>
          <w:szCs w:val="21"/>
        </w:rPr>
        <w:t>南雄博物馆一瑶坑旧址一水口战役纪念公园一油山游击战区一梅关古道《梅岭三章》诗碑廊、北伐军出师处、古战壕一北山遗址</w:t>
      </w:r>
    </w:p>
    <w:p w14:paraId="74FEEE72">
      <w:pPr>
        <w:ind w:firstLine="420"/>
        <w:rPr>
          <w:rFonts w:ascii="宋体" w:hAnsi="宋体"/>
          <w:szCs w:val="21"/>
        </w:rPr>
      </w:pPr>
      <w:r>
        <w:rPr>
          <w:rFonts w:hint="eastAsia" w:ascii="宋体" w:hAnsi="宋体"/>
          <w:szCs w:val="21"/>
        </w:rPr>
        <w:t>B线：秋季银杏染秋特景游表25南雄市旅表26南雄市星附：2011年市旅游局领导班子成员名单局长：黄志星副局长：温世雄郭秀丽帽子峰省级森林公园一坪田千年银杏群</w:t>
      </w:r>
    </w:p>
    <w:p w14:paraId="0B0BAEFF">
      <w:pPr>
        <w:ind w:firstLine="420"/>
        <w:rPr>
          <w:rFonts w:ascii="宋体" w:hAnsi="宋体"/>
          <w:szCs w:val="21"/>
        </w:rPr>
      </w:pPr>
      <w:r>
        <w:rPr>
          <w:rFonts w:hint="eastAsia" w:ascii="宋体" w:hAnsi="宋体"/>
          <w:szCs w:val="21"/>
        </w:rPr>
        <w:t>C线：自然风光、生态休闲游苍石寨一帽子峰省级森林公园—孔江国家湿地公园—一坪田千年银杏群D线：古村落、佛教历史文化游三影塔一珠玑古巷一大雄禅寺一梅关古道一新田古村落一鱼鲜古村落一莲开净寺</w:t>
      </w:r>
    </w:p>
    <w:p w14:paraId="6C10CCB0">
      <w:pPr>
        <w:pStyle w:val="4"/>
      </w:pPr>
      <w:r>
        <w:rPr>
          <w:rFonts w:hint="eastAsia"/>
        </w:rPr>
        <w:t>【主要旅行社、星级酒店】</w:t>
      </w:r>
    </w:p>
    <w:p w14:paraId="5A4C8932">
      <w:pPr>
        <w:ind w:firstLine="422"/>
        <w:jc w:val="center"/>
        <w:rPr>
          <w:rFonts w:ascii="宋体" w:hAnsi="宋体"/>
          <w:b/>
          <w:szCs w:val="21"/>
        </w:rPr>
      </w:pPr>
      <w:r>
        <w:rPr>
          <w:rFonts w:hint="eastAsia" w:ascii="宋体" w:hAnsi="宋体"/>
          <w:b/>
          <w:szCs w:val="21"/>
        </w:rPr>
        <w:t>表25 南雄市旅行社基本情况表</w:t>
      </w:r>
    </w:p>
    <w:tbl>
      <w:tblPr>
        <w:tblStyle w:val="14"/>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69"/>
        <w:gridCol w:w="1947"/>
        <w:gridCol w:w="4433"/>
        <w:gridCol w:w="1092"/>
        <w:gridCol w:w="1421"/>
      </w:tblGrid>
      <w:tr w14:paraId="707A92A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537" w:type="pct"/>
            <w:shd w:val="clear" w:color="auto" w:fill="auto"/>
            <w:noWrap/>
            <w:vAlign w:val="center"/>
          </w:tcPr>
          <w:p w14:paraId="7250EEC7">
            <w:pPr>
              <w:pStyle w:val="23"/>
              <w:jc w:val="center"/>
              <w:rPr>
                <w:b/>
                <w:kern w:val="0"/>
              </w:rPr>
            </w:pPr>
            <w:r>
              <w:rPr>
                <w:b/>
                <w:kern w:val="0"/>
              </w:rPr>
              <w:t>编号</w:t>
            </w:r>
          </w:p>
        </w:tc>
        <w:tc>
          <w:tcPr>
            <w:tcW w:w="977" w:type="pct"/>
            <w:shd w:val="clear" w:color="auto" w:fill="auto"/>
            <w:noWrap/>
            <w:vAlign w:val="center"/>
          </w:tcPr>
          <w:p w14:paraId="37894CA8">
            <w:pPr>
              <w:pStyle w:val="23"/>
              <w:jc w:val="center"/>
              <w:rPr>
                <w:b/>
                <w:kern w:val="0"/>
              </w:rPr>
            </w:pPr>
            <w:r>
              <w:rPr>
                <w:b/>
                <w:kern w:val="0"/>
              </w:rPr>
              <w:t>酒店名称</w:t>
            </w:r>
          </w:p>
        </w:tc>
        <w:tc>
          <w:tcPr>
            <w:tcW w:w="2225" w:type="pct"/>
            <w:shd w:val="clear" w:color="auto" w:fill="auto"/>
            <w:noWrap/>
            <w:vAlign w:val="center"/>
          </w:tcPr>
          <w:p w14:paraId="04F08C05">
            <w:pPr>
              <w:pStyle w:val="23"/>
              <w:jc w:val="center"/>
              <w:rPr>
                <w:b/>
                <w:kern w:val="0"/>
              </w:rPr>
            </w:pPr>
            <w:r>
              <w:rPr>
                <w:b/>
                <w:kern w:val="0"/>
              </w:rPr>
              <w:t>地址</w:t>
            </w:r>
          </w:p>
        </w:tc>
        <w:tc>
          <w:tcPr>
            <w:tcW w:w="548" w:type="pct"/>
            <w:shd w:val="clear" w:color="auto" w:fill="auto"/>
            <w:noWrap/>
            <w:vAlign w:val="center"/>
          </w:tcPr>
          <w:p w14:paraId="33A9A4D9">
            <w:pPr>
              <w:pStyle w:val="23"/>
              <w:jc w:val="center"/>
              <w:rPr>
                <w:b/>
                <w:kern w:val="0"/>
              </w:rPr>
            </w:pPr>
            <w:r>
              <w:rPr>
                <w:b/>
                <w:kern w:val="0"/>
              </w:rPr>
              <w:t>电话</w:t>
            </w:r>
          </w:p>
        </w:tc>
        <w:tc>
          <w:tcPr>
            <w:tcW w:w="713" w:type="pct"/>
            <w:shd w:val="clear" w:color="auto" w:fill="auto"/>
            <w:noWrap/>
            <w:vAlign w:val="center"/>
          </w:tcPr>
          <w:p w14:paraId="42E853C0">
            <w:pPr>
              <w:pStyle w:val="23"/>
              <w:jc w:val="center"/>
              <w:rPr>
                <w:b/>
                <w:kern w:val="0"/>
              </w:rPr>
            </w:pPr>
            <w:r>
              <w:rPr>
                <w:b/>
                <w:kern w:val="0"/>
              </w:rPr>
              <w:t>传真</w:t>
            </w:r>
          </w:p>
        </w:tc>
      </w:tr>
      <w:tr w14:paraId="549305F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537" w:type="pct"/>
            <w:shd w:val="clear" w:color="auto" w:fill="auto"/>
            <w:noWrap/>
            <w:vAlign w:val="center"/>
          </w:tcPr>
          <w:p w14:paraId="2FAC5FE2">
            <w:pPr>
              <w:pStyle w:val="23"/>
              <w:jc w:val="center"/>
              <w:rPr>
                <w:kern w:val="0"/>
              </w:rPr>
            </w:pPr>
            <w:r>
              <w:rPr>
                <w:kern w:val="0"/>
              </w:rPr>
              <w:t>1</w:t>
            </w:r>
          </w:p>
        </w:tc>
        <w:tc>
          <w:tcPr>
            <w:tcW w:w="977" w:type="pct"/>
            <w:shd w:val="clear" w:color="auto" w:fill="auto"/>
            <w:noWrap/>
            <w:vAlign w:val="center"/>
          </w:tcPr>
          <w:p w14:paraId="6A2290B4">
            <w:pPr>
              <w:pStyle w:val="23"/>
              <w:rPr>
                <w:kern w:val="0"/>
              </w:rPr>
            </w:pPr>
            <w:r>
              <w:rPr>
                <w:kern w:val="0"/>
              </w:rPr>
              <w:t>南雄市旅游公司</w:t>
            </w:r>
          </w:p>
        </w:tc>
        <w:tc>
          <w:tcPr>
            <w:tcW w:w="2225" w:type="pct"/>
            <w:shd w:val="clear" w:color="auto" w:fill="auto"/>
            <w:noWrap/>
            <w:vAlign w:val="center"/>
          </w:tcPr>
          <w:p w14:paraId="1174D8DE">
            <w:pPr>
              <w:pStyle w:val="23"/>
              <w:rPr>
                <w:kern w:val="0"/>
              </w:rPr>
            </w:pPr>
            <w:r>
              <w:rPr>
                <w:kern w:val="0"/>
              </w:rPr>
              <w:t>南雄市雄州街道三影塔广场13栋78号</w:t>
            </w:r>
          </w:p>
        </w:tc>
        <w:tc>
          <w:tcPr>
            <w:tcW w:w="548" w:type="pct"/>
            <w:shd w:val="clear" w:color="auto" w:fill="auto"/>
            <w:noWrap/>
            <w:vAlign w:val="center"/>
          </w:tcPr>
          <w:p w14:paraId="13DC4A62">
            <w:pPr>
              <w:pStyle w:val="23"/>
              <w:jc w:val="center"/>
              <w:rPr>
                <w:kern w:val="0"/>
              </w:rPr>
            </w:pPr>
            <w:r>
              <w:rPr>
                <w:kern w:val="0"/>
              </w:rPr>
              <w:t>3835288</w:t>
            </w:r>
          </w:p>
        </w:tc>
        <w:tc>
          <w:tcPr>
            <w:tcW w:w="713" w:type="pct"/>
            <w:shd w:val="clear" w:color="auto" w:fill="auto"/>
            <w:noWrap/>
            <w:vAlign w:val="center"/>
          </w:tcPr>
          <w:p w14:paraId="4CC06A79">
            <w:pPr>
              <w:pStyle w:val="23"/>
              <w:jc w:val="center"/>
              <w:rPr>
                <w:kern w:val="0"/>
              </w:rPr>
            </w:pPr>
            <w:r>
              <w:rPr>
                <w:kern w:val="0"/>
              </w:rPr>
              <w:t>3822909</w:t>
            </w:r>
          </w:p>
        </w:tc>
      </w:tr>
      <w:tr w14:paraId="058E764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537" w:type="pct"/>
            <w:shd w:val="clear" w:color="auto" w:fill="auto"/>
            <w:noWrap/>
            <w:vAlign w:val="center"/>
          </w:tcPr>
          <w:p w14:paraId="121796BF">
            <w:pPr>
              <w:pStyle w:val="23"/>
              <w:jc w:val="center"/>
              <w:rPr>
                <w:kern w:val="0"/>
              </w:rPr>
            </w:pPr>
            <w:r>
              <w:rPr>
                <w:kern w:val="0"/>
              </w:rPr>
              <w:t>2</w:t>
            </w:r>
          </w:p>
        </w:tc>
        <w:tc>
          <w:tcPr>
            <w:tcW w:w="977" w:type="pct"/>
            <w:shd w:val="clear" w:color="auto" w:fill="auto"/>
            <w:noWrap/>
            <w:vAlign w:val="center"/>
          </w:tcPr>
          <w:p w14:paraId="6FE4A071">
            <w:pPr>
              <w:pStyle w:val="23"/>
              <w:rPr>
                <w:kern w:val="0"/>
              </w:rPr>
            </w:pPr>
            <w:r>
              <w:rPr>
                <w:kern w:val="0"/>
              </w:rPr>
              <w:t>幸福旅行社</w:t>
            </w:r>
          </w:p>
        </w:tc>
        <w:tc>
          <w:tcPr>
            <w:tcW w:w="2225" w:type="pct"/>
            <w:shd w:val="clear" w:color="auto" w:fill="auto"/>
            <w:noWrap/>
            <w:vAlign w:val="center"/>
          </w:tcPr>
          <w:p w14:paraId="49A3D79D">
            <w:pPr>
              <w:pStyle w:val="23"/>
              <w:rPr>
                <w:kern w:val="0"/>
              </w:rPr>
            </w:pPr>
            <w:r>
              <w:rPr>
                <w:kern w:val="0"/>
              </w:rPr>
              <w:t>南雄市雄州街道永康路4-5号</w:t>
            </w:r>
          </w:p>
        </w:tc>
        <w:tc>
          <w:tcPr>
            <w:tcW w:w="548" w:type="pct"/>
            <w:shd w:val="clear" w:color="auto" w:fill="auto"/>
            <w:noWrap/>
            <w:vAlign w:val="center"/>
          </w:tcPr>
          <w:p w14:paraId="0EF82BB9">
            <w:pPr>
              <w:pStyle w:val="23"/>
              <w:jc w:val="center"/>
              <w:rPr>
                <w:kern w:val="0"/>
              </w:rPr>
            </w:pPr>
            <w:r>
              <w:rPr>
                <w:kern w:val="0"/>
              </w:rPr>
              <w:t>3881118</w:t>
            </w:r>
          </w:p>
        </w:tc>
        <w:tc>
          <w:tcPr>
            <w:tcW w:w="713" w:type="pct"/>
            <w:shd w:val="clear" w:color="auto" w:fill="auto"/>
            <w:noWrap/>
            <w:vAlign w:val="center"/>
          </w:tcPr>
          <w:p w14:paraId="4FF6C049">
            <w:pPr>
              <w:pStyle w:val="23"/>
              <w:jc w:val="center"/>
              <w:rPr>
                <w:kern w:val="0"/>
              </w:rPr>
            </w:pPr>
            <w:r>
              <w:rPr>
                <w:kern w:val="0"/>
              </w:rPr>
              <w:t>3881118</w:t>
            </w:r>
          </w:p>
        </w:tc>
      </w:tr>
      <w:tr w14:paraId="71D7A0A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537" w:type="pct"/>
            <w:shd w:val="clear" w:color="auto" w:fill="auto"/>
            <w:noWrap/>
            <w:vAlign w:val="center"/>
          </w:tcPr>
          <w:p w14:paraId="77BD23CD">
            <w:pPr>
              <w:pStyle w:val="23"/>
              <w:jc w:val="center"/>
              <w:rPr>
                <w:kern w:val="0"/>
              </w:rPr>
            </w:pPr>
            <w:r>
              <w:rPr>
                <w:kern w:val="0"/>
              </w:rPr>
              <w:t>3</w:t>
            </w:r>
          </w:p>
        </w:tc>
        <w:tc>
          <w:tcPr>
            <w:tcW w:w="977" w:type="pct"/>
            <w:shd w:val="clear" w:color="auto" w:fill="auto"/>
            <w:noWrap/>
            <w:vAlign w:val="center"/>
          </w:tcPr>
          <w:p w14:paraId="067DDF08">
            <w:pPr>
              <w:pStyle w:val="23"/>
              <w:rPr>
                <w:kern w:val="0"/>
              </w:rPr>
            </w:pPr>
            <w:r>
              <w:rPr>
                <w:kern w:val="0"/>
              </w:rPr>
              <w:t>迎宾旅行社</w:t>
            </w:r>
          </w:p>
        </w:tc>
        <w:tc>
          <w:tcPr>
            <w:tcW w:w="2225" w:type="pct"/>
            <w:shd w:val="clear" w:color="auto" w:fill="auto"/>
            <w:noWrap/>
            <w:vAlign w:val="center"/>
          </w:tcPr>
          <w:p w14:paraId="117E6397">
            <w:pPr>
              <w:pStyle w:val="23"/>
              <w:rPr>
                <w:kern w:val="0"/>
              </w:rPr>
            </w:pPr>
            <w:r>
              <w:rPr>
                <w:kern w:val="0"/>
              </w:rPr>
              <w:t>南雄市雄州街道</w:t>
            </w:r>
          </w:p>
        </w:tc>
        <w:tc>
          <w:tcPr>
            <w:tcW w:w="548" w:type="pct"/>
            <w:shd w:val="clear" w:color="auto" w:fill="auto"/>
            <w:noWrap/>
            <w:vAlign w:val="center"/>
          </w:tcPr>
          <w:p w14:paraId="2091F20C">
            <w:pPr>
              <w:pStyle w:val="23"/>
              <w:jc w:val="center"/>
              <w:rPr>
                <w:kern w:val="0"/>
              </w:rPr>
            </w:pPr>
            <w:r>
              <w:rPr>
                <w:kern w:val="0"/>
              </w:rPr>
              <w:t>3868888</w:t>
            </w:r>
          </w:p>
        </w:tc>
        <w:tc>
          <w:tcPr>
            <w:tcW w:w="713" w:type="pct"/>
            <w:shd w:val="clear" w:color="auto" w:fill="auto"/>
            <w:noWrap/>
            <w:vAlign w:val="center"/>
          </w:tcPr>
          <w:p w14:paraId="1ADE580B">
            <w:pPr>
              <w:pStyle w:val="23"/>
              <w:jc w:val="center"/>
              <w:rPr>
                <w:kern w:val="0"/>
              </w:rPr>
            </w:pPr>
            <w:r>
              <w:rPr>
                <w:kern w:val="0"/>
              </w:rPr>
              <w:t>3868889</w:t>
            </w:r>
          </w:p>
        </w:tc>
      </w:tr>
    </w:tbl>
    <w:p w14:paraId="7C46929D">
      <w:pPr>
        <w:ind w:firstLine="0" w:firstLineChars="0"/>
        <w:jc w:val="center"/>
        <w:rPr>
          <w:rFonts w:ascii="宋体" w:hAnsi="宋体"/>
          <w:b/>
          <w:szCs w:val="21"/>
        </w:rPr>
      </w:pPr>
      <w:r>
        <w:rPr>
          <w:rFonts w:hint="eastAsia" w:ascii="宋体" w:hAnsi="宋体"/>
          <w:b/>
          <w:szCs w:val="21"/>
        </w:rPr>
        <w:t>表26 南雄市星级酒店基本情况表</w:t>
      </w:r>
    </w:p>
    <w:tbl>
      <w:tblPr>
        <w:tblStyle w:val="14"/>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30" w:type="dxa"/>
          <w:bottom w:w="0" w:type="dxa"/>
          <w:right w:w="30" w:type="dxa"/>
        </w:tblCellMar>
      </w:tblPr>
      <w:tblGrid>
        <w:gridCol w:w="1068"/>
        <w:gridCol w:w="1185"/>
        <w:gridCol w:w="1628"/>
        <w:gridCol w:w="2814"/>
        <w:gridCol w:w="1185"/>
        <w:gridCol w:w="1926"/>
      </w:tblGrid>
      <w:tr w14:paraId="5980298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jc w:val="center"/>
        </w:trPr>
        <w:tc>
          <w:tcPr>
            <w:tcW w:w="545" w:type="pct"/>
            <w:vAlign w:val="center"/>
          </w:tcPr>
          <w:p w14:paraId="34DF0449">
            <w:pPr>
              <w:pStyle w:val="23"/>
              <w:jc w:val="center"/>
              <w:rPr>
                <w:b/>
                <w:kern w:val="0"/>
              </w:rPr>
            </w:pPr>
            <w:r>
              <w:rPr>
                <w:b/>
                <w:kern w:val="0"/>
              </w:rPr>
              <w:t>编号</w:t>
            </w:r>
          </w:p>
        </w:tc>
        <w:tc>
          <w:tcPr>
            <w:tcW w:w="604" w:type="pct"/>
            <w:vAlign w:val="center"/>
          </w:tcPr>
          <w:p w14:paraId="50B6DF9E">
            <w:pPr>
              <w:pStyle w:val="23"/>
              <w:jc w:val="center"/>
              <w:rPr>
                <w:b/>
                <w:kern w:val="0"/>
              </w:rPr>
            </w:pPr>
            <w:r>
              <w:rPr>
                <w:b/>
                <w:kern w:val="0"/>
              </w:rPr>
              <w:t>星级</w:t>
            </w:r>
          </w:p>
        </w:tc>
        <w:tc>
          <w:tcPr>
            <w:tcW w:w="830" w:type="pct"/>
            <w:vAlign w:val="center"/>
          </w:tcPr>
          <w:p w14:paraId="279CE4FB">
            <w:pPr>
              <w:pStyle w:val="23"/>
              <w:jc w:val="center"/>
              <w:rPr>
                <w:b/>
                <w:kern w:val="0"/>
              </w:rPr>
            </w:pPr>
            <w:r>
              <w:rPr>
                <w:b/>
                <w:kern w:val="0"/>
              </w:rPr>
              <w:t>酒店名称</w:t>
            </w:r>
          </w:p>
        </w:tc>
        <w:tc>
          <w:tcPr>
            <w:tcW w:w="1435" w:type="pct"/>
            <w:vAlign w:val="center"/>
          </w:tcPr>
          <w:p w14:paraId="4246147E">
            <w:pPr>
              <w:pStyle w:val="23"/>
              <w:jc w:val="center"/>
              <w:rPr>
                <w:b/>
                <w:kern w:val="0"/>
              </w:rPr>
            </w:pPr>
            <w:r>
              <w:rPr>
                <w:b/>
                <w:kern w:val="0"/>
              </w:rPr>
              <w:t>地址</w:t>
            </w:r>
          </w:p>
        </w:tc>
        <w:tc>
          <w:tcPr>
            <w:tcW w:w="604" w:type="pct"/>
            <w:vAlign w:val="center"/>
          </w:tcPr>
          <w:p w14:paraId="35302371">
            <w:pPr>
              <w:pStyle w:val="23"/>
              <w:jc w:val="center"/>
              <w:rPr>
                <w:b/>
                <w:kern w:val="0"/>
              </w:rPr>
            </w:pPr>
            <w:r>
              <w:rPr>
                <w:b/>
                <w:kern w:val="0"/>
              </w:rPr>
              <w:t>电话</w:t>
            </w:r>
          </w:p>
        </w:tc>
        <w:tc>
          <w:tcPr>
            <w:tcW w:w="982" w:type="pct"/>
            <w:vAlign w:val="center"/>
          </w:tcPr>
          <w:p w14:paraId="23445CA3">
            <w:pPr>
              <w:pStyle w:val="23"/>
              <w:jc w:val="center"/>
              <w:rPr>
                <w:b/>
                <w:kern w:val="0"/>
              </w:rPr>
            </w:pPr>
            <w:r>
              <w:rPr>
                <w:b/>
                <w:kern w:val="0"/>
              </w:rPr>
              <w:t>传真</w:t>
            </w:r>
          </w:p>
        </w:tc>
      </w:tr>
      <w:tr w14:paraId="2E32C4C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jc w:val="center"/>
        </w:trPr>
        <w:tc>
          <w:tcPr>
            <w:tcW w:w="545" w:type="pct"/>
            <w:vAlign w:val="center"/>
          </w:tcPr>
          <w:p w14:paraId="2A327398">
            <w:pPr>
              <w:pStyle w:val="23"/>
              <w:jc w:val="center"/>
              <w:rPr>
                <w:kern w:val="0"/>
              </w:rPr>
            </w:pPr>
            <w:r>
              <w:rPr>
                <w:kern w:val="0"/>
              </w:rPr>
              <w:t>1</w:t>
            </w:r>
          </w:p>
        </w:tc>
        <w:tc>
          <w:tcPr>
            <w:tcW w:w="604" w:type="pct"/>
            <w:vAlign w:val="center"/>
          </w:tcPr>
          <w:p w14:paraId="4ACC273A">
            <w:pPr>
              <w:pStyle w:val="23"/>
              <w:jc w:val="center"/>
              <w:rPr>
                <w:kern w:val="0"/>
              </w:rPr>
            </w:pPr>
            <w:r>
              <w:rPr>
                <w:kern w:val="0"/>
              </w:rPr>
              <w:t>三星级</w:t>
            </w:r>
          </w:p>
        </w:tc>
        <w:tc>
          <w:tcPr>
            <w:tcW w:w="830" w:type="pct"/>
            <w:vAlign w:val="center"/>
          </w:tcPr>
          <w:p w14:paraId="38B43ACC">
            <w:pPr>
              <w:pStyle w:val="23"/>
              <w:jc w:val="center"/>
              <w:rPr>
                <w:kern w:val="0"/>
              </w:rPr>
            </w:pPr>
            <w:r>
              <w:rPr>
                <w:kern w:val="0"/>
              </w:rPr>
              <w:t>珠玑大酒店</w:t>
            </w:r>
          </w:p>
        </w:tc>
        <w:tc>
          <w:tcPr>
            <w:tcW w:w="1435" w:type="pct"/>
            <w:vAlign w:val="center"/>
          </w:tcPr>
          <w:p w14:paraId="4205A950">
            <w:pPr>
              <w:pStyle w:val="23"/>
              <w:jc w:val="center"/>
              <w:rPr>
                <w:kern w:val="0"/>
              </w:rPr>
            </w:pPr>
            <w:r>
              <w:rPr>
                <w:kern w:val="0"/>
              </w:rPr>
              <w:t>南雄市雄州街道建设路12号</w:t>
            </w:r>
          </w:p>
        </w:tc>
        <w:tc>
          <w:tcPr>
            <w:tcW w:w="604" w:type="pct"/>
            <w:vAlign w:val="center"/>
          </w:tcPr>
          <w:p w14:paraId="5BAF9770">
            <w:pPr>
              <w:pStyle w:val="23"/>
              <w:jc w:val="center"/>
              <w:rPr>
                <w:kern w:val="0"/>
              </w:rPr>
            </w:pPr>
            <w:r>
              <w:rPr>
                <w:kern w:val="0"/>
              </w:rPr>
              <w:t>3876888</w:t>
            </w:r>
          </w:p>
        </w:tc>
        <w:tc>
          <w:tcPr>
            <w:tcW w:w="982" w:type="pct"/>
            <w:vAlign w:val="center"/>
          </w:tcPr>
          <w:p w14:paraId="51189102">
            <w:pPr>
              <w:pStyle w:val="23"/>
              <w:jc w:val="center"/>
              <w:rPr>
                <w:kern w:val="0"/>
              </w:rPr>
            </w:pPr>
            <w:r>
              <w:rPr>
                <w:kern w:val="0"/>
              </w:rPr>
              <w:t>3822094</w:t>
            </w:r>
          </w:p>
        </w:tc>
      </w:tr>
      <w:tr w14:paraId="547C05F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jc w:val="center"/>
        </w:trPr>
        <w:tc>
          <w:tcPr>
            <w:tcW w:w="545" w:type="pct"/>
            <w:vAlign w:val="center"/>
          </w:tcPr>
          <w:p w14:paraId="59014FE0">
            <w:pPr>
              <w:pStyle w:val="23"/>
              <w:jc w:val="center"/>
              <w:rPr>
                <w:kern w:val="0"/>
              </w:rPr>
            </w:pPr>
            <w:r>
              <w:rPr>
                <w:kern w:val="0"/>
              </w:rPr>
              <w:t>2</w:t>
            </w:r>
          </w:p>
        </w:tc>
        <w:tc>
          <w:tcPr>
            <w:tcW w:w="604" w:type="pct"/>
            <w:vAlign w:val="center"/>
          </w:tcPr>
          <w:p w14:paraId="70C56A27">
            <w:pPr>
              <w:pStyle w:val="23"/>
              <w:jc w:val="center"/>
              <w:rPr>
                <w:kern w:val="0"/>
              </w:rPr>
            </w:pPr>
            <w:r>
              <w:rPr>
                <w:kern w:val="0"/>
              </w:rPr>
              <w:t>三星级</w:t>
            </w:r>
          </w:p>
        </w:tc>
        <w:tc>
          <w:tcPr>
            <w:tcW w:w="830" w:type="pct"/>
            <w:vAlign w:val="center"/>
          </w:tcPr>
          <w:p w14:paraId="09C70AC3">
            <w:pPr>
              <w:pStyle w:val="23"/>
              <w:jc w:val="center"/>
              <w:rPr>
                <w:kern w:val="0"/>
              </w:rPr>
            </w:pPr>
            <w:r>
              <w:rPr>
                <w:kern w:val="0"/>
              </w:rPr>
              <w:t>南雄迎宾馆</w:t>
            </w:r>
          </w:p>
        </w:tc>
        <w:tc>
          <w:tcPr>
            <w:tcW w:w="1435" w:type="pct"/>
            <w:vAlign w:val="center"/>
          </w:tcPr>
          <w:p w14:paraId="54131745">
            <w:pPr>
              <w:pStyle w:val="23"/>
              <w:jc w:val="center"/>
              <w:rPr>
                <w:kern w:val="0"/>
              </w:rPr>
            </w:pPr>
            <w:r>
              <w:rPr>
                <w:kern w:val="0"/>
              </w:rPr>
              <w:t>南雄市雄州镇建设路6号</w:t>
            </w:r>
          </w:p>
        </w:tc>
        <w:tc>
          <w:tcPr>
            <w:tcW w:w="604" w:type="pct"/>
            <w:vAlign w:val="center"/>
          </w:tcPr>
          <w:p w14:paraId="0D5B00C5">
            <w:pPr>
              <w:pStyle w:val="23"/>
              <w:jc w:val="center"/>
              <w:rPr>
                <w:kern w:val="0"/>
              </w:rPr>
            </w:pPr>
            <w:r>
              <w:rPr>
                <w:kern w:val="0"/>
              </w:rPr>
              <w:t>3822032</w:t>
            </w:r>
          </w:p>
        </w:tc>
        <w:tc>
          <w:tcPr>
            <w:tcW w:w="982" w:type="pct"/>
            <w:vAlign w:val="center"/>
          </w:tcPr>
          <w:p w14:paraId="20312CB6">
            <w:pPr>
              <w:pStyle w:val="23"/>
              <w:jc w:val="center"/>
              <w:rPr>
                <w:kern w:val="0"/>
              </w:rPr>
            </w:pPr>
            <w:r>
              <w:rPr>
                <w:kern w:val="0"/>
              </w:rPr>
              <w:t>3823215</w:t>
            </w:r>
          </w:p>
        </w:tc>
      </w:tr>
      <w:tr w14:paraId="2C7426A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jc w:val="center"/>
        </w:trPr>
        <w:tc>
          <w:tcPr>
            <w:tcW w:w="545" w:type="pct"/>
            <w:vAlign w:val="center"/>
          </w:tcPr>
          <w:p w14:paraId="58904F2A">
            <w:pPr>
              <w:pStyle w:val="23"/>
              <w:jc w:val="center"/>
              <w:rPr>
                <w:kern w:val="0"/>
              </w:rPr>
            </w:pPr>
            <w:r>
              <w:rPr>
                <w:kern w:val="0"/>
              </w:rPr>
              <w:t>3</w:t>
            </w:r>
          </w:p>
        </w:tc>
        <w:tc>
          <w:tcPr>
            <w:tcW w:w="604" w:type="pct"/>
            <w:vAlign w:val="center"/>
          </w:tcPr>
          <w:p w14:paraId="50B850B3">
            <w:pPr>
              <w:pStyle w:val="23"/>
              <w:jc w:val="center"/>
              <w:rPr>
                <w:kern w:val="0"/>
              </w:rPr>
            </w:pPr>
            <w:r>
              <w:rPr>
                <w:kern w:val="0"/>
              </w:rPr>
              <w:t>三星级</w:t>
            </w:r>
          </w:p>
        </w:tc>
        <w:tc>
          <w:tcPr>
            <w:tcW w:w="830" w:type="pct"/>
            <w:vAlign w:val="center"/>
          </w:tcPr>
          <w:p w14:paraId="72431E96">
            <w:pPr>
              <w:pStyle w:val="23"/>
              <w:jc w:val="center"/>
              <w:rPr>
                <w:kern w:val="0"/>
              </w:rPr>
            </w:pPr>
            <w:r>
              <w:rPr>
                <w:kern w:val="0"/>
              </w:rPr>
              <w:t>金雄鹰宾馆</w:t>
            </w:r>
          </w:p>
        </w:tc>
        <w:tc>
          <w:tcPr>
            <w:tcW w:w="1435" w:type="pct"/>
            <w:vAlign w:val="center"/>
          </w:tcPr>
          <w:p w14:paraId="51397ADA">
            <w:pPr>
              <w:pStyle w:val="23"/>
              <w:jc w:val="center"/>
              <w:rPr>
                <w:kern w:val="0"/>
              </w:rPr>
            </w:pPr>
            <w:r>
              <w:rPr>
                <w:kern w:val="0"/>
              </w:rPr>
              <w:t>南雄市雄中路55号</w:t>
            </w:r>
          </w:p>
        </w:tc>
        <w:tc>
          <w:tcPr>
            <w:tcW w:w="604" w:type="pct"/>
            <w:vAlign w:val="center"/>
          </w:tcPr>
          <w:p w14:paraId="5DE80CAC">
            <w:pPr>
              <w:pStyle w:val="23"/>
              <w:jc w:val="center"/>
              <w:rPr>
                <w:kern w:val="0"/>
              </w:rPr>
            </w:pPr>
            <w:r>
              <w:rPr>
                <w:kern w:val="0"/>
              </w:rPr>
              <w:t>3868888</w:t>
            </w:r>
          </w:p>
        </w:tc>
        <w:tc>
          <w:tcPr>
            <w:tcW w:w="982" w:type="pct"/>
            <w:vAlign w:val="center"/>
          </w:tcPr>
          <w:p w14:paraId="595FEC99">
            <w:pPr>
              <w:pStyle w:val="23"/>
              <w:jc w:val="center"/>
              <w:rPr>
                <w:kern w:val="0"/>
              </w:rPr>
            </w:pPr>
            <w:r>
              <w:rPr>
                <w:kern w:val="0"/>
              </w:rPr>
              <w:t>3868889</w:t>
            </w:r>
          </w:p>
        </w:tc>
      </w:tr>
      <w:tr w14:paraId="56553AF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jc w:val="center"/>
        </w:trPr>
        <w:tc>
          <w:tcPr>
            <w:tcW w:w="545" w:type="pct"/>
            <w:vAlign w:val="center"/>
          </w:tcPr>
          <w:p w14:paraId="2CA5DE09">
            <w:pPr>
              <w:pStyle w:val="23"/>
              <w:jc w:val="center"/>
              <w:rPr>
                <w:kern w:val="0"/>
              </w:rPr>
            </w:pPr>
            <w:r>
              <w:rPr>
                <w:kern w:val="0"/>
              </w:rPr>
              <w:t>4</w:t>
            </w:r>
          </w:p>
        </w:tc>
        <w:tc>
          <w:tcPr>
            <w:tcW w:w="604" w:type="pct"/>
            <w:vAlign w:val="center"/>
          </w:tcPr>
          <w:p w14:paraId="03C1841A">
            <w:pPr>
              <w:pStyle w:val="23"/>
              <w:jc w:val="center"/>
              <w:rPr>
                <w:kern w:val="0"/>
              </w:rPr>
            </w:pPr>
            <w:r>
              <w:rPr>
                <w:kern w:val="0"/>
              </w:rPr>
              <w:t>三星级</w:t>
            </w:r>
          </w:p>
        </w:tc>
        <w:tc>
          <w:tcPr>
            <w:tcW w:w="830" w:type="pct"/>
            <w:vAlign w:val="center"/>
          </w:tcPr>
          <w:p w14:paraId="722547FE">
            <w:pPr>
              <w:pStyle w:val="23"/>
              <w:jc w:val="center"/>
              <w:rPr>
                <w:kern w:val="0"/>
              </w:rPr>
            </w:pPr>
            <w:r>
              <w:rPr>
                <w:kern w:val="0"/>
              </w:rPr>
              <w:t>雄州大酒店</w:t>
            </w:r>
          </w:p>
        </w:tc>
        <w:tc>
          <w:tcPr>
            <w:tcW w:w="1435" w:type="pct"/>
            <w:vAlign w:val="center"/>
          </w:tcPr>
          <w:p w14:paraId="25958F6E">
            <w:pPr>
              <w:pStyle w:val="23"/>
              <w:jc w:val="center"/>
              <w:rPr>
                <w:kern w:val="0"/>
              </w:rPr>
            </w:pPr>
            <w:r>
              <w:rPr>
                <w:kern w:val="0"/>
              </w:rPr>
              <w:t>南雄市雄中路马鞍山</w:t>
            </w:r>
          </w:p>
        </w:tc>
        <w:tc>
          <w:tcPr>
            <w:tcW w:w="604" w:type="pct"/>
            <w:vAlign w:val="center"/>
          </w:tcPr>
          <w:p w14:paraId="0337A69A">
            <w:pPr>
              <w:pStyle w:val="23"/>
              <w:jc w:val="center"/>
              <w:rPr>
                <w:kern w:val="0"/>
              </w:rPr>
            </w:pPr>
            <w:r>
              <w:rPr>
                <w:kern w:val="0"/>
              </w:rPr>
              <w:t>3861533</w:t>
            </w:r>
          </w:p>
        </w:tc>
        <w:tc>
          <w:tcPr>
            <w:tcW w:w="982" w:type="pct"/>
            <w:vAlign w:val="center"/>
          </w:tcPr>
          <w:p w14:paraId="76CB1D71">
            <w:pPr>
              <w:pStyle w:val="23"/>
              <w:jc w:val="center"/>
              <w:rPr>
                <w:kern w:val="0"/>
              </w:rPr>
            </w:pPr>
            <w:r>
              <w:rPr>
                <w:kern w:val="0"/>
              </w:rPr>
              <w:t>3861533</w:t>
            </w:r>
          </w:p>
        </w:tc>
      </w:tr>
    </w:tbl>
    <w:p w14:paraId="6670721F">
      <w:pPr>
        <w:ind w:firstLine="0" w:firstLineChars="0"/>
        <w:rPr>
          <w:rFonts w:ascii="宋体" w:hAnsi="宋体"/>
          <w:b/>
          <w:szCs w:val="21"/>
        </w:rPr>
      </w:pPr>
      <w:r>
        <w:rPr>
          <w:rFonts w:hint="eastAsia" w:ascii="宋体" w:hAnsi="宋体"/>
          <w:b/>
          <w:szCs w:val="21"/>
        </w:rPr>
        <w:t>附：2011年市旅游局领导班子成员名单</w:t>
      </w:r>
    </w:p>
    <w:p w14:paraId="7E5994C8">
      <w:pPr>
        <w:ind w:firstLine="0" w:firstLineChars="0"/>
        <w:rPr>
          <w:rFonts w:ascii="宋体" w:hAnsi="宋体"/>
          <w:szCs w:val="21"/>
        </w:rPr>
      </w:pPr>
      <w:r>
        <w:rPr>
          <w:rFonts w:hint="eastAsia" w:ascii="宋体" w:hAnsi="宋体"/>
          <w:szCs w:val="21"/>
        </w:rPr>
        <w:t>局长：黄志星</w:t>
      </w:r>
    </w:p>
    <w:p w14:paraId="066E1DE0">
      <w:pPr>
        <w:ind w:firstLine="0" w:firstLineChars="0"/>
        <w:rPr>
          <w:rFonts w:ascii="宋体" w:hAnsi="宋体"/>
          <w:b/>
          <w:szCs w:val="21"/>
        </w:rPr>
      </w:pPr>
      <w:r>
        <w:rPr>
          <w:rFonts w:hint="eastAsia" w:ascii="宋体" w:hAnsi="宋体"/>
          <w:szCs w:val="21"/>
        </w:rPr>
        <w:t>副局长：温世雄  郭秀丽</w:t>
      </w:r>
    </w:p>
    <w:p w14:paraId="57A474DF">
      <w:pPr>
        <w:pStyle w:val="2"/>
      </w:pPr>
      <w:r>
        <w:rPr>
          <w:rFonts w:hint="eastAsia"/>
        </w:rPr>
        <w:t>财税·金融</w:t>
      </w:r>
    </w:p>
    <w:p w14:paraId="43159F38">
      <w:pPr>
        <w:pStyle w:val="3"/>
      </w:pPr>
      <w:r>
        <w:rPr>
          <w:rFonts w:hint="eastAsia"/>
        </w:rPr>
        <w:t>财政</w:t>
      </w:r>
    </w:p>
    <w:p w14:paraId="49D40406">
      <w:pPr>
        <w:pStyle w:val="4"/>
      </w:pPr>
      <w:r>
        <w:rPr>
          <w:rFonts w:hint="eastAsia"/>
        </w:rPr>
        <w:t>【概况】</w:t>
      </w:r>
    </w:p>
    <w:p w14:paraId="5DA29785">
      <w:pPr>
        <w:ind w:firstLine="420"/>
        <w:rPr>
          <w:rFonts w:ascii="宋体" w:hAnsi="宋体"/>
          <w:szCs w:val="21"/>
        </w:rPr>
      </w:pPr>
      <w:r>
        <w:rPr>
          <w:rFonts w:hint="eastAsia" w:ascii="宋体" w:hAnsi="宋体"/>
          <w:szCs w:val="21"/>
        </w:rPr>
        <w:t>南雄市财政局内设办公室、预算股、国库股等16个股室，下设政府采购办、国库支付中心、公共资产管理中心、投资评审中心四个中心（办），管辖雄州、珠玑等18个财政所。2011年8月财政局重新设立党组书记职位，由张海林担任党组书记。财政局党总支下设局机关党支部、国库支付中心党支部、公共资产管理中心党支部、政府采购办党支部、老干部党支部等5个党支部，党员72人。2010年11月，按照职能划分，地税局着手收编财政局契税征收小组，2011年底，收编工作基本完成。</w:t>
      </w:r>
    </w:p>
    <w:p w14:paraId="05C314F5">
      <w:pPr>
        <w:pStyle w:val="4"/>
      </w:pPr>
      <w:r>
        <w:rPr>
          <w:rFonts w:hint="eastAsia"/>
        </w:rPr>
        <w:t>【强化征管，增加财力】</w:t>
      </w:r>
    </w:p>
    <w:p w14:paraId="3A51E4BC">
      <w:pPr>
        <w:ind w:firstLine="420"/>
        <w:rPr>
          <w:rFonts w:ascii="宋体" w:hAnsi="宋体"/>
          <w:szCs w:val="21"/>
        </w:rPr>
      </w:pPr>
      <w:r>
        <w:rPr>
          <w:rFonts w:hint="eastAsia" w:ascii="宋体" w:hAnsi="宋体"/>
          <w:szCs w:val="21"/>
        </w:rPr>
        <w:t>一是层层分解落实任务，完善激励机制。确定财政预算收入目标任务，及时将收入任务分解落实到各镇（街道）和征管协税部门，完善目标激励机制，明确任务，责任到人，实行绩效考核。二是健全机制，依法治税，发挥协税护税作用。加强预算执行分析，建立和完善财税收入增长监控、分析、预测新机制，抓好重点税源、重点地区的税收完成情况分析。进一步发挥市协税护税工作小组的综合协调作用，密切部门之间的配合，加强协调沟通，提高协同作战能力，及时妥善解决征管工作中出现的新情况、新问题，形成征管合力。三是完善措施，突出重点，改善薄弱环节。继续发挥房地产一体化管理中心的作用，进一步加强房地产税费征管。2011年房产税完成1152万元，同比增长65%；城镇土地使用税完成2194万元，同比增长67%。同时，2011年4月份，及时下达各镇（街道）耕地占用税征收任务，加大耕地占用税征收，全年征收耕地占用税1212万元，同比增长253%。四是加强非税收入征管，强化政府统一·金融预算。将行政事业性收费和罚没收入（教育除外）全部纳入财政预算管理，做到预算内外“一盘棋”。不断健全完善“收支两条线”征管，严格以收定支，确保非税收入及时全额入库。全年非税收入10133万元，同比增长79.5%。</w:t>
      </w:r>
    </w:p>
    <w:p w14:paraId="7246E111">
      <w:pPr>
        <w:pStyle w:val="4"/>
      </w:pPr>
      <w:r>
        <w:rPr>
          <w:rFonts w:hint="eastAsia"/>
        </w:rPr>
        <w:t>【把握政策，争取资金】</w:t>
      </w:r>
    </w:p>
    <w:p w14:paraId="41B5F657">
      <w:pPr>
        <w:ind w:firstLine="420"/>
        <w:rPr>
          <w:rFonts w:ascii="宋体" w:hAnsi="宋体"/>
          <w:szCs w:val="21"/>
        </w:rPr>
      </w:pPr>
      <w:r>
        <w:rPr>
          <w:rFonts w:hint="eastAsia" w:ascii="宋体" w:hAnsi="宋体"/>
          <w:szCs w:val="21"/>
        </w:rPr>
        <w:t>紧紧抓住中央苏区县、省财政直管县和省级产业转移园“三大金字”招牌，大做聚财“文章”。一是把握政策，主动出击，加强沟通，积极争取项目和资金。以省财政直管县为契机，进一步发挥局跑项目争资金工作小组的作用，主要领导亲自带队，跑上级，跑部门，亲力亲为，做好项目包装和项目储备工作，建立跑项目争资金奖励机制，充分发挥各部门工作积极性和主动性，强化同上级有关部门的沟通联系，及时捕捉和把握政策信息，争取更多政策和资金支持，促进南雄经济快速发展。在各有关部门的共同努力下，2011年，争取上级专项资金4亿多元，同比增加1亿多元，特别是2011年5月份协助有关部门</w:t>
      </w:r>
      <w:r>
        <w:rPr>
          <w:rFonts w:hint="eastAsia" w:ascii="宋体" w:hAnsi="宋体"/>
          <w:szCs w:val="21"/>
          <w:lang w:val="en-US" w:eastAsia="zh-CN"/>
        </w:rPr>
        <w:t>争取</w:t>
      </w:r>
      <w:r>
        <w:rPr>
          <w:rFonts w:hint="eastAsia" w:ascii="宋体" w:hAnsi="宋体"/>
          <w:szCs w:val="21"/>
        </w:rPr>
        <w:t>到880万元农田示范区项目省级资金，8月份</w:t>
      </w:r>
      <w:r>
        <w:rPr>
          <w:rFonts w:hint="eastAsia" w:ascii="宋体" w:hAnsi="宋体"/>
          <w:szCs w:val="21"/>
          <w:lang w:val="en-US" w:eastAsia="zh-CN"/>
        </w:rPr>
        <w:t>争取</w:t>
      </w:r>
      <w:r>
        <w:rPr>
          <w:rFonts w:hint="eastAsia" w:ascii="宋体" w:hAnsi="宋体"/>
          <w:szCs w:val="21"/>
        </w:rPr>
        <w:t>到小型农田水利重点县扶助资金4800万元。2011年，上级补助收入9.4亿元，增加2.87亿元，同比增长45%；一般预算支出12.6亿元，增加3.6亿元，同比增长40%，均为历年之最，有力地支持和促进南雄社会经济健康发展。二是用好用足中央建设资金，加强基础设施建设。2011年，中央安排南雄基础建设资金5846万元，重点支持城镇污水垃圾处理和污水管网建设等项目。三是切实加大招商引资力度，支持产业转移园建设。以精细化工产业转移园为抓手，充分发挥融资平台的作用，实现融资4000万元。同时，积极向省级争取政策和资金支持，筹集各类资金4000多万元，用于园区一期配套设施建设和产品质量检测站以及专业人才培训中心的启动。</w:t>
      </w:r>
    </w:p>
    <w:p w14:paraId="0110FBF8">
      <w:pPr>
        <w:pStyle w:val="4"/>
      </w:pPr>
      <w:r>
        <w:rPr>
          <w:rFonts w:hint="eastAsia"/>
        </w:rPr>
        <w:t>【有保有压，统筹兼顾】</w:t>
      </w:r>
    </w:p>
    <w:p w14:paraId="7D12CF47">
      <w:pPr>
        <w:ind w:firstLine="420"/>
        <w:rPr>
          <w:rFonts w:ascii="宋体" w:hAnsi="宋体"/>
          <w:szCs w:val="21"/>
        </w:rPr>
      </w:pPr>
      <w:r>
        <w:rPr>
          <w:rFonts w:hint="eastAsia" w:ascii="宋体" w:hAnsi="宋体"/>
          <w:szCs w:val="21"/>
        </w:rPr>
        <w:t>在财政支出上，按照构建“民生财政”、“和谐财政”的要求，坚持“小钱小气、大钱大方”，统筹兼顾做好支出项目安排，切实做到有保有压，适度从紧，最大限度地集中财力保增长、保民生、保稳定，把钱用在刀刃上，把资金集中投入到经济发展的关键领域和重点项目以及社保民生方面，着力解决影响发展的突出矛盾和主要问题。2011年，全市教育、医疗卫生等九项民生支出达8.47亿元，占一般预算支出的67.2%。一是着力解决困难群众的生活问题，认真落实低保政策，做到应保尽保，发放低保救助资金1904万元。同时，积极实施新型农村养老保险试点改革，提高保障能力。新农保参保人数14.9万人，筹集资金3713万元。二是大力推进农村合作医疗制度。2011年，全市35.6万人参加农村合作医疗，覆盖率达100%，筹资标准从2010年每人每年150元提高到230元，筹集资金7124万元。三是认真做好城镇居民基本医疗保险筹集和养老保险资金支付工作。2011年，城镇居民医保参保2.5万人，筹集资金571万元；支付养老保险金11654万元。四是做好涉农补贴发放兑付工作，及时发放2011年种粮直补资金2561万元，发放良种补贴资金577万元，生态公益林补偿资金262万元，自然灾害救济资金141万元。五是做好家电下乡、摩托车下乡和家电以旧换新财政补贴兑付工作。2011年，销售家电下乡产品25030件，发放补贴资金782万元；销售摩托车下乡产品1413台，发放补贴资金73万元；办理家电以旧换新产品6818件，发放补贴资金193万元。六是大力支持农田水利基础设施建设，提高水利灌溉能力和饮水安全。拨付南亩、珠玑、坪田、邓坊、帽子峰等镇农村饮水安全工程资金324万元，大中型水库移民资金706万元，城乡水利防灾减灾工程资金613万元，农业综合开发资金3367万元，扶贫开发资金847万元。七是积极落实教育强市、教育强镇政策，加大教育投入力度。投入教育发展资金5122万元，其中：义务教育公用经费3389万元、教育创强资金421万元、长效机制资金332万元、校安工程资金201万元。八是积极落实村级“一事一议”奖补资金政策，安排资金100万元对13个村进行村庄整治。</w:t>
      </w:r>
    </w:p>
    <w:p w14:paraId="5FD5E005">
      <w:pPr>
        <w:pStyle w:val="4"/>
      </w:pPr>
      <w:r>
        <w:rPr>
          <w:rFonts w:hint="eastAsia"/>
        </w:rPr>
        <w:t>【深化改革，强化监管】</w:t>
      </w:r>
    </w:p>
    <w:p w14:paraId="378E585C">
      <w:pPr>
        <w:ind w:firstLine="420"/>
        <w:rPr>
          <w:rFonts w:ascii="宋体" w:hAnsi="宋体"/>
          <w:szCs w:val="21"/>
        </w:rPr>
      </w:pPr>
      <w:r>
        <w:rPr>
          <w:rFonts w:hint="eastAsia" w:ascii="宋体" w:hAnsi="宋体"/>
          <w:szCs w:val="21"/>
        </w:rPr>
        <w:t>一是深化国库集中支付改革，提高直接支付率，建立金财工程应用支撑平台以及国库实时在线动态监管系统，保障财政资金安全。2011年，全市国库集中支付资金11.08亿元。其中：财政直接支付9.19亿元，授权支付1.89亿元，直接支付率达83%。二是认真做好政府采购工作，实行“阳光采购”。2011年完成政府采购393宗，采购预算资金27569万元，实现采购金额20591万元（工程类14619万元），节约资金6978万元，节约率25.3%。三是积极开展投资评审工作，严格审核建设工程预结算。2011年，累计审核工程项目537个，受审金额4.38亿元，审定金额4.18亿元，核减率4.6%。四是不断探索公共资产管理新办法和国有资本运营新途径，进一步完善国有资源有偿使用办法，切实规范公共资产处置工作。积极配合市有关部门做好二轻公司、新华书店、林业局部分林场的转制工作。五是加大财政监管力度，实行全方位监控。对市直行政事业单位和政府采购执行情况进行专项检查；对财政专户进行全面清理整顿；联合市纪检、物价、审计等部门，对全市行政事业性和经营服务性收费情况进行稽查；对所有行政事业单位、社会团体和国有企业的“小金库”综合治理情况进行全面复查；开展家电下乡（以旧换新）销售网点自查自纠检查工作；对扶贫资金实行“阳光工程”，完善扶贫资金的发放程序和监管机制。同时，对全市会计从业人员800人次再教育培训。对市直行政事业单位和各镇（街道）主办会计、财政所会计100多人次业务培训。六是开展绩效检查，对财政支出追踪问效。在财政支出管理上，按照规范化、科学化、精细化的要求，从申请、审核、拨付、使用、结算各环节对财政资金进行监督，追踪问效，做到事前、事中、事后全程监督。对基本支出实行定员定额管理，对项目支出实行投资评审。</w:t>
      </w:r>
    </w:p>
    <w:p w14:paraId="10F507BD">
      <w:pPr>
        <w:pStyle w:val="4"/>
      </w:pPr>
      <w:r>
        <w:rPr>
          <w:rFonts w:hint="eastAsia"/>
        </w:rPr>
        <w:t>【认真履职，强化服务】</w:t>
      </w:r>
    </w:p>
    <w:p w14:paraId="10582549">
      <w:pPr>
        <w:ind w:firstLine="420"/>
        <w:rPr>
          <w:rFonts w:ascii="宋体" w:hAnsi="宋体"/>
          <w:szCs w:val="21"/>
        </w:rPr>
      </w:pPr>
      <w:r>
        <w:rPr>
          <w:rFonts w:hint="eastAsia" w:ascii="宋体" w:hAnsi="宋体"/>
          <w:szCs w:val="21"/>
        </w:rPr>
        <w:t>一是积极深入开展“履行职责、加快发展年”活动，层层签订履职承诺书，制作考评公示栏，认真自查整改，狠抓工作落实，进一步转变工作作风，提高办事效率、服务质量和执行力。二是完善制度，认真开展基层财政所绩效考评工作。对各基层财政所和全体基层财政人员进行绩效考核，考核结果直接与干部职工的绩效津补贴挂钩。三是大力倡导“认认真真工作，快快乐乐生活”，着力打造“健康型”、“快乐型”财政，积极开展各种健康有益的活动，增进干部职工之间的交流和沟通，促进相互理解和工作协调，推动和谐财政的构建。四是着力打造“服务型”财政和“阳光”财政。认真落实服务承诺制，牢固树立为民理财理念，向18个镇（街道）财政所印发“强农惠农政策便民服务卡”和“服务质量监督卡”，制作强农惠农公示栏，主动接受社会各界的监督，做到服务单位、服务基层、服务群众、服务企业。五是继续加强党风廉政建设和反腐败工作，着力打造“廉洁型”财政。以庆祝建党90周年和开展纪律教育学习月活动为契机，积极开展各种学习教育活动，严格执行《党员领导干部廉洁从政若干准则》和有关规定，坚决杜绝吃拿卡要等违规违纪行为，树立财政部门良好形象。                                     （邓志翔）</w:t>
      </w:r>
      <w:r>
        <w:rPr>
          <w:rFonts w:hint="eastAsia" w:ascii="宋体" w:hAnsi="宋体"/>
          <w:b/>
          <w:szCs w:val="21"/>
        </w:rPr>
        <w:t>附：2011年市财政局领导班子成员名单</w:t>
      </w:r>
    </w:p>
    <w:p w14:paraId="00E1C93F">
      <w:pPr>
        <w:ind w:firstLine="420"/>
        <w:rPr>
          <w:rFonts w:ascii="宋体" w:hAnsi="宋体"/>
          <w:szCs w:val="21"/>
        </w:rPr>
      </w:pPr>
      <w:r>
        <w:rPr>
          <w:rFonts w:hint="eastAsia" w:ascii="宋体" w:hAnsi="宋体"/>
          <w:szCs w:val="21"/>
        </w:rPr>
        <w:t>局    长：袁元桃</w:t>
      </w:r>
    </w:p>
    <w:p w14:paraId="103AD6EB">
      <w:pPr>
        <w:ind w:firstLine="420"/>
        <w:rPr>
          <w:rFonts w:ascii="宋体" w:hAnsi="宋体"/>
          <w:szCs w:val="21"/>
        </w:rPr>
      </w:pPr>
      <w:r>
        <w:rPr>
          <w:rFonts w:hint="eastAsia" w:ascii="宋体" w:hAnsi="宋体"/>
          <w:szCs w:val="21"/>
        </w:rPr>
        <w:t>党组书记：张海林</w:t>
      </w:r>
    </w:p>
    <w:p w14:paraId="7A53AE8D">
      <w:pPr>
        <w:ind w:firstLine="420"/>
        <w:rPr>
          <w:rFonts w:ascii="宋体" w:hAnsi="宋体"/>
          <w:szCs w:val="21"/>
        </w:rPr>
      </w:pPr>
      <w:r>
        <w:rPr>
          <w:rFonts w:hint="eastAsia" w:ascii="宋体" w:hAnsi="宋体"/>
          <w:szCs w:val="21"/>
        </w:rPr>
        <w:t>纪检书记：曾冠华</w:t>
      </w:r>
    </w:p>
    <w:p w14:paraId="3C348D6F">
      <w:pPr>
        <w:ind w:firstLine="420"/>
        <w:rPr>
          <w:rFonts w:ascii="宋体" w:hAnsi="宋体"/>
          <w:szCs w:val="21"/>
        </w:rPr>
      </w:pPr>
      <w:r>
        <w:rPr>
          <w:rFonts w:hint="eastAsia" w:ascii="宋体" w:hAnsi="宋体"/>
          <w:szCs w:val="21"/>
        </w:rPr>
        <w:t>副 局 长：邱隆全  杨建雄  马新路</w:t>
      </w:r>
    </w:p>
    <w:p w14:paraId="6E285F92">
      <w:pPr>
        <w:ind w:firstLine="420"/>
        <w:rPr>
          <w:rFonts w:ascii="宋体" w:hAnsi="宋体"/>
          <w:szCs w:val="21"/>
        </w:rPr>
      </w:pPr>
      <w:r>
        <w:rPr>
          <w:rFonts w:hint="eastAsia" w:ascii="宋体" w:hAnsi="宋体"/>
          <w:szCs w:val="21"/>
        </w:rPr>
        <w:t>工会主席：王功林</w:t>
      </w:r>
    </w:p>
    <w:p w14:paraId="1D303537">
      <w:pPr>
        <w:ind w:firstLine="420"/>
        <w:rPr>
          <w:rFonts w:ascii="宋体" w:hAnsi="宋体"/>
          <w:szCs w:val="21"/>
        </w:rPr>
      </w:pPr>
      <w:r>
        <w:rPr>
          <w:rFonts w:hint="eastAsia" w:ascii="宋体" w:hAnsi="宋体"/>
          <w:szCs w:val="21"/>
        </w:rPr>
        <w:t>纪检副组长：刘宗煌</w:t>
      </w:r>
    </w:p>
    <w:p w14:paraId="6E311305">
      <w:pPr>
        <w:pStyle w:val="3"/>
      </w:pPr>
      <w:r>
        <w:rPr>
          <w:rFonts w:hint="eastAsia"/>
        </w:rPr>
        <w:t>国家税务</w:t>
      </w:r>
    </w:p>
    <w:p w14:paraId="04B44732">
      <w:pPr>
        <w:pStyle w:val="4"/>
      </w:pPr>
      <w:r>
        <w:rPr>
          <w:rFonts w:hint="eastAsia"/>
        </w:rPr>
        <w:t>【概况】</w:t>
      </w:r>
    </w:p>
    <w:p w14:paraId="3E6B001B">
      <w:pPr>
        <w:ind w:firstLine="420"/>
        <w:rPr>
          <w:rFonts w:ascii="宋体" w:hAnsi="宋体"/>
          <w:szCs w:val="21"/>
        </w:rPr>
      </w:pPr>
      <w:r>
        <w:rPr>
          <w:rFonts w:hint="eastAsia" w:ascii="宋体" w:hAnsi="宋体"/>
          <w:szCs w:val="21"/>
        </w:rPr>
        <w:t>南雄市国家税务局是南雄市主管国家税收工作的职能部门，为正科级全职能局，系驻南雄市垂直管理单位。该局共下设9个职能部门：办公室、人事教育科、监察室、征收管理科、政策法规科、收入核算科、纳税服务科、税源管理一科、税源管理二科；1个直属机构：稽查局；3个派出机构：全安税务分局、珠玑税务分局、黄坑税务分局；1个事业单位：信息中心。该局共有干部职工149人，其中在职人员118人，离退休人员31人。其中：中专以上学历的118人，占总人数的100%；大专以上学历的111人，占总人数的94%；党团员人数98人，占总人数的83%。</w:t>
      </w:r>
    </w:p>
    <w:p w14:paraId="51C17311">
      <w:pPr>
        <w:pStyle w:val="4"/>
      </w:pPr>
      <w:r>
        <w:rPr>
          <w:rFonts w:hint="eastAsia"/>
        </w:rPr>
        <w:t>【税收收入，税源情况】</w:t>
      </w:r>
    </w:p>
    <w:p w14:paraId="47AC2C06">
      <w:pPr>
        <w:ind w:firstLine="420"/>
        <w:rPr>
          <w:rFonts w:ascii="宋体" w:hAnsi="宋体"/>
          <w:szCs w:val="21"/>
        </w:rPr>
      </w:pPr>
      <w:r>
        <w:rPr>
          <w:rFonts w:hint="eastAsia" w:ascii="宋体" w:hAnsi="宋体"/>
          <w:szCs w:val="21"/>
        </w:rPr>
        <w:t>国税局主要负责增值税、消费税、企业所得税、个人储蓄利息所得税、机动车辆购置税等税种的征收。南雄市整体税源结构单一，税种以增值税为主，支柱企业少，除税收上千万元的烟草公司和电力工业局两家企业外，“两税”在100万元以上的企业仅为9户。2011年，南雄整体税源和经济形势仍然不容乐观，精细化工业园作为南雄新兴的税源，税收比重还不大，国税局立足中心，加强领导，克服困难，强化税源调查和监控，大力采取措施狠抓税收收入，全年组织税收收入12961万元，完成年度任务110.87%，同比增长18.39%，增收2013万元。圆满超额完成了韶关市局和南雄市政府两级分配的税收收入任务。税收收入总额、入库进度、增收额、增长率均创近10年来的历史新高。</w:t>
      </w:r>
    </w:p>
    <w:p w14:paraId="01E2BF83">
      <w:pPr>
        <w:pStyle w:val="4"/>
      </w:pPr>
      <w:r>
        <w:rPr>
          <w:rFonts w:hint="eastAsia"/>
        </w:rPr>
        <w:t>【征管工作】</w:t>
      </w:r>
    </w:p>
    <w:p w14:paraId="41CAC34D">
      <w:pPr>
        <w:ind w:firstLine="420"/>
        <w:rPr>
          <w:rFonts w:ascii="宋体" w:hAnsi="宋体"/>
          <w:szCs w:val="21"/>
        </w:rPr>
      </w:pPr>
      <w:r>
        <w:rPr>
          <w:rFonts w:hint="eastAsia" w:ascii="宋体" w:hAnsi="宋体"/>
          <w:szCs w:val="21"/>
        </w:rPr>
        <w:t>该局设立征收管理科对征管工作实施专门管理。制定和完善各项征管工作制度，形成了分工明确、互相协调的工作机制。坚持实行征管例会制度，形成了与地税、公、检、法等部门的联席会议制度，加强了工作的沟通协调。南雄市政府成立的协税护税领导小组继续大力支持国税工作。加强了与地方政府及相关部门的沟通协调和交流，形成良好的协税护税网络和工作合力。积极推行“以电控税”、“以药控税”、税收代扣代缴等一系列征管措施，税收征管质量和效率明显提高。加强了征管信息化建设，多个信息化系统运用到征管工作中，2011年，推广应用网上申报和普通发票网上验旧的工作，不断强化信息化管税的作用，推进了征管信息化进程。</w:t>
      </w:r>
    </w:p>
    <w:p w14:paraId="7AB8DDC2">
      <w:pPr>
        <w:pStyle w:val="4"/>
      </w:pPr>
      <w:r>
        <w:rPr>
          <w:rFonts w:hint="eastAsia"/>
        </w:rPr>
        <w:t>【税收执法】</w:t>
      </w:r>
    </w:p>
    <w:p w14:paraId="3057E0BB">
      <w:pPr>
        <w:ind w:firstLine="420"/>
        <w:rPr>
          <w:rFonts w:ascii="宋体" w:hAnsi="宋体"/>
          <w:szCs w:val="21"/>
        </w:rPr>
      </w:pPr>
      <w:r>
        <w:rPr>
          <w:rFonts w:hint="eastAsia" w:ascii="宋体" w:hAnsi="宋体"/>
          <w:szCs w:val="21"/>
        </w:rPr>
        <w:t>坚持依法征收、依法行政。严格落实各项税收方针政策，始终坚持“聚财为国、执法为民”的工作宗旨，坚持以“依法征收、应收尽收，坚决不收过头税，坚决防止和制止越权减免税”为组织收入原则。加强干部依法行政教育，积极推进依法治税。加强了执法监督力度。成立纳税评估评定小组，加强纳税评估和纳税检查，全年完成一般纳税人纳税评估28户次，实现补缴增值税5万多元，通过评估，提高了企业的税法遵从度。认真贯彻落实各项税收方针政策，2011年共为企业办理出口退税1237.9万元、免抵税款508万元，依法保护了纳税的合法权益。充分发挥税务稽查的税收卫士作用，依法查处各类涉税违法案件，全年共完成税务案件8宗，补缴税款42.87万元，税收秩序不断得到维护。</w:t>
      </w:r>
    </w:p>
    <w:p w14:paraId="69318741">
      <w:pPr>
        <w:pStyle w:val="4"/>
      </w:pPr>
      <w:r>
        <w:rPr>
          <w:rFonts w:hint="eastAsia"/>
        </w:rPr>
        <w:t>【税收服务】</w:t>
      </w:r>
    </w:p>
    <w:p w14:paraId="1B94DFE1">
      <w:pPr>
        <w:ind w:firstLine="420"/>
        <w:rPr>
          <w:rFonts w:ascii="宋体" w:hAnsi="宋体"/>
          <w:szCs w:val="21"/>
        </w:rPr>
      </w:pPr>
      <w:r>
        <w:rPr>
          <w:rFonts w:hint="eastAsia" w:ascii="宋体" w:hAnsi="宋体"/>
          <w:szCs w:val="21"/>
        </w:rPr>
        <w:t>纳税服务意识进一步提高，健全和完善了各项纳税服务制度，纳税服务形式多样化。引导广大干部职工转变观念，服务为先，以廉、勤为要求，通过开展“文明示范窗口”、“优质服务窗口”、“巾帼文明岗”、“创先争优”等活动，不断提升纳税服务质效。积极推行“一站式”、首问责任制、提醒服务制、预约服务制、延时服务制等服务承诺制度，以开展纳税咨询、税收培训、税收宣传月活动等方式，利用飞信、QQ群等形式与纳税人沟通，为纳税人提供形式多样的纳税服务。针对南雄精细化工业园区发展特点，开通纳税服务“绿色通道”，开展了送税法宣传、税收培训进园区活动，为园区企业提供了高效、便捷纳税服务。</w:t>
      </w:r>
    </w:p>
    <w:p w14:paraId="757E1E6C">
      <w:pPr>
        <w:pStyle w:val="4"/>
      </w:pPr>
      <w:r>
        <w:rPr>
          <w:rFonts w:hint="eastAsia"/>
        </w:rPr>
        <w:t>【科技兴税】</w:t>
      </w:r>
    </w:p>
    <w:p w14:paraId="5D14682E">
      <w:pPr>
        <w:ind w:firstLine="420"/>
        <w:rPr>
          <w:rFonts w:ascii="宋体" w:hAnsi="宋体"/>
          <w:szCs w:val="21"/>
        </w:rPr>
      </w:pPr>
      <w:r>
        <w:rPr>
          <w:rFonts w:hint="eastAsia" w:ascii="宋体" w:hAnsi="宋体"/>
          <w:szCs w:val="21"/>
        </w:rPr>
        <w:t>科技兴税取得重大进展，信息化在征管工作中快速发展并普及应用。2011年，顺利推行了普通发票网上验旧工作和网上申报工作，推进了税收现代化进程，税收信息化建设不断取得新成效。</w:t>
      </w:r>
    </w:p>
    <w:p w14:paraId="286E393E">
      <w:pPr>
        <w:pStyle w:val="4"/>
      </w:pPr>
      <w:r>
        <w:rPr>
          <w:rFonts w:hint="eastAsia"/>
        </w:rPr>
        <w:t>【廉政建设】</w:t>
      </w:r>
    </w:p>
    <w:p w14:paraId="05BAF18D">
      <w:pPr>
        <w:ind w:firstLine="420"/>
        <w:rPr>
          <w:rFonts w:ascii="宋体" w:hAnsi="宋体"/>
          <w:szCs w:val="21"/>
        </w:rPr>
      </w:pPr>
      <w:r>
        <w:rPr>
          <w:rFonts w:hint="eastAsia" w:ascii="宋体" w:hAnsi="宋体"/>
          <w:szCs w:val="21"/>
        </w:rPr>
        <w:t>党风廉政建设坚持长抓不懈，抓预防重整治。健全和完善了党风廉政制度、队伍教育机制，执法监督机制，加强考核监督，加强制度的落实，层层落实党风廉政责任，认真落实领导干部廉洁自律各项规定，严格执行“三谈两述”、重大事项报告等制度，积极推行“阳光工程”。加强了外部监督力度，从社会各界聘请了特邀监察员和“阳光使用者”共40多人，对国税廉政、执法、行政、服务等情况进行监督。税务干部依法行政、廉洁自律，保持了队伍的廉洁健康和稳定，2011年，全局没有发生违法乱纪、为税不廉的行为，国税队伍继续保持了健康稳定。</w:t>
      </w:r>
    </w:p>
    <w:p w14:paraId="183D718A">
      <w:pPr>
        <w:pStyle w:val="4"/>
      </w:pPr>
      <w:r>
        <w:rPr>
          <w:rFonts w:hint="eastAsia"/>
        </w:rPr>
        <w:t>【税收环境】</w:t>
      </w:r>
    </w:p>
    <w:p w14:paraId="54DEABD1">
      <w:pPr>
        <w:ind w:firstLine="420"/>
        <w:jc w:val="right"/>
        <w:rPr>
          <w:rFonts w:ascii="宋体" w:hAnsi="宋体"/>
          <w:szCs w:val="21"/>
        </w:rPr>
      </w:pPr>
      <w:r>
        <w:rPr>
          <w:rFonts w:hint="eastAsia" w:ascii="宋体" w:hAnsi="宋体"/>
          <w:szCs w:val="21"/>
        </w:rPr>
        <w:t>政府对国税工作的支持力度和关注力度不断加大，外部协税护税环境不断优化，税收工作环境明显改善，同时，国税的形象和地位逐步提升，促进了各项工作的顺利开展。2011年11月份，落实了南雄市国税局新办公大楼建设用地问题，政府划拨南雄市雄南路（原雄得利花岗石板材厂）给建设综合业务办公用房。（钟娇娇）</w:t>
      </w:r>
    </w:p>
    <w:p w14:paraId="690FB3E0">
      <w:pPr>
        <w:ind w:firstLine="0" w:firstLineChars="0"/>
        <w:rPr>
          <w:rFonts w:ascii="宋体" w:hAnsi="宋体"/>
          <w:szCs w:val="21"/>
        </w:rPr>
      </w:pPr>
      <w:r>
        <w:rPr>
          <w:rFonts w:hint="eastAsia" w:ascii="宋体" w:hAnsi="宋体"/>
          <w:b/>
          <w:szCs w:val="21"/>
        </w:rPr>
        <w:t>附：2011年市国税局领导班子成员名单</w:t>
      </w:r>
    </w:p>
    <w:p w14:paraId="788F0599">
      <w:pPr>
        <w:ind w:firstLine="0" w:firstLineChars="0"/>
        <w:rPr>
          <w:rFonts w:ascii="宋体" w:hAnsi="宋体"/>
          <w:szCs w:val="21"/>
        </w:rPr>
      </w:pPr>
      <w:r>
        <w:rPr>
          <w:rFonts w:hint="eastAsia" w:ascii="宋体" w:hAnsi="宋体"/>
          <w:szCs w:val="21"/>
        </w:rPr>
        <w:t>局长：陈彝连</w:t>
      </w:r>
    </w:p>
    <w:p w14:paraId="37EE5ACC">
      <w:pPr>
        <w:ind w:firstLine="0" w:firstLineChars="0"/>
        <w:rPr>
          <w:rFonts w:ascii="宋体" w:hAnsi="宋体"/>
          <w:szCs w:val="21"/>
        </w:rPr>
      </w:pPr>
      <w:r>
        <w:rPr>
          <w:rFonts w:hint="eastAsia" w:ascii="宋体" w:hAnsi="宋体"/>
          <w:szCs w:val="21"/>
        </w:rPr>
        <w:t>副局长：李贤明  凌寿青  梁高明</w:t>
      </w:r>
    </w:p>
    <w:p w14:paraId="41F8A283">
      <w:pPr>
        <w:ind w:firstLine="0" w:firstLineChars="0"/>
        <w:rPr>
          <w:rFonts w:ascii="宋体" w:hAnsi="宋体"/>
          <w:szCs w:val="21"/>
        </w:rPr>
      </w:pPr>
      <w:r>
        <w:rPr>
          <w:rFonts w:hint="eastAsia" w:ascii="宋体" w:hAnsi="宋体"/>
          <w:szCs w:val="21"/>
        </w:rPr>
        <w:t>纪检组长：董绳南</w:t>
      </w:r>
    </w:p>
    <w:p w14:paraId="4BF88223">
      <w:pPr>
        <w:pStyle w:val="3"/>
      </w:pPr>
      <w:r>
        <w:rPr>
          <w:rFonts w:hint="eastAsia"/>
        </w:rPr>
        <w:t>地方税务</w:t>
      </w:r>
    </w:p>
    <w:p w14:paraId="7D128644">
      <w:pPr>
        <w:pStyle w:val="4"/>
      </w:pPr>
      <w:r>
        <w:rPr>
          <w:rFonts w:hint="eastAsia"/>
        </w:rPr>
        <w:t>【概况】</w:t>
      </w:r>
    </w:p>
    <w:p w14:paraId="641A9024">
      <w:pPr>
        <w:ind w:firstLine="420"/>
        <w:rPr>
          <w:rFonts w:ascii="宋体" w:hAnsi="宋体"/>
          <w:szCs w:val="21"/>
        </w:rPr>
      </w:pPr>
      <w:r>
        <w:rPr>
          <w:rFonts w:hint="eastAsia" w:ascii="宋体" w:hAnsi="宋体"/>
          <w:szCs w:val="21"/>
        </w:rPr>
        <w:t>2011年是“十二五”的开局之年，南雄市地方税务局认真贯彻落实党的十七届五中全会、中央经济工作会议和省、市地税工作会议精神，围绕加快经济发展，建设幸福广东这个核心，坚持以组织收入为中心，以“四个更加满意”为工作标准，狠抓税收和社保费以及其他规费的征管，提升依法治税水平，优化纳税服务，狠抓干部职工队伍建设，不断加强党风廉政建设和行风建设，较好地完成了各项工作任务。</w:t>
      </w:r>
    </w:p>
    <w:p w14:paraId="75448B95">
      <w:pPr>
        <w:pStyle w:val="4"/>
      </w:pPr>
      <w:r>
        <w:rPr>
          <w:rFonts w:hint="eastAsia"/>
        </w:rPr>
        <w:t>【税费收入情况】</w:t>
      </w:r>
    </w:p>
    <w:p w14:paraId="77B258B0">
      <w:pPr>
        <w:ind w:firstLine="420"/>
        <w:rPr>
          <w:rFonts w:ascii="宋体" w:hAnsi="宋体"/>
          <w:szCs w:val="21"/>
        </w:rPr>
      </w:pPr>
      <w:r>
        <w:rPr>
          <w:rFonts w:hint="eastAsia" w:ascii="宋体" w:hAnsi="宋体"/>
          <w:szCs w:val="21"/>
        </w:rPr>
        <w:t>2011年，全市组织税费收入58007万元，同比增收7336万元，增长14.48%。征收税收收入29867万元，同比增收291万元，增长0.98%。其中：中央级收入5300万元，同比增收248万元，增长4.91%；省级共享收入6019万元，同比增收285万元，增长4.97%；市县级收入17858万元，同比减收350万元，减少1.92%；其它收入573万元。征收社会保险费23316万元，同比增收5506万元，增长30.92%。</w:t>
      </w:r>
    </w:p>
    <w:p w14:paraId="2C56C0BD">
      <w:pPr>
        <w:pStyle w:val="4"/>
      </w:pPr>
      <w:r>
        <w:rPr>
          <w:rFonts w:hint="eastAsia"/>
        </w:rPr>
        <w:t>【税收特点】</w:t>
      </w:r>
    </w:p>
    <w:p w14:paraId="2BFEF601">
      <w:pPr>
        <w:ind w:firstLine="420"/>
        <w:rPr>
          <w:rFonts w:ascii="宋体" w:hAnsi="宋体"/>
          <w:szCs w:val="21"/>
        </w:rPr>
      </w:pPr>
      <w:r>
        <w:rPr>
          <w:rFonts w:hint="eastAsia" w:ascii="宋体" w:hAnsi="宋体"/>
          <w:szCs w:val="21"/>
        </w:rPr>
        <w:t>南雄市自然资源缺乏，基础比较薄弱，基本无大型的工商企业，税收经济结构比较单一．主要税源集中在某一行业或某一企业，营业税主要集中在房地产行业，企业所得税和个人所得税主要集中在南雄市烟草公司；固定业户日常缴纳的税收比较均衡且较少，而一次性税款居多；税收主要集中在下半年入库，特别是在年底第四季度，譬如房产税、土地使用税和一次性开票缴纳的税收。</w:t>
      </w:r>
    </w:p>
    <w:p w14:paraId="1D0FFD10">
      <w:pPr>
        <w:pStyle w:val="4"/>
      </w:pPr>
      <w:r>
        <w:rPr>
          <w:rFonts w:hint="eastAsia"/>
        </w:rPr>
        <w:t>【税收分析】</w:t>
      </w:r>
    </w:p>
    <w:p w14:paraId="7BEBF35B">
      <w:pPr>
        <w:ind w:firstLine="420"/>
        <w:rPr>
          <w:rFonts w:ascii="宋体" w:hAnsi="宋体"/>
          <w:szCs w:val="21"/>
        </w:rPr>
      </w:pPr>
      <w:r>
        <w:rPr>
          <w:rFonts w:hint="eastAsia" w:ascii="宋体" w:hAnsi="宋体"/>
          <w:szCs w:val="21"/>
        </w:rPr>
        <w:t>除营业税、资源税和土地增值税收入与上年同期收入对比有所下降外，其它各税种收入与上年同期收入对比都有不同幅度的增长。其中营业税收入为6824万元，同比减收2029万元，下降22.92%。房地产业税源的大幅减少是营业税收入大幅度下降的重要原因。资源税收入为498万元，同比减收358万元，下降41.82%；由于赣韶高速公路和铁路主体工程已完工，是资源税收入减少的主要原因。土地增值税收入为2370万元，同比减收358万元，下降13.12%。各种宏观政策对房地产市场调控，土地及一、二手房成交量严重缩水，导致土地增值税源大幅下降。企业所得税收入6178万元，增收253万元，增长4.27%；个人所得税收入为2656万元，同比增收161万元，增长6.45%；城建税收入为1220万元，同比增收57万元，增长4.90%；房产税收入为1152万元，同比增收454万元，增长65.04%；印花税收入为169万元，同比增收28万元，增长19.86%；城镇土地使用税收入为2194万元，同比增收878万元，增长66.2%；车船使用税收入243万元，同比增收9万元，增长3.85%；烟叶税收入6363万元，同比增收1196万元，增长23.15%。第一产业税收收入为45万元，与去年同期的47万元相比减收2万元，减少4.26%；第二产业税收为6957万元，同比减收59万元，减少0.84%。第三产业税收为22865万元，同比增收352万元，增长1.56%。</w:t>
      </w:r>
    </w:p>
    <w:p w14:paraId="6554B55E">
      <w:pPr>
        <w:pStyle w:val="4"/>
      </w:pPr>
      <w:r>
        <w:rPr>
          <w:rFonts w:hint="eastAsia"/>
        </w:rPr>
        <w:t>【税收征管】</w:t>
      </w:r>
    </w:p>
    <w:p w14:paraId="032FB809">
      <w:pPr>
        <w:ind w:firstLine="420"/>
        <w:rPr>
          <w:rFonts w:ascii="宋体" w:hAnsi="宋体"/>
          <w:szCs w:val="21"/>
        </w:rPr>
      </w:pPr>
      <w:r>
        <w:rPr>
          <w:rFonts w:hint="eastAsia" w:ascii="宋体" w:hAnsi="宋体"/>
          <w:szCs w:val="21"/>
        </w:rPr>
        <w:t>抓好日常税收管理，全面清理漏征漏管户。积极做好契税和耕地占用税接收工作，确保“两税”实现平稳运行。积极推广发票在线应用系统，为广大纳税户提供便民服务。充分发挥纳税评估小组、房地产行业税收清理小组和小产权房税收清理小组以查促收的作用，防止各项地方税费流失。以修建赣韶铁路为契机，通过“以药核税”的征管模式，加强石场资源税征收管理工作，确保应收尽收。加强协税护税，源头控管，强化重点行业税源监控，对纳税大户建立重点税源监控数据库。各征收分局针对辖区内的重点税源，落实人员，明确责任，加强房地产开发业、建筑业、金融保险业、餐饮业、竹木加工业等重点行业的监管，制定有效征管措施，积极组织税款及时入库。</w:t>
      </w:r>
    </w:p>
    <w:p w14:paraId="2BCDCBFB">
      <w:pPr>
        <w:pStyle w:val="4"/>
      </w:pPr>
      <w:r>
        <w:rPr>
          <w:rFonts w:hint="eastAsia"/>
        </w:rPr>
        <w:t>【依法治税】</w:t>
      </w:r>
    </w:p>
    <w:p w14:paraId="49E40555">
      <w:pPr>
        <w:ind w:firstLine="420"/>
        <w:rPr>
          <w:rFonts w:ascii="宋体" w:hAnsi="宋体"/>
          <w:szCs w:val="21"/>
        </w:rPr>
      </w:pPr>
      <w:r>
        <w:rPr>
          <w:rFonts w:hint="eastAsia" w:ascii="宋体" w:hAnsi="宋体"/>
          <w:szCs w:val="21"/>
        </w:rPr>
        <w:t>强化执法监督。积极运用信息管理平台，加快税收执法责任制考核步伐，促进地税人员执法水平的提高。加强对执法的事前、事中、事后监督，防止出现随意执法，确保公平执法、公正执法、文明执法。大力整顿和规范税收秩序。对征管基础比较薄弱的地区与行业，有针对性地开展统一的专项治理行动；健全发票管理机制，继续严厉打击违规使用发票行为。</w:t>
      </w:r>
    </w:p>
    <w:p w14:paraId="04E4A589">
      <w:pPr>
        <w:pStyle w:val="4"/>
      </w:pPr>
      <w:r>
        <w:rPr>
          <w:rFonts w:hint="eastAsia"/>
        </w:rPr>
        <w:t>【税法宣传】</w:t>
      </w:r>
    </w:p>
    <w:p w14:paraId="35B3C6D7">
      <w:pPr>
        <w:ind w:firstLine="420"/>
        <w:rPr>
          <w:rFonts w:ascii="宋体" w:hAnsi="宋体"/>
          <w:szCs w:val="21"/>
        </w:rPr>
      </w:pPr>
      <w:r>
        <w:rPr>
          <w:rFonts w:hint="eastAsia" w:ascii="宋体" w:hAnsi="宋体"/>
          <w:szCs w:val="21"/>
        </w:rPr>
        <w:t>四月份是全国税收宣传月，联合国税局在三影塔广场开展全国第20个税法宣传月活动，现场解答有关税收和社会保险费的咨询，派发耕地占用税和征缴社会保险费宣传资料，重点做好房地产税收、耕地占用税和契税及其实施条例等新出台法律法规的宣传工作，不断扩大税法宣传的感染力、影响力和辐射力，增强全社会税收</w:t>
      </w:r>
      <w:r>
        <w:rPr>
          <w:rFonts w:hint="eastAsia" w:ascii="宋体" w:hAnsi="宋体"/>
          <w:szCs w:val="21"/>
          <w:lang w:eastAsia="zh-CN"/>
        </w:rPr>
        <w:t>法治意识</w:t>
      </w:r>
      <w:r>
        <w:rPr>
          <w:rFonts w:hint="eastAsia" w:ascii="宋体" w:hAnsi="宋体"/>
          <w:szCs w:val="21"/>
        </w:rPr>
        <w:t>。</w:t>
      </w:r>
    </w:p>
    <w:p w14:paraId="0F87E5D3">
      <w:pPr>
        <w:pStyle w:val="4"/>
      </w:pPr>
      <w:r>
        <w:rPr>
          <w:rFonts w:hint="eastAsia"/>
        </w:rPr>
        <w:t>【纳税服务】</w:t>
      </w:r>
    </w:p>
    <w:p w14:paraId="015AEB3D">
      <w:pPr>
        <w:ind w:firstLine="420"/>
        <w:rPr>
          <w:rFonts w:ascii="宋体" w:hAnsi="宋体"/>
          <w:szCs w:val="21"/>
        </w:rPr>
      </w:pPr>
      <w:r>
        <w:rPr>
          <w:rFonts w:hint="eastAsia" w:ascii="宋体" w:hAnsi="宋体"/>
          <w:szCs w:val="21"/>
        </w:rPr>
        <w:t>优化纳税服务，构建和谐税收征纳关系。加强基层税务分局办税服务厅基础设施建设，统一规范标识和窗口建设标准。新增办税服务系统，投资18万元，购买3台自助办税服务终端，其中在行政服务中心安排2台，城区分局安排1台，9月份开始投入使用；另外，把原来的PS机进行升级，添置8台网络POS机，直接将税费划入国库，为纳税人提供了多元化服务。</w:t>
      </w:r>
    </w:p>
    <w:p w14:paraId="185B59C6">
      <w:pPr>
        <w:pStyle w:val="4"/>
      </w:pPr>
      <w:r>
        <w:rPr>
          <w:rFonts w:hint="eastAsia"/>
        </w:rPr>
        <w:t>【党风廉政建设】</w:t>
      </w:r>
    </w:p>
    <w:p w14:paraId="156C9331">
      <w:pPr>
        <w:ind w:firstLine="420"/>
        <w:rPr>
          <w:rFonts w:ascii="宋体" w:hAnsi="宋体"/>
          <w:szCs w:val="21"/>
        </w:rPr>
      </w:pPr>
      <w:r>
        <w:rPr>
          <w:rFonts w:hint="eastAsia" w:ascii="宋体" w:hAnsi="宋体"/>
          <w:szCs w:val="21"/>
        </w:rPr>
        <w:t>从抓责任落实、抓风险防范、抓“两权”监管入手，大力推进党风廉政建设和反腐败工作，取得良好成效。一是强化责任落实。基层分局和机关股（室）负责人签订《廉政责任书》，把党风廉政建设和反腐败工作任务分解到各个部门，落实到人，进一步健全廉政责任机制。二是抓好风险防范。以开展纪律教育月活动为契机，组织全体党员干部开展《廉政准则》、“三纪”等方面学习教育，加强同检察院联系协作，开展预防职务犯罪活动。组织70名干部集中在检察院听取反渎职知识讲座，参观典型案件事例图片展板，观看《珍惜岗位，远离犯罪》警示教育片。召开预防职务犯罪工作联席会议，党组全体成员与检察院党组全体成员以及各基层税务分局长等16人参加会议。检察院领导作预防职务犯罪知识讲座。开展明察暗访，加强机关作风建设，有效防止和纠正损害纳税人利益行为的发生。三是规范“两权”监管。建立内外结合的预防预警平台，加强内审工作，进一步规范经费开支、基建项目审核，以及人事任免、减免税审批等制度。                                                                                 （贾保平）</w:t>
      </w:r>
    </w:p>
    <w:p w14:paraId="2879E38B">
      <w:pPr>
        <w:ind w:firstLine="0" w:firstLineChars="0"/>
        <w:rPr>
          <w:rFonts w:ascii="宋体" w:hAnsi="宋体"/>
          <w:b/>
          <w:szCs w:val="21"/>
        </w:rPr>
      </w:pPr>
      <w:r>
        <w:rPr>
          <w:rFonts w:hint="eastAsia" w:ascii="宋体" w:hAnsi="宋体"/>
          <w:b/>
          <w:szCs w:val="21"/>
        </w:rPr>
        <w:t>附：2011年市地税局领导班子成员名单</w:t>
      </w:r>
    </w:p>
    <w:p w14:paraId="4028B137">
      <w:pPr>
        <w:ind w:firstLine="0" w:firstLineChars="0"/>
        <w:rPr>
          <w:rFonts w:ascii="宋体" w:hAnsi="宋体"/>
          <w:szCs w:val="21"/>
        </w:rPr>
      </w:pPr>
      <w:r>
        <w:rPr>
          <w:rFonts w:hint="eastAsia" w:ascii="宋体" w:hAnsi="宋体"/>
          <w:szCs w:val="21"/>
        </w:rPr>
        <w:t>局长：罗少林</w:t>
      </w:r>
    </w:p>
    <w:p w14:paraId="4556802E">
      <w:pPr>
        <w:ind w:firstLine="0" w:firstLineChars="0"/>
        <w:rPr>
          <w:rFonts w:ascii="宋体" w:hAnsi="宋体"/>
          <w:szCs w:val="21"/>
        </w:rPr>
      </w:pPr>
      <w:r>
        <w:rPr>
          <w:rFonts w:hint="eastAsia" w:ascii="宋体" w:hAnsi="宋体"/>
          <w:szCs w:val="21"/>
        </w:rPr>
        <w:t>副局长：陈耀全  肖祝林</w:t>
      </w:r>
    </w:p>
    <w:p w14:paraId="1AEBF19D">
      <w:pPr>
        <w:ind w:firstLine="0" w:firstLineChars="0"/>
        <w:rPr>
          <w:rFonts w:ascii="宋体" w:hAnsi="宋体"/>
          <w:szCs w:val="21"/>
        </w:rPr>
      </w:pPr>
      <w:r>
        <w:rPr>
          <w:rFonts w:hint="eastAsia" w:ascii="宋体" w:hAnsi="宋体"/>
          <w:szCs w:val="21"/>
        </w:rPr>
        <w:t>纪检组长：郭慧虹</w:t>
      </w:r>
    </w:p>
    <w:p w14:paraId="7692B3E5">
      <w:pPr>
        <w:ind w:firstLine="0" w:firstLineChars="0"/>
        <w:rPr>
          <w:rFonts w:ascii="宋体" w:hAnsi="宋体"/>
          <w:szCs w:val="21"/>
        </w:rPr>
      </w:pPr>
      <w:r>
        <w:rPr>
          <w:rFonts w:hint="eastAsia" w:ascii="宋体" w:hAnsi="宋体"/>
          <w:szCs w:val="21"/>
        </w:rPr>
        <w:t>总经济师：周平</w:t>
      </w:r>
    </w:p>
    <w:p w14:paraId="37BD1661">
      <w:pPr>
        <w:pStyle w:val="3"/>
      </w:pPr>
      <w:r>
        <w:rPr>
          <w:rFonts w:hint="eastAsia"/>
        </w:rPr>
        <w:t>中国人民银行南雄市支行</w:t>
      </w:r>
    </w:p>
    <w:p w14:paraId="2749E1E0">
      <w:pPr>
        <w:pStyle w:val="4"/>
      </w:pPr>
      <w:r>
        <w:rPr>
          <w:rFonts w:hint="eastAsia"/>
        </w:rPr>
        <w:t>【概况】</w:t>
      </w:r>
    </w:p>
    <w:p w14:paraId="26AFE11A">
      <w:pPr>
        <w:ind w:firstLine="420"/>
        <w:rPr>
          <w:rFonts w:ascii="宋体" w:hAnsi="宋体"/>
          <w:szCs w:val="21"/>
        </w:rPr>
      </w:pPr>
      <w:r>
        <w:rPr>
          <w:rFonts w:hint="eastAsia" w:ascii="宋体" w:hAnsi="宋体"/>
          <w:szCs w:val="21"/>
        </w:rPr>
        <w:t>2011年，中国人民银行南雄市支行在职员工24人，其中行长1人，副行长2人，副主任科员1人，科员20人。内设“三股一室”四个职能部门，分别是办公室、综合业务股、外汇管理股和会计国库股。依法履行中央银行职能，负责对南雄市金融机构贯彻执行货币政策，防范系统性金融风险及其支付结算、票据清算、经理国库、反洗钱、征信、反假货币、现金、外汇等业务管理和金融服务工作。</w:t>
      </w:r>
    </w:p>
    <w:p w14:paraId="5697183E">
      <w:pPr>
        <w:pStyle w:val="4"/>
      </w:pPr>
      <w:r>
        <w:rPr>
          <w:rFonts w:hint="eastAsia"/>
        </w:rPr>
        <w:t>【货币政策】</w:t>
      </w:r>
    </w:p>
    <w:p w14:paraId="5C366888">
      <w:pPr>
        <w:ind w:firstLine="420"/>
        <w:rPr>
          <w:rFonts w:ascii="宋体" w:hAnsi="宋体"/>
          <w:szCs w:val="21"/>
        </w:rPr>
      </w:pPr>
      <w:r>
        <w:rPr>
          <w:rFonts w:hint="eastAsia" w:ascii="宋体" w:hAnsi="宋体"/>
          <w:szCs w:val="21"/>
        </w:rPr>
        <w:t>认真贯彻执行稳健货币政策，完善统计监测系统，建立辖内重点企业和金融机构信贷投向监测等制度，开展扩大内需政策效应评估调查，疏通货币政策传导渠道，发挥央行“窗口”指导作用，引导金融机构，合理把握贷款投放总量、投向和节奏，落实好“有扶有控”信贷政策，进一步提高货币政策预见性、针对性和有效性。提升宏观调控效果。加强与政府部门沟通，着力推动解决困扰小额担保贷款中风险补偿、贷款担保等问题，加大对中小企业发展支持力度。按季召开经济金融形势分析会，引导金融机构主动适应宏观调控政策，配合国家出台扩大内需促进经济增长一系列措施，加大信贷投放力度，调整优化信贷结构。截止2011年末，南雄市本外币各项存款余额66.03亿元，同比增长16.61%；各项贷款余额18.74亿元，同比增长25.38%。</w:t>
      </w:r>
    </w:p>
    <w:p w14:paraId="4B0915CE">
      <w:pPr>
        <w:pStyle w:val="4"/>
      </w:pPr>
      <w:r>
        <w:rPr>
          <w:rFonts w:hint="eastAsia"/>
        </w:rPr>
        <w:t>【金融风险管理】</w:t>
      </w:r>
    </w:p>
    <w:p w14:paraId="39E82CF1">
      <w:pPr>
        <w:ind w:firstLine="420"/>
        <w:rPr>
          <w:rFonts w:ascii="宋体" w:hAnsi="宋体"/>
          <w:szCs w:val="21"/>
        </w:rPr>
      </w:pPr>
      <w:r>
        <w:rPr>
          <w:rFonts w:hint="eastAsia" w:ascii="宋体" w:hAnsi="宋体"/>
          <w:szCs w:val="21"/>
        </w:rPr>
        <w:t>抓住辖区信贷风险点问题，开展对地方中小法人金融机构风险监测，关注其贷款投向和贷款集中度情况，跟踪监测农信社可能发生风险问题，做好贷款大户风险监测，评估全市金融稳定各项指标及基本状况，做好金融稳定工作。关注担保公司及小额贷款公司经营及风险状况，制定和提出稳定措施。组织开展南雄市农村信贷担保情况和小额贷款公司经营情况等多个专题调研，为上级及地方党政决策提供信息依据。强化已兑付专项票据农信社监测考核，加大不良贷款压降、法人治理结构、内控制度建设等力度，推动农信社改革。</w:t>
      </w:r>
    </w:p>
    <w:p w14:paraId="03530B17">
      <w:pPr>
        <w:pStyle w:val="4"/>
      </w:pPr>
      <w:r>
        <w:rPr>
          <w:rFonts w:hint="eastAsia"/>
        </w:rPr>
        <w:t>【银企合作促发展】</w:t>
      </w:r>
    </w:p>
    <w:p w14:paraId="4896A4A9">
      <w:pPr>
        <w:ind w:firstLine="420"/>
        <w:rPr>
          <w:rFonts w:ascii="宋体" w:hAnsi="宋体"/>
          <w:szCs w:val="21"/>
        </w:rPr>
      </w:pPr>
      <w:r>
        <w:rPr>
          <w:rFonts w:hint="eastAsia" w:ascii="宋体" w:hAnsi="宋体"/>
          <w:szCs w:val="21"/>
        </w:rPr>
        <w:t>一是在韶关中支行领导支持和货信科指导下，顺利发放支农再贷款2500万元。组织农信社主要负责人约见谈话，加强对支农再贷款监管，保证支农再贷款资金合理使用，支农再贷款发放得到南雄市委市政府高度评价。二是组织开展“南雄市中小企业融资项目推荐会”，此次推荐会，合同贷款金额与意向贷款金额共计4.233亿元。</w:t>
      </w:r>
    </w:p>
    <w:p w14:paraId="6AF43A5D">
      <w:pPr>
        <w:pStyle w:val="4"/>
      </w:pPr>
      <w:r>
        <w:rPr>
          <w:rFonts w:hint="eastAsia"/>
        </w:rPr>
        <w:t>【推进跨境贸易人民币结算业务】</w:t>
      </w:r>
    </w:p>
    <w:p w14:paraId="00B6E0BE">
      <w:pPr>
        <w:ind w:firstLine="420"/>
        <w:rPr>
          <w:rFonts w:ascii="宋体" w:hAnsi="宋体"/>
          <w:szCs w:val="21"/>
        </w:rPr>
      </w:pPr>
      <w:r>
        <w:rPr>
          <w:rFonts w:hint="eastAsia" w:ascii="宋体" w:hAnsi="宋体"/>
          <w:szCs w:val="21"/>
        </w:rPr>
        <w:t>在韶关中支外管科指导下，多次与南雄市外经局、企业协商座谈，帮助企业办理跨境贸易人民币业务。截</w:t>
      </w:r>
      <w:r>
        <w:rPr>
          <w:rFonts w:hint="eastAsia" w:ascii="宋体" w:hAnsi="宋体"/>
          <w:szCs w:val="21"/>
          <w:lang w:val="en-US" w:eastAsia="zh-CN"/>
        </w:rPr>
        <w:t>至</w:t>
      </w:r>
      <w:r>
        <w:rPr>
          <w:rFonts w:hint="eastAsia" w:ascii="宋体" w:hAnsi="宋体"/>
          <w:szCs w:val="21"/>
        </w:rPr>
        <w:t>12月末，南雄市企业共办理跨境人民币结算业务93笔，金额5420万元，完成韶关中支下达任务344.47%</w:t>
      </w:r>
    </w:p>
    <w:p w14:paraId="6EA2AE75">
      <w:pPr>
        <w:pStyle w:val="4"/>
      </w:pPr>
      <w:r>
        <w:rPr>
          <w:rFonts w:hint="eastAsia"/>
        </w:rPr>
        <w:t>【创新科技应急合作机制】</w:t>
      </w:r>
    </w:p>
    <w:p w14:paraId="2FDF1857">
      <w:pPr>
        <w:ind w:firstLine="420"/>
        <w:rPr>
          <w:rFonts w:ascii="宋体" w:hAnsi="宋体"/>
          <w:szCs w:val="21"/>
        </w:rPr>
      </w:pPr>
      <w:r>
        <w:rPr>
          <w:rFonts w:hint="eastAsia" w:ascii="宋体" w:hAnsi="宋体"/>
          <w:szCs w:val="21"/>
        </w:rPr>
        <w:t>在韶关中支行领导和科技科指导下，南雄支行针对县支行普遍存在科技人员不足现状，率先提出并制定和完善《毗邻县支行科技人员应急工作互为AB角》机制。</w:t>
      </w:r>
    </w:p>
    <w:p w14:paraId="6C72FD6B">
      <w:pPr>
        <w:pStyle w:val="4"/>
      </w:pPr>
      <w:r>
        <w:rPr>
          <w:rFonts w:hint="eastAsia"/>
        </w:rPr>
        <w:t>【拓展金融IC卡业务】</w:t>
      </w:r>
    </w:p>
    <w:p w14:paraId="46979C7B">
      <w:pPr>
        <w:ind w:firstLine="420"/>
        <w:rPr>
          <w:rFonts w:ascii="宋体" w:hAnsi="宋体"/>
          <w:szCs w:val="21"/>
        </w:rPr>
      </w:pPr>
      <w:r>
        <w:rPr>
          <w:rFonts w:hint="eastAsia" w:ascii="宋体" w:hAnsi="宋体"/>
          <w:szCs w:val="21"/>
        </w:rPr>
        <w:t>在韶关中支行领导、科技科指导下，9月6日，成功举办南雄市金融IC卡知识培训班，现场模拟演示金融IC卡操作方法，积极推动南雄辖区金融IC卡推广工作；10月20日协同南雄工行与南雄中学签订金融IC卡应用协议，成为八个县中第一个完成金融IC卡推广应用工作的支行。</w:t>
      </w:r>
    </w:p>
    <w:p w14:paraId="71D40748">
      <w:pPr>
        <w:pStyle w:val="4"/>
      </w:pPr>
      <w:r>
        <w:rPr>
          <w:rFonts w:hint="eastAsia"/>
        </w:rPr>
        <w:t>【推动银行卡助农取款服务】</w:t>
      </w:r>
    </w:p>
    <w:p w14:paraId="1F65E713">
      <w:pPr>
        <w:ind w:firstLine="420"/>
        <w:rPr>
          <w:rFonts w:ascii="宋体" w:hAnsi="宋体"/>
          <w:szCs w:val="21"/>
        </w:rPr>
      </w:pPr>
      <w:r>
        <w:rPr>
          <w:rFonts w:hint="eastAsia" w:ascii="宋体" w:hAnsi="宋体"/>
          <w:szCs w:val="21"/>
        </w:rPr>
        <w:t>在韶关中支会计科指导下，因地制宜选取服务点，制定工作计划、公示服务公约、进行业务技能培训，确保银行卡助农取款服务工作平稳进行。10月25日，选取邮储银行南雄支行作为韶关市首批、南雄首家“银行卡助农取款服务点”进行揭牌仪式。到目前为止，已经超额完成20个行政村银行卡助农取款业务挂牌任务，银行卡助农取款32笔，交易金额9440元。考核名列全辖第一。</w:t>
      </w:r>
    </w:p>
    <w:p w14:paraId="025D9FD4">
      <w:pPr>
        <w:pStyle w:val="4"/>
      </w:pPr>
      <w:r>
        <w:rPr>
          <w:rFonts w:hint="eastAsia"/>
        </w:rPr>
        <w:t>【严格内控管理】</w:t>
      </w:r>
    </w:p>
    <w:p w14:paraId="79C4C849">
      <w:pPr>
        <w:ind w:firstLine="420"/>
        <w:rPr>
          <w:rFonts w:ascii="宋体" w:hAnsi="宋体"/>
          <w:szCs w:val="21"/>
        </w:rPr>
      </w:pPr>
      <w:r>
        <w:rPr>
          <w:rFonts w:hint="eastAsia" w:ascii="宋体" w:hAnsi="宋体"/>
          <w:szCs w:val="21"/>
        </w:rPr>
        <w:t>落实国库会计责任制度，开展“百日无差错”活动，会计国库业务水平明显提高，差错率显著下降，在八县区考核中名列前茅。以“安全年”、“防诈骗、防盗窃、防抢劫、防计算机犯罪，确保银行资金和职工生命安全”为重点，把安全生产工作列入重要议事日程，12月9日，在韶关中支保卫科指导下，组织全体员工举行消防安全演练，切实提高员工安全责任意识。</w:t>
      </w:r>
    </w:p>
    <w:p w14:paraId="0C45DEBB">
      <w:pPr>
        <w:pStyle w:val="4"/>
      </w:pPr>
      <w:r>
        <w:rPr>
          <w:rFonts w:hint="eastAsia"/>
        </w:rPr>
        <w:t>【推动金融消费者权益保护试点】</w:t>
      </w:r>
    </w:p>
    <w:p w14:paraId="6AA9699B">
      <w:pPr>
        <w:ind w:firstLine="420"/>
        <w:rPr>
          <w:rFonts w:ascii="宋体" w:hAnsi="宋体"/>
          <w:szCs w:val="21"/>
        </w:rPr>
      </w:pPr>
      <w:r>
        <w:rPr>
          <w:rFonts w:hint="eastAsia" w:ascii="宋体" w:hAnsi="宋体"/>
          <w:szCs w:val="21"/>
        </w:rPr>
        <w:t>支行通过深入调研，形成以“四通”促进金融消费者权益保护工作思路。以市政府文件下发《南雄市金融消费者权益保护试点工作方案》，与10家金融机构负责人签订《自律公约》。开展“八个一”金融消费者权益保护试点工作。通过南雄市纪委连心楼网站解答群众金融消费咨询。共解答和回复群众来信42人/次，切实维护金融消费者权益。</w:t>
      </w:r>
    </w:p>
    <w:p w14:paraId="58BABF04">
      <w:pPr>
        <w:pStyle w:val="4"/>
      </w:pPr>
      <w:r>
        <w:rPr>
          <w:rFonts w:hint="eastAsia"/>
        </w:rPr>
        <w:t>【以农村信用体系建设拉动扶贫双到工作】</w:t>
      </w:r>
    </w:p>
    <w:p w14:paraId="2C4386A9">
      <w:pPr>
        <w:ind w:firstLine="420"/>
        <w:rPr>
          <w:rFonts w:ascii="宋体" w:hAnsi="宋体"/>
          <w:szCs w:val="21"/>
        </w:rPr>
      </w:pPr>
      <w:r>
        <w:rPr>
          <w:rFonts w:hint="eastAsia" w:ascii="宋体" w:hAnsi="宋体"/>
          <w:szCs w:val="21"/>
        </w:rPr>
        <w:t>作为韶关中支农村信用体系建设试点单位，支行将“扶贫双到”工作与农村信用体系建设结合起来，拉动扶贫贷款工作开展。至11月未止，南雄市共采集到农户征信信息1135户，重点采集有贷款及准备贷款双到户信息。先后对99户贫困农民发放扶贫贷款154万元。为降低农信社不良贷款，政府主动拿出300多万元资金清偿乡镇拖欠农信社历史遗留贷款。</w:t>
      </w:r>
    </w:p>
    <w:p w14:paraId="6A22A778">
      <w:pPr>
        <w:pStyle w:val="4"/>
      </w:pPr>
      <w:r>
        <w:rPr>
          <w:rFonts w:hint="eastAsia"/>
        </w:rPr>
        <w:t>【信息调研工作】</w:t>
      </w:r>
    </w:p>
    <w:p w14:paraId="58D7F628">
      <w:pPr>
        <w:ind w:firstLine="420"/>
        <w:rPr>
          <w:rFonts w:ascii="宋体" w:hAnsi="宋体"/>
          <w:szCs w:val="21"/>
        </w:rPr>
      </w:pPr>
      <w:r>
        <w:rPr>
          <w:rFonts w:hint="eastAsia" w:ascii="宋体" w:hAnsi="宋体"/>
          <w:szCs w:val="21"/>
        </w:rPr>
        <w:t>紧密围绕2011年支行工作重心，主动向上级行报送各类信息调研材料137篇，被韶关中支采用47篇。被省级以上刊物刊登33篇，其中：在总行刊登1篇、广州分行《送阅信息》刊登8篇，分行工会刊登10篇，分行处室刊登14篇。</w:t>
      </w:r>
    </w:p>
    <w:p w14:paraId="5FB3ABF1">
      <w:pPr>
        <w:pStyle w:val="4"/>
      </w:pPr>
      <w:r>
        <w:rPr>
          <w:rFonts w:hint="eastAsia"/>
        </w:rPr>
        <w:t>【金融业务检查】</w:t>
      </w:r>
    </w:p>
    <w:p w14:paraId="7C7926DB">
      <w:pPr>
        <w:ind w:firstLine="420"/>
        <w:rPr>
          <w:rFonts w:ascii="宋体" w:hAnsi="宋体"/>
          <w:szCs w:val="21"/>
        </w:rPr>
      </w:pPr>
      <w:r>
        <w:rPr>
          <w:rFonts w:hint="eastAsia" w:ascii="宋体" w:hAnsi="宋体"/>
          <w:szCs w:val="21"/>
        </w:rPr>
        <w:t>一是开展人民币收付业务及反假人民币现场检查。6月份，对南雄市金融机构人民币收付业务及反假人民币进行现场检查，并对检查发现存在问题进行通报，限期整改。二是协助韶关中支外管局对南雄外资企业外汇资金使用情况进行检查，对违反外汇政策企业进行处罚，促使外资企业规范投资行为。三是协助韶关中支反洗钱科对南雄农信社反洗钱工作进行检查指导，切实提高农信社开展反洗钱工作主动性。四是对违反存款准备金管理办法的金融机构进行检查和处罚，督促各金融机构按时足额缴纳存款准备金。</w:t>
      </w:r>
    </w:p>
    <w:p w14:paraId="22F0627F">
      <w:pPr>
        <w:pStyle w:val="4"/>
      </w:pPr>
      <w:r>
        <w:rPr>
          <w:rFonts w:hint="eastAsia"/>
        </w:rPr>
        <w:t>【金融知识宣传】</w:t>
      </w:r>
    </w:p>
    <w:p w14:paraId="0EB39483">
      <w:pPr>
        <w:ind w:firstLine="420"/>
        <w:rPr>
          <w:rFonts w:ascii="宋体" w:hAnsi="宋体"/>
          <w:szCs w:val="21"/>
        </w:rPr>
      </w:pPr>
      <w:r>
        <w:rPr>
          <w:rFonts w:hint="eastAsia" w:ascii="宋体" w:hAnsi="宋体"/>
          <w:szCs w:val="21"/>
        </w:rPr>
        <w:t>一是大力宣传征信知识。组织人员到南雄乡镇现场开展征信宣传活动，收到良好社会效应。二是送服务下乡，加强国债宣传。组织辖内国债承销机构积极参与，通过发放宣传资料、调查问卷等形式，普及国债知识，增强国债投资意识，树立国库服务良好形象，确保辖内国债市场健康发展。三是在南雄黄烟收购站开展反假人民币业务宣传。四是在韶关中支法律办指导下，与南雄市司法局共同举办“12·4法制宣传暨金融消费者权益保护宣传活动”。</w:t>
      </w:r>
    </w:p>
    <w:p w14:paraId="6757B1E8">
      <w:pPr>
        <w:ind w:firstLine="0" w:firstLineChars="0"/>
        <w:rPr>
          <w:rFonts w:ascii="宋体" w:hAnsi="宋体"/>
          <w:szCs w:val="21"/>
        </w:rPr>
      </w:pPr>
      <w:r>
        <w:rPr>
          <w:rFonts w:hint="eastAsia" w:ascii="宋体" w:hAnsi="宋体"/>
          <w:b/>
          <w:szCs w:val="21"/>
        </w:rPr>
        <w:t>附：2011年市人民银行领导班子成员名单</w:t>
      </w:r>
    </w:p>
    <w:p w14:paraId="3F56F823">
      <w:pPr>
        <w:ind w:firstLine="0" w:firstLineChars="0"/>
        <w:rPr>
          <w:rFonts w:ascii="宋体" w:hAnsi="宋体"/>
          <w:szCs w:val="21"/>
        </w:rPr>
      </w:pPr>
      <w:r>
        <w:rPr>
          <w:rFonts w:hint="eastAsia" w:ascii="宋体" w:hAnsi="宋体"/>
          <w:szCs w:val="21"/>
        </w:rPr>
        <w:t>行长：张鹏良</w:t>
      </w:r>
    </w:p>
    <w:p w14:paraId="1605C5C7">
      <w:pPr>
        <w:ind w:firstLine="0" w:firstLineChars="0"/>
        <w:rPr>
          <w:rFonts w:ascii="宋体" w:hAnsi="宋体"/>
          <w:szCs w:val="21"/>
        </w:rPr>
      </w:pPr>
      <w:r>
        <w:rPr>
          <w:rFonts w:hint="eastAsia" w:ascii="宋体" w:hAnsi="宋体"/>
          <w:szCs w:val="21"/>
        </w:rPr>
        <w:t>副行长：利保健温为阳</w:t>
      </w:r>
    </w:p>
    <w:p w14:paraId="688733A9">
      <w:pPr>
        <w:pStyle w:val="3"/>
      </w:pPr>
      <w:r>
        <w:rPr>
          <w:rFonts w:hint="eastAsia"/>
        </w:rPr>
        <w:t>中国银行股份有限公司南雄支行</w:t>
      </w:r>
    </w:p>
    <w:p w14:paraId="790B3617">
      <w:pPr>
        <w:pStyle w:val="4"/>
      </w:pPr>
      <w:r>
        <w:rPr>
          <w:rFonts w:hint="eastAsia"/>
        </w:rPr>
        <w:t>【概况】</w:t>
      </w:r>
    </w:p>
    <w:p w14:paraId="7AD87DB0">
      <w:pPr>
        <w:ind w:firstLine="420"/>
        <w:rPr>
          <w:rFonts w:ascii="宋体" w:hAnsi="宋体"/>
          <w:szCs w:val="21"/>
        </w:rPr>
      </w:pPr>
      <w:r>
        <w:rPr>
          <w:rFonts w:hint="eastAsia" w:ascii="宋体" w:hAnsi="宋体"/>
          <w:szCs w:val="21"/>
        </w:rPr>
        <w:t>中国银行股份有限公司韶关南雄支行成立于1987年，为南雄市四大国有商业银行之一，位于南雄市新城林荫路，全行在职员工17人，内设营业部和业务发展部；依附式ATM自助设备6台，离行式ATM自助设备3台。中国银行为客户提供丰富的金融产品，主要办理本外币存款、发放贷款、办理票据承兑与贴现、代理外汇买卖、从事银行卡业务、提供信用证服务及担保、代理保险兼业业务，南雄中行积极推动业务转型，提高经营收入，夯实发展基础，扎实推进区域卓越银行建设，努力提升网点经营效益，深入推进精细化管理，秉承以客户为中心的服务理念，强化服务规范、丰富服务内涵、创新服务品牌、提升客户满意度，积极拓展县域市场，不断强化风险管控，使支行在当地的竞争力和盈利能力不断提升。2011年评为韶关分行先进集体和存款先进单位。</w:t>
      </w:r>
    </w:p>
    <w:p w14:paraId="42428D0B">
      <w:pPr>
        <w:pStyle w:val="4"/>
      </w:pPr>
      <w:r>
        <w:rPr>
          <w:rFonts w:hint="eastAsia"/>
        </w:rPr>
        <w:t>【存贷业务】</w:t>
      </w:r>
    </w:p>
    <w:p w14:paraId="72833111">
      <w:pPr>
        <w:ind w:firstLine="420"/>
        <w:rPr>
          <w:rFonts w:ascii="宋体" w:hAnsi="宋体"/>
          <w:szCs w:val="21"/>
        </w:rPr>
      </w:pPr>
      <w:r>
        <w:rPr>
          <w:rFonts w:hint="eastAsia" w:ascii="宋体" w:hAnsi="宋体"/>
          <w:szCs w:val="21"/>
        </w:rPr>
        <w:t>截止到2011年12月末，全行各项存款人民币74071万元，较上年新增33564万元，外币139.58万美元，零售贷款13751万元，较上年新增4643万元。                                        （黄国彬）</w:t>
      </w:r>
    </w:p>
    <w:p w14:paraId="34A47774">
      <w:pPr>
        <w:ind w:firstLine="0" w:firstLineChars="0"/>
        <w:rPr>
          <w:rFonts w:ascii="宋体" w:hAnsi="宋体"/>
          <w:szCs w:val="21"/>
        </w:rPr>
      </w:pPr>
      <w:r>
        <w:rPr>
          <w:rFonts w:hint="eastAsia" w:ascii="宋体" w:hAnsi="宋体"/>
          <w:b/>
          <w:szCs w:val="21"/>
        </w:rPr>
        <w:t>附2011年中国银行南雄支行领导班子成员名单</w:t>
      </w:r>
    </w:p>
    <w:p w14:paraId="236B60C8">
      <w:pPr>
        <w:ind w:firstLine="0" w:firstLineChars="0"/>
        <w:rPr>
          <w:rFonts w:ascii="宋体" w:hAnsi="宋体"/>
          <w:szCs w:val="21"/>
        </w:rPr>
      </w:pPr>
      <w:r>
        <w:rPr>
          <w:rFonts w:hint="eastAsia" w:ascii="宋体" w:hAnsi="宋体"/>
          <w:szCs w:val="21"/>
        </w:rPr>
        <w:t>行长：廖小明</w:t>
      </w:r>
    </w:p>
    <w:p w14:paraId="427F19AC">
      <w:pPr>
        <w:ind w:firstLine="0" w:firstLineChars="0"/>
        <w:rPr>
          <w:rFonts w:ascii="宋体" w:hAnsi="宋体"/>
          <w:szCs w:val="21"/>
        </w:rPr>
      </w:pPr>
      <w:r>
        <w:rPr>
          <w:rFonts w:hint="eastAsia" w:ascii="宋体" w:hAnsi="宋体"/>
          <w:szCs w:val="21"/>
        </w:rPr>
        <w:t>副行长：黄劲义罗发旺</w:t>
      </w:r>
    </w:p>
    <w:p w14:paraId="45747C22">
      <w:pPr>
        <w:pStyle w:val="3"/>
      </w:pPr>
      <w:r>
        <w:rPr>
          <w:rFonts w:hint="eastAsia"/>
        </w:rPr>
        <w:t>中国工商银行股份有限公司南雄支行</w:t>
      </w:r>
    </w:p>
    <w:p w14:paraId="3604685D">
      <w:pPr>
        <w:pStyle w:val="4"/>
      </w:pPr>
      <w:r>
        <w:rPr>
          <w:rFonts w:hint="eastAsia"/>
        </w:rPr>
        <w:t>【概况】</w:t>
      </w:r>
    </w:p>
    <w:p w14:paraId="41924C58">
      <w:pPr>
        <w:ind w:firstLine="420"/>
        <w:rPr>
          <w:rFonts w:ascii="宋体" w:hAnsi="宋体"/>
          <w:szCs w:val="21"/>
        </w:rPr>
      </w:pPr>
      <w:r>
        <w:rPr>
          <w:rFonts w:hint="eastAsia" w:ascii="宋体" w:hAnsi="宋体"/>
          <w:szCs w:val="21"/>
        </w:rPr>
        <w:t>2011年，工商银行南雄支行全行在岗员工24人，大专学历以上100%。内设行长室、行政经理部、客户经理部、支行营业部和南雄建设支行二个对外营业网点</w:t>
      </w:r>
    </w:p>
    <w:p w14:paraId="768FD3CA">
      <w:pPr>
        <w:pStyle w:val="4"/>
      </w:pPr>
      <w:r>
        <w:rPr>
          <w:rFonts w:hint="eastAsia"/>
        </w:rPr>
        <w:t>【经营管理】</w:t>
      </w:r>
    </w:p>
    <w:p w14:paraId="467D60DD">
      <w:pPr>
        <w:ind w:firstLine="420"/>
        <w:rPr>
          <w:rFonts w:ascii="宋体" w:hAnsi="宋体"/>
          <w:szCs w:val="21"/>
        </w:rPr>
      </w:pPr>
      <w:r>
        <w:rPr>
          <w:rFonts w:hint="eastAsia" w:ascii="宋体" w:hAnsi="宋体"/>
          <w:szCs w:val="21"/>
        </w:rPr>
        <w:t>2011年，认真贯彻国家货币信贷政策和产业政策，紧紧围绕“四大杆标”，牢固树立“四大理念”，突出重点，狠抓落实，不断巩固和扩大市场领先优势，做大做强做优各项业务，各项业务发展取得突破性进展。一是利润增长创历史新高；二是存款余额实现7亿元的历史性跨越；三是贷款保持均衡增长，表内外增长创历史新高。至年末，全行资产总额8.34亿元（人民币，下同），各项存款余额7.05亿元，各项贷款（不含贴现）余额1.3亿元，实现经营利润1622万元。</w:t>
      </w:r>
    </w:p>
    <w:p w14:paraId="1015668D">
      <w:pPr>
        <w:pStyle w:val="4"/>
      </w:pPr>
      <w:r>
        <w:rPr>
          <w:rFonts w:hint="eastAsia"/>
        </w:rPr>
        <w:t>【融资业务】</w:t>
      </w:r>
    </w:p>
    <w:p w14:paraId="508D2E23">
      <w:pPr>
        <w:ind w:firstLine="420"/>
        <w:rPr>
          <w:rFonts w:ascii="宋体" w:hAnsi="宋体"/>
          <w:szCs w:val="21"/>
        </w:rPr>
      </w:pPr>
      <w:r>
        <w:rPr>
          <w:rFonts w:hint="eastAsia" w:ascii="宋体" w:hAnsi="宋体"/>
          <w:szCs w:val="21"/>
        </w:rPr>
        <w:t>2011年，该行认真贯彻落实国家宏观调控政策和货币信贷政策，积极筹措社会资金，全力支持地方经济发展；加强全面风险管理，着力维护地方金融稳定。认真落实银政战略合作协议，支持地方经济发展。由于今年国家货币信贷政策调整，为加强信贷管理，合理有序地用好信贷规模，一是在贷款发放上做到早谋划、早安排。二是做大流量，创新金融产品，充分发挥票据融资、贸易融资、网贷通的作用，满足企业短期融资需求。2011年全年累计投放各类融资2.26亿元，重点支持大南雄中小企业和工业园“双转移”项目，同时抓大不放小，积极扶持中小企业、民营企业发展。</w:t>
      </w:r>
    </w:p>
    <w:p w14:paraId="0408C51C">
      <w:pPr>
        <w:pStyle w:val="4"/>
      </w:pPr>
      <w:r>
        <w:rPr>
          <w:rFonts w:hint="eastAsia"/>
        </w:rPr>
        <w:t>【内控管理与外部风险防范】</w:t>
      </w:r>
    </w:p>
    <w:p w14:paraId="55285C4F">
      <w:pPr>
        <w:ind w:firstLine="420"/>
        <w:rPr>
          <w:rFonts w:ascii="宋体" w:hAnsi="宋体"/>
          <w:szCs w:val="21"/>
        </w:rPr>
      </w:pPr>
      <w:r>
        <w:rPr>
          <w:rFonts w:hint="eastAsia" w:ascii="宋体" w:hAnsi="宋体"/>
          <w:szCs w:val="21"/>
        </w:rPr>
        <w:t>年初以来，该行坚持依法合规经营，切实抓好银行经营风险控制和案件防范工作。重点加强“两会”期间、大运会、中秋和国庆期间的信访维稳和安全防范工作，加强对营业网点和银行自助设备安全巡查，加强反洗钱和反假货币工作，维护金融秩序。认真落实党风廉政建设和案防工作责任制，进行反腐禁赌警示教育。加强合规管理基础建设，突出加强企业开户、信用卡申领、电子银行办理等重要风险点的监控，提高了全行内控制度执行力。2011年，全行没有发生各类案件和重大差错事故，实现安全营运。（刘奇勇）</w:t>
      </w:r>
    </w:p>
    <w:p w14:paraId="7D072C23">
      <w:pPr>
        <w:ind w:firstLine="0" w:firstLineChars="0"/>
        <w:rPr>
          <w:rFonts w:ascii="宋体" w:hAnsi="宋体"/>
          <w:szCs w:val="21"/>
        </w:rPr>
      </w:pPr>
      <w:r>
        <w:rPr>
          <w:rFonts w:hint="eastAsia" w:ascii="宋体" w:hAnsi="宋体"/>
          <w:b/>
          <w:szCs w:val="21"/>
        </w:rPr>
        <w:t>附：2011年中国工商银行南雄支行领导班子名单</w:t>
      </w:r>
      <w:r>
        <w:rPr>
          <w:rFonts w:hint="eastAsia" w:ascii="宋体" w:hAnsi="宋体"/>
          <w:szCs w:val="21"/>
        </w:rPr>
        <w:t>：</w:t>
      </w:r>
    </w:p>
    <w:p w14:paraId="5DD7391E">
      <w:pPr>
        <w:ind w:firstLine="0" w:firstLineChars="0"/>
        <w:rPr>
          <w:rFonts w:ascii="宋体" w:hAnsi="宋体"/>
          <w:szCs w:val="21"/>
        </w:rPr>
      </w:pPr>
      <w:r>
        <w:rPr>
          <w:rFonts w:hint="eastAsia" w:ascii="宋体" w:hAnsi="宋体"/>
          <w:szCs w:val="21"/>
        </w:rPr>
        <w:t>行长：邱志雄</w:t>
      </w:r>
    </w:p>
    <w:p w14:paraId="5F8B84A7">
      <w:pPr>
        <w:ind w:firstLine="0" w:firstLineChars="0"/>
        <w:rPr>
          <w:rFonts w:ascii="宋体" w:hAnsi="宋体"/>
          <w:szCs w:val="21"/>
        </w:rPr>
      </w:pPr>
      <w:r>
        <w:rPr>
          <w:rFonts w:hint="eastAsia" w:ascii="宋体" w:hAnsi="宋体"/>
          <w:szCs w:val="21"/>
        </w:rPr>
        <w:t>副行长：李瑞棠</w:t>
      </w:r>
    </w:p>
    <w:p w14:paraId="505035B9">
      <w:pPr>
        <w:ind w:firstLine="0" w:firstLineChars="0"/>
        <w:rPr>
          <w:rFonts w:ascii="宋体" w:hAnsi="宋体"/>
          <w:szCs w:val="21"/>
        </w:rPr>
      </w:pPr>
      <w:r>
        <w:rPr>
          <w:rFonts w:hint="eastAsia" w:ascii="宋体" w:hAnsi="宋体"/>
          <w:szCs w:val="21"/>
        </w:rPr>
        <w:t>内控主管：刘奇勇</w:t>
      </w:r>
    </w:p>
    <w:p w14:paraId="59E747F4">
      <w:pPr>
        <w:pStyle w:val="3"/>
      </w:pPr>
      <w:r>
        <w:rPr>
          <w:rFonts w:hint="eastAsia"/>
        </w:rPr>
        <w:t>中国农业银行股份有限公司南雄市支行</w:t>
      </w:r>
    </w:p>
    <w:p w14:paraId="22C5E600">
      <w:pPr>
        <w:pStyle w:val="4"/>
      </w:pPr>
      <w:r>
        <w:rPr>
          <w:rFonts w:hint="eastAsia"/>
        </w:rPr>
        <w:t>【概况】</w:t>
      </w:r>
    </w:p>
    <w:p w14:paraId="42528F2E">
      <w:pPr>
        <w:ind w:firstLine="420"/>
        <w:rPr>
          <w:rFonts w:ascii="宋体" w:hAnsi="宋体"/>
          <w:szCs w:val="21"/>
        </w:rPr>
      </w:pPr>
      <w:r>
        <w:rPr>
          <w:rFonts w:hint="eastAsia" w:ascii="宋体" w:hAnsi="宋体"/>
          <w:szCs w:val="21"/>
        </w:rPr>
        <w:t>中国农业银行股份有限公司南雄市支行辖属支行营业部和4个二级支行（雄州支行、雄东支行、沿江支行和全安支行），全行在职员工83人，辖内网点ATM自助银行设施10台。2011年度，先后分别荣获农行广东省分行和韶关分行“先进基层党组织”以及农行广东省分行2010-2011年度住房金融与个人信贷业务“先进支行”称号。</w:t>
      </w:r>
    </w:p>
    <w:p w14:paraId="1FC3A71B">
      <w:pPr>
        <w:pStyle w:val="4"/>
      </w:pPr>
      <w:r>
        <w:rPr>
          <w:rFonts w:hint="eastAsia"/>
        </w:rPr>
        <w:t>【存贷款业务】</w:t>
      </w:r>
    </w:p>
    <w:p w14:paraId="26F6F057">
      <w:pPr>
        <w:ind w:firstLine="420"/>
        <w:rPr>
          <w:rFonts w:ascii="宋体" w:hAnsi="宋体"/>
          <w:szCs w:val="21"/>
        </w:rPr>
      </w:pPr>
      <w:r>
        <w:rPr>
          <w:rFonts w:hint="eastAsia" w:ascii="宋体" w:hAnsi="宋体"/>
          <w:szCs w:val="21"/>
        </w:rPr>
        <w:t>截止2011年12月末，该行各项存款余额95344万元，比年初增加7018万元，在当地四大行中存、增量占比分别为36%、35%，均位居四大行前列。其中储蓄存款73867万元，比年初增加8459万元，在当地四大行中存、增量占比分别为39%和46%，均居四大行排名第一；对公存款21477万元，在当地四大行中存量占比为27%。各项贷款余额28435万元，比年初增加33575万元，在四大行中存量比为42%，增量比为23%，分别居当地四大行排名第一和第二。</w:t>
      </w:r>
    </w:p>
    <w:p w14:paraId="19581BBB">
      <w:pPr>
        <w:pStyle w:val="4"/>
      </w:pPr>
      <w:r>
        <w:rPr>
          <w:rFonts w:hint="eastAsia"/>
        </w:rPr>
        <w:t>【三农业务】</w:t>
      </w:r>
    </w:p>
    <w:p w14:paraId="681721E5">
      <w:pPr>
        <w:ind w:firstLine="420"/>
        <w:rPr>
          <w:rFonts w:ascii="宋体" w:hAnsi="宋体"/>
          <w:szCs w:val="21"/>
        </w:rPr>
      </w:pPr>
      <w:r>
        <w:rPr>
          <w:rFonts w:hint="eastAsia" w:ascii="宋体" w:hAnsi="宋体"/>
          <w:szCs w:val="21"/>
        </w:rPr>
        <w:t>履行服务“三农”职责，多策并举发展“三农”业务。改善金融服务环境，优化服务“三农”平台。该行在市分行和当地政府的大力支持下，在2010年南雄市全安镇开设ATM自助银行服务点的基础上，于2011年12月20日升格为南雄全安支行，进一步改善金了融服务条件，强化了服务功能，提升了服务水平。同时，为进一步拓宽和延伸我行服务“三农”的渠道和平台，在辖属乡镇符合相关条件的村委会（村）开设“助农取款服务点”，安装转账电话，有效地改善了农村金融服务条件，为“三农”客户提供了便捷的金融服务。</w:t>
      </w:r>
    </w:p>
    <w:p w14:paraId="72E95F50">
      <w:pPr>
        <w:pStyle w:val="4"/>
      </w:pPr>
      <w:r>
        <w:rPr>
          <w:rFonts w:hint="eastAsia"/>
        </w:rPr>
        <w:t>【风险防控】</w:t>
      </w:r>
    </w:p>
    <w:p w14:paraId="0B0233F4">
      <w:pPr>
        <w:ind w:firstLine="420"/>
        <w:rPr>
          <w:rFonts w:ascii="宋体" w:hAnsi="宋体"/>
          <w:szCs w:val="21"/>
        </w:rPr>
      </w:pPr>
      <w:r>
        <w:rPr>
          <w:rFonts w:hint="eastAsia" w:ascii="宋体" w:hAnsi="宋体"/>
          <w:szCs w:val="21"/>
        </w:rPr>
        <w:t>一是加强内控监管，严格执行内控制度。落实对辖属营业网点每月执行规章制度情况的监管检查和员工每日业务操作的事后监督。做到发现问题、及时指出、及时整改，防范和化解风险，确保了依法合规经营。二是强化运营主管的履职管理与考核以及员工合规操作的监管。坚持对每日发生的业务进行实时监督、授权审批和事后监督检查，积极做好员工会计业务的辅导工作，狠抓班前例会制度落实的督导，使员工依法合规操作的理念和自觉性得到进一步的增强和提高。三是加强员工思想行为排查和信访维稳工作，做到明确责任，落实排查、维稳措施。及时了解和掌握员工思想动态和异常行为，防范和化解风险，确保员工的思想稳定和各项业务的安全稳健发展奠定了坚实的基础。                                 （董书罗）</w:t>
      </w:r>
    </w:p>
    <w:p w14:paraId="2203146C">
      <w:pPr>
        <w:ind w:firstLine="0" w:firstLineChars="0"/>
        <w:rPr>
          <w:rFonts w:ascii="宋体" w:hAnsi="宋体"/>
          <w:szCs w:val="21"/>
        </w:rPr>
      </w:pPr>
      <w:r>
        <w:rPr>
          <w:rFonts w:hint="eastAsia" w:ascii="宋体" w:hAnsi="宋体"/>
          <w:b/>
          <w:szCs w:val="21"/>
        </w:rPr>
        <w:t>附：2011年农业银行南雄市支行领导班子名单</w:t>
      </w:r>
      <w:r>
        <w:rPr>
          <w:rFonts w:hint="eastAsia" w:ascii="宋体" w:hAnsi="宋体"/>
          <w:szCs w:val="21"/>
        </w:rPr>
        <w:t>：</w:t>
      </w:r>
    </w:p>
    <w:p w14:paraId="37B7BEB7">
      <w:pPr>
        <w:ind w:firstLine="0" w:firstLineChars="0"/>
        <w:rPr>
          <w:rFonts w:ascii="宋体" w:hAnsi="宋体"/>
          <w:szCs w:val="21"/>
        </w:rPr>
      </w:pPr>
      <w:r>
        <w:rPr>
          <w:rFonts w:hint="eastAsia" w:ascii="宋体" w:hAnsi="宋体"/>
          <w:szCs w:val="21"/>
        </w:rPr>
        <w:t>行  长：唐建华</w:t>
      </w:r>
    </w:p>
    <w:p w14:paraId="757785B1">
      <w:pPr>
        <w:ind w:firstLine="0" w:firstLineChars="0"/>
        <w:rPr>
          <w:rFonts w:ascii="宋体" w:hAnsi="宋体"/>
          <w:szCs w:val="21"/>
        </w:rPr>
      </w:pPr>
      <w:r>
        <w:rPr>
          <w:rFonts w:hint="eastAsia" w:ascii="宋体" w:hAnsi="宋体"/>
          <w:szCs w:val="21"/>
        </w:rPr>
        <w:t>副行长：聂郁龙  沈世军</w:t>
      </w:r>
    </w:p>
    <w:p w14:paraId="0246A539">
      <w:pPr>
        <w:pStyle w:val="3"/>
      </w:pPr>
      <w:r>
        <w:rPr>
          <w:rFonts w:hint="eastAsia"/>
        </w:rPr>
        <w:t>中国建设银行股份有限公司南雄支行</w:t>
      </w:r>
    </w:p>
    <w:p w14:paraId="7D761565">
      <w:pPr>
        <w:pStyle w:val="4"/>
      </w:pPr>
      <w:r>
        <w:rPr>
          <w:rFonts w:hint="eastAsia"/>
        </w:rPr>
        <w:t>【概况】</w:t>
      </w:r>
    </w:p>
    <w:p w14:paraId="2AD4E87D">
      <w:pPr>
        <w:ind w:firstLine="420"/>
        <w:rPr>
          <w:rFonts w:ascii="宋体" w:hAnsi="宋体"/>
          <w:szCs w:val="21"/>
        </w:rPr>
      </w:pPr>
      <w:r>
        <w:rPr>
          <w:rFonts w:hint="eastAsia" w:ascii="宋体" w:hAnsi="宋体"/>
          <w:szCs w:val="21"/>
        </w:rPr>
        <w:t>中国建设银行股份有限公司南雄支行位于南雄市最繁华的街区，秉承“努力成为服务大众的银行、促进民生的银行、低碳环保的银行、持续发展的银行”的社会责任战略，积极履行社会责任，为客户提供全面的商业银行产品与服务。2011年在贯彻执行南雄市委、市政府“履行职责、加快发展”活动方案中，进一步不断深化“以客户为中心”的理念，持续关注大众客户的体验和诉求，不断创新和改进业务流程，努力提升客户服务能力和客户满意度；本行致力于大力支持南雄地方基础设施、重点项目的投资，加大对中小企业、保障房建设等民生领域的信贷投放，着力改进和提升对小微企业的金融服务。全行在职员工20人，辖内有ATM自助银行2间，自助设备8台。主要业务有本外币存款、各类贷款、融信通、个人理财、企业理财、票据业务、结算服务、信用卡分期业务、银行卡业务、电子银行等各种金融服务。被省行评为“2011年个人金融业务综合管理五十强网点”荣誉称号。</w:t>
      </w:r>
    </w:p>
    <w:p w14:paraId="58D9D3D6">
      <w:pPr>
        <w:pStyle w:val="4"/>
      </w:pPr>
      <w:r>
        <w:rPr>
          <w:rFonts w:hint="eastAsia"/>
        </w:rPr>
        <w:t>【存贷业务】</w:t>
      </w:r>
    </w:p>
    <w:p w14:paraId="2CBC2027">
      <w:pPr>
        <w:ind w:firstLine="420"/>
        <w:rPr>
          <w:rFonts w:ascii="宋体" w:hAnsi="宋体"/>
          <w:szCs w:val="21"/>
        </w:rPr>
      </w:pPr>
      <w:r>
        <w:rPr>
          <w:rFonts w:hint="eastAsia" w:ascii="宋体" w:hAnsi="宋体"/>
          <w:szCs w:val="21"/>
        </w:rPr>
        <w:t>截止2011年末，支行存款余额56514万元，企业存款余额22098万元，个人存款余额34416万元。支行贷款余额17891万元。其中公司类贷款余额：13015万元；个人类贷款余额：4876万元；全年累计发放贷款8253万元，有力地支持了南雄精细精细化工企业的经营生产和地方经济发展。            （刘世海）</w:t>
      </w:r>
    </w:p>
    <w:p w14:paraId="789213B3">
      <w:pPr>
        <w:ind w:firstLine="0" w:firstLineChars="0"/>
        <w:rPr>
          <w:rFonts w:ascii="宋体" w:hAnsi="宋体"/>
          <w:szCs w:val="21"/>
        </w:rPr>
      </w:pPr>
      <w:r>
        <w:rPr>
          <w:rFonts w:hint="eastAsia" w:ascii="宋体" w:hAnsi="宋体"/>
          <w:b/>
          <w:szCs w:val="21"/>
        </w:rPr>
        <w:t>附：2011年中国建设银行南雄市支行领导成员名单</w:t>
      </w:r>
    </w:p>
    <w:p w14:paraId="6632BE8D">
      <w:pPr>
        <w:ind w:firstLine="0" w:firstLineChars="0"/>
        <w:rPr>
          <w:rFonts w:ascii="宋体" w:hAnsi="宋体"/>
          <w:szCs w:val="21"/>
        </w:rPr>
      </w:pPr>
      <w:r>
        <w:rPr>
          <w:rFonts w:hint="eastAsia" w:ascii="宋体" w:hAnsi="宋体"/>
          <w:szCs w:val="21"/>
        </w:rPr>
        <w:t>行长：谢德平</w:t>
      </w:r>
    </w:p>
    <w:p w14:paraId="420E8DBF">
      <w:pPr>
        <w:ind w:firstLine="0" w:firstLineChars="0"/>
        <w:rPr>
          <w:rFonts w:ascii="宋体" w:hAnsi="宋体"/>
          <w:szCs w:val="21"/>
        </w:rPr>
      </w:pPr>
      <w:r>
        <w:rPr>
          <w:rFonts w:hint="eastAsia" w:ascii="宋体" w:hAnsi="宋体"/>
          <w:szCs w:val="21"/>
        </w:rPr>
        <w:t>副行长：刘世海</w:t>
      </w:r>
    </w:p>
    <w:p w14:paraId="73D8FAF3">
      <w:pPr>
        <w:pStyle w:val="3"/>
      </w:pPr>
      <w:r>
        <w:rPr>
          <w:rFonts w:hint="eastAsia"/>
        </w:rPr>
        <w:t>南雄市农村信用合作联社</w:t>
      </w:r>
    </w:p>
    <w:p w14:paraId="3DCD3875">
      <w:pPr>
        <w:pStyle w:val="4"/>
      </w:pPr>
      <w:r>
        <w:rPr>
          <w:rFonts w:hint="eastAsia"/>
        </w:rPr>
        <w:t>【概况】</w:t>
      </w:r>
    </w:p>
    <w:p w14:paraId="18B96AD1">
      <w:pPr>
        <w:ind w:firstLine="420"/>
        <w:rPr>
          <w:rFonts w:ascii="宋体" w:hAnsi="宋体"/>
          <w:szCs w:val="21"/>
        </w:rPr>
      </w:pPr>
      <w:r>
        <w:rPr>
          <w:rFonts w:hint="eastAsia" w:ascii="宋体" w:hAnsi="宋体"/>
          <w:szCs w:val="21"/>
        </w:rPr>
        <w:t>南雄市农村信用合作联社成立于1953年，1984年11月成立县农村信用合作联社，1996年12月31日与农业银行脱离行政隶属关系，2008年12月26日由原来的二级法人社南雄市农村信用合作社联合社改革为统一法人社南雄市农村信用合作联社。1999年7月1日成立中国共产党南雄市农村信用合作社联合社委员会，2006年6月底南雄联社党委转移到中共广东省农村信用社联合社委员会领导管理，2010年3月23日南雄联社党委更名为中共南雄市农村信用合作联社委员会。2011年度机关设11个职能部门（分别是办公室、人力资源部、稽核监督部、计划资金财务部、合规部、科技卡业务部、会计结算部、信贷管理与资产保全部、党委办、信贷营销服务中心、监察保卫部）；辖内设立网点20个，其中1个联社营业部，5个基层信用社（分别是南雄市农村信用合作联社雄州信用社、全安信用社、珠玑信用社、黄坑信用社、乌迳信用社）；14个分社（分别是南雄市农村信用合作联社修仁分社、雄中分社、坪田分社、界址分社、南亩分社、大塘分社、水口分社、湖口分社、邓坊分社、古市分社、百顺分社、河南分社、黎口分社、主田分社），是全市网点最多、服务面最广、支持地方经济最大的农村金融机构。南雄联社2011年底从业人员210人，其中：党员74人，研究生学历1人，本科学历90人，大专学历95人，中专14人；中级会计师职称1人，中级经济师职称24人，助理级职称51人。</w:t>
      </w:r>
    </w:p>
    <w:p w14:paraId="1CB387D2">
      <w:pPr>
        <w:pStyle w:val="4"/>
      </w:pPr>
      <w:r>
        <w:rPr>
          <w:rFonts w:hint="eastAsia"/>
        </w:rPr>
        <w:t>【存贷业务】</w:t>
      </w:r>
    </w:p>
    <w:p w14:paraId="75DD78FA">
      <w:pPr>
        <w:ind w:firstLine="420"/>
        <w:rPr>
          <w:rFonts w:ascii="宋体" w:hAnsi="宋体"/>
          <w:szCs w:val="21"/>
        </w:rPr>
      </w:pPr>
      <w:r>
        <w:rPr>
          <w:rFonts w:hint="eastAsia" w:ascii="宋体" w:hAnsi="宋体"/>
          <w:szCs w:val="21"/>
        </w:rPr>
        <w:t>2011年底，南雄联社各项存款214，197万元，各项贷款111，863万元（其中投放中小企业贷款33256万元，支持精细化工业园企业41户），发卡存量69554张，增资扩股9，847万股，股本余额12，097万股。                                                                                  （李  宏）</w:t>
      </w:r>
      <w:r>
        <w:rPr>
          <w:rFonts w:hint="eastAsia" w:ascii="宋体" w:hAnsi="宋体"/>
          <w:b/>
          <w:szCs w:val="21"/>
        </w:rPr>
        <w:t>附：2011年市农村信用合作联社领导班子成员名单</w:t>
      </w:r>
    </w:p>
    <w:p w14:paraId="5F3A29D2">
      <w:pPr>
        <w:ind w:firstLine="420"/>
        <w:rPr>
          <w:rFonts w:ascii="宋体" w:hAnsi="宋体"/>
          <w:szCs w:val="21"/>
        </w:rPr>
      </w:pPr>
      <w:r>
        <w:rPr>
          <w:rFonts w:hint="eastAsia" w:ascii="宋体" w:hAnsi="宋体"/>
          <w:szCs w:val="21"/>
        </w:rPr>
        <w:t>理事长：吴新华</w:t>
      </w:r>
    </w:p>
    <w:p w14:paraId="2B58CDAC">
      <w:pPr>
        <w:ind w:firstLine="420"/>
        <w:rPr>
          <w:rFonts w:ascii="宋体" w:hAnsi="宋体"/>
          <w:szCs w:val="21"/>
        </w:rPr>
      </w:pPr>
      <w:r>
        <w:rPr>
          <w:rFonts w:hint="eastAsia" w:ascii="宋体" w:hAnsi="宋体"/>
          <w:szCs w:val="21"/>
        </w:rPr>
        <w:t>主  任：伍时伟</w:t>
      </w:r>
    </w:p>
    <w:p w14:paraId="131FBDBE">
      <w:pPr>
        <w:ind w:firstLine="420"/>
        <w:rPr>
          <w:rFonts w:ascii="宋体" w:hAnsi="宋体"/>
          <w:szCs w:val="21"/>
        </w:rPr>
      </w:pPr>
      <w:r>
        <w:rPr>
          <w:rFonts w:hint="eastAsia" w:ascii="宋体" w:hAnsi="宋体"/>
          <w:szCs w:val="21"/>
        </w:rPr>
        <w:t>副主任：叶志清</w:t>
      </w:r>
    </w:p>
    <w:p w14:paraId="5071D8A9">
      <w:pPr>
        <w:ind w:firstLine="420"/>
        <w:rPr>
          <w:rFonts w:ascii="宋体" w:hAnsi="宋体"/>
          <w:szCs w:val="21"/>
        </w:rPr>
      </w:pPr>
      <w:r>
        <w:rPr>
          <w:rFonts w:hint="eastAsia" w:ascii="宋体" w:hAnsi="宋体"/>
          <w:szCs w:val="21"/>
        </w:rPr>
        <w:t>监事长：朱瑞洪</w:t>
      </w:r>
    </w:p>
    <w:p w14:paraId="3F656044">
      <w:pPr>
        <w:pStyle w:val="3"/>
      </w:pPr>
      <w:r>
        <w:rPr>
          <w:rFonts w:hint="eastAsia"/>
        </w:rPr>
        <w:t>中国人民财产保险股份有限公司南雄支公司</w:t>
      </w:r>
    </w:p>
    <w:p w14:paraId="3751F93C">
      <w:pPr>
        <w:pStyle w:val="4"/>
      </w:pPr>
      <w:r>
        <w:rPr>
          <w:rFonts w:hint="eastAsia"/>
        </w:rPr>
        <w:t>【概况】</w:t>
      </w:r>
    </w:p>
    <w:p w14:paraId="673DB0E1">
      <w:pPr>
        <w:ind w:firstLine="420"/>
        <w:rPr>
          <w:rFonts w:ascii="宋体" w:hAnsi="宋体"/>
          <w:szCs w:val="21"/>
        </w:rPr>
      </w:pPr>
      <w:r>
        <w:rPr>
          <w:rFonts w:hint="eastAsia" w:ascii="宋体" w:hAnsi="宋体"/>
          <w:szCs w:val="21"/>
        </w:rPr>
        <w:t>中国人民财产保险股份有限公司南雄支公司成立于1996年4月8日，其前身是中国人民保险公司南雄县支公司。公司内设总经理室、综合部、理赔分部、业务一部和业务二部5个部门，有新城营销服务部、雄东营销服务部和乌迳营销服务部3个业务网点。涵盖机动车辆保险、财产保险、船舶货运保险、责任信用保险、意外健康保险、能源及航空航天保险、国内公路运输随车行李物品定额保险、养殖业保险、政策性农房保险、政策性森林保险和政策性能繁母猪保险等，拥有一批行业领先的创新产品。2011年共有干部职工18人，全部为大专以上学历。个人代理人13人，农村保险营销员19人，全部为高中以上学历。拥有一支掌握非寿险业核心技能、经验丰富的保险承保、理赔专业技术队伍。2011年我公司的保费规模达1575万元，各险种赔款合计达883万元。</w:t>
      </w:r>
    </w:p>
    <w:p w14:paraId="32C84B88">
      <w:pPr>
        <w:pStyle w:val="4"/>
      </w:pPr>
      <w:r>
        <w:rPr>
          <w:rFonts w:hint="eastAsia"/>
        </w:rPr>
        <w:t>【经营理念】</w:t>
      </w:r>
    </w:p>
    <w:p w14:paraId="4F123F92">
      <w:pPr>
        <w:ind w:firstLine="420"/>
        <w:rPr>
          <w:rFonts w:ascii="宋体" w:hAnsi="宋体"/>
          <w:szCs w:val="21"/>
        </w:rPr>
      </w:pPr>
      <w:r>
        <w:rPr>
          <w:rFonts w:hint="eastAsia" w:ascii="宋体" w:hAnsi="宋体"/>
          <w:szCs w:val="21"/>
        </w:rPr>
        <w:t>坚持“人民保险、服务人民”为使命，秉承“以人为本、诚信服务、价值至上、永续经营”的经营理念，弘扬“求实、诚信、拼搏、创新”的企业精神，坚持以市场为导向、以客户为中心，积极履行优秀企业公民责任，为促进改革、保障经济、稳定社会、造福人民提供强大的保险保障。</w:t>
      </w:r>
    </w:p>
    <w:p w14:paraId="0870A6E7">
      <w:pPr>
        <w:pStyle w:val="4"/>
      </w:pPr>
      <w:r>
        <w:rPr>
          <w:rFonts w:hint="eastAsia"/>
        </w:rPr>
        <w:t>【业务经营】</w:t>
      </w:r>
    </w:p>
    <w:p w14:paraId="59839B1C">
      <w:pPr>
        <w:ind w:firstLine="420"/>
        <w:rPr>
          <w:rFonts w:ascii="宋体" w:hAnsi="宋体"/>
          <w:szCs w:val="21"/>
        </w:rPr>
      </w:pPr>
      <w:r>
        <w:rPr>
          <w:rFonts w:hint="eastAsia" w:ascii="宋体" w:hAnsi="宋体"/>
          <w:szCs w:val="21"/>
        </w:rPr>
        <w:t>2011年实现保费收入1575万元，赔款支出883万元。公司先后与各大商业银行、农村信用联社和各大修理厂签定了代理销售合作协议。2011年承保母猪19075头，收取保费114万元，死亡母猪950头，赔付金额为95万元。2009年至2011年，政策性农村住房保险如期承保，公司为全市72848户农户的住房提供了保险保障。三年来，保费收入为181万元，为951户受灾农户的住房提供保险赔偿，赔付金额共计108万元。</w:t>
      </w:r>
    </w:p>
    <w:p w14:paraId="7C6037B9">
      <w:pPr>
        <w:ind w:firstLine="0" w:firstLineChars="0"/>
        <w:rPr>
          <w:rFonts w:ascii="宋体" w:hAnsi="宋体"/>
          <w:szCs w:val="21"/>
        </w:rPr>
      </w:pPr>
      <w:r>
        <w:rPr>
          <w:rFonts w:hint="eastAsia" w:ascii="宋体" w:hAnsi="宋体"/>
          <w:b/>
          <w:szCs w:val="21"/>
        </w:rPr>
        <w:t>附：2011年中国人民财产保险南雄支公司领导班子成员名单</w:t>
      </w:r>
    </w:p>
    <w:p w14:paraId="0AA53914">
      <w:pPr>
        <w:ind w:firstLine="0" w:firstLineChars="0"/>
        <w:rPr>
          <w:rFonts w:ascii="宋体" w:hAnsi="宋体"/>
          <w:szCs w:val="21"/>
        </w:rPr>
      </w:pPr>
      <w:r>
        <w:rPr>
          <w:rFonts w:hint="eastAsia" w:ascii="宋体" w:hAnsi="宋体"/>
          <w:szCs w:val="21"/>
        </w:rPr>
        <w:t>总经理：张  财</w:t>
      </w:r>
    </w:p>
    <w:p w14:paraId="22E81302">
      <w:pPr>
        <w:ind w:firstLine="0" w:firstLineChars="0"/>
        <w:rPr>
          <w:rFonts w:ascii="宋体" w:hAnsi="宋体"/>
          <w:szCs w:val="21"/>
        </w:rPr>
      </w:pPr>
      <w:r>
        <w:rPr>
          <w:rFonts w:hint="eastAsia" w:ascii="宋体" w:hAnsi="宋体"/>
          <w:szCs w:val="21"/>
        </w:rPr>
        <w:t>总经理助理：陈世华  黄信峰</w:t>
      </w:r>
    </w:p>
    <w:p w14:paraId="0B471D9F">
      <w:pPr>
        <w:pStyle w:val="3"/>
      </w:pPr>
      <w:r>
        <w:rPr>
          <w:rFonts w:hint="eastAsia"/>
        </w:rPr>
        <w:t>中国人寿保险股份有限公司南雄市支公司</w:t>
      </w:r>
    </w:p>
    <w:p w14:paraId="5F6DC9B9">
      <w:pPr>
        <w:pStyle w:val="4"/>
      </w:pPr>
      <w:r>
        <w:rPr>
          <w:rFonts w:hint="eastAsia"/>
        </w:rPr>
        <w:t>【概况】</w:t>
      </w:r>
    </w:p>
    <w:p w14:paraId="1EA99975">
      <w:pPr>
        <w:ind w:firstLine="420"/>
        <w:rPr>
          <w:rFonts w:ascii="宋体" w:hAnsi="宋体"/>
          <w:szCs w:val="21"/>
        </w:rPr>
      </w:pPr>
      <w:r>
        <w:rPr>
          <w:rFonts w:hint="eastAsia" w:ascii="宋体" w:hAnsi="宋体"/>
          <w:szCs w:val="21"/>
        </w:rPr>
        <w:t>中国人寿保险股份有限公司南雄市支公司成立于2003年6月30日，辖属设有7个营销服务网点（乌迳镇营业部、黄坑镇营销服务部、湖口镇营销服务部、水口镇营销服务部、珠玑镇营销服务部、百顺镇营销服务部、雄州营销服务部），内设综合部、个人保险业务部、团体保险业务部、银行保险业务部、客户服务中心五个部门，全司2011年拥有干部员工12人，全部都是大专以上学历，个人代理人105人，全部为高中以上学历。主要业务范围包括人寿保险、健康保险、意外伤害保险等各类人身保险，兼营车辆、财产保险。中国人寿保险股份有限公司秉持“专业、真诚、感动、超越”的服务理念，依托覆盖城乡的服务网络，致力于为社会最广泛的大众提供优质的保险产品和服务。</w:t>
      </w:r>
    </w:p>
    <w:p w14:paraId="462D3E86">
      <w:pPr>
        <w:pStyle w:val="4"/>
      </w:pPr>
      <w:r>
        <w:rPr>
          <w:rFonts w:hint="eastAsia"/>
        </w:rPr>
        <w:t>【业务经营】</w:t>
      </w:r>
    </w:p>
    <w:p w14:paraId="7531FFAF">
      <w:pPr>
        <w:ind w:firstLine="420"/>
        <w:rPr>
          <w:rFonts w:ascii="宋体" w:hAnsi="宋体"/>
          <w:szCs w:val="21"/>
        </w:rPr>
      </w:pPr>
      <w:r>
        <w:rPr>
          <w:rFonts w:hint="eastAsia" w:ascii="宋体" w:hAnsi="宋体"/>
          <w:szCs w:val="21"/>
        </w:rPr>
        <w:t>2011年完成总保费6683万元，赔付保险费320万元。</w:t>
      </w:r>
    </w:p>
    <w:p w14:paraId="670742BA">
      <w:pPr>
        <w:pStyle w:val="4"/>
      </w:pPr>
      <w:r>
        <w:rPr>
          <w:rFonts w:hint="eastAsia"/>
        </w:rPr>
        <w:t>【业务产品】</w:t>
      </w:r>
    </w:p>
    <w:p w14:paraId="14B72DAF">
      <w:pPr>
        <w:ind w:firstLine="420"/>
        <w:rPr>
          <w:rFonts w:ascii="宋体" w:hAnsi="宋体"/>
          <w:szCs w:val="21"/>
        </w:rPr>
      </w:pPr>
      <w:r>
        <w:rPr>
          <w:rFonts w:hint="eastAsia" w:ascii="宋体" w:hAnsi="宋体"/>
          <w:szCs w:val="21"/>
        </w:rPr>
        <w:t>2011年，主要以国寿福禄双喜（分红）保险、国寿福禄金尊（分红）保险、国寿福满一生（分红）、国寿瑞鑫两全（分红）保险、国寿康宁终身、国寿康宁定期、家庭计划生育保险等为营销主打产品。并推出了国寿新鸿泰、国寿鸿盈、国寿美满人生等（分红型）两全保险银行网点代理业务，先后与各大商业银行签定了代理销售合作协议。                                                           （黎盛维）</w:t>
      </w:r>
    </w:p>
    <w:p w14:paraId="2680A77A">
      <w:pPr>
        <w:ind w:firstLine="0" w:firstLineChars="0"/>
        <w:rPr>
          <w:rFonts w:ascii="宋体" w:hAnsi="宋体"/>
          <w:szCs w:val="21"/>
        </w:rPr>
      </w:pPr>
      <w:r>
        <w:rPr>
          <w:rFonts w:hint="eastAsia" w:ascii="宋体" w:hAnsi="宋体"/>
          <w:b/>
          <w:szCs w:val="21"/>
        </w:rPr>
        <w:t>附：2011年中国人寿保险南雄市支公司领导班子成员名单</w:t>
      </w:r>
    </w:p>
    <w:p w14:paraId="675A9935">
      <w:pPr>
        <w:ind w:firstLine="0" w:firstLineChars="0"/>
        <w:rPr>
          <w:rFonts w:ascii="宋体" w:hAnsi="宋体"/>
          <w:szCs w:val="21"/>
        </w:rPr>
      </w:pPr>
      <w:r>
        <w:rPr>
          <w:rFonts w:hint="eastAsia" w:ascii="宋体" w:hAnsi="宋体"/>
          <w:szCs w:val="21"/>
        </w:rPr>
        <w:t>总经理：潘祝文</w:t>
      </w:r>
    </w:p>
    <w:p w14:paraId="0D8B8A2F">
      <w:pPr>
        <w:ind w:firstLine="0" w:firstLineChars="0"/>
        <w:rPr>
          <w:rFonts w:ascii="宋体" w:hAnsi="宋体"/>
          <w:szCs w:val="21"/>
        </w:rPr>
      </w:pPr>
      <w:r>
        <w:rPr>
          <w:rFonts w:hint="eastAsia" w:ascii="宋体" w:hAnsi="宋体"/>
          <w:szCs w:val="21"/>
        </w:rPr>
        <w:t>副总经理：邓功敏</w:t>
      </w:r>
    </w:p>
    <w:tbl>
      <w:tblPr>
        <w:tblStyle w:val="15"/>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1DC0462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11AEB909">
            <w:pPr>
              <w:ind w:firstLine="0" w:firstLineChars="0"/>
              <w:rPr>
                <w:rFonts w:ascii="宋体" w:hAnsi="宋体"/>
                <w:szCs w:val="21"/>
              </w:rPr>
            </w:pPr>
            <w:r>
              <w:rPr>
                <w:rFonts w:ascii="宋体" w:hAnsi="宋体"/>
                <w:szCs w:val="21"/>
              </w:rPr>
              <w:pict>
                <v:shape id="_x0000_i1026" o:spt="75" type="#_x0000_t75" style="height:201.75pt;width:486.75pt;" filled="f" o:preferrelative="t" stroked="f" coordsize="21600,21600">
                  <v:path/>
                  <v:fill on="f" focussize="0,0"/>
                  <v:stroke on="f" joinstyle="miter"/>
                  <v:imagedata r:id="rId97" o:title="南雄年鉴2012-44"/>
                  <o:lock v:ext="edit" aspectratio="t"/>
                  <w10:wrap type="none"/>
                  <w10:anchorlock/>
                </v:shape>
              </w:pict>
            </w:r>
          </w:p>
        </w:tc>
      </w:tr>
    </w:tbl>
    <w:p w14:paraId="2B3BB0AD">
      <w:pPr>
        <w:pStyle w:val="2"/>
      </w:pPr>
      <w:r>
        <w:rPr>
          <w:rFonts w:hint="eastAsia"/>
        </w:rPr>
        <w:t>科技·教育</w:t>
      </w:r>
    </w:p>
    <w:p w14:paraId="7473F9C8">
      <w:pPr>
        <w:pStyle w:val="3"/>
      </w:pPr>
      <w:r>
        <w:rPr>
          <w:rFonts w:hint="eastAsia"/>
        </w:rPr>
        <w:t>科学技术</w:t>
      </w:r>
    </w:p>
    <w:p w14:paraId="4DB3D89C">
      <w:pPr>
        <w:pStyle w:val="4"/>
      </w:pPr>
      <w:r>
        <w:rPr>
          <w:rFonts w:hint="eastAsia"/>
        </w:rPr>
        <w:t>【概况】</w:t>
      </w:r>
    </w:p>
    <w:p w14:paraId="13F6C4D8">
      <w:pPr>
        <w:ind w:firstLine="420"/>
        <w:rPr>
          <w:rFonts w:ascii="宋体" w:hAnsi="宋体"/>
          <w:szCs w:val="21"/>
        </w:rPr>
      </w:pPr>
      <w:r>
        <w:rPr>
          <w:rFonts w:hint="eastAsia" w:ascii="宋体" w:hAnsi="宋体"/>
          <w:szCs w:val="21"/>
        </w:rPr>
        <w:t>南雄市科学技术局（南雄市知识产权局、南雄市地震局）内设机构办公室、科技业务股、知识产权股、地震工作办公室4个职能股室，履行南雄市人民政府执行国家和省市科技促进经济与社会发展、知识产权行政管理和保护、地震防震减灾等工作职能，机关行政编制5名，后勤服务人员编制1名。南雄市科学技术开发服务中心（南雄市生产力促进中心）于2011年8月重新确定为副科级公益一类事业单位，事业编制9名，内设机构有办公室，开发服务部、科技情报室3个职能股室。</w:t>
      </w:r>
    </w:p>
    <w:p w14:paraId="3A8427A7">
      <w:pPr>
        <w:pStyle w:val="4"/>
      </w:pPr>
      <w:r>
        <w:rPr>
          <w:rFonts w:hint="eastAsia"/>
        </w:rPr>
        <w:t>【国家可持续发展实验区建设】</w:t>
      </w:r>
    </w:p>
    <w:p w14:paraId="2345EC3B">
      <w:pPr>
        <w:ind w:firstLine="420"/>
        <w:rPr>
          <w:rFonts w:ascii="宋体" w:hAnsi="宋体"/>
          <w:szCs w:val="21"/>
        </w:rPr>
      </w:pPr>
      <w:r>
        <w:rPr>
          <w:rFonts w:hint="eastAsia" w:ascii="宋体" w:hAnsi="宋体"/>
          <w:szCs w:val="21"/>
        </w:rPr>
        <w:t>南雄市2011年2月17日被中华人民共和国科学技术部[国科发社（2011）57号文件]批准为“国家可持续发展实验区”。2011年7月8日，南雄市委副书记王荣光在北京召开的“第四次全国社会发展科技工作会议”上，从全国政协副主席、科技部部长万钢手中接过颁发给南雄市“国家可持续发展实验区”牌匾，这标志着以生态农业、绿色农业为特色的第一产业和以生态旅游为特色的第三产业发展之路项目正式启动建设。</w:t>
      </w:r>
    </w:p>
    <w:p w14:paraId="446DE83B">
      <w:pPr>
        <w:pStyle w:val="4"/>
      </w:pPr>
      <w:r>
        <w:rPr>
          <w:rFonts w:hint="eastAsia"/>
        </w:rPr>
        <w:t>【科技计划项目】</w:t>
      </w:r>
    </w:p>
    <w:p w14:paraId="44B747F8">
      <w:pPr>
        <w:ind w:firstLine="420"/>
        <w:rPr>
          <w:rFonts w:ascii="宋体" w:hAnsi="宋体"/>
          <w:szCs w:val="21"/>
        </w:rPr>
      </w:pPr>
      <w:r>
        <w:rPr>
          <w:rFonts w:hint="eastAsia" w:ascii="宋体" w:hAnsi="宋体"/>
          <w:szCs w:val="21"/>
        </w:rPr>
        <w:t>2011年南雄市广东省科技计划项目立项5个，南雄市科技计划项目立项12个。</w:t>
      </w:r>
    </w:p>
    <w:p w14:paraId="7E780904">
      <w:pPr>
        <w:pStyle w:val="4"/>
      </w:pPr>
      <w:r>
        <w:rPr>
          <w:rFonts w:hint="eastAsia"/>
        </w:rPr>
        <w:t>【科技创新体系建设】</w:t>
      </w:r>
    </w:p>
    <w:p w14:paraId="1A708AE5">
      <w:pPr>
        <w:ind w:firstLine="420"/>
        <w:rPr>
          <w:rFonts w:ascii="宋体" w:hAnsi="宋体"/>
          <w:szCs w:val="21"/>
        </w:rPr>
      </w:pPr>
      <w:r>
        <w:rPr>
          <w:rFonts w:hint="eastAsia" w:ascii="宋体" w:hAnsi="宋体"/>
          <w:szCs w:val="21"/>
        </w:rPr>
        <w:t>2011年1月南雄市与广东工业大学签订科技合作协议，创建在高新技术和新产品的研发、成熟技术和科技成果的转化应用、引进技术和装备国产化、技术改造咨询服务等行业咨询平台。5月，南雄市与中科院广州化学研究所共同建设“精细化工新产品及相关公共支撑技术研发·教育平台”和“公共检测咨询平台”，建立“精细化工新产品和新技术公共中试孵化基地”、“化学化工领域高端专业人才培训和输送基地”和“科研成果转化基地”。企业科技特派员工作站创新建设项目“广东金友集团现代化农业科技特派员工作站”也于当年立项建设。</w:t>
      </w:r>
    </w:p>
    <w:p w14:paraId="3E0AD246">
      <w:pPr>
        <w:pStyle w:val="4"/>
      </w:pPr>
      <w:r>
        <w:rPr>
          <w:rFonts w:hint="eastAsia"/>
        </w:rPr>
        <w:t>【科技成果及推广应用】</w:t>
      </w:r>
    </w:p>
    <w:p w14:paraId="1822A905">
      <w:pPr>
        <w:ind w:firstLine="420"/>
        <w:rPr>
          <w:rFonts w:ascii="宋体" w:hAnsi="宋体"/>
          <w:szCs w:val="21"/>
        </w:rPr>
      </w:pPr>
      <w:r>
        <w:rPr>
          <w:rFonts w:hint="eastAsia" w:ascii="宋体" w:hAnsi="宋体"/>
          <w:szCs w:val="21"/>
        </w:rPr>
        <w:t>2011年南雄市获韶关市科技进步（科技成果）奖励4项，其中一等奖1项，二等奖1项，三等奖2项。</w:t>
      </w:r>
    </w:p>
    <w:p w14:paraId="21C4F8E8">
      <w:pPr>
        <w:pStyle w:val="3"/>
      </w:pPr>
      <w:r>
        <w:rPr>
          <w:rFonts w:hint="eastAsia"/>
        </w:rPr>
        <w:t>知识产权保护</w:t>
      </w:r>
    </w:p>
    <w:p w14:paraId="56ACCE28">
      <w:pPr>
        <w:pStyle w:val="4"/>
      </w:pPr>
      <w:r>
        <w:rPr>
          <w:rFonts w:hint="eastAsia"/>
        </w:rPr>
        <w:t>【知识产权服务体系】</w:t>
      </w:r>
    </w:p>
    <w:p w14:paraId="170E8FAD">
      <w:pPr>
        <w:ind w:firstLine="420"/>
        <w:rPr>
          <w:rFonts w:ascii="宋体" w:hAnsi="宋体"/>
          <w:szCs w:val="21"/>
        </w:rPr>
      </w:pPr>
      <w:r>
        <w:rPr>
          <w:rFonts w:hint="eastAsia" w:ascii="宋体" w:hAnsi="宋体"/>
          <w:szCs w:val="21"/>
        </w:rPr>
        <w:t>2011年南雄市知识产权局为进一步提高企业和个人对知识产权的保护意识，加大对专利申请的资助力度，充分调动发明创造者申请专利的知识性，创新专利申请服务方式，采取由知识产权局与专利事务所工作人员上门服务和预垫付专利申报费的形式为个人、企业进行专利申报。</w:t>
      </w:r>
    </w:p>
    <w:p w14:paraId="76A9B975">
      <w:pPr>
        <w:pStyle w:val="4"/>
      </w:pPr>
      <w:r>
        <w:rPr>
          <w:rFonts w:hint="eastAsia"/>
        </w:rPr>
        <w:t>【专利申请量】</w:t>
      </w:r>
    </w:p>
    <w:p w14:paraId="33033D51">
      <w:pPr>
        <w:ind w:firstLine="420"/>
        <w:rPr>
          <w:rFonts w:ascii="宋体" w:hAnsi="宋体"/>
          <w:szCs w:val="21"/>
        </w:rPr>
      </w:pPr>
      <w:r>
        <w:rPr>
          <w:rFonts w:hint="eastAsia" w:ascii="宋体" w:hAnsi="宋体"/>
          <w:szCs w:val="21"/>
        </w:rPr>
        <w:t>2011年南雄市专利申请量：外观设计专利69个，实用型专利9个；受权：外观设计专利53个，实用型专利9个。</w:t>
      </w:r>
    </w:p>
    <w:p w14:paraId="35E271F2">
      <w:pPr>
        <w:pStyle w:val="4"/>
      </w:pPr>
      <w:r>
        <w:rPr>
          <w:rFonts w:hint="eastAsia"/>
        </w:rPr>
        <w:t>【专利版权申请资助工作】</w:t>
      </w:r>
    </w:p>
    <w:p w14:paraId="444C254B">
      <w:pPr>
        <w:ind w:firstLine="420"/>
        <w:rPr>
          <w:rFonts w:ascii="宋体" w:hAnsi="宋体"/>
          <w:szCs w:val="21"/>
        </w:rPr>
      </w:pPr>
      <w:r>
        <w:rPr>
          <w:rFonts w:hint="eastAsia" w:ascii="宋体" w:hAnsi="宋体"/>
          <w:szCs w:val="21"/>
        </w:rPr>
        <w:t>根据南雄市人民政府2009年8月制定的《南雄市专利申请费用资助办法》，2011年专利申请资助费53500元，其中外观设计专利资助26500元，实用型专利资助27000元。</w:t>
      </w:r>
    </w:p>
    <w:p w14:paraId="628F9C50">
      <w:pPr>
        <w:pStyle w:val="3"/>
      </w:pPr>
      <w:r>
        <w:rPr>
          <w:rFonts w:hint="eastAsia"/>
        </w:rPr>
        <w:t>地震监测</w:t>
      </w:r>
    </w:p>
    <w:p w14:paraId="1F8E4038">
      <w:pPr>
        <w:ind w:firstLine="420"/>
        <w:rPr>
          <w:rFonts w:hint="eastAsia" w:ascii="宋体" w:hAnsi="宋体"/>
          <w:szCs w:val="21"/>
        </w:rPr>
      </w:pPr>
      <w:r>
        <w:rPr>
          <w:rFonts w:hint="eastAsia" w:ascii="宋体" w:hAnsi="宋体"/>
          <w:szCs w:val="21"/>
        </w:rPr>
        <w:t>南雄市在江头镇设立人工地震观察点，每星期向上级主管部门报送一次情况资料；在全安镇苍石建立数字化地震观察站，数据资料自动传输到广东省地震局。2011年5月8日，韶关市地震局局长张才明一行5人到南雄市地震观测站（点）调研，指导南雄开展地震观测工作。10月，南雄市地震局局长李皋辉参加省地震局组织的为期半个月的“县级地震局局长培训班”。</w:t>
      </w:r>
    </w:p>
    <w:p w14:paraId="64615C38">
      <w:pPr>
        <w:pStyle w:val="4"/>
        <w:rPr>
          <w:rFonts w:hint="eastAsia" w:ascii="宋体" w:hAnsi="宋体"/>
          <w:szCs w:val="21"/>
        </w:rPr>
      </w:pPr>
      <w:r>
        <w:rPr>
          <w:rFonts w:hint="eastAsia"/>
        </w:rPr>
        <w:t>【南雄市历史地震目录】</w:t>
      </w:r>
    </w:p>
    <w:p w14:paraId="13D04B2C">
      <w:pPr>
        <w:ind w:firstLine="422"/>
        <w:jc w:val="center"/>
        <w:rPr>
          <w:rFonts w:ascii="宋体" w:hAnsi="宋体"/>
          <w:b/>
          <w:szCs w:val="21"/>
        </w:rPr>
      </w:pPr>
      <w:r>
        <w:rPr>
          <w:rFonts w:hint="eastAsia" w:ascii="宋体" w:hAnsi="宋体"/>
          <w:b/>
          <w:szCs w:val="21"/>
        </w:rPr>
        <w:t>表27 地震监测亲情况</w:t>
      </w:r>
    </w:p>
    <w:tbl>
      <w:tblPr>
        <w:tblStyle w:val="14"/>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35"/>
        <w:gridCol w:w="4037"/>
        <w:gridCol w:w="1297"/>
        <w:gridCol w:w="1008"/>
        <w:gridCol w:w="1008"/>
        <w:gridCol w:w="1011"/>
        <w:gridCol w:w="866"/>
      </w:tblGrid>
      <w:tr w14:paraId="2D65920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369" w:type="pct"/>
            <w:shd w:val="clear" w:color="auto" w:fill="auto"/>
            <w:noWrap/>
            <w:vAlign w:val="center"/>
          </w:tcPr>
          <w:p w14:paraId="07F1DCBA">
            <w:pPr>
              <w:pStyle w:val="23"/>
              <w:jc w:val="center"/>
              <w:rPr>
                <w:b/>
                <w:kern w:val="0"/>
              </w:rPr>
            </w:pPr>
            <w:r>
              <w:rPr>
                <w:b/>
                <w:kern w:val="0"/>
              </w:rPr>
              <w:t>序号</w:t>
            </w:r>
          </w:p>
        </w:tc>
        <w:tc>
          <w:tcPr>
            <w:tcW w:w="2026" w:type="pct"/>
            <w:shd w:val="clear" w:color="auto" w:fill="auto"/>
            <w:noWrap/>
            <w:vAlign w:val="center"/>
          </w:tcPr>
          <w:p w14:paraId="384F7FF0">
            <w:pPr>
              <w:pStyle w:val="23"/>
              <w:jc w:val="center"/>
              <w:rPr>
                <w:b/>
                <w:kern w:val="0"/>
              </w:rPr>
            </w:pPr>
            <w:r>
              <w:rPr>
                <w:b/>
                <w:kern w:val="0"/>
              </w:rPr>
              <w:t>时间</w:t>
            </w:r>
          </w:p>
        </w:tc>
        <w:tc>
          <w:tcPr>
            <w:tcW w:w="651" w:type="pct"/>
            <w:shd w:val="clear" w:color="auto" w:fill="auto"/>
            <w:noWrap/>
            <w:vAlign w:val="center"/>
          </w:tcPr>
          <w:p w14:paraId="504925BA">
            <w:pPr>
              <w:pStyle w:val="23"/>
              <w:jc w:val="center"/>
              <w:rPr>
                <w:b/>
                <w:kern w:val="0"/>
              </w:rPr>
            </w:pPr>
            <w:r>
              <w:rPr>
                <w:b/>
                <w:kern w:val="0"/>
              </w:rPr>
              <w:t>地点</w:t>
            </w:r>
          </w:p>
        </w:tc>
        <w:tc>
          <w:tcPr>
            <w:tcW w:w="506" w:type="pct"/>
            <w:shd w:val="clear" w:color="auto" w:fill="auto"/>
            <w:noWrap/>
            <w:vAlign w:val="center"/>
          </w:tcPr>
          <w:p w14:paraId="66CC64E3">
            <w:pPr>
              <w:pStyle w:val="23"/>
              <w:jc w:val="center"/>
              <w:rPr>
                <w:b/>
                <w:kern w:val="0"/>
              </w:rPr>
            </w:pPr>
            <w:r>
              <w:rPr>
                <w:b/>
                <w:kern w:val="0"/>
              </w:rPr>
              <w:t>震级</w:t>
            </w:r>
          </w:p>
        </w:tc>
        <w:tc>
          <w:tcPr>
            <w:tcW w:w="506" w:type="pct"/>
            <w:shd w:val="clear" w:color="auto" w:fill="auto"/>
            <w:noWrap/>
            <w:vAlign w:val="center"/>
          </w:tcPr>
          <w:p w14:paraId="41DE06D6">
            <w:pPr>
              <w:pStyle w:val="23"/>
              <w:jc w:val="center"/>
              <w:rPr>
                <w:b/>
                <w:kern w:val="0"/>
              </w:rPr>
            </w:pPr>
            <w:r>
              <w:rPr>
                <w:b/>
                <w:kern w:val="0"/>
              </w:rPr>
              <w:t>经度</w:t>
            </w:r>
          </w:p>
        </w:tc>
        <w:tc>
          <w:tcPr>
            <w:tcW w:w="507" w:type="pct"/>
            <w:shd w:val="clear" w:color="auto" w:fill="auto"/>
            <w:noWrap/>
            <w:vAlign w:val="center"/>
          </w:tcPr>
          <w:p w14:paraId="05EBE958">
            <w:pPr>
              <w:pStyle w:val="23"/>
              <w:jc w:val="center"/>
              <w:rPr>
                <w:b/>
                <w:kern w:val="0"/>
              </w:rPr>
            </w:pPr>
            <w:r>
              <w:rPr>
                <w:b/>
                <w:kern w:val="0"/>
              </w:rPr>
              <w:t>纬度</w:t>
            </w:r>
          </w:p>
        </w:tc>
        <w:tc>
          <w:tcPr>
            <w:tcW w:w="434" w:type="pct"/>
            <w:shd w:val="clear" w:color="auto" w:fill="auto"/>
            <w:noWrap/>
            <w:vAlign w:val="center"/>
          </w:tcPr>
          <w:p w14:paraId="17F9F80B">
            <w:pPr>
              <w:pStyle w:val="23"/>
              <w:jc w:val="center"/>
              <w:rPr>
                <w:b/>
                <w:kern w:val="0"/>
              </w:rPr>
            </w:pPr>
            <w:r>
              <w:rPr>
                <w:b/>
                <w:kern w:val="0"/>
              </w:rPr>
              <w:t>深度</w:t>
            </w:r>
          </w:p>
        </w:tc>
      </w:tr>
      <w:tr w14:paraId="6B9826C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369" w:type="pct"/>
            <w:shd w:val="clear" w:color="auto" w:fill="auto"/>
            <w:noWrap/>
            <w:vAlign w:val="center"/>
          </w:tcPr>
          <w:p w14:paraId="74F38A3E">
            <w:pPr>
              <w:pStyle w:val="23"/>
              <w:jc w:val="center"/>
              <w:rPr>
                <w:kern w:val="0"/>
              </w:rPr>
            </w:pPr>
            <w:r>
              <w:rPr>
                <w:kern w:val="0"/>
              </w:rPr>
              <w:t>1</w:t>
            </w:r>
          </w:p>
        </w:tc>
        <w:tc>
          <w:tcPr>
            <w:tcW w:w="2026" w:type="pct"/>
            <w:shd w:val="clear" w:color="auto" w:fill="auto"/>
            <w:noWrap/>
            <w:vAlign w:val="center"/>
          </w:tcPr>
          <w:p w14:paraId="0D945E3D">
            <w:pPr>
              <w:pStyle w:val="23"/>
              <w:jc w:val="center"/>
              <w:rPr>
                <w:kern w:val="0"/>
              </w:rPr>
            </w:pPr>
            <w:r>
              <w:rPr>
                <w:kern w:val="0"/>
              </w:rPr>
              <w:t>1972年10月25日15时19分14.1秒</w:t>
            </w:r>
          </w:p>
        </w:tc>
        <w:tc>
          <w:tcPr>
            <w:tcW w:w="651" w:type="pct"/>
            <w:shd w:val="clear" w:color="auto" w:fill="auto"/>
            <w:noWrap/>
            <w:vAlign w:val="center"/>
          </w:tcPr>
          <w:p w14:paraId="70C7CEE3">
            <w:pPr>
              <w:pStyle w:val="23"/>
              <w:jc w:val="center"/>
              <w:rPr>
                <w:kern w:val="0"/>
              </w:rPr>
            </w:pPr>
            <w:r>
              <w:rPr>
                <w:kern w:val="0"/>
              </w:rPr>
              <w:t>南雄</w:t>
            </w:r>
          </w:p>
        </w:tc>
        <w:tc>
          <w:tcPr>
            <w:tcW w:w="506" w:type="pct"/>
            <w:shd w:val="clear" w:color="auto" w:fill="auto"/>
            <w:noWrap/>
            <w:vAlign w:val="center"/>
          </w:tcPr>
          <w:p w14:paraId="502F77E0">
            <w:pPr>
              <w:pStyle w:val="23"/>
              <w:jc w:val="center"/>
              <w:rPr>
                <w:kern w:val="0"/>
              </w:rPr>
            </w:pPr>
            <w:r>
              <w:rPr>
                <w:kern w:val="0"/>
              </w:rPr>
              <w:t>2.6</w:t>
            </w:r>
          </w:p>
        </w:tc>
        <w:tc>
          <w:tcPr>
            <w:tcW w:w="506" w:type="pct"/>
            <w:shd w:val="clear" w:color="auto" w:fill="auto"/>
            <w:noWrap/>
            <w:vAlign w:val="center"/>
          </w:tcPr>
          <w:p w14:paraId="0E41DF1F">
            <w:pPr>
              <w:pStyle w:val="23"/>
              <w:jc w:val="center"/>
              <w:rPr>
                <w:kern w:val="0"/>
              </w:rPr>
            </w:pPr>
            <w:r>
              <w:rPr>
                <w:kern w:val="0"/>
              </w:rPr>
              <w:t>11418</w:t>
            </w:r>
          </w:p>
        </w:tc>
        <w:tc>
          <w:tcPr>
            <w:tcW w:w="507" w:type="pct"/>
            <w:shd w:val="clear" w:color="auto" w:fill="auto"/>
            <w:noWrap/>
            <w:vAlign w:val="center"/>
          </w:tcPr>
          <w:p w14:paraId="1D93B6BA">
            <w:pPr>
              <w:pStyle w:val="23"/>
              <w:jc w:val="center"/>
              <w:rPr>
                <w:kern w:val="0"/>
              </w:rPr>
            </w:pPr>
            <w:r>
              <w:rPr>
                <w:kern w:val="0"/>
              </w:rPr>
              <w:t>2505</w:t>
            </w:r>
          </w:p>
        </w:tc>
        <w:tc>
          <w:tcPr>
            <w:tcW w:w="434" w:type="pct"/>
            <w:shd w:val="clear" w:color="auto" w:fill="auto"/>
            <w:noWrap/>
            <w:vAlign w:val="center"/>
          </w:tcPr>
          <w:p w14:paraId="3389F522">
            <w:pPr>
              <w:pStyle w:val="23"/>
              <w:jc w:val="center"/>
              <w:rPr>
                <w:kern w:val="0"/>
              </w:rPr>
            </w:pPr>
          </w:p>
        </w:tc>
      </w:tr>
      <w:tr w14:paraId="4C64380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369" w:type="pct"/>
            <w:shd w:val="clear" w:color="auto" w:fill="auto"/>
            <w:noWrap/>
            <w:vAlign w:val="center"/>
          </w:tcPr>
          <w:p w14:paraId="7B60471B">
            <w:pPr>
              <w:pStyle w:val="23"/>
              <w:jc w:val="center"/>
              <w:rPr>
                <w:kern w:val="0"/>
              </w:rPr>
            </w:pPr>
            <w:r>
              <w:rPr>
                <w:kern w:val="0"/>
              </w:rPr>
              <w:t>2</w:t>
            </w:r>
          </w:p>
        </w:tc>
        <w:tc>
          <w:tcPr>
            <w:tcW w:w="2026" w:type="pct"/>
            <w:shd w:val="clear" w:color="auto" w:fill="auto"/>
            <w:noWrap/>
            <w:vAlign w:val="center"/>
          </w:tcPr>
          <w:p w14:paraId="5BBC2768">
            <w:pPr>
              <w:pStyle w:val="23"/>
              <w:jc w:val="center"/>
              <w:rPr>
                <w:kern w:val="0"/>
              </w:rPr>
            </w:pPr>
            <w:r>
              <w:rPr>
                <w:kern w:val="0"/>
              </w:rPr>
              <w:t>1972年10月25日15时22分45.3秒</w:t>
            </w:r>
          </w:p>
        </w:tc>
        <w:tc>
          <w:tcPr>
            <w:tcW w:w="651" w:type="pct"/>
            <w:shd w:val="clear" w:color="auto" w:fill="auto"/>
            <w:noWrap/>
            <w:vAlign w:val="center"/>
          </w:tcPr>
          <w:p w14:paraId="20C2F0D3">
            <w:pPr>
              <w:pStyle w:val="23"/>
              <w:jc w:val="center"/>
              <w:rPr>
                <w:kern w:val="0"/>
              </w:rPr>
            </w:pPr>
            <w:r>
              <w:rPr>
                <w:kern w:val="0"/>
              </w:rPr>
              <w:t>南雄</w:t>
            </w:r>
          </w:p>
        </w:tc>
        <w:tc>
          <w:tcPr>
            <w:tcW w:w="506" w:type="pct"/>
            <w:shd w:val="clear" w:color="auto" w:fill="auto"/>
            <w:noWrap/>
            <w:vAlign w:val="center"/>
          </w:tcPr>
          <w:p w14:paraId="4AF1EA92">
            <w:pPr>
              <w:pStyle w:val="23"/>
              <w:jc w:val="center"/>
              <w:rPr>
                <w:kern w:val="0"/>
              </w:rPr>
            </w:pPr>
            <w:r>
              <w:rPr>
                <w:kern w:val="0"/>
              </w:rPr>
              <w:t>2.3</w:t>
            </w:r>
          </w:p>
        </w:tc>
        <w:tc>
          <w:tcPr>
            <w:tcW w:w="506" w:type="pct"/>
            <w:shd w:val="clear" w:color="auto" w:fill="auto"/>
            <w:noWrap/>
            <w:vAlign w:val="center"/>
          </w:tcPr>
          <w:p w14:paraId="0934E183">
            <w:pPr>
              <w:pStyle w:val="23"/>
              <w:jc w:val="center"/>
              <w:rPr>
                <w:kern w:val="0"/>
              </w:rPr>
            </w:pPr>
            <w:r>
              <w:rPr>
                <w:kern w:val="0"/>
              </w:rPr>
              <w:t>11418</w:t>
            </w:r>
          </w:p>
        </w:tc>
        <w:tc>
          <w:tcPr>
            <w:tcW w:w="507" w:type="pct"/>
            <w:shd w:val="clear" w:color="auto" w:fill="auto"/>
            <w:noWrap/>
            <w:vAlign w:val="center"/>
          </w:tcPr>
          <w:p w14:paraId="2674C315">
            <w:pPr>
              <w:pStyle w:val="23"/>
              <w:jc w:val="center"/>
              <w:rPr>
                <w:kern w:val="0"/>
              </w:rPr>
            </w:pPr>
            <w:r>
              <w:rPr>
                <w:kern w:val="0"/>
              </w:rPr>
              <w:t>2505</w:t>
            </w:r>
          </w:p>
        </w:tc>
        <w:tc>
          <w:tcPr>
            <w:tcW w:w="434" w:type="pct"/>
            <w:shd w:val="clear" w:color="auto" w:fill="auto"/>
            <w:noWrap/>
            <w:vAlign w:val="center"/>
          </w:tcPr>
          <w:p w14:paraId="530450F9">
            <w:pPr>
              <w:pStyle w:val="23"/>
              <w:jc w:val="center"/>
              <w:rPr>
                <w:kern w:val="0"/>
              </w:rPr>
            </w:pPr>
          </w:p>
        </w:tc>
      </w:tr>
      <w:tr w14:paraId="71921A9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369" w:type="pct"/>
            <w:shd w:val="clear" w:color="auto" w:fill="auto"/>
            <w:noWrap/>
            <w:vAlign w:val="center"/>
          </w:tcPr>
          <w:p w14:paraId="57D58CA2">
            <w:pPr>
              <w:pStyle w:val="23"/>
              <w:jc w:val="center"/>
              <w:rPr>
                <w:kern w:val="0"/>
              </w:rPr>
            </w:pPr>
            <w:r>
              <w:rPr>
                <w:kern w:val="0"/>
              </w:rPr>
              <w:t>3</w:t>
            </w:r>
          </w:p>
        </w:tc>
        <w:tc>
          <w:tcPr>
            <w:tcW w:w="2026" w:type="pct"/>
            <w:shd w:val="clear" w:color="auto" w:fill="auto"/>
            <w:noWrap/>
            <w:vAlign w:val="center"/>
          </w:tcPr>
          <w:p w14:paraId="5024D16D">
            <w:pPr>
              <w:pStyle w:val="23"/>
              <w:jc w:val="center"/>
              <w:rPr>
                <w:kern w:val="0"/>
              </w:rPr>
            </w:pPr>
            <w:r>
              <w:rPr>
                <w:kern w:val="0"/>
              </w:rPr>
              <w:t>1972年10月27日4时34分33.6秒</w:t>
            </w:r>
          </w:p>
        </w:tc>
        <w:tc>
          <w:tcPr>
            <w:tcW w:w="651" w:type="pct"/>
            <w:shd w:val="clear" w:color="auto" w:fill="auto"/>
            <w:noWrap/>
            <w:vAlign w:val="center"/>
          </w:tcPr>
          <w:p w14:paraId="6EEF01D0">
            <w:pPr>
              <w:pStyle w:val="23"/>
              <w:jc w:val="center"/>
              <w:rPr>
                <w:kern w:val="0"/>
              </w:rPr>
            </w:pPr>
            <w:r>
              <w:rPr>
                <w:kern w:val="0"/>
              </w:rPr>
              <w:t>南雄</w:t>
            </w:r>
          </w:p>
        </w:tc>
        <w:tc>
          <w:tcPr>
            <w:tcW w:w="506" w:type="pct"/>
            <w:shd w:val="clear" w:color="auto" w:fill="auto"/>
            <w:noWrap/>
            <w:vAlign w:val="center"/>
          </w:tcPr>
          <w:p w14:paraId="113C22FD">
            <w:pPr>
              <w:pStyle w:val="23"/>
              <w:jc w:val="center"/>
              <w:rPr>
                <w:kern w:val="0"/>
              </w:rPr>
            </w:pPr>
            <w:r>
              <w:rPr>
                <w:kern w:val="0"/>
              </w:rPr>
              <w:t>2.5</w:t>
            </w:r>
          </w:p>
        </w:tc>
        <w:tc>
          <w:tcPr>
            <w:tcW w:w="506" w:type="pct"/>
            <w:shd w:val="clear" w:color="auto" w:fill="auto"/>
            <w:noWrap/>
            <w:vAlign w:val="center"/>
          </w:tcPr>
          <w:p w14:paraId="4CCC7ADD">
            <w:pPr>
              <w:pStyle w:val="23"/>
              <w:jc w:val="center"/>
              <w:rPr>
                <w:kern w:val="0"/>
              </w:rPr>
            </w:pPr>
            <w:r>
              <w:rPr>
                <w:kern w:val="0"/>
              </w:rPr>
              <w:t>11418</w:t>
            </w:r>
          </w:p>
        </w:tc>
        <w:tc>
          <w:tcPr>
            <w:tcW w:w="507" w:type="pct"/>
            <w:shd w:val="clear" w:color="auto" w:fill="auto"/>
            <w:noWrap/>
            <w:vAlign w:val="center"/>
          </w:tcPr>
          <w:p w14:paraId="33F3902A">
            <w:pPr>
              <w:pStyle w:val="23"/>
              <w:jc w:val="center"/>
              <w:rPr>
                <w:kern w:val="0"/>
              </w:rPr>
            </w:pPr>
            <w:r>
              <w:rPr>
                <w:kern w:val="0"/>
              </w:rPr>
              <w:t>2505</w:t>
            </w:r>
          </w:p>
        </w:tc>
        <w:tc>
          <w:tcPr>
            <w:tcW w:w="434" w:type="pct"/>
            <w:shd w:val="clear" w:color="auto" w:fill="auto"/>
            <w:noWrap/>
            <w:vAlign w:val="center"/>
          </w:tcPr>
          <w:p w14:paraId="6F7D2A44">
            <w:pPr>
              <w:pStyle w:val="23"/>
              <w:jc w:val="center"/>
              <w:rPr>
                <w:kern w:val="0"/>
              </w:rPr>
            </w:pPr>
          </w:p>
        </w:tc>
      </w:tr>
      <w:tr w14:paraId="26EA14E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369" w:type="pct"/>
            <w:shd w:val="clear" w:color="auto" w:fill="auto"/>
            <w:noWrap/>
            <w:vAlign w:val="center"/>
          </w:tcPr>
          <w:p w14:paraId="5497F34F">
            <w:pPr>
              <w:pStyle w:val="23"/>
              <w:jc w:val="center"/>
              <w:rPr>
                <w:kern w:val="0"/>
              </w:rPr>
            </w:pPr>
            <w:r>
              <w:rPr>
                <w:kern w:val="0"/>
              </w:rPr>
              <w:t>4</w:t>
            </w:r>
          </w:p>
        </w:tc>
        <w:tc>
          <w:tcPr>
            <w:tcW w:w="2026" w:type="pct"/>
            <w:shd w:val="clear" w:color="auto" w:fill="auto"/>
            <w:noWrap/>
            <w:vAlign w:val="center"/>
          </w:tcPr>
          <w:p w14:paraId="607EEE46">
            <w:pPr>
              <w:pStyle w:val="23"/>
              <w:jc w:val="center"/>
              <w:rPr>
                <w:kern w:val="0"/>
              </w:rPr>
            </w:pPr>
            <w:r>
              <w:rPr>
                <w:kern w:val="0"/>
              </w:rPr>
              <w:t>1972年10月27日13时16分57.5秒</w:t>
            </w:r>
          </w:p>
        </w:tc>
        <w:tc>
          <w:tcPr>
            <w:tcW w:w="651" w:type="pct"/>
            <w:shd w:val="clear" w:color="auto" w:fill="auto"/>
            <w:noWrap/>
            <w:vAlign w:val="center"/>
          </w:tcPr>
          <w:p w14:paraId="61658712">
            <w:pPr>
              <w:pStyle w:val="23"/>
              <w:jc w:val="center"/>
              <w:rPr>
                <w:kern w:val="0"/>
              </w:rPr>
            </w:pPr>
            <w:r>
              <w:rPr>
                <w:kern w:val="0"/>
              </w:rPr>
              <w:t>南雄</w:t>
            </w:r>
          </w:p>
        </w:tc>
        <w:tc>
          <w:tcPr>
            <w:tcW w:w="506" w:type="pct"/>
            <w:shd w:val="clear" w:color="auto" w:fill="auto"/>
            <w:noWrap/>
            <w:vAlign w:val="center"/>
          </w:tcPr>
          <w:p w14:paraId="2CFEE330">
            <w:pPr>
              <w:pStyle w:val="23"/>
              <w:jc w:val="center"/>
              <w:rPr>
                <w:kern w:val="0"/>
              </w:rPr>
            </w:pPr>
            <w:r>
              <w:rPr>
                <w:kern w:val="0"/>
              </w:rPr>
              <w:t>2.3</w:t>
            </w:r>
          </w:p>
        </w:tc>
        <w:tc>
          <w:tcPr>
            <w:tcW w:w="506" w:type="pct"/>
            <w:shd w:val="clear" w:color="auto" w:fill="auto"/>
            <w:noWrap/>
            <w:vAlign w:val="center"/>
          </w:tcPr>
          <w:p w14:paraId="38C0A87B">
            <w:pPr>
              <w:pStyle w:val="23"/>
              <w:jc w:val="center"/>
              <w:rPr>
                <w:kern w:val="0"/>
              </w:rPr>
            </w:pPr>
            <w:r>
              <w:rPr>
                <w:kern w:val="0"/>
              </w:rPr>
              <w:t>11418</w:t>
            </w:r>
          </w:p>
        </w:tc>
        <w:tc>
          <w:tcPr>
            <w:tcW w:w="507" w:type="pct"/>
            <w:shd w:val="clear" w:color="auto" w:fill="auto"/>
            <w:noWrap/>
            <w:vAlign w:val="center"/>
          </w:tcPr>
          <w:p w14:paraId="5AA5E3CD">
            <w:pPr>
              <w:pStyle w:val="23"/>
              <w:jc w:val="center"/>
              <w:rPr>
                <w:kern w:val="0"/>
              </w:rPr>
            </w:pPr>
            <w:r>
              <w:rPr>
                <w:kern w:val="0"/>
              </w:rPr>
              <w:t>2505</w:t>
            </w:r>
          </w:p>
        </w:tc>
        <w:tc>
          <w:tcPr>
            <w:tcW w:w="434" w:type="pct"/>
            <w:shd w:val="clear" w:color="auto" w:fill="auto"/>
            <w:noWrap/>
            <w:vAlign w:val="center"/>
          </w:tcPr>
          <w:p w14:paraId="2054BCF7">
            <w:pPr>
              <w:pStyle w:val="23"/>
              <w:jc w:val="center"/>
              <w:rPr>
                <w:kern w:val="0"/>
              </w:rPr>
            </w:pPr>
          </w:p>
        </w:tc>
      </w:tr>
      <w:tr w14:paraId="3EA1E72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369" w:type="pct"/>
            <w:shd w:val="clear" w:color="auto" w:fill="auto"/>
            <w:noWrap/>
            <w:vAlign w:val="center"/>
          </w:tcPr>
          <w:p w14:paraId="0A2610E1">
            <w:pPr>
              <w:pStyle w:val="23"/>
              <w:jc w:val="center"/>
              <w:rPr>
                <w:kern w:val="0"/>
              </w:rPr>
            </w:pPr>
            <w:r>
              <w:rPr>
                <w:kern w:val="0"/>
              </w:rPr>
              <w:t>5</w:t>
            </w:r>
          </w:p>
        </w:tc>
        <w:tc>
          <w:tcPr>
            <w:tcW w:w="2026" w:type="pct"/>
            <w:shd w:val="clear" w:color="auto" w:fill="auto"/>
            <w:noWrap/>
            <w:vAlign w:val="center"/>
          </w:tcPr>
          <w:p w14:paraId="2C47ABE1">
            <w:pPr>
              <w:pStyle w:val="23"/>
              <w:jc w:val="center"/>
              <w:rPr>
                <w:kern w:val="0"/>
              </w:rPr>
            </w:pPr>
            <w:r>
              <w:rPr>
                <w:kern w:val="0"/>
              </w:rPr>
              <w:t>1975年4月8日10时9分59秒</w:t>
            </w:r>
          </w:p>
        </w:tc>
        <w:tc>
          <w:tcPr>
            <w:tcW w:w="651" w:type="pct"/>
            <w:shd w:val="clear" w:color="auto" w:fill="auto"/>
            <w:noWrap/>
            <w:vAlign w:val="center"/>
          </w:tcPr>
          <w:p w14:paraId="271BBAA2">
            <w:pPr>
              <w:pStyle w:val="23"/>
              <w:jc w:val="center"/>
              <w:rPr>
                <w:kern w:val="0"/>
              </w:rPr>
            </w:pPr>
            <w:r>
              <w:rPr>
                <w:kern w:val="0"/>
              </w:rPr>
              <w:t>南雄</w:t>
            </w:r>
          </w:p>
        </w:tc>
        <w:tc>
          <w:tcPr>
            <w:tcW w:w="506" w:type="pct"/>
            <w:shd w:val="clear" w:color="auto" w:fill="auto"/>
            <w:noWrap/>
            <w:vAlign w:val="center"/>
          </w:tcPr>
          <w:p w14:paraId="3AD7C588">
            <w:pPr>
              <w:pStyle w:val="23"/>
              <w:jc w:val="center"/>
              <w:rPr>
                <w:kern w:val="0"/>
              </w:rPr>
            </w:pPr>
            <w:r>
              <w:rPr>
                <w:kern w:val="0"/>
              </w:rPr>
              <w:t>3.2</w:t>
            </w:r>
          </w:p>
        </w:tc>
        <w:tc>
          <w:tcPr>
            <w:tcW w:w="506" w:type="pct"/>
            <w:shd w:val="clear" w:color="auto" w:fill="auto"/>
            <w:noWrap/>
            <w:vAlign w:val="center"/>
          </w:tcPr>
          <w:p w14:paraId="48578514">
            <w:pPr>
              <w:pStyle w:val="23"/>
              <w:jc w:val="center"/>
              <w:rPr>
                <w:kern w:val="0"/>
              </w:rPr>
            </w:pPr>
            <w:r>
              <w:rPr>
                <w:kern w:val="0"/>
              </w:rPr>
              <w:t>11430</w:t>
            </w:r>
          </w:p>
        </w:tc>
        <w:tc>
          <w:tcPr>
            <w:tcW w:w="507" w:type="pct"/>
            <w:shd w:val="clear" w:color="auto" w:fill="auto"/>
            <w:noWrap/>
            <w:vAlign w:val="center"/>
          </w:tcPr>
          <w:p w14:paraId="6AF570E2">
            <w:pPr>
              <w:pStyle w:val="23"/>
              <w:jc w:val="center"/>
              <w:rPr>
                <w:kern w:val="0"/>
              </w:rPr>
            </w:pPr>
            <w:r>
              <w:rPr>
                <w:kern w:val="0"/>
              </w:rPr>
              <w:t>2518</w:t>
            </w:r>
          </w:p>
        </w:tc>
        <w:tc>
          <w:tcPr>
            <w:tcW w:w="434" w:type="pct"/>
            <w:shd w:val="clear" w:color="auto" w:fill="auto"/>
            <w:noWrap/>
            <w:vAlign w:val="center"/>
          </w:tcPr>
          <w:p w14:paraId="053BE599">
            <w:pPr>
              <w:pStyle w:val="23"/>
              <w:jc w:val="center"/>
              <w:rPr>
                <w:kern w:val="0"/>
              </w:rPr>
            </w:pPr>
          </w:p>
        </w:tc>
      </w:tr>
      <w:tr w14:paraId="3449FEB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369" w:type="pct"/>
            <w:shd w:val="clear" w:color="auto" w:fill="auto"/>
            <w:noWrap/>
            <w:vAlign w:val="center"/>
          </w:tcPr>
          <w:p w14:paraId="53D3E468">
            <w:pPr>
              <w:pStyle w:val="23"/>
              <w:jc w:val="center"/>
              <w:rPr>
                <w:kern w:val="0"/>
              </w:rPr>
            </w:pPr>
            <w:r>
              <w:rPr>
                <w:kern w:val="0"/>
              </w:rPr>
              <w:t>6</w:t>
            </w:r>
          </w:p>
        </w:tc>
        <w:tc>
          <w:tcPr>
            <w:tcW w:w="2026" w:type="pct"/>
            <w:shd w:val="clear" w:color="auto" w:fill="auto"/>
            <w:noWrap/>
            <w:vAlign w:val="center"/>
          </w:tcPr>
          <w:p w14:paraId="315A10CE">
            <w:pPr>
              <w:pStyle w:val="23"/>
              <w:jc w:val="center"/>
              <w:rPr>
                <w:kern w:val="0"/>
              </w:rPr>
            </w:pPr>
            <w:r>
              <w:rPr>
                <w:kern w:val="0"/>
              </w:rPr>
              <w:t>1975年4月23日8时53分9秒</w:t>
            </w:r>
          </w:p>
        </w:tc>
        <w:tc>
          <w:tcPr>
            <w:tcW w:w="651" w:type="pct"/>
            <w:shd w:val="clear" w:color="auto" w:fill="auto"/>
            <w:noWrap/>
            <w:vAlign w:val="center"/>
          </w:tcPr>
          <w:p w14:paraId="27EBBE00">
            <w:pPr>
              <w:pStyle w:val="23"/>
              <w:jc w:val="center"/>
              <w:rPr>
                <w:kern w:val="0"/>
              </w:rPr>
            </w:pPr>
            <w:r>
              <w:rPr>
                <w:kern w:val="0"/>
              </w:rPr>
              <w:t>南雄</w:t>
            </w:r>
          </w:p>
        </w:tc>
        <w:tc>
          <w:tcPr>
            <w:tcW w:w="506" w:type="pct"/>
            <w:shd w:val="clear" w:color="auto" w:fill="auto"/>
            <w:noWrap/>
            <w:vAlign w:val="center"/>
          </w:tcPr>
          <w:p w14:paraId="55BC2709">
            <w:pPr>
              <w:pStyle w:val="23"/>
              <w:jc w:val="center"/>
              <w:rPr>
                <w:kern w:val="0"/>
              </w:rPr>
            </w:pPr>
            <w:r>
              <w:rPr>
                <w:kern w:val="0"/>
              </w:rPr>
              <w:t>2.7</w:t>
            </w:r>
          </w:p>
        </w:tc>
        <w:tc>
          <w:tcPr>
            <w:tcW w:w="506" w:type="pct"/>
            <w:shd w:val="clear" w:color="auto" w:fill="auto"/>
            <w:noWrap/>
            <w:vAlign w:val="center"/>
          </w:tcPr>
          <w:p w14:paraId="01F6DCCA">
            <w:pPr>
              <w:pStyle w:val="23"/>
              <w:jc w:val="center"/>
              <w:rPr>
                <w:kern w:val="0"/>
              </w:rPr>
            </w:pPr>
            <w:r>
              <w:rPr>
                <w:kern w:val="0"/>
              </w:rPr>
              <w:t>11430</w:t>
            </w:r>
          </w:p>
        </w:tc>
        <w:tc>
          <w:tcPr>
            <w:tcW w:w="507" w:type="pct"/>
            <w:shd w:val="clear" w:color="auto" w:fill="auto"/>
            <w:noWrap/>
            <w:vAlign w:val="center"/>
          </w:tcPr>
          <w:p w14:paraId="0D99DCE9">
            <w:pPr>
              <w:pStyle w:val="23"/>
              <w:jc w:val="center"/>
              <w:rPr>
                <w:kern w:val="0"/>
              </w:rPr>
            </w:pPr>
            <w:r>
              <w:rPr>
                <w:kern w:val="0"/>
              </w:rPr>
              <w:t>2512</w:t>
            </w:r>
          </w:p>
        </w:tc>
        <w:tc>
          <w:tcPr>
            <w:tcW w:w="434" w:type="pct"/>
            <w:shd w:val="clear" w:color="auto" w:fill="auto"/>
            <w:noWrap/>
            <w:vAlign w:val="center"/>
          </w:tcPr>
          <w:p w14:paraId="180FD4B6">
            <w:pPr>
              <w:pStyle w:val="23"/>
              <w:jc w:val="center"/>
              <w:rPr>
                <w:kern w:val="0"/>
              </w:rPr>
            </w:pPr>
          </w:p>
        </w:tc>
      </w:tr>
      <w:tr w14:paraId="73AAD3E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369" w:type="pct"/>
            <w:shd w:val="clear" w:color="auto" w:fill="auto"/>
            <w:noWrap/>
            <w:vAlign w:val="center"/>
          </w:tcPr>
          <w:p w14:paraId="329C201D">
            <w:pPr>
              <w:pStyle w:val="23"/>
              <w:jc w:val="center"/>
              <w:rPr>
                <w:kern w:val="0"/>
              </w:rPr>
            </w:pPr>
            <w:r>
              <w:rPr>
                <w:kern w:val="0"/>
              </w:rPr>
              <w:t>7</w:t>
            </w:r>
          </w:p>
        </w:tc>
        <w:tc>
          <w:tcPr>
            <w:tcW w:w="2026" w:type="pct"/>
            <w:shd w:val="clear" w:color="auto" w:fill="auto"/>
            <w:noWrap/>
            <w:vAlign w:val="center"/>
          </w:tcPr>
          <w:p w14:paraId="7CE20F44">
            <w:pPr>
              <w:pStyle w:val="23"/>
              <w:jc w:val="center"/>
              <w:rPr>
                <w:kern w:val="0"/>
              </w:rPr>
            </w:pPr>
            <w:r>
              <w:rPr>
                <w:kern w:val="0"/>
              </w:rPr>
              <w:t>1982年2月1日10时40分14.4秒</w:t>
            </w:r>
          </w:p>
        </w:tc>
        <w:tc>
          <w:tcPr>
            <w:tcW w:w="651" w:type="pct"/>
            <w:shd w:val="clear" w:color="auto" w:fill="auto"/>
            <w:noWrap/>
            <w:vAlign w:val="center"/>
          </w:tcPr>
          <w:p w14:paraId="1835F3D6">
            <w:pPr>
              <w:pStyle w:val="23"/>
              <w:jc w:val="center"/>
              <w:rPr>
                <w:kern w:val="0"/>
              </w:rPr>
            </w:pPr>
            <w:r>
              <w:rPr>
                <w:kern w:val="0"/>
              </w:rPr>
              <w:t>南雄</w:t>
            </w:r>
          </w:p>
        </w:tc>
        <w:tc>
          <w:tcPr>
            <w:tcW w:w="506" w:type="pct"/>
            <w:shd w:val="clear" w:color="auto" w:fill="auto"/>
            <w:noWrap/>
            <w:vAlign w:val="center"/>
          </w:tcPr>
          <w:p w14:paraId="204F6E69">
            <w:pPr>
              <w:pStyle w:val="23"/>
              <w:jc w:val="center"/>
              <w:rPr>
                <w:kern w:val="0"/>
              </w:rPr>
            </w:pPr>
            <w:r>
              <w:rPr>
                <w:kern w:val="0"/>
              </w:rPr>
              <w:t>2.6</w:t>
            </w:r>
          </w:p>
        </w:tc>
        <w:tc>
          <w:tcPr>
            <w:tcW w:w="506" w:type="pct"/>
            <w:shd w:val="clear" w:color="auto" w:fill="auto"/>
            <w:noWrap/>
            <w:vAlign w:val="center"/>
          </w:tcPr>
          <w:p w14:paraId="721181BB">
            <w:pPr>
              <w:pStyle w:val="23"/>
              <w:jc w:val="center"/>
              <w:rPr>
                <w:kern w:val="0"/>
              </w:rPr>
            </w:pPr>
            <w:r>
              <w:rPr>
                <w:kern w:val="0"/>
              </w:rPr>
              <w:t>11436</w:t>
            </w:r>
          </w:p>
        </w:tc>
        <w:tc>
          <w:tcPr>
            <w:tcW w:w="507" w:type="pct"/>
            <w:shd w:val="clear" w:color="auto" w:fill="auto"/>
            <w:noWrap/>
            <w:vAlign w:val="center"/>
          </w:tcPr>
          <w:p w14:paraId="178F1127">
            <w:pPr>
              <w:pStyle w:val="23"/>
              <w:jc w:val="center"/>
              <w:rPr>
                <w:kern w:val="0"/>
              </w:rPr>
            </w:pPr>
            <w:r>
              <w:rPr>
                <w:kern w:val="0"/>
              </w:rPr>
              <w:t>2524</w:t>
            </w:r>
          </w:p>
        </w:tc>
        <w:tc>
          <w:tcPr>
            <w:tcW w:w="434" w:type="pct"/>
            <w:shd w:val="clear" w:color="auto" w:fill="auto"/>
            <w:noWrap/>
            <w:vAlign w:val="center"/>
          </w:tcPr>
          <w:p w14:paraId="2783B146">
            <w:pPr>
              <w:pStyle w:val="23"/>
              <w:jc w:val="center"/>
              <w:rPr>
                <w:kern w:val="0"/>
              </w:rPr>
            </w:pPr>
          </w:p>
        </w:tc>
      </w:tr>
      <w:tr w14:paraId="0398F7E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369" w:type="pct"/>
            <w:shd w:val="clear" w:color="auto" w:fill="auto"/>
            <w:noWrap/>
            <w:vAlign w:val="center"/>
          </w:tcPr>
          <w:p w14:paraId="202EBD9B">
            <w:pPr>
              <w:pStyle w:val="23"/>
              <w:jc w:val="center"/>
              <w:rPr>
                <w:kern w:val="0"/>
              </w:rPr>
            </w:pPr>
            <w:r>
              <w:rPr>
                <w:kern w:val="0"/>
              </w:rPr>
              <w:t>8</w:t>
            </w:r>
          </w:p>
        </w:tc>
        <w:tc>
          <w:tcPr>
            <w:tcW w:w="2026" w:type="pct"/>
            <w:shd w:val="clear" w:color="auto" w:fill="auto"/>
            <w:noWrap/>
            <w:vAlign w:val="center"/>
          </w:tcPr>
          <w:p w14:paraId="5B009AC6">
            <w:pPr>
              <w:pStyle w:val="23"/>
              <w:jc w:val="center"/>
              <w:rPr>
                <w:kern w:val="0"/>
              </w:rPr>
            </w:pPr>
            <w:r>
              <w:rPr>
                <w:kern w:val="0"/>
              </w:rPr>
              <w:t>2001年8月5日22时47分49.7秒</w:t>
            </w:r>
          </w:p>
        </w:tc>
        <w:tc>
          <w:tcPr>
            <w:tcW w:w="651" w:type="pct"/>
            <w:shd w:val="clear" w:color="auto" w:fill="auto"/>
            <w:noWrap/>
            <w:vAlign w:val="center"/>
          </w:tcPr>
          <w:p w14:paraId="74DCA3C8">
            <w:pPr>
              <w:pStyle w:val="23"/>
              <w:jc w:val="center"/>
              <w:rPr>
                <w:kern w:val="0"/>
              </w:rPr>
            </w:pPr>
            <w:r>
              <w:rPr>
                <w:kern w:val="0"/>
              </w:rPr>
              <w:t>南雄</w:t>
            </w:r>
          </w:p>
        </w:tc>
        <w:tc>
          <w:tcPr>
            <w:tcW w:w="506" w:type="pct"/>
            <w:shd w:val="clear" w:color="auto" w:fill="auto"/>
            <w:noWrap/>
            <w:vAlign w:val="center"/>
          </w:tcPr>
          <w:p w14:paraId="2FDB6C10">
            <w:pPr>
              <w:pStyle w:val="23"/>
              <w:jc w:val="center"/>
              <w:rPr>
                <w:kern w:val="0"/>
              </w:rPr>
            </w:pPr>
            <w:r>
              <w:rPr>
                <w:kern w:val="0"/>
              </w:rPr>
              <w:t>1.8</w:t>
            </w:r>
          </w:p>
        </w:tc>
        <w:tc>
          <w:tcPr>
            <w:tcW w:w="506" w:type="pct"/>
            <w:shd w:val="clear" w:color="auto" w:fill="auto"/>
            <w:noWrap/>
            <w:vAlign w:val="center"/>
          </w:tcPr>
          <w:p w14:paraId="403600BB">
            <w:pPr>
              <w:pStyle w:val="23"/>
              <w:jc w:val="center"/>
              <w:rPr>
                <w:kern w:val="0"/>
              </w:rPr>
            </w:pPr>
            <w:r>
              <w:rPr>
                <w:kern w:val="0"/>
              </w:rPr>
              <w:t>11436</w:t>
            </w:r>
          </w:p>
        </w:tc>
        <w:tc>
          <w:tcPr>
            <w:tcW w:w="507" w:type="pct"/>
            <w:shd w:val="clear" w:color="auto" w:fill="auto"/>
            <w:noWrap/>
            <w:vAlign w:val="center"/>
          </w:tcPr>
          <w:p w14:paraId="64D12E8B">
            <w:pPr>
              <w:pStyle w:val="23"/>
              <w:jc w:val="center"/>
              <w:rPr>
                <w:kern w:val="0"/>
              </w:rPr>
            </w:pPr>
            <w:r>
              <w:rPr>
                <w:kern w:val="0"/>
              </w:rPr>
              <w:t>2520</w:t>
            </w:r>
          </w:p>
        </w:tc>
        <w:tc>
          <w:tcPr>
            <w:tcW w:w="434" w:type="pct"/>
            <w:shd w:val="clear" w:color="auto" w:fill="auto"/>
            <w:noWrap/>
            <w:vAlign w:val="center"/>
          </w:tcPr>
          <w:p w14:paraId="0FF0FC91">
            <w:pPr>
              <w:pStyle w:val="23"/>
              <w:jc w:val="center"/>
              <w:rPr>
                <w:kern w:val="0"/>
              </w:rPr>
            </w:pPr>
            <w:r>
              <w:rPr>
                <w:kern w:val="0"/>
              </w:rPr>
              <w:t>11</w:t>
            </w:r>
          </w:p>
        </w:tc>
      </w:tr>
      <w:tr w14:paraId="3495A18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369" w:type="pct"/>
            <w:shd w:val="clear" w:color="auto" w:fill="auto"/>
            <w:noWrap/>
            <w:vAlign w:val="center"/>
          </w:tcPr>
          <w:p w14:paraId="7DBD2535">
            <w:pPr>
              <w:pStyle w:val="23"/>
              <w:jc w:val="center"/>
              <w:rPr>
                <w:kern w:val="0"/>
              </w:rPr>
            </w:pPr>
            <w:r>
              <w:rPr>
                <w:kern w:val="0"/>
              </w:rPr>
              <w:t>9</w:t>
            </w:r>
          </w:p>
        </w:tc>
        <w:tc>
          <w:tcPr>
            <w:tcW w:w="2026" w:type="pct"/>
            <w:shd w:val="clear" w:color="auto" w:fill="auto"/>
            <w:noWrap/>
            <w:vAlign w:val="center"/>
          </w:tcPr>
          <w:p w14:paraId="3FA293FC">
            <w:pPr>
              <w:pStyle w:val="23"/>
              <w:jc w:val="center"/>
              <w:rPr>
                <w:kern w:val="0"/>
              </w:rPr>
            </w:pPr>
            <w:r>
              <w:rPr>
                <w:kern w:val="0"/>
              </w:rPr>
              <w:t>2003年1月20日17时3分56.2.秒</w:t>
            </w:r>
          </w:p>
        </w:tc>
        <w:tc>
          <w:tcPr>
            <w:tcW w:w="651" w:type="pct"/>
            <w:shd w:val="clear" w:color="auto" w:fill="auto"/>
            <w:noWrap/>
            <w:vAlign w:val="center"/>
          </w:tcPr>
          <w:p w14:paraId="6997D065">
            <w:pPr>
              <w:pStyle w:val="23"/>
              <w:jc w:val="center"/>
              <w:rPr>
                <w:kern w:val="0"/>
              </w:rPr>
            </w:pPr>
            <w:r>
              <w:rPr>
                <w:kern w:val="0"/>
              </w:rPr>
              <w:t>南雄</w:t>
            </w:r>
          </w:p>
        </w:tc>
        <w:tc>
          <w:tcPr>
            <w:tcW w:w="506" w:type="pct"/>
            <w:shd w:val="clear" w:color="auto" w:fill="auto"/>
            <w:noWrap/>
            <w:vAlign w:val="center"/>
          </w:tcPr>
          <w:p w14:paraId="03C66C5B">
            <w:pPr>
              <w:pStyle w:val="23"/>
              <w:jc w:val="center"/>
              <w:rPr>
                <w:kern w:val="0"/>
              </w:rPr>
            </w:pPr>
            <w:r>
              <w:rPr>
                <w:kern w:val="0"/>
              </w:rPr>
              <w:t>1.8</w:t>
            </w:r>
          </w:p>
        </w:tc>
        <w:tc>
          <w:tcPr>
            <w:tcW w:w="506" w:type="pct"/>
            <w:shd w:val="clear" w:color="auto" w:fill="auto"/>
            <w:noWrap/>
            <w:vAlign w:val="center"/>
          </w:tcPr>
          <w:p w14:paraId="243990DE">
            <w:pPr>
              <w:pStyle w:val="23"/>
              <w:jc w:val="center"/>
              <w:rPr>
                <w:kern w:val="0"/>
              </w:rPr>
            </w:pPr>
            <w:r>
              <w:rPr>
                <w:kern w:val="0"/>
              </w:rPr>
              <w:t>11441</w:t>
            </w:r>
          </w:p>
        </w:tc>
        <w:tc>
          <w:tcPr>
            <w:tcW w:w="507" w:type="pct"/>
            <w:shd w:val="clear" w:color="auto" w:fill="auto"/>
            <w:noWrap/>
            <w:vAlign w:val="center"/>
          </w:tcPr>
          <w:p w14:paraId="684A81D3">
            <w:pPr>
              <w:pStyle w:val="23"/>
              <w:jc w:val="center"/>
              <w:rPr>
                <w:kern w:val="0"/>
              </w:rPr>
            </w:pPr>
            <w:r>
              <w:rPr>
                <w:kern w:val="0"/>
              </w:rPr>
              <w:t>2519</w:t>
            </w:r>
          </w:p>
        </w:tc>
        <w:tc>
          <w:tcPr>
            <w:tcW w:w="434" w:type="pct"/>
            <w:shd w:val="clear" w:color="auto" w:fill="auto"/>
            <w:noWrap/>
            <w:vAlign w:val="center"/>
          </w:tcPr>
          <w:p w14:paraId="74841A8B">
            <w:pPr>
              <w:pStyle w:val="23"/>
              <w:jc w:val="center"/>
              <w:rPr>
                <w:kern w:val="0"/>
              </w:rPr>
            </w:pPr>
            <w:r>
              <w:rPr>
                <w:kern w:val="0"/>
              </w:rPr>
              <w:t>3</w:t>
            </w:r>
          </w:p>
        </w:tc>
      </w:tr>
      <w:tr w14:paraId="7FDB8F1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369" w:type="pct"/>
            <w:shd w:val="clear" w:color="auto" w:fill="auto"/>
            <w:noWrap/>
            <w:vAlign w:val="center"/>
          </w:tcPr>
          <w:p w14:paraId="04E0D00B">
            <w:pPr>
              <w:pStyle w:val="23"/>
              <w:jc w:val="center"/>
              <w:rPr>
                <w:kern w:val="0"/>
              </w:rPr>
            </w:pPr>
            <w:r>
              <w:rPr>
                <w:kern w:val="0"/>
              </w:rPr>
              <w:t>10</w:t>
            </w:r>
          </w:p>
        </w:tc>
        <w:tc>
          <w:tcPr>
            <w:tcW w:w="2026" w:type="pct"/>
            <w:shd w:val="clear" w:color="auto" w:fill="auto"/>
            <w:noWrap/>
            <w:vAlign w:val="center"/>
          </w:tcPr>
          <w:p w14:paraId="5C5B476F">
            <w:pPr>
              <w:pStyle w:val="23"/>
              <w:jc w:val="center"/>
              <w:rPr>
                <w:kern w:val="0"/>
              </w:rPr>
            </w:pPr>
            <w:r>
              <w:rPr>
                <w:kern w:val="0"/>
              </w:rPr>
              <w:t>2005年10月8日16时13分48.8秒</w:t>
            </w:r>
          </w:p>
        </w:tc>
        <w:tc>
          <w:tcPr>
            <w:tcW w:w="651" w:type="pct"/>
            <w:shd w:val="clear" w:color="auto" w:fill="auto"/>
            <w:noWrap/>
            <w:vAlign w:val="center"/>
          </w:tcPr>
          <w:p w14:paraId="2139F501">
            <w:pPr>
              <w:pStyle w:val="23"/>
              <w:jc w:val="center"/>
              <w:rPr>
                <w:kern w:val="0"/>
              </w:rPr>
            </w:pPr>
            <w:r>
              <w:rPr>
                <w:kern w:val="0"/>
              </w:rPr>
              <w:t>南雄与始兴</w:t>
            </w:r>
          </w:p>
        </w:tc>
        <w:tc>
          <w:tcPr>
            <w:tcW w:w="506" w:type="pct"/>
            <w:shd w:val="clear" w:color="auto" w:fill="auto"/>
            <w:noWrap/>
            <w:vAlign w:val="center"/>
          </w:tcPr>
          <w:p w14:paraId="1A123E74">
            <w:pPr>
              <w:pStyle w:val="23"/>
              <w:jc w:val="center"/>
              <w:rPr>
                <w:kern w:val="0"/>
              </w:rPr>
            </w:pPr>
            <w:r>
              <w:rPr>
                <w:kern w:val="0"/>
              </w:rPr>
              <w:t>2</w:t>
            </w:r>
          </w:p>
        </w:tc>
        <w:tc>
          <w:tcPr>
            <w:tcW w:w="506" w:type="pct"/>
            <w:shd w:val="clear" w:color="auto" w:fill="auto"/>
            <w:noWrap/>
            <w:vAlign w:val="center"/>
          </w:tcPr>
          <w:p w14:paraId="7C7FA2B6">
            <w:pPr>
              <w:pStyle w:val="23"/>
              <w:jc w:val="center"/>
              <w:rPr>
                <w:kern w:val="0"/>
              </w:rPr>
            </w:pPr>
            <w:r>
              <w:rPr>
                <w:kern w:val="0"/>
              </w:rPr>
              <w:t>11418</w:t>
            </w:r>
          </w:p>
        </w:tc>
        <w:tc>
          <w:tcPr>
            <w:tcW w:w="507" w:type="pct"/>
            <w:shd w:val="clear" w:color="auto" w:fill="auto"/>
            <w:noWrap/>
            <w:vAlign w:val="center"/>
          </w:tcPr>
          <w:p w14:paraId="535EAAB8">
            <w:pPr>
              <w:pStyle w:val="23"/>
              <w:jc w:val="center"/>
              <w:rPr>
                <w:kern w:val="0"/>
              </w:rPr>
            </w:pPr>
            <w:r>
              <w:rPr>
                <w:kern w:val="0"/>
              </w:rPr>
              <w:t>2458</w:t>
            </w:r>
          </w:p>
        </w:tc>
        <w:tc>
          <w:tcPr>
            <w:tcW w:w="434" w:type="pct"/>
            <w:shd w:val="clear" w:color="auto" w:fill="auto"/>
            <w:noWrap/>
            <w:vAlign w:val="center"/>
          </w:tcPr>
          <w:p w14:paraId="4912E9C5">
            <w:pPr>
              <w:pStyle w:val="23"/>
              <w:jc w:val="center"/>
              <w:rPr>
                <w:kern w:val="0"/>
              </w:rPr>
            </w:pPr>
            <w:r>
              <w:rPr>
                <w:kern w:val="0"/>
              </w:rPr>
              <w:t>17</w:t>
            </w:r>
          </w:p>
        </w:tc>
      </w:tr>
      <w:tr w14:paraId="4BF721B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369" w:type="pct"/>
            <w:shd w:val="clear" w:color="auto" w:fill="auto"/>
            <w:noWrap/>
            <w:vAlign w:val="center"/>
          </w:tcPr>
          <w:p w14:paraId="39E8D38D">
            <w:pPr>
              <w:pStyle w:val="23"/>
              <w:jc w:val="center"/>
              <w:rPr>
                <w:kern w:val="0"/>
              </w:rPr>
            </w:pPr>
            <w:r>
              <w:rPr>
                <w:kern w:val="0"/>
              </w:rPr>
              <w:t>11</w:t>
            </w:r>
          </w:p>
        </w:tc>
        <w:tc>
          <w:tcPr>
            <w:tcW w:w="2026" w:type="pct"/>
            <w:shd w:val="clear" w:color="auto" w:fill="auto"/>
            <w:noWrap/>
            <w:vAlign w:val="center"/>
          </w:tcPr>
          <w:p w14:paraId="5F2D6DFD">
            <w:pPr>
              <w:pStyle w:val="23"/>
              <w:jc w:val="center"/>
              <w:rPr>
                <w:kern w:val="0"/>
              </w:rPr>
            </w:pPr>
            <w:r>
              <w:rPr>
                <w:kern w:val="0"/>
              </w:rPr>
              <w:t>2006年4月19日14时42分8.3秒</w:t>
            </w:r>
          </w:p>
        </w:tc>
        <w:tc>
          <w:tcPr>
            <w:tcW w:w="651" w:type="pct"/>
            <w:shd w:val="clear" w:color="auto" w:fill="auto"/>
            <w:noWrap/>
            <w:vAlign w:val="center"/>
          </w:tcPr>
          <w:p w14:paraId="46657DD0">
            <w:pPr>
              <w:pStyle w:val="23"/>
              <w:jc w:val="center"/>
              <w:rPr>
                <w:kern w:val="0"/>
              </w:rPr>
            </w:pPr>
            <w:r>
              <w:rPr>
                <w:kern w:val="0"/>
              </w:rPr>
              <w:t>南雄</w:t>
            </w:r>
          </w:p>
        </w:tc>
        <w:tc>
          <w:tcPr>
            <w:tcW w:w="506" w:type="pct"/>
            <w:shd w:val="clear" w:color="auto" w:fill="auto"/>
            <w:noWrap/>
            <w:vAlign w:val="center"/>
          </w:tcPr>
          <w:p w14:paraId="16F1338E">
            <w:pPr>
              <w:pStyle w:val="23"/>
              <w:jc w:val="center"/>
              <w:rPr>
                <w:kern w:val="0"/>
              </w:rPr>
            </w:pPr>
            <w:r>
              <w:rPr>
                <w:kern w:val="0"/>
              </w:rPr>
              <w:t>2.1</w:t>
            </w:r>
          </w:p>
        </w:tc>
        <w:tc>
          <w:tcPr>
            <w:tcW w:w="506" w:type="pct"/>
            <w:shd w:val="clear" w:color="auto" w:fill="auto"/>
            <w:noWrap/>
            <w:vAlign w:val="center"/>
          </w:tcPr>
          <w:p w14:paraId="034C6F5B">
            <w:pPr>
              <w:pStyle w:val="23"/>
              <w:jc w:val="center"/>
              <w:rPr>
                <w:kern w:val="0"/>
              </w:rPr>
            </w:pPr>
            <w:r>
              <w:rPr>
                <w:kern w:val="0"/>
              </w:rPr>
              <w:t>11415</w:t>
            </w:r>
          </w:p>
        </w:tc>
        <w:tc>
          <w:tcPr>
            <w:tcW w:w="507" w:type="pct"/>
            <w:shd w:val="clear" w:color="auto" w:fill="auto"/>
            <w:noWrap/>
            <w:vAlign w:val="center"/>
          </w:tcPr>
          <w:p w14:paraId="780D7C8F">
            <w:pPr>
              <w:pStyle w:val="23"/>
              <w:jc w:val="center"/>
              <w:rPr>
                <w:kern w:val="0"/>
              </w:rPr>
            </w:pPr>
            <w:r>
              <w:rPr>
                <w:kern w:val="0"/>
              </w:rPr>
              <w:t>2503</w:t>
            </w:r>
          </w:p>
        </w:tc>
        <w:tc>
          <w:tcPr>
            <w:tcW w:w="434" w:type="pct"/>
            <w:shd w:val="clear" w:color="auto" w:fill="auto"/>
            <w:noWrap/>
            <w:vAlign w:val="center"/>
          </w:tcPr>
          <w:p w14:paraId="30A37C84">
            <w:pPr>
              <w:pStyle w:val="23"/>
              <w:jc w:val="center"/>
              <w:rPr>
                <w:kern w:val="0"/>
              </w:rPr>
            </w:pPr>
            <w:r>
              <w:rPr>
                <w:kern w:val="0"/>
              </w:rPr>
              <w:t>10</w:t>
            </w:r>
          </w:p>
        </w:tc>
      </w:tr>
      <w:tr w14:paraId="70B6C2F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369" w:type="pct"/>
            <w:shd w:val="clear" w:color="auto" w:fill="auto"/>
            <w:noWrap/>
            <w:vAlign w:val="center"/>
          </w:tcPr>
          <w:p w14:paraId="670A7144">
            <w:pPr>
              <w:pStyle w:val="23"/>
              <w:jc w:val="center"/>
              <w:rPr>
                <w:kern w:val="0"/>
              </w:rPr>
            </w:pPr>
            <w:r>
              <w:rPr>
                <w:kern w:val="0"/>
              </w:rPr>
              <w:t>12</w:t>
            </w:r>
          </w:p>
        </w:tc>
        <w:tc>
          <w:tcPr>
            <w:tcW w:w="2026" w:type="pct"/>
            <w:shd w:val="clear" w:color="auto" w:fill="auto"/>
            <w:noWrap/>
            <w:vAlign w:val="center"/>
          </w:tcPr>
          <w:p w14:paraId="508756CB">
            <w:pPr>
              <w:pStyle w:val="23"/>
              <w:jc w:val="center"/>
              <w:rPr>
                <w:kern w:val="0"/>
              </w:rPr>
            </w:pPr>
            <w:r>
              <w:rPr>
                <w:kern w:val="0"/>
              </w:rPr>
              <w:t>2007年7月9日10时38分6.4秒</w:t>
            </w:r>
          </w:p>
        </w:tc>
        <w:tc>
          <w:tcPr>
            <w:tcW w:w="651" w:type="pct"/>
            <w:shd w:val="clear" w:color="auto" w:fill="auto"/>
            <w:noWrap/>
            <w:vAlign w:val="center"/>
          </w:tcPr>
          <w:p w14:paraId="53129DD1">
            <w:pPr>
              <w:pStyle w:val="23"/>
              <w:jc w:val="center"/>
              <w:rPr>
                <w:kern w:val="0"/>
              </w:rPr>
            </w:pPr>
            <w:r>
              <w:rPr>
                <w:kern w:val="0"/>
              </w:rPr>
              <w:t>南雄</w:t>
            </w:r>
          </w:p>
        </w:tc>
        <w:tc>
          <w:tcPr>
            <w:tcW w:w="506" w:type="pct"/>
            <w:shd w:val="clear" w:color="auto" w:fill="auto"/>
            <w:noWrap/>
            <w:vAlign w:val="center"/>
          </w:tcPr>
          <w:p w14:paraId="26D431CF">
            <w:pPr>
              <w:pStyle w:val="23"/>
              <w:jc w:val="center"/>
              <w:rPr>
                <w:kern w:val="0"/>
              </w:rPr>
            </w:pPr>
            <w:r>
              <w:rPr>
                <w:kern w:val="0"/>
              </w:rPr>
              <w:t>2.2</w:t>
            </w:r>
          </w:p>
        </w:tc>
        <w:tc>
          <w:tcPr>
            <w:tcW w:w="506" w:type="pct"/>
            <w:shd w:val="clear" w:color="auto" w:fill="auto"/>
            <w:noWrap/>
            <w:vAlign w:val="center"/>
          </w:tcPr>
          <w:p w14:paraId="5CD8B881">
            <w:pPr>
              <w:pStyle w:val="23"/>
              <w:jc w:val="center"/>
              <w:rPr>
                <w:kern w:val="0"/>
              </w:rPr>
            </w:pPr>
            <w:r>
              <w:rPr>
                <w:kern w:val="0"/>
              </w:rPr>
              <w:t>11433</w:t>
            </w:r>
          </w:p>
        </w:tc>
        <w:tc>
          <w:tcPr>
            <w:tcW w:w="507" w:type="pct"/>
            <w:shd w:val="clear" w:color="auto" w:fill="auto"/>
            <w:noWrap/>
            <w:vAlign w:val="center"/>
          </w:tcPr>
          <w:p w14:paraId="4C650EB2">
            <w:pPr>
              <w:pStyle w:val="23"/>
              <w:jc w:val="center"/>
              <w:rPr>
                <w:kern w:val="0"/>
              </w:rPr>
            </w:pPr>
            <w:r>
              <w:rPr>
                <w:kern w:val="0"/>
              </w:rPr>
              <w:t>2504</w:t>
            </w:r>
          </w:p>
        </w:tc>
        <w:tc>
          <w:tcPr>
            <w:tcW w:w="434" w:type="pct"/>
            <w:shd w:val="clear" w:color="auto" w:fill="auto"/>
            <w:noWrap/>
            <w:vAlign w:val="center"/>
          </w:tcPr>
          <w:p w14:paraId="4F5558B6">
            <w:pPr>
              <w:pStyle w:val="23"/>
              <w:jc w:val="center"/>
              <w:rPr>
                <w:kern w:val="0"/>
              </w:rPr>
            </w:pPr>
            <w:r>
              <w:rPr>
                <w:kern w:val="0"/>
              </w:rPr>
              <w:t>8</w:t>
            </w:r>
          </w:p>
        </w:tc>
      </w:tr>
      <w:tr w14:paraId="71766E6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369" w:type="pct"/>
            <w:shd w:val="clear" w:color="auto" w:fill="auto"/>
            <w:noWrap/>
            <w:vAlign w:val="center"/>
          </w:tcPr>
          <w:p w14:paraId="019C68AA">
            <w:pPr>
              <w:pStyle w:val="23"/>
              <w:jc w:val="center"/>
              <w:rPr>
                <w:kern w:val="0"/>
              </w:rPr>
            </w:pPr>
            <w:r>
              <w:rPr>
                <w:kern w:val="0"/>
              </w:rPr>
              <w:t>13</w:t>
            </w:r>
          </w:p>
        </w:tc>
        <w:tc>
          <w:tcPr>
            <w:tcW w:w="2026" w:type="pct"/>
            <w:shd w:val="clear" w:color="auto" w:fill="auto"/>
            <w:noWrap/>
            <w:vAlign w:val="center"/>
          </w:tcPr>
          <w:p w14:paraId="3AD648E7">
            <w:pPr>
              <w:pStyle w:val="23"/>
              <w:jc w:val="center"/>
              <w:rPr>
                <w:kern w:val="0"/>
              </w:rPr>
            </w:pPr>
            <w:r>
              <w:rPr>
                <w:kern w:val="0"/>
              </w:rPr>
              <w:t>2010年8月3日14时58分55.5秒</w:t>
            </w:r>
          </w:p>
        </w:tc>
        <w:tc>
          <w:tcPr>
            <w:tcW w:w="651" w:type="pct"/>
            <w:shd w:val="clear" w:color="auto" w:fill="auto"/>
            <w:noWrap/>
            <w:vAlign w:val="center"/>
          </w:tcPr>
          <w:p w14:paraId="0081F0B6">
            <w:pPr>
              <w:pStyle w:val="23"/>
              <w:jc w:val="center"/>
              <w:rPr>
                <w:kern w:val="0"/>
              </w:rPr>
            </w:pPr>
            <w:r>
              <w:rPr>
                <w:kern w:val="0"/>
              </w:rPr>
              <w:t>南雄</w:t>
            </w:r>
          </w:p>
        </w:tc>
        <w:tc>
          <w:tcPr>
            <w:tcW w:w="506" w:type="pct"/>
            <w:shd w:val="clear" w:color="auto" w:fill="auto"/>
            <w:noWrap/>
            <w:vAlign w:val="center"/>
          </w:tcPr>
          <w:p w14:paraId="60CFB21A">
            <w:pPr>
              <w:pStyle w:val="23"/>
              <w:jc w:val="center"/>
              <w:rPr>
                <w:kern w:val="0"/>
              </w:rPr>
            </w:pPr>
            <w:r>
              <w:rPr>
                <w:kern w:val="0"/>
              </w:rPr>
              <w:t>1.6</w:t>
            </w:r>
          </w:p>
        </w:tc>
        <w:tc>
          <w:tcPr>
            <w:tcW w:w="506" w:type="pct"/>
            <w:shd w:val="clear" w:color="auto" w:fill="auto"/>
            <w:noWrap/>
            <w:vAlign w:val="center"/>
          </w:tcPr>
          <w:p w14:paraId="7FC7E220">
            <w:pPr>
              <w:pStyle w:val="23"/>
              <w:jc w:val="center"/>
              <w:rPr>
                <w:kern w:val="0"/>
              </w:rPr>
            </w:pPr>
            <w:r>
              <w:rPr>
                <w:kern w:val="0"/>
              </w:rPr>
              <w:t>11430</w:t>
            </w:r>
          </w:p>
        </w:tc>
        <w:tc>
          <w:tcPr>
            <w:tcW w:w="507" w:type="pct"/>
            <w:shd w:val="clear" w:color="auto" w:fill="auto"/>
            <w:noWrap/>
            <w:vAlign w:val="center"/>
          </w:tcPr>
          <w:p w14:paraId="147F84C0">
            <w:pPr>
              <w:pStyle w:val="23"/>
              <w:jc w:val="center"/>
              <w:rPr>
                <w:kern w:val="0"/>
              </w:rPr>
            </w:pPr>
            <w:r>
              <w:rPr>
                <w:kern w:val="0"/>
              </w:rPr>
              <w:t>2521</w:t>
            </w:r>
          </w:p>
        </w:tc>
        <w:tc>
          <w:tcPr>
            <w:tcW w:w="434" w:type="pct"/>
            <w:shd w:val="clear" w:color="auto" w:fill="auto"/>
            <w:noWrap/>
            <w:vAlign w:val="center"/>
          </w:tcPr>
          <w:p w14:paraId="2D5F8BAB">
            <w:pPr>
              <w:pStyle w:val="23"/>
              <w:jc w:val="center"/>
              <w:rPr>
                <w:kern w:val="0"/>
              </w:rPr>
            </w:pPr>
            <w:r>
              <w:rPr>
                <w:kern w:val="0"/>
              </w:rPr>
              <w:t>10</w:t>
            </w:r>
          </w:p>
        </w:tc>
      </w:tr>
      <w:tr w14:paraId="76F3CC7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369" w:type="pct"/>
            <w:shd w:val="clear" w:color="auto" w:fill="auto"/>
            <w:noWrap/>
            <w:vAlign w:val="center"/>
          </w:tcPr>
          <w:p w14:paraId="237E5FAC">
            <w:pPr>
              <w:pStyle w:val="23"/>
              <w:jc w:val="center"/>
              <w:rPr>
                <w:kern w:val="0"/>
              </w:rPr>
            </w:pPr>
            <w:r>
              <w:rPr>
                <w:kern w:val="0"/>
              </w:rPr>
              <w:t>14</w:t>
            </w:r>
          </w:p>
        </w:tc>
        <w:tc>
          <w:tcPr>
            <w:tcW w:w="2026" w:type="pct"/>
            <w:shd w:val="clear" w:color="auto" w:fill="auto"/>
            <w:noWrap/>
            <w:vAlign w:val="center"/>
          </w:tcPr>
          <w:p w14:paraId="778F96F9">
            <w:pPr>
              <w:pStyle w:val="23"/>
              <w:jc w:val="center"/>
              <w:rPr>
                <w:kern w:val="0"/>
              </w:rPr>
            </w:pPr>
            <w:r>
              <w:rPr>
                <w:kern w:val="0"/>
              </w:rPr>
              <w:t>2010年11月2日22时18分2.5秒</w:t>
            </w:r>
          </w:p>
        </w:tc>
        <w:tc>
          <w:tcPr>
            <w:tcW w:w="651" w:type="pct"/>
            <w:shd w:val="clear" w:color="auto" w:fill="auto"/>
            <w:noWrap/>
            <w:vAlign w:val="center"/>
          </w:tcPr>
          <w:p w14:paraId="540917DF">
            <w:pPr>
              <w:pStyle w:val="23"/>
              <w:jc w:val="center"/>
              <w:rPr>
                <w:kern w:val="0"/>
              </w:rPr>
            </w:pPr>
            <w:r>
              <w:rPr>
                <w:kern w:val="0"/>
              </w:rPr>
              <w:t>南雄</w:t>
            </w:r>
          </w:p>
        </w:tc>
        <w:tc>
          <w:tcPr>
            <w:tcW w:w="506" w:type="pct"/>
            <w:shd w:val="clear" w:color="auto" w:fill="auto"/>
            <w:noWrap/>
            <w:vAlign w:val="center"/>
          </w:tcPr>
          <w:p w14:paraId="3E8F3D1B">
            <w:pPr>
              <w:pStyle w:val="23"/>
              <w:jc w:val="center"/>
              <w:rPr>
                <w:kern w:val="0"/>
              </w:rPr>
            </w:pPr>
            <w:r>
              <w:rPr>
                <w:kern w:val="0"/>
              </w:rPr>
              <w:t>2</w:t>
            </w:r>
          </w:p>
        </w:tc>
        <w:tc>
          <w:tcPr>
            <w:tcW w:w="506" w:type="pct"/>
            <w:shd w:val="clear" w:color="auto" w:fill="auto"/>
            <w:noWrap/>
            <w:vAlign w:val="center"/>
          </w:tcPr>
          <w:p w14:paraId="46BFB912">
            <w:pPr>
              <w:pStyle w:val="23"/>
              <w:jc w:val="center"/>
              <w:rPr>
                <w:kern w:val="0"/>
              </w:rPr>
            </w:pPr>
            <w:r>
              <w:rPr>
                <w:kern w:val="0"/>
              </w:rPr>
              <w:t>11419</w:t>
            </w:r>
          </w:p>
        </w:tc>
        <w:tc>
          <w:tcPr>
            <w:tcW w:w="507" w:type="pct"/>
            <w:shd w:val="clear" w:color="auto" w:fill="auto"/>
            <w:noWrap/>
            <w:vAlign w:val="center"/>
          </w:tcPr>
          <w:p w14:paraId="6F0E5EFF">
            <w:pPr>
              <w:pStyle w:val="23"/>
              <w:jc w:val="center"/>
              <w:rPr>
                <w:kern w:val="0"/>
              </w:rPr>
            </w:pPr>
            <w:r>
              <w:rPr>
                <w:kern w:val="0"/>
              </w:rPr>
              <w:t>2500</w:t>
            </w:r>
          </w:p>
        </w:tc>
        <w:tc>
          <w:tcPr>
            <w:tcW w:w="434" w:type="pct"/>
            <w:shd w:val="clear" w:color="auto" w:fill="auto"/>
            <w:noWrap/>
            <w:vAlign w:val="center"/>
          </w:tcPr>
          <w:p w14:paraId="3EF8315F">
            <w:pPr>
              <w:pStyle w:val="23"/>
              <w:jc w:val="center"/>
              <w:rPr>
                <w:kern w:val="0"/>
              </w:rPr>
            </w:pPr>
            <w:r>
              <w:rPr>
                <w:kern w:val="0"/>
              </w:rPr>
              <w:t>9</w:t>
            </w:r>
          </w:p>
        </w:tc>
      </w:tr>
      <w:tr w14:paraId="013670A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369" w:type="pct"/>
            <w:shd w:val="clear" w:color="auto" w:fill="auto"/>
            <w:noWrap/>
            <w:vAlign w:val="center"/>
          </w:tcPr>
          <w:p w14:paraId="6A06B772">
            <w:pPr>
              <w:pStyle w:val="23"/>
              <w:jc w:val="center"/>
              <w:rPr>
                <w:kern w:val="0"/>
              </w:rPr>
            </w:pPr>
            <w:r>
              <w:rPr>
                <w:kern w:val="0"/>
              </w:rPr>
              <w:t>15</w:t>
            </w:r>
          </w:p>
        </w:tc>
        <w:tc>
          <w:tcPr>
            <w:tcW w:w="2026" w:type="pct"/>
            <w:shd w:val="clear" w:color="auto" w:fill="auto"/>
            <w:noWrap/>
            <w:vAlign w:val="center"/>
          </w:tcPr>
          <w:p w14:paraId="7C6AC581">
            <w:pPr>
              <w:pStyle w:val="23"/>
              <w:jc w:val="center"/>
              <w:rPr>
                <w:kern w:val="0"/>
              </w:rPr>
            </w:pPr>
            <w:r>
              <w:rPr>
                <w:kern w:val="0"/>
              </w:rPr>
              <w:t>2010年11月12日23时49分29.4秒</w:t>
            </w:r>
          </w:p>
        </w:tc>
        <w:tc>
          <w:tcPr>
            <w:tcW w:w="651" w:type="pct"/>
            <w:shd w:val="clear" w:color="auto" w:fill="auto"/>
            <w:noWrap/>
            <w:vAlign w:val="center"/>
          </w:tcPr>
          <w:p w14:paraId="75D313CF">
            <w:pPr>
              <w:pStyle w:val="23"/>
              <w:jc w:val="center"/>
              <w:rPr>
                <w:kern w:val="0"/>
              </w:rPr>
            </w:pPr>
            <w:r>
              <w:rPr>
                <w:kern w:val="0"/>
              </w:rPr>
              <w:t>南雄</w:t>
            </w:r>
          </w:p>
        </w:tc>
        <w:tc>
          <w:tcPr>
            <w:tcW w:w="506" w:type="pct"/>
            <w:shd w:val="clear" w:color="auto" w:fill="auto"/>
            <w:noWrap/>
            <w:vAlign w:val="center"/>
          </w:tcPr>
          <w:p w14:paraId="6A1B8EC8">
            <w:pPr>
              <w:pStyle w:val="23"/>
              <w:jc w:val="center"/>
              <w:rPr>
                <w:kern w:val="0"/>
              </w:rPr>
            </w:pPr>
            <w:r>
              <w:rPr>
                <w:kern w:val="0"/>
              </w:rPr>
              <w:t>1.5</w:t>
            </w:r>
          </w:p>
        </w:tc>
        <w:tc>
          <w:tcPr>
            <w:tcW w:w="506" w:type="pct"/>
            <w:shd w:val="clear" w:color="auto" w:fill="auto"/>
            <w:noWrap/>
            <w:vAlign w:val="center"/>
          </w:tcPr>
          <w:p w14:paraId="3D7F4938">
            <w:pPr>
              <w:pStyle w:val="23"/>
              <w:jc w:val="center"/>
              <w:rPr>
                <w:kern w:val="0"/>
              </w:rPr>
            </w:pPr>
            <w:r>
              <w:rPr>
                <w:kern w:val="0"/>
              </w:rPr>
              <w:t>11421</w:t>
            </w:r>
          </w:p>
        </w:tc>
        <w:tc>
          <w:tcPr>
            <w:tcW w:w="507" w:type="pct"/>
            <w:shd w:val="clear" w:color="auto" w:fill="auto"/>
            <w:noWrap/>
            <w:vAlign w:val="center"/>
          </w:tcPr>
          <w:p w14:paraId="6C16EA34">
            <w:pPr>
              <w:pStyle w:val="23"/>
              <w:jc w:val="center"/>
              <w:rPr>
                <w:kern w:val="0"/>
              </w:rPr>
            </w:pPr>
            <w:r>
              <w:rPr>
                <w:kern w:val="0"/>
              </w:rPr>
              <w:t>2459</w:t>
            </w:r>
          </w:p>
        </w:tc>
        <w:tc>
          <w:tcPr>
            <w:tcW w:w="434" w:type="pct"/>
            <w:shd w:val="clear" w:color="auto" w:fill="auto"/>
            <w:noWrap/>
            <w:vAlign w:val="center"/>
          </w:tcPr>
          <w:p w14:paraId="1F0C3FE8">
            <w:pPr>
              <w:pStyle w:val="23"/>
              <w:jc w:val="center"/>
              <w:rPr>
                <w:kern w:val="0"/>
              </w:rPr>
            </w:pPr>
            <w:r>
              <w:rPr>
                <w:kern w:val="0"/>
              </w:rPr>
              <w:t>6</w:t>
            </w:r>
          </w:p>
        </w:tc>
      </w:tr>
    </w:tbl>
    <w:p w14:paraId="62846B4C">
      <w:pPr>
        <w:ind w:firstLine="0" w:firstLineChars="0"/>
        <w:jc w:val="right"/>
        <w:rPr>
          <w:rFonts w:ascii="宋体" w:hAnsi="宋体"/>
          <w:szCs w:val="21"/>
        </w:rPr>
      </w:pPr>
      <w:r>
        <w:rPr>
          <w:rFonts w:hint="eastAsia" w:ascii="宋体" w:hAnsi="宋体"/>
          <w:szCs w:val="21"/>
        </w:rPr>
        <w:t>（梁少雄）</w:t>
      </w:r>
    </w:p>
    <w:p w14:paraId="6EC1C542">
      <w:pPr>
        <w:ind w:firstLine="0" w:firstLineChars="0"/>
        <w:rPr>
          <w:rFonts w:ascii="宋体" w:hAnsi="宋体"/>
          <w:szCs w:val="21"/>
        </w:rPr>
      </w:pPr>
      <w:r>
        <w:rPr>
          <w:rFonts w:hint="eastAsia" w:ascii="宋体" w:hAnsi="宋体"/>
          <w:b/>
          <w:szCs w:val="21"/>
        </w:rPr>
        <w:t>附：2011年市科技局领导班子名单</w:t>
      </w:r>
    </w:p>
    <w:p w14:paraId="2F73FE73">
      <w:pPr>
        <w:ind w:firstLine="0" w:firstLineChars="0"/>
        <w:rPr>
          <w:rFonts w:ascii="宋体" w:hAnsi="宋体"/>
          <w:szCs w:val="21"/>
        </w:rPr>
      </w:pPr>
      <w:r>
        <w:rPr>
          <w:rFonts w:hint="eastAsia" w:ascii="宋体" w:hAnsi="宋体"/>
          <w:szCs w:val="21"/>
        </w:rPr>
        <w:t>局  长：李皋辉</w:t>
      </w:r>
    </w:p>
    <w:p w14:paraId="2B20FCB9">
      <w:pPr>
        <w:ind w:firstLine="0" w:firstLineChars="0"/>
        <w:rPr>
          <w:rFonts w:ascii="宋体" w:hAnsi="宋体"/>
          <w:szCs w:val="21"/>
        </w:rPr>
      </w:pPr>
      <w:r>
        <w:rPr>
          <w:rFonts w:hint="eastAsia" w:ascii="宋体" w:hAnsi="宋体"/>
          <w:szCs w:val="21"/>
        </w:rPr>
        <w:t>副局长：叶珍凤</w:t>
      </w:r>
      <w:r>
        <w:rPr>
          <w:rFonts w:hint="eastAsia" w:ascii="宋体" w:hAnsi="宋体"/>
          <w:szCs w:val="21"/>
          <w:lang w:val="en-US" w:eastAsia="zh-CN"/>
        </w:rPr>
        <w:t xml:space="preserve">  </w:t>
      </w:r>
      <w:r>
        <w:rPr>
          <w:rFonts w:hint="eastAsia" w:ascii="宋体" w:hAnsi="宋体"/>
          <w:szCs w:val="21"/>
        </w:rPr>
        <w:t>李进</w:t>
      </w:r>
    </w:p>
    <w:p w14:paraId="6D1D51E8">
      <w:pPr>
        <w:pStyle w:val="3"/>
      </w:pPr>
      <w:r>
        <w:rPr>
          <w:rFonts w:hint="eastAsia"/>
        </w:rPr>
        <w:t>教育</w:t>
      </w:r>
    </w:p>
    <w:p w14:paraId="0374E748">
      <w:pPr>
        <w:pStyle w:val="4"/>
      </w:pPr>
      <w:r>
        <w:rPr>
          <w:rFonts w:hint="eastAsia"/>
        </w:rPr>
        <w:t>【概况】</w:t>
      </w:r>
    </w:p>
    <w:p w14:paraId="18A01AF9">
      <w:pPr>
        <w:ind w:firstLine="420"/>
        <w:rPr>
          <w:rFonts w:ascii="宋体" w:hAnsi="宋体"/>
          <w:szCs w:val="21"/>
        </w:rPr>
      </w:pPr>
      <w:r>
        <w:rPr>
          <w:rFonts w:hint="eastAsia" w:ascii="宋体" w:hAnsi="宋体"/>
          <w:szCs w:val="21"/>
        </w:rPr>
        <w:t>2011年南雄市教育工作切实开展履职体系建设，以改革创新为动力，以提高质量为核心，努力开创南雄教育事业发展新局面。一年来，努力推动全市学前教育大发展，基本普及学前教育，</w:t>
      </w:r>
      <w:r>
        <w:rPr>
          <w:rFonts w:hint="eastAsia" w:ascii="宋体" w:hAnsi="宋体"/>
          <w:szCs w:val="21"/>
          <w:lang w:val="en-US" w:eastAsia="zh-CN"/>
        </w:rPr>
        <w:t>完</w:t>
      </w:r>
      <w:r>
        <w:rPr>
          <w:rFonts w:hint="eastAsia" w:ascii="宋体" w:hAnsi="宋体"/>
          <w:szCs w:val="21"/>
        </w:rPr>
        <w:t>成9所乡镇中心幼儿园和3所片村幼儿园改建任务；有5所镇中心幼儿园被评为“韶关市一级幼儿园”。投资6350万元，推进123个“校安工程”项目改造，并以此为契机，实现新时期新阶段学校布局调整新突破。城区小学实现学区管理，启动推进新八一路小学、新全安中学和新雄州中学重点工程项目建设。切实改革机关管理体制，加强校长和教师队伍建设，实施教学精细化管理，狠抓教学质量，提高教育教学效益，普及义务教育、高中教育各项指标均超全省平均水平。职业教育得到巩固提高。通过大力推进规范化学校建设和教育创强工作，全市教育发展环境得到进一步优化，教育发展内涵更加丰富。2011年，南雄市党政领导基础教育工作责任被韶关市考核为“优秀等次”；南雄市教育局被韶关市委、市政府授予“法制教育先进单位”等荣誉称号；百顺小学等18所学校被评为广东省规范化学校；帽子峰、澜河、水口镇顺利通过广东省教育强镇督导评估验收。</w:t>
      </w:r>
    </w:p>
    <w:p w14:paraId="0B89E905">
      <w:pPr>
        <w:pStyle w:val="4"/>
      </w:pPr>
      <w:r>
        <w:rPr>
          <w:rFonts w:hint="eastAsia"/>
        </w:rPr>
        <w:t>【学前教育】</w:t>
      </w:r>
    </w:p>
    <w:p w14:paraId="671AF449">
      <w:pPr>
        <w:ind w:firstLine="420"/>
        <w:rPr>
          <w:rFonts w:ascii="宋体" w:hAnsi="宋体"/>
          <w:szCs w:val="21"/>
        </w:rPr>
      </w:pPr>
      <w:r>
        <w:rPr>
          <w:rFonts w:hint="eastAsia" w:ascii="宋体" w:hAnsi="宋体"/>
          <w:szCs w:val="21"/>
        </w:rPr>
        <w:t>2011年春以来，南雄市全面贯彻落实《广东省发展学前教育三年行动计划》，制订发展学前教育三年总体目标，即到2013年，全市初步建立起覆盖城乡、布局合理的学前教育公共服务体系，初步实现办园条件规范化、保教工作科学化，实现学前教育跨越式发展。第一，加快推进中心幼儿园建设。一是力推公办体制。有计划、分步骤、有重点，推进乡镇中心幼儿园建设，市政府常务会议确立“在全市各镇建设一所公办镇中心幼儿园”的目标（《市府常务会议纪要》2011年第5期），镇中心幼儿园建设力推公办体制，引领示范全市学前教育优质办园。二是力推品牌办园。在分步推进镇中心幼儿园建设中，以市机关幼儿园办园模式为标准，园舍设备设施以机关幼儿园的配备为参照标准，机关幼儿园派干部和教师到各分园指导办园。投入2600多万元，已完成9所乡镇中心幼儿园和3所片村幼儿园的改建任务。9所镇中心幼儿园分别是水口中心幼儿园、澜河中心幼儿园、帽子峰中心幼儿园、坪田教育中心幼儿园、古市中心幼儿园、珠玑苏东霖幼儿园、黄坑中心幼儿园、油山中心幼儿园、南雄市中心幼儿园。3所村级幼儿园分别是河坪小学幼儿园、坪田智慧幼儿园、梅岭中英文幼儿园。如今市乡镇及片村幼儿园的园舍面貌焕然一新，办园条件得到根本改善。其中，黄坑、水口、澜河、帽子峰四镇中心幼儿园建成“韶关市一级幼儿园”，为四个镇的教育强镇建设顺利通过，打下坚实基础。第二，引资办园，以评促建。。一是引资办园，示范带动。引人东莞市长安镇“乐童幼儿园”幼教基金1200多万元，按珠三角地区办园模式和标准，以办“连锁幼儿园”形式，创建园舍宽敞、设施完善、办园标准规范，建筑达8500多平方米的“南雄市中心幼儿园”，该园于今年9月成功创办，该园成功创办，对引领全市各类幼儿园发展具有较好竞争激励作用。二是以评促建，督促提升。市教育局深入全市各幼儿园，了解各幼儿园办园情况，并采取以评促建的方法，督促加大资金投入，改善办园条件，提升办园水平。其中，雄州街道蓝天、八一、雄中及油山大塘奇思、坪田智慧、黄坑诗怡等6所民办幼儿园累计投入550多万元进行改造，办园场所得到扩大，办园档次进一步提升。随着乡镇幼儿园办园水平不断提高，2011年有8所幼儿园评为南雄市一级幼儿园，有5所幼儿园评为韶关市一级幼儿园。</w:t>
      </w:r>
    </w:p>
    <w:p w14:paraId="6F47E0CD">
      <w:pPr>
        <w:pStyle w:val="4"/>
      </w:pPr>
      <w:r>
        <w:rPr>
          <w:rFonts w:hint="eastAsia"/>
        </w:rPr>
        <w:t>【义务教育】</w:t>
      </w:r>
    </w:p>
    <w:p w14:paraId="4DE38CEE">
      <w:pPr>
        <w:ind w:firstLine="420"/>
        <w:rPr>
          <w:rFonts w:ascii="宋体" w:hAnsi="宋体"/>
          <w:szCs w:val="21"/>
        </w:rPr>
      </w:pPr>
      <w:r>
        <w:rPr>
          <w:rFonts w:hint="eastAsia" w:ascii="宋体" w:hAnsi="宋体"/>
          <w:szCs w:val="21"/>
        </w:rPr>
        <w:t>一是抓好防流控辍工作。在按照“谁主管，谁负责”的原则，切实抓好防流控辍工作。继续实行“两免一补”政策，全市免费入学义务教育队段学生为48667人，财政补助公用经费935万元。全市补助贫困学生7982人，发放生活津贴109万元。2011年，全市适龄儿童入学率达106.9%，小学五年保留率达98.5%；初中入学率117.5%，三年保留率95.02%，高中阶段入学率94.9%。二是做好“留守学生”关爱工作。各校加大对流动人口子女关爱力度，建立流动人口子女档案，安排专人帮扶，如新城小学、古市中心小学等校对“留守学生”关爱活动得到社会的支持。三是开展教学质量评估。成立“义务教育阶段学校教学质量评估工作领导小组”，推动义务教育阶段学校教育质量的提升。迎接韶关市教学质量评估工作会议，以“韶关市教学质量评估”为契机，推进学校教学常规的精细化管理，先后在新城王锦辉中学、黄坑中心小学、珠玑中学、邓坊中学、湖口中学、帽子峰学校、澜河陈经纶学校、界址中学、坪田中学、水口中学等16所学校进行课堂教学质量评估视导。通过评估视导，促进教师转变教学观念，提高教学质量。四是加强备考研讨，促进教学交流。先后在乌迳中学、全安中学、江头中学举行思品、英语、历史中考备考研讨会，促进教师之间的教学经验交流，资源共享，取长补短，提高中考质量。</w:t>
      </w:r>
    </w:p>
    <w:p w14:paraId="3E5FE738">
      <w:pPr>
        <w:pStyle w:val="4"/>
      </w:pPr>
      <w:r>
        <w:rPr>
          <w:rFonts w:hint="eastAsia"/>
        </w:rPr>
        <w:t>【高中教育】</w:t>
      </w:r>
    </w:p>
    <w:p w14:paraId="014CE7A6">
      <w:pPr>
        <w:ind w:firstLine="420"/>
        <w:rPr>
          <w:rFonts w:ascii="宋体" w:hAnsi="宋体"/>
          <w:szCs w:val="21"/>
        </w:rPr>
      </w:pPr>
      <w:r>
        <w:rPr>
          <w:rFonts w:hint="eastAsia" w:ascii="宋体" w:hAnsi="宋体"/>
          <w:szCs w:val="21"/>
        </w:rPr>
        <w:t>高中学校突出“人本管理”的特色和科研兴校的办学风格，结合年轻教师多的客观实际，采取年轻教师与老教师师徒结对的形式，加快促进年轻教师的成长，推动办学质量和人才培养的快速提升。2011年，全市高考取得可喜成绩：专科以上人线总人数继续名列韶关市各县（市、区）榜首。一本（重点）、本科及艺术类高考等成绩均居韶关市各县（市、区）前列。全面高质量完成韶关市下达南雄市今年高考任务。</w:t>
      </w:r>
    </w:p>
    <w:p w14:paraId="4CB2A871">
      <w:pPr>
        <w:pStyle w:val="4"/>
      </w:pPr>
      <w:r>
        <w:rPr>
          <w:rFonts w:hint="eastAsia"/>
        </w:rPr>
        <w:t>【提升职业教育水平】</w:t>
      </w:r>
    </w:p>
    <w:p w14:paraId="0FD78FA0">
      <w:pPr>
        <w:ind w:firstLine="420"/>
        <w:rPr>
          <w:rFonts w:ascii="宋体" w:hAnsi="宋体"/>
          <w:szCs w:val="21"/>
        </w:rPr>
      </w:pPr>
      <w:r>
        <w:rPr>
          <w:rFonts w:hint="eastAsia" w:ascii="宋体" w:hAnsi="宋体"/>
          <w:szCs w:val="21"/>
        </w:rPr>
        <w:t>市中职学校以就业为导向，按照促进产业转型升级的战略目标，以技能为核心，面向市场办学，着力培养职业道德好、专业技能强、深受用人单位欢迎的高素质劳动者。推行双证制度，鼓励学生考证，双证率达83.7%。学生就业供不应求，就业率达98%以上。2011年“3+证书”高职类高考，考生69人，上线45人，上线率65.2%，高韶关市平均上线率10个百分点。</w:t>
      </w:r>
    </w:p>
    <w:p w14:paraId="4F9EB982">
      <w:pPr>
        <w:pStyle w:val="4"/>
      </w:pPr>
      <w:r>
        <w:rPr>
          <w:rFonts w:hint="eastAsia"/>
        </w:rPr>
        <w:t>【教育强镇建设】</w:t>
      </w:r>
    </w:p>
    <w:p w14:paraId="56BFF47E">
      <w:pPr>
        <w:ind w:firstLine="420"/>
        <w:rPr>
          <w:rFonts w:ascii="宋体" w:hAnsi="宋体"/>
          <w:szCs w:val="21"/>
        </w:rPr>
      </w:pPr>
      <w:r>
        <w:rPr>
          <w:rFonts w:hint="eastAsia" w:ascii="宋体" w:hAnsi="宋体"/>
          <w:szCs w:val="21"/>
        </w:rPr>
        <w:t>2011年启动水口、澜河、帽子峰、坪田四个镇教育强镇建设，各级党委、政府在推进教育创强过程中，做了大量卓有成效的工作，把教育切实放在全局性、基础性、战略性的地位，教育的政府行为得到进一步强化，“党政重教，政策兴教”较好地落到实处。通过教育创强工作，较好地凝聚和调动社会合力，营造支持教育事业发展的良好舆论环境，重视教育、支持教育、崇尚教育的社会氛围进一步形成。2011年，在水口、澜河、帽子峰、坪田四个创强镇的坪田新龙金城中心小学、坪田爱生小学、横岭分教点、长坑分教点、迳洞分教点，坪田中学，澜河陈经纶学校、白云小学，水口中心幼儿园、弱过分教点、泷头分教点、河坪小学，水口学校中学部，帽子峰学校、上龙分教点等15所学校（分教点）进行大规模的校园整治，整治工程项目达107个，土建工程总投入848万元。包括近年来其他校舍建设工程总投入在内，四个创强镇的校园建设总投入达到2600多万元。建设装备标准较高的教室、科学馆、阅览室、学生厨房、学生宿舍、塑胶运动场等，美化、硬化了校园，校园面貌发生了翻天覆地的变化。为推进教育创强和规范化学校建设，2011年南雄市加大教育装备投入，新购置计算机1047台，新建计算机室12间、教师课件制作室18间、电子白板多媒体教室170间、数字语音室5间，装配简易校园网3套、图书信息化管理系统52套，改造计算机室7间。此外，还配购图书17万册，添置书架235只，添购一批实验器材、图音体器材等，教育装备投入达到831万元，是五年来教育装备投入最多一年。澜河白云小学、油山中学等18所学校被评为广东省规范化学校。2011年12月，省专家组分别对帽子峰、澜河、水口三镇进行“省教育强镇”督导评估验收，对三个镇学校的办学特色给予充分肯定。通过教育强镇和规范化学校建设，一批学校得到跨越式发展，跳跃式前进，显示南雄市教育事业发展的强劲势头。</w:t>
      </w:r>
    </w:p>
    <w:p w14:paraId="38649647">
      <w:pPr>
        <w:pStyle w:val="4"/>
      </w:pPr>
      <w:r>
        <w:rPr>
          <w:rFonts w:hint="eastAsia"/>
        </w:rPr>
        <w:t>【教学精细管理】</w:t>
      </w:r>
    </w:p>
    <w:p w14:paraId="668AFBC8">
      <w:pPr>
        <w:ind w:firstLine="420"/>
        <w:rPr>
          <w:rFonts w:ascii="宋体" w:hAnsi="宋体"/>
          <w:szCs w:val="21"/>
        </w:rPr>
      </w:pPr>
      <w:r>
        <w:rPr>
          <w:rFonts w:hint="eastAsia" w:ascii="宋体" w:hAnsi="宋体"/>
          <w:szCs w:val="21"/>
        </w:rPr>
        <w:t>教学工作是学校中心工作。教育部门按照教学规律办事，狠抓学校教学常规的精细化管理，在雄中、一中同时恢复初一、初二各四个班、共1200名学生的招生；组织开展全市6年级和7年级语文、数学、英语的教学质量测试评估工作；2011年冬，在全市中小学各年级统一开展学业水平检测；对城区小学、初中、高中实行城区联考。通过引领、带动，坚持走质量兴校的内涵发展之路，推动全市教学质量的进一步提升。1、加强检查视导，落实课程计划。市教育局“小学部、初中部、高中部”通过到学校进行教学视导、教学评估以及教学检查等活动，先后审阅学校教学工作计划42份、学校科组计划205份、课程安排表42份、科任教师分工表42份、学科计划表3800份，检查落实课程计划的实施，从而促进全市素质教育的深入开展。为保证新课程教师的配备使用，做好信息技术、综合实践活动等课程的教师转岗培训，邀请电子白板等设备公司等专业培训师到中小学校进行技术应用操作培训，培训教师1560人次。目前，中青年教师具有信息技术与学科教学整合能力，多媒体计算机辅助教学授课占15%以上，80%以上的中青年教师能熟练使用电子计算机，能自行开发多媒体课件，保障全市中小学开齐课程开足课时。在2011年7月广东省第八届中小学电脑虚拟机器人竞赛中，南雄一中学生李选阳、叶景鑫获虚拟机器人足球项目一等奖，蓝炜获3D仿真虚拟机器人灭火项目二等奖；第九届全国中小学信息技术创新与实践活动中，南雄一中学生王文茏获3D虚拟机器人搜救项目二等奖。2、规范教学行为，落实教学目标。备好课是上好课的先决条件，认真备课是提高教学质量的关键。认识到了备课的重要性，在全市义务教育阶段实行手写教案。一是规范教案格式，备教备学备法。统一使用印制的《南雄市中小学备课本》，有授课题目、教学方法、教学过程等十三个环节，把教师教案和学生的学案融合在一起。二是检查实施情况，鼓励表彰先进。教育局小学、初中、高中管理部先后深入到全市各校进行检查，检查教案3985本，推动教师备课工作的扎实推进。通过检查，93%教案有教学和学生学习活动设计，89.6%教案填写教学反思。其中，湖口中心小学、珠玑中心小学等学校能做到节节有反思，月月有反思、季度有反思。2011年，全市中小学获“优秀教案奖”有415名。通过手写教案备课活动，努力营造“教学在规范中发展，在发展中规范教学的”氛围，为推进新课程改革向纵深发展，提高中小学教学质量，实现教育均衡发展提供有力的保障。2011年，小学、初中、高中部教研员推门听课486节、即时检查上课教师教案465本、点对点反馈438次、集中交流反馈48次；全市中小学学校领导推门听课1350节，课后点对点交流反馈852次；教师推门听课5万次以上。其中，珠玑中学统筹安排推门听课安排，每天安排3名学校中层以上领导深入课堂，随堂听课，课后及时反馈教学信息。</w:t>
      </w:r>
    </w:p>
    <w:p w14:paraId="2D923C52">
      <w:pPr>
        <w:pStyle w:val="4"/>
      </w:pPr>
      <w:r>
        <w:rPr>
          <w:rFonts w:hint="eastAsia"/>
        </w:rPr>
        <w:t>【教育科研活动】</w:t>
      </w:r>
    </w:p>
    <w:p w14:paraId="0F0398AC">
      <w:pPr>
        <w:ind w:firstLine="420"/>
        <w:rPr>
          <w:rFonts w:ascii="宋体" w:hAnsi="宋体"/>
          <w:szCs w:val="21"/>
        </w:rPr>
      </w:pPr>
      <w:r>
        <w:rPr>
          <w:rFonts w:hint="eastAsia" w:ascii="宋体" w:hAnsi="宋体"/>
          <w:szCs w:val="21"/>
        </w:rPr>
        <w:t>教研组是教师进行集体教学研究的基层组织，是学校落实办学理念、实施教学管理、培育教师成长的基层组织，加强教研组建设是提高教师专业化水平的主要途径。一是组织教师撰写教学论文，促进教师发展。2011年，全市教师积极参与各类教学论文、设计评选。其中中小学教师论文获奖人数为635人次，评为优秀课例161人次。二是丰富教研活动，促进教师成长。10月份以来，先后在全安镇中心小学、珠玑镇中心小学、油山镇中心小学、江头镇中心小学四校组织开展有147名专任教师参与的《聚焦课堂教学，携手共话有效教学》交流活动；在新城小学举行题为《谈如何有效地设计小学英语课堂教学》的专题学习活动，介绍有效课堂教学设计方法；在黎灿学校举行试卷评讲课教研活动，为试卷评讲课提供示范作用。2011年，先后组织全市性教研活动18科次，参加教研活动教师830多人次；先后组织有180多位教师参与的小学科学、数学、英语、语文等学科教师“送教”活动。全市中小学开展校本教研105次，培训一线教师15.75万人次，教师业务素质得到较大提高。2011年，全市中小学申报课题立项30个，申报结题28项；获得韶关市级以上课堂教学比赛奖励有25人次；获省级以上奖励的论文有14篇，获韶关市级以上奖励的论文有92篇，另有65个像课、教学设计、优秀课例获韶关市级以上奖励。其中，市一中青年教师邓东林同志在2011年广东省中学历史优秀课例展示交流评审活动中，荣获高中组二等奖；市一中特级教师黄学波荣获全国第九届“苏步青数学教育奖”。2011年中考，全市500分以上学生1013人，占考生数18%。其中，全安中学、雄州中学、新城中学、珠玑中学等基础较好的学校继续保持良好势头；一些规模不大、条件较薄弱的学校，如江头中学、界址中学等有较大进步。</w:t>
      </w:r>
    </w:p>
    <w:p w14:paraId="7FECC395">
      <w:pPr>
        <w:pStyle w:val="4"/>
      </w:pPr>
      <w:r>
        <w:rPr>
          <w:rFonts w:hint="eastAsia"/>
        </w:rPr>
        <w:t>【履职体系建设】</w:t>
      </w:r>
    </w:p>
    <w:p w14:paraId="395D7F75">
      <w:pPr>
        <w:ind w:firstLine="420"/>
        <w:rPr>
          <w:rFonts w:ascii="宋体" w:hAnsi="宋体"/>
          <w:szCs w:val="21"/>
        </w:rPr>
      </w:pPr>
      <w:r>
        <w:rPr>
          <w:rFonts w:hint="eastAsia" w:ascii="宋体" w:hAnsi="宋体"/>
          <w:szCs w:val="21"/>
        </w:rPr>
        <w:t>2011年3月20日，市委、市政府召开全市教育工作会议，全市教育系统深入学习贯彻全市教育工作会议精神，切实开展“履行职责，加快发展”活动，在全系统努力营造鼓励干事创业的氛围。一是改革教育管理体制。整合局机关的现有人力资源，进一步深化局机关管理体制改革，完善机关履职体系，推动局机关由行政机关向服务机关的职能转变。成立小学、初中、高中阶段学校“教育教学管理部”，负责指导管理全市中小学校的教育教学工作，规范学校办学行为，对学校教育教学质量进行督导评估。成立“学前与学校艺术教育管理中心”，对学前教育进行业务指导及质量督导评估。通过管理体制的改革，建立“部门协调，高效运转，履职到位，服务有序”的行政服务机关。二是加强校长队伍建设。2011年市教育局制订并下发《南雄市中小学校长管理暂行办法》，进一步明确校长以管校治校，抓好教育教学管理的核心职责。2011年8月，组织开展校长任职期满考核。局党委坚持民主集中制原则，在校长换届工作中做到集体研究、集体决策。为使校长个人优势、班子成员配备、学校办学需要三者之间达到最优化，本次校长期满换届考核，聘任152名校级领导，其中市管干部21名，提拔正职校长12名、副职校长39名，交流20名。还聘任中层干部292名。8月28日，举行“南雄市中小学（园）新一届班子任职大会”。</w:t>
      </w:r>
    </w:p>
    <w:p w14:paraId="18EC912D">
      <w:pPr>
        <w:pStyle w:val="4"/>
      </w:pPr>
      <w:r>
        <w:rPr>
          <w:rFonts w:hint="eastAsia"/>
        </w:rPr>
        <w:t>【教师队伍建设】</w:t>
      </w:r>
    </w:p>
    <w:p w14:paraId="326E0C88">
      <w:pPr>
        <w:ind w:firstLine="420"/>
        <w:rPr>
          <w:rFonts w:ascii="宋体" w:hAnsi="宋体"/>
          <w:szCs w:val="21"/>
        </w:rPr>
      </w:pPr>
      <w:r>
        <w:rPr>
          <w:rFonts w:hint="eastAsia" w:ascii="宋体" w:hAnsi="宋体"/>
          <w:szCs w:val="21"/>
        </w:rPr>
        <w:t>一是促进教师专业化发展。为进一步激发全市广大教师学习的积极性，促进教师队伍的专业化发展。2011年7月，在全市中小学和幼儿园阶段开展教师业务考试，考试成绩纳入教师绩效考核，并为今后选拔教师进行重点培养作为数据库。二是招考选调城区教师。为改善教师结构不合理、师资老化现状。2011年招收新教师77名，其中高中32名，农村中小学40名，幼儿园5名。同时，为深化教育人事制度改革，发挥人事工作的激励导向作用，促进教师有序合理流动，从农村中小学在职教师中，通过公开考试，选调51名素质较强的专任教师，充实到城区初级中学和小学任教。三是是加强师资培训，提高师资队伍教育教学水平。组织选派21名校长参加省市级校长培训班；选派20人中小学信息技术教师参加微软——教育部“携手助学”培训；7名幼儿园骨干教师、2人小学英语骨干教师、1人中学书法骨干教师参加韶关骨干教师培训；安排了10名农村中小学教师跟岗学习，18名农村中小学教师参加置换培训；组织4120名中小学教师参加《广东省转变经济发展方式读本》继续教育公需科目培训；安排355名中小学教师参加省教育技术中级培训；选派10名中小学英语教师参加省英语教师语言村培训；2名参加省香港烛光教育基金培训；组织97名高中教师参加省高中教师职务培训和2588名中小学教师参加韶关市义务教育学校教师综合素质提升全员培训。同时，对2010年招聘的100名教师进行远程培训，对2011年招聘的77名新教师的上岗培训。全年培训教师7000多人次。五是加强师资队伍管理制度建设。出台《南雄市中小学教师管理暂行办法》、《教职工履行职责及奖励性绩效工资实施办法》等制度，将教师履职情况与奖励性绩效工资挂钩，切实加强教师队伍管理，进一步促进广大教师切实履行教书育人职责，努力打造一支师德高尚、师风正派、教学精通、爱岗敬业的教师队伍，进一步营造认真履职、干事创业、创先争优的氛围。</w:t>
      </w:r>
    </w:p>
    <w:p w14:paraId="568E6261">
      <w:pPr>
        <w:pStyle w:val="4"/>
      </w:pPr>
      <w:r>
        <w:rPr>
          <w:rFonts w:hint="eastAsia"/>
        </w:rPr>
        <w:t>【德育工作】</w:t>
      </w:r>
    </w:p>
    <w:p w14:paraId="7A892A95">
      <w:pPr>
        <w:ind w:firstLine="420"/>
        <w:rPr>
          <w:rFonts w:ascii="宋体" w:hAnsi="宋体"/>
          <w:szCs w:val="21"/>
        </w:rPr>
      </w:pPr>
      <w:r>
        <w:rPr>
          <w:rFonts w:hint="eastAsia" w:ascii="宋体" w:hAnsi="宋体"/>
          <w:szCs w:val="21"/>
        </w:rPr>
        <w:t>一是以德育工作现场会为切入点，推动德育工作大发展。在水口中学召开“课外学习兴趣小组活动”现场会。该校近年开展的“课外学习兴趣小组活动”取得良好的效果。该校学生每天下午课外活动是同学们最快乐高兴的时候，唱歌、打球、跳绳、下棋、看书、画画…同学们根据自己的爱好选择参加，青春个性得以张扬，天赋特长得以发展，整个校园到处充满欢快的歌声、爽朗的笑声，成为南雄市实施素质教育典型示范学校。分别在黎灿学校、永康路小学和新城王锦辉中学、雄州中学举行小学、中学“心理辅导展示课”。由于全市留守学生较多，为确保他们健康成长，挑选部分优秀心理教育教师到城区学校进行“心理辅导课”展示交流，有效推动中小学生心理辅导工作开展，取得明显成效。二是以校园文化建设为切入点，营造良好育人环境。校园文化是一所学校综合实力的反映，校园文化核心主要表现为文化的凝聚力和创造力，优秀的校园文化能赋予师生独立的人格、独立的精神，激励师生不断反思、不断超越。2011年，以教育强镇和规范化学校建设为契机，重点推进校园文化建设，精心营造会“说话”的书香文化校园，通过浓郁文化气场培养青少年学生儒雅高尚的精、神、气。如，河坪小学挖掘张彰以人文历史为主题的校园文化，帽子峰学校构建“寝室、教室、厅廊”三大文化功能区等，以巧妙的设计和精美的构图所构筑的校园文化，对学生产生渗透性、持久性和选择性的作用，从而达到拓宽视野，提高学生人文道德素养，促进学生健康成长的目标。此外，各校通过举办艺术节、歌咏比赛、表演赛、读书节、运动会等丰富多彩的校园文化活动，丰富校园文化内涵，开创南雄德育工作新局面。三是以主题活动为切入点，提高学生的文明素养。继续深化《弟子规》学习教育活动，将《弟子规》学习活动与创建文明卫生城市、社区结合起来。把文明礼仪和责任教育作为德育教育的基点，把引导城区中小学生横过马路自觉走斑马线作为践行《弟子规》的切入点，让城区中小学生上学、放学集体走过斑马线、自觉将果皮纸屑丢入垃圾桶成为雄州街道一道亮丽的景观。此外，还有乌迳中学开展的“孝廉教育进校园”活动、古市中心小学开展的“红领巾文明监督岗”活动、新城王锦辉中学的“寝室文化建设”活动、主田莲花中心小学开展的“我为学校添光彩”主题教育活动等，由于这些活动内容及形式符合学生的心理特点，深受学生欢迎，收到良好效果。</w:t>
      </w:r>
    </w:p>
    <w:p w14:paraId="392CB69C">
      <w:pPr>
        <w:pStyle w:val="4"/>
      </w:pPr>
      <w:r>
        <w:rPr>
          <w:rFonts w:hint="eastAsia"/>
        </w:rPr>
        <w:t>【调整中小学布局】</w:t>
      </w:r>
    </w:p>
    <w:p w14:paraId="506954C4">
      <w:pPr>
        <w:ind w:firstLine="420"/>
        <w:rPr>
          <w:rFonts w:ascii="宋体" w:hAnsi="宋体"/>
          <w:szCs w:val="21"/>
        </w:rPr>
      </w:pPr>
      <w:r>
        <w:rPr>
          <w:rFonts w:hint="eastAsia" w:ascii="宋体" w:hAnsi="宋体"/>
          <w:szCs w:val="21"/>
        </w:rPr>
        <w:t>随着经济社会人口发展变化和城市进程加快发展，当前，农村学校学生人数不断下降，城市学校学生人数不断递增，城乡学校结构失衡，中小学布局面临着新情况和新问题。2011年6月，全市100人以下小学有119所，占全市小学总数66.4%；50人以下学校有78所，占全市小学数43.5%；20人以下学校有38所，占全市小学数21.1%；10人以下学校有27所，占全市小学数15.1%；其中百顺溪头小学、邓坊益田小学只有2名学生。全市农村小学分布广，规模小，师生人数少，学校管理粗放，办学效益低下已成为不容忽视的严重问题。另一方面，城区初中、小学学生人数均大幅增加，每校每班学生均超过50人，每校都存在大班额问题。中小学布局调整再一次提到各级党委政府的议事日程上。2011年，以“校安工程”建设为契机，前瞻谋划，提前布局，稳妥推进学校布局调整，实现新时期新阶段学校布局调整新突破。一是整合资源，实行城区小学学区管理。二是统筹兼顾，稳妥撤并“麻雀小学”。调整农村中小学校布局，统筹兼顾，稳妥推进，做到成熟一个，撤并一个。第一，通过办优质学校吸引学生前来就读。如，水口河坪小学服务区内有6个村委会，原有4个教学点，由于加大对河坪小学的投入，把河坪小学办成广东省规范化学校，学校办学条件好吸引周边村委会学生前来就读，原来的4个教学点自然消失撤并，没有采取任何行政措施。第二，努力办好寄宿制学校。学校撤并后，必然导致部分学生上学路途过远，需要住宿。建设好标准规范的学生宿舍、学生厨房、学生冲凉房，为学生提供方便舒适的寄宿住校环境，是撤并学校的前提和基础。至2011年止，全市32所农村规范化学校均建成为住宿制学校。第三，努力提供校车接送条件。目前，珠玑、水口等镇均雇请有资质较好的司机专车接送上下学的小学生。2011年4月，市公交公司也在全市各镇开通公交车，绝大部分农村学生上下学有了很大的方便，安全也有较好的保障。2011年，全市撤并教学点19个，教学点现保留到97个，办学效益得到进一步提升。三是提前布局，搬迁重建新全安中学。为统筹解决城区初中学位不足、为市区扩容提前布局学校。</w:t>
      </w:r>
    </w:p>
    <w:p w14:paraId="10976764">
      <w:pPr>
        <w:pStyle w:val="4"/>
      </w:pPr>
      <w:r>
        <w:rPr>
          <w:rFonts w:hint="eastAsia"/>
        </w:rPr>
        <w:t>【党风廉政建设】</w:t>
      </w:r>
    </w:p>
    <w:p w14:paraId="52E24783">
      <w:pPr>
        <w:ind w:firstLine="420"/>
        <w:rPr>
          <w:rFonts w:ascii="宋体" w:hAnsi="宋体"/>
          <w:szCs w:val="21"/>
        </w:rPr>
      </w:pPr>
      <w:r>
        <w:rPr>
          <w:rFonts w:hint="eastAsia" w:ascii="宋体" w:hAnsi="宋体"/>
          <w:szCs w:val="21"/>
        </w:rPr>
        <w:t>一是加强党风廉政建设责任书的签订落实工作，组织新一届校（园）长及中层干部进行《廉政准则》知识考试。二是创建党风廉政建设亮点工作。局纪委在乌迳中学开展“创建品牌师德”活动，推动该校教师立足岗位、奋发进取、教书育人、为人师表、做人民满意的教师。三是充分发挥党务政务公开栏、机关公开栏、南雄教育网的作用，积极推进党务、政务、校务公开，全面接受社会监督。四是加强对人权、事权、财权运行情况的重点监督，做到关口前移。完善“三重一大”（重大事项决策、重要干部任免、重要项目安排、大额资金的使用）决策前的集体研究决定机制。在财务基建、物资采购、干部任用、人事调配、职称评审、招生考试等重点领域和敏感环节，纪委全程参与监督。五是健全和推进“阳光使者”工程。2011年，局纪委全程参与南亩中心小学围墙、市一中学生宿舍等23个工程项目的招投标过程，对项目的招标、投标、开标、评标、定标等重要环节实施监督，确保招投标工作的公开、公正、公平。六是实施“校财局管”，推进教育经费统一结算。2011年，市教育局将“财务审核中心”改名为“财务结算中心”，取消各校会计机构，每校设一名专兼职报账员，报账员凭原始凭证到结算中心集中报帐。七是畅通信访渠道，维护教育稳定。完善局纪检监察信访工作制度，畅通信访渠道，规范信访件办理，依照政策规定，及时受理，按时办结。2011年，处理信访件58宗，结案58宗，结案率为100%。办理OA办公室系统答复464件，网络舆情答复8件，民声热线1件。为维护教育稳定发挥积极作用。</w:t>
      </w:r>
    </w:p>
    <w:p w14:paraId="0C0557EC">
      <w:pPr>
        <w:pStyle w:val="4"/>
      </w:pPr>
      <w:r>
        <w:rPr>
          <w:rFonts w:hint="eastAsia"/>
        </w:rPr>
        <w:t>【平安校园建设】</w:t>
      </w:r>
    </w:p>
    <w:p w14:paraId="7D851409">
      <w:pPr>
        <w:ind w:firstLine="420"/>
        <w:rPr>
          <w:rFonts w:ascii="宋体" w:hAnsi="宋体"/>
          <w:szCs w:val="21"/>
        </w:rPr>
      </w:pPr>
      <w:r>
        <w:rPr>
          <w:rFonts w:hint="eastAsia" w:ascii="宋体" w:hAnsi="宋体"/>
          <w:szCs w:val="21"/>
        </w:rPr>
        <w:t>制定落实《南雄市加强中小学（幼儿园）学生往返学校交通安全及车辆管理的工作意见》，建立学生往返学校交通安全和接送学生车辆管理长效机制。多次与公安交警部门联合开展校车检查活动，多次召开南雄中小学、幼儿园师生接送车辆安全工作会议，切实加强中小学幼儿园交通安全管理，确保校园师生接送车辆的安全。一是制订并下发《中小学幼儿园安全管理工作制度》，使校园安全做到“常规、常态、常识”，推动校园安全常态化。二是市教育局与南雄市食品药品监督管理局、南雄市疾病预防控制中心、南雄市卫生监督所组成3个联合检查组对市辖区内的30多所中学、中心小学的安全卫生管理工作进行了全面的检查，同时对学校厨房的餐（饮）具和饮用井水进行检测，促进全市学校安全卫生工作管理水平的提高。三是继续落实市财政每年拨出专款65万元，表282011年专职聘请校园安保人员，强化校园的封闭式管理，加强校园安保和物防技防建设，实行校园安全零报告。四是加强学校安全工作培训。先后举办“托幼机构及学校的卫生应急处理”、食堂管理等培训班；组织学校开展逃生演练、甲型H1N1流感防控等工作，使校园安全管理得到进一步加强。</w:t>
      </w:r>
    </w:p>
    <w:p w14:paraId="6F76F6A2">
      <w:pPr>
        <w:pStyle w:val="4"/>
      </w:pPr>
      <w:r>
        <w:rPr>
          <w:rFonts w:hint="eastAsia"/>
        </w:rPr>
        <w:t>【教育获奖荣誉】</w:t>
      </w:r>
    </w:p>
    <w:p w14:paraId="34DB02DC">
      <w:pPr>
        <w:ind w:firstLine="420"/>
        <w:rPr>
          <w:rFonts w:ascii="宋体" w:hAnsi="宋体"/>
          <w:szCs w:val="21"/>
        </w:rPr>
      </w:pPr>
      <w:r>
        <w:rPr>
          <w:rFonts w:hint="eastAsia" w:ascii="宋体" w:hAnsi="宋体"/>
          <w:szCs w:val="21"/>
        </w:rPr>
        <w:t>2011年，全市教育系统共夺得韶关市级以上各项集体荣誉66项。这些获奖单位主要是：</w:t>
      </w:r>
    </w:p>
    <w:p w14:paraId="01F7F077">
      <w:pPr>
        <w:ind w:firstLine="422"/>
        <w:jc w:val="center"/>
        <w:rPr>
          <w:rFonts w:ascii="宋体" w:hAnsi="宋体"/>
          <w:b/>
          <w:szCs w:val="21"/>
        </w:rPr>
      </w:pPr>
      <w:r>
        <w:rPr>
          <w:rFonts w:hint="eastAsia" w:ascii="宋体" w:hAnsi="宋体"/>
          <w:b/>
          <w:szCs w:val="21"/>
        </w:rPr>
        <w:t>表28 2011年教育获奖情况</w:t>
      </w:r>
    </w:p>
    <w:tbl>
      <w:tblPr>
        <w:tblStyle w:val="14"/>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30" w:type="dxa"/>
          <w:bottom w:w="0" w:type="dxa"/>
          <w:right w:w="30" w:type="dxa"/>
        </w:tblCellMar>
      </w:tblPr>
      <w:tblGrid>
        <w:gridCol w:w="3826"/>
        <w:gridCol w:w="1271"/>
        <w:gridCol w:w="3513"/>
        <w:gridCol w:w="1196"/>
      </w:tblGrid>
      <w:tr w14:paraId="74BEB37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jc w:val="center"/>
        </w:trPr>
        <w:tc>
          <w:tcPr>
            <w:tcW w:w="1951" w:type="pct"/>
            <w:vAlign w:val="center"/>
          </w:tcPr>
          <w:p w14:paraId="0C7FCB7A">
            <w:pPr>
              <w:pStyle w:val="23"/>
              <w:jc w:val="center"/>
              <w:rPr>
                <w:b/>
                <w:kern w:val="0"/>
              </w:rPr>
            </w:pPr>
            <w:r>
              <w:rPr>
                <w:b/>
                <w:kern w:val="0"/>
              </w:rPr>
              <w:t>荣誉称号</w:t>
            </w:r>
          </w:p>
        </w:tc>
        <w:tc>
          <w:tcPr>
            <w:tcW w:w="648" w:type="pct"/>
            <w:vAlign w:val="center"/>
          </w:tcPr>
          <w:p w14:paraId="2A64DE76">
            <w:pPr>
              <w:pStyle w:val="23"/>
              <w:jc w:val="center"/>
              <w:rPr>
                <w:b/>
                <w:kern w:val="0"/>
              </w:rPr>
            </w:pPr>
            <w:r>
              <w:rPr>
                <w:b/>
                <w:kern w:val="0"/>
              </w:rPr>
              <w:t>单位</w:t>
            </w:r>
          </w:p>
        </w:tc>
        <w:tc>
          <w:tcPr>
            <w:tcW w:w="1791" w:type="pct"/>
            <w:vAlign w:val="center"/>
          </w:tcPr>
          <w:p w14:paraId="49FE4CA0">
            <w:pPr>
              <w:pStyle w:val="23"/>
              <w:jc w:val="center"/>
              <w:rPr>
                <w:b/>
                <w:kern w:val="0"/>
              </w:rPr>
            </w:pPr>
            <w:r>
              <w:rPr>
                <w:b/>
                <w:kern w:val="0"/>
              </w:rPr>
              <w:t>授奖机构</w:t>
            </w:r>
          </w:p>
        </w:tc>
        <w:tc>
          <w:tcPr>
            <w:tcW w:w="610" w:type="pct"/>
            <w:vAlign w:val="center"/>
          </w:tcPr>
          <w:p w14:paraId="776D74A6">
            <w:pPr>
              <w:pStyle w:val="23"/>
              <w:jc w:val="center"/>
              <w:rPr>
                <w:b/>
                <w:kern w:val="0"/>
              </w:rPr>
            </w:pPr>
            <w:r>
              <w:rPr>
                <w:b/>
                <w:kern w:val="0"/>
              </w:rPr>
              <w:t>授奖时间</w:t>
            </w:r>
          </w:p>
        </w:tc>
      </w:tr>
      <w:tr w14:paraId="1DAA848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jc w:val="center"/>
        </w:trPr>
        <w:tc>
          <w:tcPr>
            <w:tcW w:w="1951" w:type="pct"/>
            <w:vAlign w:val="center"/>
          </w:tcPr>
          <w:p w14:paraId="1C645B52">
            <w:pPr>
              <w:pStyle w:val="23"/>
              <w:rPr>
                <w:kern w:val="0"/>
              </w:rPr>
            </w:pPr>
            <w:r>
              <w:rPr>
                <w:kern w:val="0"/>
              </w:rPr>
              <w:t>全国中小学信息技术创新与实践活动搜救机器人比赛二等奖</w:t>
            </w:r>
          </w:p>
        </w:tc>
        <w:tc>
          <w:tcPr>
            <w:tcW w:w="648" w:type="pct"/>
            <w:vAlign w:val="center"/>
          </w:tcPr>
          <w:p w14:paraId="65761589">
            <w:pPr>
              <w:pStyle w:val="23"/>
              <w:jc w:val="center"/>
              <w:rPr>
                <w:kern w:val="0"/>
              </w:rPr>
            </w:pPr>
            <w:r>
              <w:rPr>
                <w:kern w:val="0"/>
              </w:rPr>
              <w:t>南雄市第一中学</w:t>
            </w:r>
          </w:p>
        </w:tc>
        <w:tc>
          <w:tcPr>
            <w:tcW w:w="1791" w:type="pct"/>
            <w:vAlign w:val="center"/>
          </w:tcPr>
          <w:p w14:paraId="718703B0">
            <w:pPr>
              <w:pStyle w:val="23"/>
              <w:jc w:val="center"/>
              <w:rPr>
                <w:kern w:val="0"/>
              </w:rPr>
            </w:pPr>
            <w:r>
              <w:rPr>
                <w:kern w:val="0"/>
              </w:rPr>
              <w:t>中央电化教育馆</w:t>
            </w:r>
          </w:p>
        </w:tc>
        <w:tc>
          <w:tcPr>
            <w:tcW w:w="610" w:type="pct"/>
            <w:vAlign w:val="center"/>
          </w:tcPr>
          <w:p w14:paraId="2ADCB328">
            <w:pPr>
              <w:pStyle w:val="23"/>
              <w:jc w:val="center"/>
              <w:rPr>
                <w:kern w:val="0"/>
              </w:rPr>
            </w:pPr>
            <w:r>
              <w:rPr>
                <w:kern w:val="0"/>
              </w:rPr>
              <w:t>2011年7月</w:t>
            </w:r>
          </w:p>
        </w:tc>
      </w:tr>
      <w:tr w14:paraId="2E95428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jc w:val="center"/>
        </w:trPr>
        <w:tc>
          <w:tcPr>
            <w:tcW w:w="1951" w:type="pct"/>
            <w:vAlign w:val="center"/>
          </w:tcPr>
          <w:p w14:paraId="0E561B27">
            <w:pPr>
              <w:pStyle w:val="23"/>
              <w:rPr>
                <w:kern w:val="0"/>
              </w:rPr>
            </w:pPr>
            <w:r>
              <w:rPr>
                <w:kern w:val="0"/>
              </w:rPr>
              <w:t>“先进基层党组织”“先进基层党组织”</w:t>
            </w:r>
          </w:p>
        </w:tc>
        <w:tc>
          <w:tcPr>
            <w:tcW w:w="648" w:type="pct"/>
            <w:vAlign w:val="center"/>
          </w:tcPr>
          <w:p w14:paraId="1A40EB72">
            <w:pPr>
              <w:pStyle w:val="23"/>
              <w:jc w:val="center"/>
              <w:rPr>
                <w:kern w:val="0"/>
              </w:rPr>
            </w:pPr>
            <w:r>
              <w:rPr>
                <w:kern w:val="0"/>
              </w:rPr>
              <w:t>南雄市第一中学</w:t>
            </w:r>
          </w:p>
        </w:tc>
        <w:tc>
          <w:tcPr>
            <w:tcW w:w="1791" w:type="pct"/>
            <w:vAlign w:val="center"/>
          </w:tcPr>
          <w:p w14:paraId="49FA065B">
            <w:pPr>
              <w:pStyle w:val="23"/>
              <w:jc w:val="center"/>
              <w:rPr>
                <w:kern w:val="0"/>
              </w:rPr>
            </w:pPr>
            <w:r>
              <w:rPr>
                <w:kern w:val="0"/>
              </w:rPr>
              <w:t>中共韶关市委教育工作委员会</w:t>
            </w:r>
          </w:p>
        </w:tc>
        <w:tc>
          <w:tcPr>
            <w:tcW w:w="610" w:type="pct"/>
            <w:vAlign w:val="center"/>
          </w:tcPr>
          <w:p w14:paraId="291AF25F">
            <w:pPr>
              <w:pStyle w:val="23"/>
              <w:jc w:val="center"/>
              <w:rPr>
                <w:kern w:val="0"/>
              </w:rPr>
            </w:pPr>
            <w:r>
              <w:rPr>
                <w:kern w:val="0"/>
              </w:rPr>
              <w:t>2011年6月</w:t>
            </w:r>
          </w:p>
        </w:tc>
      </w:tr>
      <w:tr w14:paraId="1E38190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jc w:val="center"/>
        </w:trPr>
        <w:tc>
          <w:tcPr>
            <w:tcW w:w="1951" w:type="pct"/>
            <w:vAlign w:val="center"/>
          </w:tcPr>
          <w:p w14:paraId="6B63AC92">
            <w:pPr>
              <w:pStyle w:val="23"/>
              <w:rPr>
                <w:kern w:val="0"/>
              </w:rPr>
            </w:pPr>
            <w:r>
              <w:rPr>
                <w:kern w:val="0"/>
              </w:rPr>
              <w:t>“先进基层党组织”“先进基层党组织”</w:t>
            </w:r>
          </w:p>
        </w:tc>
        <w:tc>
          <w:tcPr>
            <w:tcW w:w="648" w:type="pct"/>
            <w:vAlign w:val="center"/>
          </w:tcPr>
          <w:p w14:paraId="6873AD14">
            <w:pPr>
              <w:pStyle w:val="23"/>
              <w:jc w:val="center"/>
              <w:rPr>
                <w:kern w:val="0"/>
              </w:rPr>
            </w:pPr>
            <w:r>
              <w:rPr>
                <w:kern w:val="0"/>
              </w:rPr>
              <w:t>南雄市第一中学</w:t>
            </w:r>
          </w:p>
        </w:tc>
        <w:tc>
          <w:tcPr>
            <w:tcW w:w="1791" w:type="pct"/>
            <w:vAlign w:val="center"/>
          </w:tcPr>
          <w:p w14:paraId="56AFC218">
            <w:pPr>
              <w:pStyle w:val="23"/>
              <w:jc w:val="center"/>
              <w:rPr>
                <w:kern w:val="0"/>
              </w:rPr>
            </w:pPr>
            <w:r>
              <w:rPr>
                <w:kern w:val="0"/>
              </w:rPr>
              <w:t>中共韶关市委</w:t>
            </w:r>
          </w:p>
        </w:tc>
        <w:tc>
          <w:tcPr>
            <w:tcW w:w="610" w:type="pct"/>
            <w:vAlign w:val="center"/>
          </w:tcPr>
          <w:p w14:paraId="34514D66">
            <w:pPr>
              <w:pStyle w:val="23"/>
              <w:jc w:val="center"/>
              <w:rPr>
                <w:kern w:val="0"/>
              </w:rPr>
            </w:pPr>
            <w:r>
              <w:rPr>
                <w:kern w:val="0"/>
              </w:rPr>
              <w:t>2011年6月</w:t>
            </w:r>
          </w:p>
        </w:tc>
      </w:tr>
      <w:tr w14:paraId="433031D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jc w:val="center"/>
        </w:trPr>
        <w:tc>
          <w:tcPr>
            <w:tcW w:w="1951" w:type="pct"/>
            <w:vAlign w:val="center"/>
          </w:tcPr>
          <w:p w14:paraId="508FD1BD">
            <w:pPr>
              <w:pStyle w:val="23"/>
              <w:rPr>
                <w:kern w:val="0"/>
              </w:rPr>
            </w:pPr>
            <w:r>
              <w:rPr>
                <w:kern w:val="0"/>
              </w:rPr>
              <w:t>2006-2010年全市法制宣传教育先进单位</w:t>
            </w:r>
          </w:p>
        </w:tc>
        <w:tc>
          <w:tcPr>
            <w:tcW w:w="648" w:type="pct"/>
            <w:vAlign w:val="center"/>
          </w:tcPr>
          <w:p w14:paraId="175869EE">
            <w:pPr>
              <w:pStyle w:val="23"/>
              <w:jc w:val="center"/>
              <w:rPr>
                <w:kern w:val="0"/>
              </w:rPr>
            </w:pPr>
            <w:r>
              <w:rPr>
                <w:kern w:val="0"/>
              </w:rPr>
              <w:t>南雄中学</w:t>
            </w:r>
          </w:p>
        </w:tc>
        <w:tc>
          <w:tcPr>
            <w:tcW w:w="1791" w:type="pct"/>
            <w:vAlign w:val="center"/>
          </w:tcPr>
          <w:p w14:paraId="5931673F">
            <w:pPr>
              <w:pStyle w:val="23"/>
              <w:jc w:val="center"/>
              <w:rPr>
                <w:kern w:val="0"/>
              </w:rPr>
            </w:pPr>
            <w:r>
              <w:rPr>
                <w:kern w:val="0"/>
              </w:rPr>
              <w:t>中共韶关市委韶关市人民政府</w:t>
            </w:r>
          </w:p>
        </w:tc>
        <w:tc>
          <w:tcPr>
            <w:tcW w:w="610" w:type="pct"/>
            <w:vAlign w:val="center"/>
          </w:tcPr>
          <w:p w14:paraId="474A0009">
            <w:pPr>
              <w:pStyle w:val="23"/>
              <w:jc w:val="center"/>
              <w:rPr>
                <w:kern w:val="0"/>
              </w:rPr>
            </w:pPr>
            <w:r>
              <w:rPr>
                <w:kern w:val="0"/>
              </w:rPr>
              <w:t>2011年8月</w:t>
            </w:r>
          </w:p>
        </w:tc>
      </w:tr>
      <w:tr w14:paraId="3931AD4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jc w:val="center"/>
        </w:trPr>
        <w:tc>
          <w:tcPr>
            <w:tcW w:w="1951" w:type="pct"/>
            <w:vAlign w:val="center"/>
          </w:tcPr>
          <w:p w14:paraId="36E07629">
            <w:pPr>
              <w:pStyle w:val="23"/>
              <w:rPr>
                <w:kern w:val="0"/>
              </w:rPr>
            </w:pPr>
            <w:r>
              <w:rPr>
                <w:kern w:val="0"/>
              </w:rPr>
              <w:t>广东省“书香岭南”全民读书活动。广东省“书香校园”</w:t>
            </w:r>
          </w:p>
        </w:tc>
        <w:tc>
          <w:tcPr>
            <w:tcW w:w="648" w:type="pct"/>
            <w:vAlign w:val="center"/>
          </w:tcPr>
          <w:p w14:paraId="3AAC4580">
            <w:pPr>
              <w:pStyle w:val="23"/>
              <w:jc w:val="center"/>
              <w:rPr>
                <w:kern w:val="0"/>
              </w:rPr>
            </w:pPr>
            <w:r>
              <w:rPr>
                <w:kern w:val="0"/>
              </w:rPr>
              <w:t>南雄市第一中学</w:t>
            </w:r>
          </w:p>
        </w:tc>
        <w:tc>
          <w:tcPr>
            <w:tcW w:w="1791" w:type="pct"/>
            <w:vAlign w:val="center"/>
          </w:tcPr>
          <w:p w14:paraId="43CC629A">
            <w:pPr>
              <w:pStyle w:val="23"/>
              <w:jc w:val="center"/>
              <w:rPr>
                <w:kern w:val="0"/>
              </w:rPr>
            </w:pPr>
            <w:r>
              <w:rPr>
                <w:kern w:val="0"/>
              </w:rPr>
              <w:t>中共广东省宣传部、广东省教育厅</w:t>
            </w:r>
          </w:p>
        </w:tc>
        <w:tc>
          <w:tcPr>
            <w:tcW w:w="610" w:type="pct"/>
            <w:vAlign w:val="center"/>
          </w:tcPr>
          <w:p w14:paraId="474F765E">
            <w:pPr>
              <w:pStyle w:val="23"/>
              <w:jc w:val="center"/>
              <w:rPr>
                <w:kern w:val="0"/>
              </w:rPr>
            </w:pPr>
            <w:r>
              <w:rPr>
                <w:kern w:val="0"/>
              </w:rPr>
              <w:t>2011年10月</w:t>
            </w:r>
          </w:p>
        </w:tc>
      </w:tr>
      <w:tr w14:paraId="1257303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jc w:val="center"/>
        </w:trPr>
        <w:tc>
          <w:tcPr>
            <w:tcW w:w="1951" w:type="pct"/>
            <w:vAlign w:val="center"/>
          </w:tcPr>
          <w:p w14:paraId="710F8CE6">
            <w:pPr>
              <w:pStyle w:val="23"/>
              <w:rPr>
                <w:kern w:val="0"/>
              </w:rPr>
            </w:pPr>
            <w:r>
              <w:rPr>
                <w:kern w:val="0"/>
              </w:rPr>
              <w:t>广东省“书香岭南”全民读书活动“书香校园”称号</w:t>
            </w:r>
          </w:p>
        </w:tc>
        <w:tc>
          <w:tcPr>
            <w:tcW w:w="648" w:type="pct"/>
            <w:vAlign w:val="center"/>
          </w:tcPr>
          <w:p w14:paraId="10FEE638">
            <w:pPr>
              <w:pStyle w:val="23"/>
              <w:jc w:val="center"/>
              <w:rPr>
                <w:kern w:val="0"/>
              </w:rPr>
            </w:pPr>
            <w:r>
              <w:rPr>
                <w:kern w:val="0"/>
              </w:rPr>
              <w:t>南雄中学</w:t>
            </w:r>
          </w:p>
        </w:tc>
        <w:tc>
          <w:tcPr>
            <w:tcW w:w="1791" w:type="pct"/>
            <w:vAlign w:val="center"/>
          </w:tcPr>
          <w:p w14:paraId="797570EE">
            <w:pPr>
              <w:pStyle w:val="23"/>
              <w:jc w:val="center"/>
              <w:rPr>
                <w:kern w:val="0"/>
              </w:rPr>
            </w:pPr>
            <w:r>
              <w:rPr>
                <w:kern w:val="0"/>
              </w:rPr>
              <w:t>中共广东省委宣传部广东省教育厅</w:t>
            </w:r>
          </w:p>
        </w:tc>
        <w:tc>
          <w:tcPr>
            <w:tcW w:w="610" w:type="pct"/>
            <w:vAlign w:val="center"/>
          </w:tcPr>
          <w:p w14:paraId="08950070">
            <w:pPr>
              <w:pStyle w:val="23"/>
              <w:jc w:val="center"/>
              <w:rPr>
                <w:kern w:val="0"/>
              </w:rPr>
            </w:pPr>
            <w:r>
              <w:rPr>
                <w:kern w:val="0"/>
              </w:rPr>
              <w:t>2011年10月</w:t>
            </w:r>
          </w:p>
        </w:tc>
      </w:tr>
      <w:tr w14:paraId="51731B3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jc w:val="center"/>
        </w:trPr>
        <w:tc>
          <w:tcPr>
            <w:tcW w:w="1951" w:type="pct"/>
            <w:vAlign w:val="center"/>
          </w:tcPr>
          <w:p w14:paraId="747AAA09">
            <w:pPr>
              <w:pStyle w:val="23"/>
              <w:rPr>
                <w:kern w:val="0"/>
              </w:rPr>
            </w:pPr>
            <w:r>
              <w:rPr>
                <w:kern w:val="0"/>
              </w:rPr>
              <w:t>广东省“书香校园”</w:t>
            </w:r>
          </w:p>
        </w:tc>
        <w:tc>
          <w:tcPr>
            <w:tcW w:w="648" w:type="pct"/>
            <w:vAlign w:val="center"/>
          </w:tcPr>
          <w:p w14:paraId="1C29BB35">
            <w:pPr>
              <w:pStyle w:val="23"/>
              <w:jc w:val="center"/>
              <w:rPr>
                <w:kern w:val="0"/>
              </w:rPr>
            </w:pPr>
            <w:r>
              <w:rPr>
                <w:kern w:val="0"/>
              </w:rPr>
              <w:t>新城王锦辉中学</w:t>
            </w:r>
          </w:p>
        </w:tc>
        <w:tc>
          <w:tcPr>
            <w:tcW w:w="1791" w:type="pct"/>
            <w:vAlign w:val="center"/>
          </w:tcPr>
          <w:p w14:paraId="12E3ED30">
            <w:pPr>
              <w:pStyle w:val="23"/>
              <w:jc w:val="center"/>
              <w:rPr>
                <w:kern w:val="0"/>
              </w:rPr>
            </w:pPr>
            <w:r>
              <w:rPr>
                <w:kern w:val="0"/>
              </w:rPr>
              <w:t>中共广东省委宣传部广东省教育厅</w:t>
            </w:r>
          </w:p>
        </w:tc>
        <w:tc>
          <w:tcPr>
            <w:tcW w:w="610" w:type="pct"/>
            <w:vAlign w:val="center"/>
          </w:tcPr>
          <w:p w14:paraId="26F70DCA">
            <w:pPr>
              <w:pStyle w:val="23"/>
              <w:jc w:val="center"/>
              <w:rPr>
                <w:kern w:val="0"/>
              </w:rPr>
            </w:pPr>
            <w:r>
              <w:rPr>
                <w:kern w:val="0"/>
              </w:rPr>
              <w:t>2011年1月</w:t>
            </w:r>
          </w:p>
        </w:tc>
      </w:tr>
      <w:tr w14:paraId="5AF3FFE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jc w:val="center"/>
        </w:trPr>
        <w:tc>
          <w:tcPr>
            <w:tcW w:w="1951" w:type="pct"/>
            <w:vAlign w:val="center"/>
          </w:tcPr>
          <w:p w14:paraId="56C9D899">
            <w:pPr>
              <w:pStyle w:val="23"/>
              <w:rPr>
                <w:kern w:val="0"/>
              </w:rPr>
            </w:pPr>
            <w:r>
              <w:rPr>
                <w:kern w:val="0"/>
              </w:rPr>
              <w:t>韶关市第十六届中小学生“英东杯”舞蹈比赛(中学组)三等奖</w:t>
            </w:r>
          </w:p>
        </w:tc>
        <w:tc>
          <w:tcPr>
            <w:tcW w:w="648" w:type="pct"/>
            <w:vAlign w:val="center"/>
          </w:tcPr>
          <w:p w14:paraId="3F4F0A57">
            <w:pPr>
              <w:pStyle w:val="23"/>
              <w:jc w:val="center"/>
              <w:rPr>
                <w:kern w:val="0"/>
              </w:rPr>
            </w:pPr>
            <w:r>
              <w:rPr>
                <w:kern w:val="0"/>
              </w:rPr>
              <w:t>南雄中学</w:t>
            </w:r>
          </w:p>
        </w:tc>
        <w:tc>
          <w:tcPr>
            <w:tcW w:w="1791" w:type="pct"/>
            <w:vAlign w:val="center"/>
          </w:tcPr>
          <w:p w14:paraId="6326411B">
            <w:pPr>
              <w:pStyle w:val="23"/>
              <w:jc w:val="center"/>
              <w:rPr>
                <w:kern w:val="0"/>
              </w:rPr>
            </w:pPr>
            <w:r>
              <w:rPr>
                <w:kern w:val="0"/>
              </w:rPr>
              <w:t>韶关英东基金会韶关市教育局等</w:t>
            </w:r>
          </w:p>
        </w:tc>
        <w:tc>
          <w:tcPr>
            <w:tcW w:w="610" w:type="pct"/>
            <w:vAlign w:val="center"/>
          </w:tcPr>
          <w:p w14:paraId="0CFE471D">
            <w:pPr>
              <w:pStyle w:val="23"/>
              <w:jc w:val="center"/>
              <w:rPr>
                <w:kern w:val="0"/>
              </w:rPr>
            </w:pPr>
            <w:r>
              <w:rPr>
                <w:kern w:val="0"/>
              </w:rPr>
              <w:t>2011年11月</w:t>
            </w:r>
          </w:p>
        </w:tc>
      </w:tr>
      <w:tr w14:paraId="1CECA8E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jc w:val="center"/>
        </w:trPr>
        <w:tc>
          <w:tcPr>
            <w:tcW w:w="1951" w:type="pct"/>
            <w:vAlign w:val="center"/>
          </w:tcPr>
          <w:p w14:paraId="712F3E70">
            <w:pPr>
              <w:pStyle w:val="23"/>
              <w:rPr>
                <w:kern w:val="0"/>
              </w:rPr>
            </w:pPr>
            <w:r>
              <w:rPr>
                <w:kern w:val="0"/>
              </w:rPr>
              <w:t>韶关市第十六届中小学生“英东杯”篮球比赛(女子组)第三名</w:t>
            </w:r>
          </w:p>
        </w:tc>
        <w:tc>
          <w:tcPr>
            <w:tcW w:w="648" w:type="pct"/>
            <w:vAlign w:val="center"/>
          </w:tcPr>
          <w:p w14:paraId="67AC18B2">
            <w:pPr>
              <w:pStyle w:val="23"/>
              <w:jc w:val="center"/>
              <w:rPr>
                <w:kern w:val="0"/>
              </w:rPr>
            </w:pPr>
            <w:r>
              <w:rPr>
                <w:kern w:val="0"/>
              </w:rPr>
              <w:t>南雄中学</w:t>
            </w:r>
          </w:p>
        </w:tc>
        <w:tc>
          <w:tcPr>
            <w:tcW w:w="1791" w:type="pct"/>
            <w:vAlign w:val="center"/>
          </w:tcPr>
          <w:p w14:paraId="3557AC0C">
            <w:pPr>
              <w:pStyle w:val="23"/>
              <w:jc w:val="center"/>
              <w:rPr>
                <w:kern w:val="0"/>
              </w:rPr>
            </w:pPr>
            <w:r>
              <w:rPr>
                <w:kern w:val="0"/>
              </w:rPr>
              <w:t>韶关英东基金会韶关市教育局等</w:t>
            </w:r>
          </w:p>
        </w:tc>
        <w:tc>
          <w:tcPr>
            <w:tcW w:w="610" w:type="pct"/>
            <w:vAlign w:val="center"/>
          </w:tcPr>
          <w:p w14:paraId="614D229D">
            <w:pPr>
              <w:pStyle w:val="23"/>
              <w:jc w:val="center"/>
              <w:rPr>
                <w:kern w:val="0"/>
              </w:rPr>
            </w:pPr>
            <w:r>
              <w:rPr>
                <w:kern w:val="0"/>
              </w:rPr>
              <w:t>2011年11月</w:t>
            </w:r>
          </w:p>
        </w:tc>
      </w:tr>
      <w:tr w14:paraId="7DE2B7B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jc w:val="center"/>
        </w:trPr>
        <w:tc>
          <w:tcPr>
            <w:tcW w:w="1951" w:type="pct"/>
            <w:vAlign w:val="center"/>
          </w:tcPr>
          <w:p w14:paraId="33EA2304">
            <w:pPr>
              <w:pStyle w:val="23"/>
              <w:rPr>
                <w:kern w:val="0"/>
              </w:rPr>
            </w:pPr>
            <w:r>
              <w:rPr>
                <w:kern w:val="0"/>
              </w:rPr>
              <w:t>韶关市第十六届中小学生“英东杯”篮球比赛(男子组)第七名</w:t>
            </w:r>
          </w:p>
        </w:tc>
        <w:tc>
          <w:tcPr>
            <w:tcW w:w="648" w:type="pct"/>
            <w:vAlign w:val="center"/>
          </w:tcPr>
          <w:p w14:paraId="6DB59209">
            <w:pPr>
              <w:pStyle w:val="23"/>
              <w:jc w:val="center"/>
              <w:rPr>
                <w:kern w:val="0"/>
              </w:rPr>
            </w:pPr>
            <w:r>
              <w:rPr>
                <w:kern w:val="0"/>
              </w:rPr>
              <w:t>南雄中学</w:t>
            </w:r>
          </w:p>
        </w:tc>
        <w:tc>
          <w:tcPr>
            <w:tcW w:w="1791" w:type="pct"/>
            <w:vAlign w:val="center"/>
          </w:tcPr>
          <w:p w14:paraId="7F51C57A">
            <w:pPr>
              <w:pStyle w:val="23"/>
              <w:jc w:val="center"/>
              <w:rPr>
                <w:kern w:val="0"/>
              </w:rPr>
            </w:pPr>
            <w:r>
              <w:rPr>
                <w:kern w:val="0"/>
              </w:rPr>
              <w:t>韶关英东基金会韶关市教育局等</w:t>
            </w:r>
          </w:p>
        </w:tc>
        <w:tc>
          <w:tcPr>
            <w:tcW w:w="610" w:type="pct"/>
            <w:vAlign w:val="center"/>
          </w:tcPr>
          <w:p w14:paraId="54C8ED60">
            <w:pPr>
              <w:pStyle w:val="23"/>
              <w:jc w:val="center"/>
              <w:rPr>
                <w:kern w:val="0"/>
              </w:rPr>
            </w:pPr>
            <w:r>
              <w:rPr>
                <w:kern w:val="0"/>
              </w:rPr>
              <w:t>2011年11月</w:t>
            </w:r>
          </w:p>
        </w:tc>
      </w:tr>
      <w:tr w14:paraId="0DC3441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jc w:val="center"/>
        </w:trPr>
        <w:tc>
          <w:tcPr>
            <w:tcW w:w="1951" w:type="pct"/>
            <w:vAlign w:val="center"/>
          </w:tcPr>
          <w:p w14:paraId="48C61127">
            <w:pPr>
              <w:pStyle w:val="23"/>
              <w:rPr>
                <w:kern w:val="0"/>
              </w:rPr>
            </w:pPr>
            <w:r>
              <w:rPr>
                <w:kern w:val="0"/>
              </w:rPr>
              <w:t>韶关市第十六届中小学生“英东杯”舞蹈比赛(独舞)二等奖</w:t>
            </w:r>
          </w:p>
        </w:tc>
        <w:tc>
          <w:tcPr>
            <w:tcW w:w="648" w:type="pct"/>
            <w:vAlign w:val="center"/>
          </w:tcPr>
          <w:p w14:paraId="7E6FA2EB">
            <w:pPr>
              <w:pStyle w:val="23"/>
              <w:jc w:val="center"/>
              <w:rPr>
                <w:kern w:val="0"/>
              </w:rPr>
            </w:pPr>
            <w:r>
              <w:rPr>
                <w:kern w:val="0"/>
              </w:rPr>
              <w:t>南雄中学</w:t>
            </w:r>
          </w:p>
        </w:tc>
        <w:tc>
          <w:tcPr>
            <w:tcW w:w="1791" w:type="pct"/>
            <w:vAlign w:val="center"/>
          </w:tcPr>
          <w:p w14:paraId="08AEA26C">
            <w:pPr>
              <w:pStyle w:val="23"/>
              <w:jc w:val="center"/>
              <w:rPr>
                <w:kern w:val="0"/>
              </w:rPr>
            </w:pPr>
            <w:r>
              <w:rPr>
                <w:kern w:val="0"/>
              </w:rPr>
              <w:t>韶关英东基金会韶关市教育局等</w:t>
            </w:r>
          </w:p>
        </w:tc>
        <w:tc>
          <w:tcPr>
            <w:tcW w:w="610" w:type="pct"/>
            <w:vAlign w:val="center"/>
          </w:tcPr>
          <w:p w14:paraId="0D2A67C1">
            <w:pPr>
              <w:pStyle w:val="23"/>
              <w:jc w:val="center"/>
              <w:rPr>
                <w:kern w:val="0"/>
              </w:rPr>
            </w:pPr>
            <w:r>
              <w:rPr>
                <w:kern w:val="0"/>
              </w:rPr>
              <w:t>2011年11月</w:t>
            </w:r>
          </w:p>
        </w:tc>
      </w:tr>
      <w:tr w14:paraId="543BD6D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jc w:val="center"/>
        </w:trPr>
        <w:tc>
          <w:tcPr>
            <w:tcW w:w="1951" w:type="pct"/>
            <w:vAlign w:val="center"/>
          </w:tcPr>
          <w:p w14:paraId="2504F9FD">
            <w:pPr>
              <w:pStyle w:val="23"/>
              <w:rPr>
                <w:kern w:val="0"/>
              </w:rPr>
            </w:pPr>
            <w:r>
              <w:rPr>
                <w:kern w:val="0"/>
              </w:rPr>
              <w:t>韶关市第十六届中小学生“英东杯”歌唱比赛(独唱)一等奖</w:t>
            </w:r>
          </w:p>
        </w:tc>
        <w:tc>
          <w:tcPr>
            <w:tcW w:w="648" w:type="pct"/>
            <w:vAlign w:val="center"/>
          </w:tcPr>
          <w:p w14:paraId="2BCDEAF9">
            <w:pPr>
              <w:pStyle w:val="23"/>
              <w:jc w:val="center"/>
              <w:rPr>
                <w:kern w:val="0"/>
              </w:rPr>
            </w:pPr>
            <w:r>
              <w:rPr>
                <w:kern w:val="0"/>
              </w:rPr>
              <w:t>南雄中字</w:t>
            </w:r>
          </w:p>
        </w:tc>
        <w:tc>
          <w:tcPr>
            <w:tcW w:w="1791" w:type="pct"/>
            <w:vAlign w:val="center"/>
          </w:tcPr>
          <w:p w14:paraId="3AB906DB">
            <w:pPr>
              <w:pStyle w:val="23"/>
              <w:jc w:val="center"/>
              <w:rPr>
                <w:kern w:val="0"/>
              </w:rPr>
            </w:pPr>
            <w:r>
              <w:rPr>
                <w:kern w:val="0"/>
              </w:rPr>
              <w:t>韶关英东基金会韶关市教育局等</w:t>
            </w:r>
          </w:p>
        </w:tc>
        <w:tc>
          <w:tcPr>
            <w:tcW w:w="610" w:type="pct"/>
            <w:vAlign w:val="center"/>
          </w:tcPr>
          <w:p w14:paraId="03F20E91">
            <w:pPr>
              <w:pStyle w:val="23"/>
              <w:jc w:val="center"/>
              <w:rPr>
                <w:kern w:val="0"/>
              </w:rPr>
            </w:pPr>
            <w:r>
              <w:rPr>
                <w:kern w:val="0"/>
              </w:rPr>
              <w:t>2011年11月</w:t>
            </w:r>
          </w:p>
        </w:tc>
      </w:tr>
      <w:tr w14:paraId="6914E5B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jc w:val="center"/>
        </w:trPr>
        <w:tc>
          <w:tcPr>
            <w:tcW w:w="1951" w:type="pct"/>
            <w:vAlign w:val="center"/>
          </w:tcPr>
          <w:p w14:paraId="24E3684A">
            <w:pPr>
              <w:pStyle w:val="23"/>
              <w:rPr>
                <w:kern w:val="0"/>
              </w:rPr>
            </w:pPr>
            <w:r>
              <w:rPr>
                <w:kern w:val="0"/>
              </w:rPr>
              <w:t>韶关市第十六届中小学生“英东杯”器乐类比赛三等奖</w:t>
            </w:r>
          </w:p>
        </w:tc>
        <w:tc>
          <w:tcPr>
            <w:tcW w:w="648" w:type="pct"/>
            <w:vAlign w:val="center"/>
          </w:tcPr>
          <w:p w14:paraId="4303AA78">
            <w:pPr>
              <w:pStyle w:val="23"/>
              <w:jc w:val="center"/>
              <w:rPr>
                <w:kern w:val="0"/>
              </w:rPr>
            </w:pPr>
            <w:r>
              <w:rPr>
                <w:kern w:val="0"/>
              </w:rPr>
              <w:t>南雄中学</w:t>
            </w:r>
          </w:p>
        </w:tc>
        <w:tc>
          <w:tcPr>
            <w:tcW w:w="1791" w:type="pct"/>
            <w:vAlign w:val="center"/>
          </w:tcPr>
          <w:p w14:paraId="34DF26F4">
            <w:pPr>
              <w:pStyle w:val="23"/>
              <w:jc w:val="center"/>
              <w:rPr>
                <w:kern w:val="0"/>
              </w:rPr>
            </w:pPr>
            <w:r>
              <w:rPr>
                <w:kern w:val="0"/>
              </w:rPr>
              <w:t>韶关英东基金会韶关市教育局等</w:t>
            </w:r>
          </w:p>
        </w:tc>
        <w:tc>
          <w:tcPr>
            <w:tcW w:w="610" w:type="pct"/>
            <w:vAlign w:val="center"/>
          </w:tcPr>
          <w:p w14:paraId="564C0116">
            <w:pPr>
              <w:pStyle w:val="23"/>
              <w:jc w:val="center"/>
              <w:rPr>
                <w:kern w:val="0"/>
              </w:rPr>
            </w:pPr>
            <w:r>
              <w:rPr>
                <w:kern w:val="0"/>
              </w:rPr>
              <w:t>2011年11月</w:t>
            </w:r>
          </w:p>
        </w:tc>
      </w:tr>
      <w:tr w14:paraId="6797A39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jc w:val="center"/>
        </w:trPr>
        <w:tc>
          <w:tcPr>
            <w:tcW w:w="1951" w:type="pct"/>
            <w:vAlign w:val="center"/>
          </w:tcPr>
          <w:p w14:paraId="687139A6">
            <w:pPr>
              <w:pStyle w:val="23"/>
              <w:rPr>
                <w:kern w:val="0"/>
              </w:rPr>
            </w:pPr>
            <w:r>
              <w:rPr>
                <w:kern w:val="0"/>
              </w:rPr>
              <w:t>韶关市第十六届中小学“英东杯”文艺比赛小学组一等奖</w:t>
            </w:r>
          </w:p>
        </w:tc>
        <w:tc>
          <w:tcPr>
            <w:tcW w:w="648" w:type="pct"/>
            <w:vAlign w:val="center"/>
          </w:tcPr>
          <w:p w14:paraId="5B1C5DED">
            <w:pPr>
              <w:pStyle w:val="23"/>
              <w:jc w:val="center"/>
              <w:rPr>
                <w:kern w:val="0"/>
              </w:rPr>
            </w:pPr>
            <w:r>
              <w:rPr>
                <w:kern w:val="0"/>
              </w:rPr>
              <w:t>黎灿学校</w:t>
            </w:r>
          </w:p>
        </w:tc>
        <w:tc>
          <w:tcPr>
            <w:tcW w:w="1791" w:type="pct"/>
            <w:vAlign w:val="center"/>
          </w:tcPr>
          <w:p w14:paraId="4E09C88F">
            <w:pPr>
              <w:pStyle w:val="23"/>
              <w:jc w:val="center"/>
              <w:rPr>
                <w:kern w:val="0"/>
              </w:rPr>
            </w:pPr>
            <w:r>
              <w:rPr>
                <w:kern w:val="0"/>
              </w:rPr>
              <w:t>韶关市英东杯组委会教育局</w:t>
            </w:r>
          </w:p>
        </w:tc>
        <w:tc>
          <w:tcPr>
            <w:tcW w:w="610" w:type="pct"/>
            <w:vAlign w:val="center"/>
          </w:tcPr>
          <w:p w14:paraId="75C1116A">
            <w:pPr>
              <w:pStyle w:val="23"/>
              <w:jc w:val="center"/>
              <w:rPr>
                <w:kern w:val="0"/>
              </w:rPr>
            </w:pPr>
            <w:r>
              <w:rPr>
                <w:kern w:val="0"/>
              </w:rPr>
              <w:t>2011年10月</w:t>
            </w:r>
          </w:p>
        </w:tc>
      </w:tr>
      <w:tr w14:paraId="1B2AB00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jc w:val="center"/>
        </w:trPr>
        <w:tc>
          <w:tcPr>
            <w:tcW w:w="1951" w:type="pct"/>
            <w:vAlign w:val="center"/>
          </w:tcPr>
          <w:p w14:paraId="2EF0719A">
            <w:pPr>
              <w:pStyle w:val="23"/>
              <w:rPr>
                <w:kern w:val="0"/>
              </w:rPr>
            </w:pPr>
            <w:r>
              <w:rPr>
                <w:kern w:val="0"/>
              </w:rPr>
              <w:t>韶关市安全文明校园</w:t>
            </w:r>
          </w:p>
        </w:tc>
        <w:tc>
          <w:tcPr>
            <w:tcW w:w="648" w:type="pct"/>
            <w:vAlign w:val="center"/>
          </w:tcPr>
          <w:p w14:paraId="30C498A1">
            <w:pPr>
              <w:pStyle w:val="23"/>
              <w:jc w:val="center"/>
              <w:rPr>
                <w:kern w:val="0"/>
              </w:rPr>
            </w:pPr>
            <w:r>
              <w:rPr>
                <w:kern w:val="0"/>
              </w:rPr>
              <w:t>乌迳中学</w:t>
            </w:r>
          </w:p>
        </w:tc>
        <w:tc>
          <w:tcPr>
            <w:tcW w:w="1791" w:type="pct"/>
            <w:vAlign w:val="center"/>
          </w:tcPr>
          <w:p w14:paraId="3F91B120">
            <w:pPr>
              <w:pStyle w:val="23"/>
              <w:jc w:val="center"/>
              <w:rPr>
                <w:kern w:val="0"/>
              </w:rPr>
            </w:pPr>
            <w:r>
              <w:rPr>
                <w:kern w:val="0"/>
              </w:rPr>
              <w:t>韶关市社会治安综合治理委员会韶关市教育局韶关市公安局</w:t>
            </w:r>
          </w:p>
        </w:tc>
        <w:tc>
          <w:tcPr>
            <w:tcW w:w="610" w:type="pct"/>
            <w:vAlign w:val="center"/>
          </w:tcPr>
          <w:p w14:paraId="73634B51">
            <w:pPr>
              <w:pStyle w:val="23"/>
              <w:jc w:val="center"/>
              <w:rPr>
                <w:kern w:val="0"/>
              </w:rPr>
            </w:pPr>
            <w:r>
              <w:rPr>
                <w:kern w:val="0"/>
              </w:rPr>
              <w:t>2011年5月</w:t>
            </w:r>
          </w:p>
        </w:tc>
      </w:tr>
      <w:tr w14:paraId="30EA2A0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jc w:val="center"/>
        </w:trPr>
        <w:tc>
          <w:tcPr>
            <w:tcW w:w="1951" w:type="pct"/>
            <w:vAlign w:val="center"/>
          </w:tcPr>
          <w:p w14:paraId="20749E0E">
            <w:pPr>
              <w:pStyle w:val="23"/>
              <w:rPr>
                <w:kern w:val="0"/>
              </w:rPr>
            </w:pPr>
            <w:r>
              <w:rPr>
                <w:kern w:val="0"/>
              </w:rPr>
              <w:t>巾帼文明岗</w:t>
            </w:r>
          </w:p>
        </w:tc>
        <w:tc>
          <w:tcPr>
            <w:tcW w:w="648" w:type="pct"/>
            <w:vAlign w:val="center"/>
          </w:tcPr>
          <w:p w14:paraId="7BAD77AB">
            <w:pPr>
              <w:pStyle w:val="23"/>
              <w:jc w:val="center"/>
              <w:rPr>
                <w:kern w:val="0"/>
              </w:rPr>
            </w:pPr>
            <w:r>
              <w:rPr>
                <w:kern w:val="0"/>
              </w:rPr>
              <w:t>南雄市中等职业学校</w:t>
            </w:r>
          </w:p>
        </w:tc>
        <w:tc>
          <w:tcPr>
            <w:tcW w:w="1791" w:type="pct"/>
            <w:vAlign w:val="center"/>
          </w:tcPr>
          <w:p w14:paraId="73AE4215">
            <w:pPr>
              <w:pStyle w:val="23"/>
              <w:jc w:val="center"/>
              <w:rPr>
                <w:kern w:val="0"/>
              </w:rPr>
            </w:pPr>
            <w:r>
              <w:rPr>
                <w:kern w:val="0"/>
              </w:rPr>
              <w:t>韶关市巾帼建功竞赛活动领导小组</w:t>
            </w:r>
          </w:p>
        </w:tc>
        <w:tc>
          <w:tcPr>
            <w:tcW w:w="610" w:type="pct"/>
            <w:vAlign w:val="center"/>
          </w:tcPr>
          <w:p w14:paraId="5F30B2E1">
            <w:pPr>
              <w:pStyle w:val="23"/>
              <w:jc w:val="center"/>
              <w:rPr>
                <w:kern w:val="0"/>
              </w:rPr>
            </w:pPr>
            <w:r>
              <w:rPr>
                <w:kern w:val="0"/>
              </w:rPr>
              <w:t>2011年3月</w:t>
            </w:r>
          </w:p>
        </w:tc>
      </w:tr>
      <w:tr w14:paraId="1F97084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jc w:val="center"/>
        </w:trPr>
        <w:tc>
          <w:tcPr>
            <w:tcW w:w="1951" w:type="pct"/>
            <w:vAlign w:val="center"/>
          </w:tcPr>
          <w:p w14:paraId="646B5544">
            <w:pPr>
              <w:pStyle w:val="23"/>
              <w:rPr>
                <w:kern w:val="0"/>
              </w:rPr>
            </w:pPr>
            <w:r>
              <w:rPr>
                <w:kern w:val="0"/>
              </w:rPr>
              <w:t>“韶关市教育信息化建设与应用评比”先进学校</w:t>
            </w:r>
          </w:p>
        </w:tc>
        <w:tc>
          <w:tcPr>
            <w:tcW w:w="648" w:type="pct"/>
            <w:vAlign w:val="center"/>
          </w:tcPr>
          <w:p w14:paraId="71D13812">
            <w:pPr>
              <w:pStyle w:val="23"/>
              <w:jc w:val="center"/>
              <w:rPr>
                <w:kern w:val="0"/>
              </w:rPr>
            </w:pPr>
            <w:r>
              <w:rPr>
                <w:kern w:val="0"/>
              </w:rPr>
              <w:t>黎灿学校</w:t>
            </w:r>
          </w:p>
        </w:tc>
        <w:tc>
          <w:tcPr>
            <w:tcW w:w="1791" w:type="pct"/>
            <w:vAlign w:val="center"/>
          </w:tcPr>
          <w:p w14:paraId="16127247">
            <w:pPr>
              <w:pStyle w:val="23"/>
              <w:jc w:val="center"/>
              <w:rPr>
                <w:kern w:val="0"/>
              </w:rPr>
            </w:pPr>
            <w:r>
              <w:rPr>
                <w:kern w:val="0"/>
              </w:rPr>
              <w:t>韶关市教育局</w:t>
            </w:r>
          </w:p>
        </w:tc>
        <w:tc>
          <w:tcPr>
            <w:tcW w:w="610" w:type="pct"/>
            <w:vAlign w:val="center"/>
          </w:tcPr>
          <w:p w14:paraId="31CE4499">
            <w:pPr>
              <w:pStyle w:val="23"/>
              <w:jc w:val="center"/>
              <w:rPr>
                <w:kern w:val="0"/>
              </w:rPr>
            </w:pPr>
            <w:r>
              <w:rPr>
                <w:kern w:val="0"/>
              </w:rPr>
              <w:t>2011年3月</w:t>
            </w:r>
          </w:p>
        </w:tc>
      </w:tr>
      <w:tr w14:paraId="74725C4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jc w:val="center"/>
        </w:trPr>
        <w:tc>
          <w:tcPr>
            <w:tcW w:w="1951" w:type="pct"/>
            <w:vAlign w:val="center"/>
          </w:tcPr>
          <w:p w14:paraId="57AE4C1D">
            <w:pPr>
              <w:pStyle w:val="23"/>
              <w:rPr>
                <w:kern w:val="0"/>
              </w:rPr>
            </w:pPr>
            <w:r>
              <w:rPr>
                <w:kern w:val="0"/>
              </w:rPr>
              <w:t>韶关市中小学首批先进教研组评比先进教研组(体育组)</w:t>
            </w:r>
          </w:p>
        </w:tc>
        <w:tc>
          <w:tcPr>
            <w:tcW w:w="648" w:type="pct"/>
            <w:vAlign w:val="center"/>
          </w:tcPr>
          <w:p w14:paraId="58A5650E">
            <w:pPr>
              <w:pStyle w:val="23"/>
              <w:jc w:val="center"/>
              <w:rPr>
                <w:kern w:val="0"/>
              </w:rPr>
            </w:pPr>
            <w:r>
              <w:rPr>
                <w:kern w:val="0"/>
              </w:rPr>
              <w:t>黎灿学校</w:t>
            </w:r>
          </w:p>
        </w:tc>
        <w:tc>
          <w:tcPr>
            <w:tcW w:w="1791" w:type="pct"/>
            <w:vAlign w:val="center"/>
          </w:tcPr>
          <w:p w14:paraId="2F539AAA">
            <w:pPr>
              <w:pStyle w:val="23"/>
              <w:jc w:val="center"/>
              <w:rPr>
                <w:kern w:val="0"/>
              </w:rPr>
            </w:pPr>
            <w:r>
              <w:rPr>
                <w:kern w:val="0"/>
              </w:rPr>
              <w:t>韶关市教育局</w:t>
            </w:r>
          </w:p>
        </w:tc>
        <w:tc>
          <w:tcPr>
            <w:tcW w:w="610" w:type="pct"/>
            <w:vAlign w:val="center"/>
          </w:tcPr>
          <w:p w14:paraId="7A8C3420">
            <w:pPr>
              <w:pStyle w:val="23"/>
              <w:jc w:val="center"/>
              <w:rPr>
                <w:kern w:val="0"/>
              </w:rPr>
            </w:pPr>
            <w:r>
              <w:rPr>
                <w:kern w:val="0"/>
              </w:rPr>
              <w:t>2011年9月</w:t>
            </w:r>
          </w:p>
        </w:tc>
      </w:tr>
      <w:tr w14:paraId="15F0B9F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jc w:val="center"/>
        </w:trPr>
        <w:tc>
          <w:tcPr>
            <w:tcW w:w="1951" w:type="pct"/>
            <w:vAlign w:val="center"/>
          </w:tcPr>
          <w:p w14:paraId="337136E5">
            <w:pPr>
              <w:pStyle w:val="23"/>
              <w:rPr>
                <w:kern w:val="0"/>
              </w:rPr>
            </w:pPr>
            <w:r>
              <w:rPr>
                <w:kern w:val="0"/>
              </w:rPr>
              <w:t>韶关市中小学首批先进教研组评比先进教研组(英语组)</w:t>
            </w:r>
          </w:p>
        </w:tc>
        <w:tc>
          <w:tcPr>
            <w:tcW w:w="648" w:type="pct"/>
            <w:vAlign w:val="center"/>
          </w:tcPr>
          <w:p w14:paraId="33B05B42">
            <w:pPr>
              <w:pStyle w:val="23"/>
              <w:jc w:val="center"/>
              <w:rPr>
                <w:kern w:val="0"/>
              </w:rPr>
            </w:pPr>
            <w:r>
              <w:rPr>
                <w:kern w:val="0"/>
              </w:rPr>
              <w:t>黎灿学校</w:t>
            </w:r>
          </w:p>
        </w:tc>
        <w:tc>
          <w:tcPr>
            <w:tcW w:w="1791" w:type="pct"/>
            <w:vAlign w:val="center"/>
          </w:tcPr>
          <w:p w14:paraId="4F0546F3">
            <w:pPr>
              <w:pStyle w:val="23"/>
              <w:jc w:val="center"/>
              <w:rPr>
                <w:kern w:val="0"/>
              </w:rPr>
            </w:pPr>
            <w:r>
              <w:rPr>
                <w:kern w:val="0"/>
              </w:rPr>
              <w:t>韶关市教育局</w:t>
            </w:r>
          </w:p>
        </w:tc>
        <w:tc>
          <w:tcPr>
            <w:tcW w:w="610" w:type="pct"/>
            <w:vAlign w:val="center"/>
          </w:tcPr>
          <w:p w14:paraId="40744F1F">
            <w:pPr>
              <w:pStyle w:val="23"/>
              <w:jc w:val="center"/>
              <w:rPr>
                <w:kern w:val="0"/>
              </w:rPr>
            </w:pPr>
            <w:r>
              <w:rPr>
                <w:kern w:val="0"/>
              </w:rPr>
              <w:t>2011年9月</w:t>
            </w:r>
          </w:p>
        </w:tc>
      </w:tr>
      <w:tr w14:paraId="39AA85B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jc w:val="center"/>
        </w:trPr>
        <w:tc>
          <w:tcPr>
            <w:tcW w:w="1951" w:type="pct"/>
            <w:vAlign w:val="center"/>
          </w:tcPr>
          <w:p w14:paraId="128552F8">
            <w:pPr>
              <w:pStyle w:val="23"/>
              <w:rPr>
                <w:kern w:val="0"/>
              </w:rPr>
            </w:pPr>
            <w:r>
              <w:rPr>
                <w:kern w:val="0"/>
              </w:rPr>
              <w:t>韶关市一级幼儿园</w:t>
            </w:r>
          </w:p>
        </w:tc>
        <w:tc>
          <w:tcPr>
            <w:tcW w:w="648" w:type="pct"/>
            <w:vAlign w:val="center"/>
          </w:tcPr>
          <w:p w14:paraId="79CAF03A">
            <w:pPr>
              <w:pStyle w:val="23"/>
              <w:jc w:val="center"/>
              <w:rPr>
                <w:kern w:val="0"/>
              </w:rPr>
            </w:pPr>
            <w:r>
              <w:rPr>
                <w:kern w:val="0"/>
              </w:rPr>
              <w:t>水口小学幼儿园</w:t>
            </w:r>
          </w:p>
        </w:tc>
        <w:tc>
          <w:tcPr>
            <w:tcW w:w="1791" w:type="pct"/>
            <w:vAlign w:val="center"/>
          </w:tcPr>
          <w:p w14:paraId="5C7051A2">
            <w:pPr>
              <w:pStyle w:val="23"/>
              <w:jc w:val="center"/>
              <w:rPr>
                <w:kern w:val="0"/>
              </w:rPr>
            </w:pPr>
            <w:r>
              <w:rPr>
                <w:kern w:val="0"/>
              </w:rPr>
              <w:t>韶关市教育局</w:t>
            </w:r>
          </w:p>
        </w:tc>
        <w:tc>
          <w:tcPr>
            <w:tcW w:w="610" w:type="pct"/>
            <w:vAlign w:val="center"/>
          </w:tcPr>
          <w:p w14:paraId="27A7FE20">
            <w:pPr>
              <w:pStyle w:val="23"/>
              <w:jc w:val="center"/>
              <w:rPr>
                <w:kern w:val="0"/>
              </w:rPr>
            </w:pPr>
            <w:r>
              <w:rPr>
                <w:kern w:val="0"/>
              </w:rPr>
              <w:t>2011年11月</w:t>
            </w:r>
          </w:p>
        </w:tc>
      </w:tr>
      <w:tr w14:paraId="5D59FC1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jc w:val="center"/>
        </w:trPr>
        <w:tc>
          <w:tcPr>
            <w:tcW w:w="1951" w:type="pct"/>
            <w:vAlign w:val="center"/>
          </w:tcPr>
          <w:p w14:paraId="0D97095B">
            <w:pPr>
              <w:pStyle w:val="23"/>
              <w:rPr>
                <w:kern w:val="0"/>
              </w:rPr>
            </w:pPr>
            <w:r>
              <w:rPr>
                <w:kern w:val="0"/>
              </w:rPr>
              <w:t>广东省规范化学校</w:t>
            </w:r>
          </w:p>
        </w:tc>
        <w:tc>
          <w:tcPr>
            <w:tcW w:w="648" w:type="pct"/>
            <w:vAlign w:val="center"/>
          </w:tcPr>
          <w:p w14:paraId="39694FD6">
            <w:pPr>
              <w:pStyle w:val="23"/>
              <w:jc w:val="center"/>
              <w:rPr>
                <w:kern w:val="0"/>
              </w:rPr>
            </w:pPr>
            <w:r>
              <w:rPr>
                <w:kern w:val="0"/>
              </w:rPr>
              <w:t>水口河坪小学</w:t>
            </w:r>
          </w:p>
        </w:tc>
        <w:tc>
          <w:tcPr>
            <w:tcW w:w="1791" w:type="pct"/>
            <w:vAlign w:val="center"/>
          </w:tcPr>
          <w:p w14:paraId="6FE30E18">
            <w:pPr>
              <w:pStyle w:val="23"/>
              <w:jc w:val="center"/>
              <w:rPr>
                <w:kern w:val="0"/>
              </w:rPr>
            </w:pPr>
            <w:r>
              <w:rPr>
                <w:kern w:val="0"/>
              </w:rPr>
              <w:t>韶关市教育局</w:t>
            </w:r>
          </w:p>
        </w:tc>
        <w:tc>
          <w:tcPr>
            <w:tcW w:w="610" w:type="pct"/>
            <w:vAlign w:val="center"/>
          </w:tcPr>
          <w:p w14:paraId="5EBAF998">
            <w:pPr>
              <w:pStyle w:val="23"/>
              <w:jc w:val="center"/>
              <w:rPr>
                <w:kern w:val="0"/>
              </w:rPr>
            </w:pPr>
            <w:r>
              <w:rPr>
                <w:kern w:val="0"/>
              </w:rPr>
              <w:t>2011年11月</w:t>
            </w:r>
          </w:p>
        </w:tc>
      </w:tr>
      <w:tr w14:paraId="38107BE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jc w:val="center"/>
        </w:trPr>
        <w:tc>
          <w:tcPr>
            <w:tcW w:w="1951" w:type="pct"/>
            <w:vAlign w:val="center"/>
          </w:tcPr>
          <w:p w14:paraId="7A4832EA">
            <w:pPr>
              <w:pStyle w:val="23"/>
              <w:rPr>
                <w:kern w:val="0"/>
              </w:rPr>
            </w:pPr>
            <w:r>
              <w:rPr>
                <w:kern w:val="0"/>
              </w:rPr>
              <w:t>韶关市教育信息化建设与应用先进单位</w:t>
            </w:r>
          </w:p>
        </w:tc>
        <w:tc>
          <w:tcPr>
            <w:tcW w:w="648" w:type="pct"/>
            <w:vAlign w:val="center"/>
          </w:tcPr>
          <w:p w14:paraId="20739944">
            <w:pPr>
              <w:pStyle w:val="23"/>
              <w:jc w:val="center"/>
              <w:rPr>
                <w:kern w:val="0"/>
              </w:rPr>
            </w:pPr>
            <w:r>
              <w:rPr>
                <w:kern w:val="0"/>
              </w:rPr>
              <w:t>主田莲花中心小学</w:t>
            </w:r>
          </w:p>
        </w:tc>
        <w:tc>
          <w:tcPr>
            <w:tcW w:w="1791" w:type="pct"/>
            <w:vAlign w:val="center"/>
          </w:tcPr>
          <w:p w14:paraId="29937D3D">
            <w:pPr>
              <w:pStyle w:val="23"/>
              <w:jc w:val="center"/>
              <w:rPr>
                <w:kern w:val="0"/>
              </w:rPr>
            </w:pPr>
            <w:r>
              <w:rPr>
                <w:kern w:val="0"/>
              </w:rPr>
              <w:t>韶关市教育局</w:t>
            </w:r>
          </w:p>
        </w:tc>
        <w:tc>
          <w:tcPr>
            <w:tcW w:w="610" w:type="pct"/>
            <w:vAlign w:val="center"/>
          </w:tcPr>
          <w:p w14:paraId="5AA8ECE5">
            <w:pPr>
              <w:pStyle w:val="23"/>
              <w:jc w:val="center"/>
              <w:rPr>
                <w:kern w:val="0"/>
              </w:rPr>
            </w:pPr>
            <w:r>
              <w:rPr>
                <w:kern w:val="0"/>
              </w:rPr>
              <w:t>2011年3月</w:t>
            </w:r>
          </w:p>
        </w:tc>
      </w:tr>
      <w:tr w14:paraId="5D523B4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jc w:val="center"/>
        </w:trPr>
        <w:tc>
          <w:tcPr>
            <w:tcW w:w="1951" w:type="pct"/>
            <w:vAlign w:val="center"/>
          </w:tcPr>
          <w:p w14:paraId="3753CE84">
            <w:pPr>
              <w:pStyle w:val="23"/>
              <w:rPr>
                <w:kern w:val="0"/>
              </w:rPr>
            </w:pPr>
            <w:r>
              <w:rPr>
                <w:kern w:val="0"/>
              </w:rPr>
              <w:t>韶关市师德群体创优先进集体</w:t>
            </w:r>
          </w:p>
        </w:tc>
        <w:tc>
          <w:tcPr>
            <w:tcW w:w="648" w:type="pct"/>
            <w:vAlign w:val="center"/>
          </w:tcPr>
          <w:p w14:paraId="675F4665">
            <w:pPr>
              <w:pStyle w:val="23"/>
              <w:jc w:val="center"/>
              <w:rPr>
                <w:kern w:val="0"/>
              </w:rPr>
            </w:pPr>
            <w:r>
              <w:rPr>
                <w:kern w:val="0"/>
              </w:rPr>
              <w:t>南雄市第一中学</w:t>
            </w:r>
          </w:p>
        </w:tc>
        <w:tc>
          <w:tcPr>
            <w:tcW w:w="1791" w:type="pct"/>
            <w:vAlign w:val="center"/>
          </w:tcPr>
          <w:p w14:paraId="3FE33D31">
            <w:pPr>
              <w:pStyle w:val="23"/>
              <w:jc w:val="center"/>
              <w:rPr>
                <w:kern w:val="0"/>
              </w:rPr>
            </w:pPr>
            <w:r>
              <w:rPr>
                <w:kern w:val="0"/>
              </w:rPr>
              <w:t>韶关市教育局</w:t>
            </w:r>
          </w:p>
        </w:tc>
        <w:tc>
          <w:tcPr>
            <w:tcW w:w="610" w:type="pct"/>
            <w:vAlign w:val="center"/>
          </w:tcPr>
          <w:p w14:paraId="1021C9AE">
            <w:pPr>
              <w:pStyle w:val="23"/>
              <w:jc w:val="center"/>
              <w:rPr>
                <w:kern w:val="0"/>
              </w:rPr>
            </w:pPr>
            <w:r>
              <w:rPr>
                <w:kern w:val="0"/>
              </w:rPr>
              <w:t>2011年1月</w:t>
            </w:r>
          </w:p>
        </w:tc>
      </w:tr>
      <w:tr w14:paraId="2FF7D79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jc w:val="center"/>
        </w:trPr>
        <w:tc>
          <w:tcPr>
            <w:tcW w:w="1951" w:type="pct"/>
            <w:vAlign w:val="center"/>
          </w:tcPr>
          <w:p w14:paraId="206CA047">
            <w:pPr>
              <w:pStyle w:val="23"/>
              <w:rPr>
                <w:kern w:val="0"/>
              </w:rPr>
            </w:pPr>
            <w:r>
              <w:rPr>
                <w:kern w:val="0"/>
              </w:rPr>
              <w:t>韶关市教育信息化建设与应用评比“先进学校”</w:t>
            </w:r>
          </w:p>
        </w:tc>
        <w:tc>
          <w:tcPr>
            <w:tcW w:w="648" w:type="pct"/>
            <w:vAlign w:val="center"/>
          </w:tcPr>
          <w:p w14:paraId="25028CC8">
            <w:pPr>
              <w:pStyle w:val="23"/>
              <w:jc w:val="center"/>
              <w:rPr>
                <w:kern w:val="0"/>
              </w:rPr>
            </w:pPr>
            <w:r>
              <w:rPr>
                <w:kern w:val="0"/>
              </w:rPr>
              <w:t>南雄市第一中学</w:t>
            </w:r>
          </w:p>
        </w:tc>
        <w:tc>
          <w:tcPr>
            <w:tcW w:w="1791" w:type="pct"/>
            <w:vAlign w:val="center"/>
          </w:tcPr>
          <w:p w14:paraId="38A951BF">
            <w:pPr>
              <w:pStyle w:val="23"/>
              <w:jc w:val="center"/>
              <w:rPr>
                <w:kern w:val="0"/>
              </w:rPr>
            </w:pPr>
            <w:r>
              <w:rPr>
                <w:kern w:val="0"/>
              </w:rPr>
              <w:t>韶关市教育局</w:t>
            </w:r>
          </w:p>
        </w:tc>
        <w:tc>
          <w:tcPr>
            <w:tcW w:w="610" w:type="pct"/>
            <w:vAlign w:val="center"/>
          </w:tcPr>
          <w:p w14:paraId="14D98B61">
            <w:pPr>
              <w:pStyle w:val="23"/>
              <w:jc w:val="center"/>
              <w:rPr>
                <w:kern w:val="0"/>
              </w:rPr>
            </w:pPr>
            <w:r>
              <w:rPr>
                <w:kern w:val="0"/>
              </w:rPr>
              <w:t>2011年3月</w:t>
            </w:r>
          </w:p>
        </w:tc>
      </w:tr>
      <w:tr w14:paraId="4C25B46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jc w:val="center"/>
        </w:trPr>
        <w:tc>
          <w:tcPr>
            <w:tcW w:w="1951" w:type="pct"/>
            <w:vAlign w:val="center"/>
          </w:tcPr>
          <w:p w14:paraId="7A6F64F6">
            <w:pPr>
              <w:pStyle w:val="23"/>
              <w:rPr>
                <w:kern w:val="0"/>
              </w:rPr>
            </w:pPr>
            <w:r>
              <w:rPr>
                <w:kern w:val="0"/>
              </w:rPr>
              <w:t>2011年韶关市普通高中教学质量优秀学校(类c)</w:t>
            </w:r>
          </w:p>
        </w:tc>
        <w:tc>
          <w:tcPr>
            <w:tcW w:w="648" w:type="pct"/>
            <w:vAlign w:val="center"/>
          </w:tcPr>
          <w:p w14:paraId="6B646A9A">
            <w:pPr>
              <w:pStyle w:val="23"/>
              <w:jc w:val="center"/>
              <w:rPr>
                <w:kern w:val="0"/>
              </w:rPr>
            </w:pPr>
            <w:r>
              <w:rPr>
                <w:kern w:val="0"/>
              </w:rPr>
              <w:t>南雄市第一中学</w:t>
            </w:r>
          </w:p>
        </w:tc>
        <w:tc>
          <w:tcPr>
            <w:tcW w:w="1791" w:type="pct"/>
            <w:vAlign w:val="center"/>
          </w:tcPr>
          <w:p w14:paraId="68AA0684">
            <w:pPr>
              <w:pStyle w:val="23"/>
              <w:jc w:val="center"/>
              <w:rPr>
                <w:kern w:val="0"/>
              </w:rPr>
            </w:pPr>
            <w:r>
              <w:rPr>
                <w:kern w:val="0"/>
              </w:rPr>
              <w:t>韶关市教育局</w:t>
            </w:r>
          </w:p>
        </w:tc>
        <w:tc>
          <w:tcPr>
            <w:tcW w:w="610" w:type="pct"/>
            <w:vAlign w:val="center"/>
          </w:tcPr>
          <w:p w14:paraId="723626C7">
            <w:pPr>
              <w:pStyle w:val="23"/>
              <w:jc w:val="center"/>
              <w:rPr>
                <w:kern w:val="0"/>
              </w:rPr>
            </w:pPr>
            <w:r>
              <w:rPr>
                <w:kern w:val="0"/>
              </w:rPr>
              <w:t>2011年9月</w:t>
            </w:r>
          </w:p>
        </w:tc>
      </w:tr>
      <w:tr w14:paraId="5FC0221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jc w:val="center"/>
        </w:trPr>
        <w:tc>
          <w:tcPr>
            <w:tcW w:w="1951" w:type="pct"/>
            <w:vAlign w:val="center"/>
          </w:tcPr>
          <w:p w14:paraId="08C2A9D4">
            <w:pPr>
              <w:pStyle w:val="23"/>
              <w:rPr>
                <w:kern w:val="0"/>
              </w:rPr>
            </w:pPr>
            <w:r>
              <w:rPr>
                <w:kern w:val="0"/>
              </w:rPr>
              <w:t>韶关市首批先进教研组(化学)</w:t>
            </w:r>
          </w:p>
        </w:tc>
        <w:tc>
          <w:tcPr>
            <w:tcW w:w="648" w:type="pct"/>
            <w:vAlign w:val="center"/>
          </w:tcPr>
          <w:p w14:paraId="075BF49F">
            <w:pPr>
              <w:pStyle w:val="23"/>
              <w:jc w:val="center"/>
              <w:rPr>
                <w:kern w:val="0"/>
              </w:rPr>
            </w:pPr>
            <w:r>
              <w:rPr>
                <w:kern w:val="0"/>
              </w:rPr>
              <w:t>南雄市第一中学</w:t>
            </w:r>
          </w:p>
        </w:tc>
        <w:tc>
          <w:tcPr>
            <w:tcW w:w="1791" w:type="pct"/>
            <w:vAlign w:val="center"/>
          </w:tcPr>
          <w:p w14:paraId="1FF41D5A">
            <w:pPr>
              <w:pStyle w:val="23"/>
              <w:jc w:val="center"/>
              <w:rPr>
                <w:kern w:val="0"/>
              </w:rPr>
            </w:pPr>
            <w:r>
              <w:rPr>
                <w:kern w:val="0"/>
              </w:rPr>
              <w:t>韶关市教育局</w:t>
            </w:r>
          </w:p>
        </w:tc>
        <w:tc>
          <w:tcPr>
            <w:tcW w:w="610" w:type="pct"/>
            <w:vAlign w:val="center"/>
          </w:tcPr>
          <w:p w14:paraId="46E26507">
            <w:pPr>
              <w:pStyle w:val="23"/>
              <w:jc w:val="center"/>
              <w:rPr>
                <w:kern w:val="0"/>
              </w:rPr>
            </w:pPr>
            <w:r>
              <w:rPr>
                <w:kern w:val="0"/>
              </w:rPr>
              <w:t>2011年9月</w:t>
            </w:r>
          </w:p>
        </w:tc>
      </w:tr>
      <w:tr w14:paraId="5BA9847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jc w:val="center"/>
        </w:trPr>
        <w:tc>
          <w:tcPr>
            <w:tcW w:w="1951" w:type="pct"/>
            <w:vAlign w:val="center"/>
          </w:tcPr>
          <w:p w14:paraId="62CF50BE">
            <w:pPr>
              <w:pStyle w:val="23"/>
              <w:rPr>
                <w:kern w:val="0"/>
              </w:rPr>
            </w:pPr>
            <w:r>
              <w:rPr>
                <w:kern w:val="0"/>
              </w:rPr>
              <w:t>韶关市首批先进教研组(生物)</w:t>
            </w:r>
          </w:p>
        </w:tc>
        <w:tc>
          <w:tcPr>
            <w:tcW w:w="648" w:type="pct"/>
            <w:vAlign w:val="center"/>
          </w:tcPr>
          <w:p w14:paraId="02532D04">
            <w:pPr>
              <w:pStyle w:val="23"/>
              <w:jc w:val="center"/>
              <w:rPr>
                <w:kern w:val="0"/>
              </w:rPr>
            </w:pPr>
            <w:r>
              <w:rPr>
                <w:kern w:val="0"/>
              </w:rPr>
              <w:t>南雄市第一中学</w:t>
            </w:r>
          </w:p>
        </w:tc>
        <w:tc>
          <w:tcPr>
            <w:tcW w:w="1791" w:type="pct"/>
            <w:vAlign w:val="center"/>
          </w:tcPr>
          <w:p w14:paraId="79B47AFD">
            <w:pPr>
              <w:pStyle w:val="23"/>
              <w:jc w:val="center"/>
              <w:rPr>
                <w:kern w:val="0"/>
              </w:rPr>
            </w:pPr>
            <w:r>
              <w:rPr>
                <w:kern w:val="0"/>
              </w:rPr>
              <w:t>韶关市教育局</w:t>
            </w:r>
          </w:p>
        </w:tc>
        <w:tc>
          <w:tcPr>
            <w:tcW w:w="610" w:type="pct"/>
            <w:vAlign w:val="center"/>
          </w:tcPr>
          <w:p w14:paraId="7B3AFCB2">
            <w:pPr>
              <w:pStyle w:val="23"/>
              <w:jc w:val="center"/>
              <w:rPr>
                <w:kern w:val="0"/>
              </w:rPr>
            </w:pPr>
            <w:r>
              <w:rPr>
                <w:kern w:val="0"/>
              </w:rPr>
              <w:t>2011年9月</w:t>
            </w:r>
          </w:p>
        </w:tc>
      </w:tr>
      <w:tr w14:paraId="244F6C7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jc w:val="center"/>
        </w:trPr>
        <w:tc>
          <w:tcPr>
            <w:tcW w:w="1951" w:type="pct"/>
            <w:vAlign w:val="center"/>
          </w:tcPr>
          <w:p w14:paraId="1E2C1953">
            <w:pPr>
              <w:pStyle w:val="23"/>
              <w:rPr>
                <w:kern w:val="0"/>
              </w:rPr>
            </w:pPr>
            <w:r>
              <w:rPr>
                <w:kern w:val="0"/>
              </w:rPr>
              <w:t>韶关市首批先进教研组(数学)</w:t>
            </w:r>
          </w:p>
        </w:tc>
        <w:tc>
          <w:tcPr>
            <w:tcW w:w="648" w:type="pct"/>
            <w:vAlign w:val="center"/>
          </w:tcPr>
          <w:p w14:paraId="194B38CF">
            <w:pPr>
              <w:pStyle w:val="23"/>
              <w:jc w:val="center"/>
              <w:rPr>
                <w:kern w:val="0"/>
              </w:rPr>
            </w:pPr>
            <w:r>
              <w:rPr>
                <w:kern w:val="0"/>
              </w:rPr>
              <w:t>南雄市第一中学</w:t>
            </w:r>
          </w:p>
        </w:tc>
        <w:tc>
          <w:tcPr>
            <w:tcW w:w="1791" w:type="pct"/>
            <w:vAlign w:val="center"/>
          </w:tcPr>
          <w:p w14:paraId="314FF4AE">
            <w:pPr>
              <w:pStyle w:val="23"/>
              <w:jc w:val="center"/>
              <w:rPr>
                <w:kern w:val="0"/>
              </w:rPr>
            </w:pPr>
            <w:r>
              <w:rPr>
                <w:kern w:val="0"/>
              </w:rPr>
              <w:t>韶关市教育局</w:t>
            </w:r>
          </w:p>
        </w:tc>
        <w:tc>
          <w:tcPr>
            <w:tcW w:w="610" w:type="pct"/>
            <w:vAlign w:val="center"/>
          </w:tcPr>
          <w:p w14:paraId="22BA834A">
            <w:pPr>
              <w:pStyle w:val="23"/>
              <w:jc w:val="center"/>
              <w:rPr>
                <w:kern w:val="0"/>
              </w:rPr>
            </w:pPr>
            <w:r>
              <w:rPr>
                <w:kern w:val="0"/>
              </w:rPr>
              <w:t>2011年9月</w:t>
            </w:r>
          </w:p>
        </w:tc>
      </w:tr>
      <w:tr w14:paraId="47616EF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jc w:val="center"/>
        </w:trPr>
        <w:tc>
          <w:tcPr>
            <w:tcW w:w="1951" w:type="pct"/>
            <w:vAlign w:val="center"/>
          </w:tcPr>
          <w:p w14:paraId="42BF0823">
            <w:pPr>
              <w:pStyle w:val="23"/>
              <w:rPr>
                <w:kern w:val="0"/>
              </w:rPr>
            </w:pPr>
            <w:r>
              <w:rPr>
                <w:kern w:val="0"/>
              </w:rPr>
              <w:t>韶关市语教育信息技术建设与应用先进学校</w:t>
            </w:r>
          </w:p>
        </w:tc>
        <w:tc>
          <w:tcPr>
            <w:tcW w:w="648" w:type="pct"/>
            <w:vAlign w:val="center"/>
          </w:tcPr>
          <w:p w14:paraId="0016C61D">
            <w:pPr>
              <w:pStyle w:val="23"/>
              <w:jc w:val="center"/>
              <w:rPr>
                <w:kern w:val="0"/>
              </w:rPr>
            </w:pPr>
            <w:r>
              <w:rPr>
                <w:kern w:val="0"/>
              </w:rPr>
              <w:t>永康路小学</w:t>
            </w:r>
          </w:p>
        </w:tc>
        <w:tc>
          <w:tcPr>
            <w:tcW w:w="1791" w:type="pct"/>
            <w:vAlign w:val="center"/>
          </w:tcPr>
          <w:p w14:paraId="4A1249AB">
            <w:pPr>
              <w:pStyle w:val="23"/>
              <w:jc w:val="center"/>
              <w:rPr>
                <w:kern w:val="0"/>
              </w:rPr>
            </w:pPr>
            <w:r>
              <w:rPr>
                <w:kern w:val="0"/>
              </w:rPr>
              <w:t>韶关市教育局</w:t>
            </w:r>
          </w:p>
        </w:tc>
        <w:tc>
          <w:tcPr>
            <w:tcW w:w="610" w:type="pct"/>
            <w:vAlign w:val="center"/>
          </w:tcPr>
          <w:p w14:paraId="7FCD4E9C">
            <w:pPr>
              <w:pStyle w:val="23"/>
              <w:jc w:val="center"/>
              <w:rPr>
                <w:kern w:val="0"/>
              </w:rPr>
            </w:pPr>
            <w:r>
              <w:rPr>
                <w:kern w:val="0"/>
              </w:rPr>
              <w:t>2011年3月</w:t>
            </w:r>
          </w:p>
        </w:tc>
      </w:tr>
      <w:tr w14:paraId="688E5FB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jc w:val="center"/>
        </w:trPr>
        <w:tc>
          <w:tcPr>
            <w:tcW w:w="1951" w:type="pct"/>
            <w:vAlign w:val="center"/>
          </w:tcPr>
          <w:p w14:paraId="45C2C635">
            <w:pPr>
              <w:pStyle w:val="23"/>
              <w:rPr>
                <w:kern w:val="0"/>
              </w:rPr>
            </w:pPr>
            <w:r>
              <w:rPr>
                <w:kern w:val="0"/>
              </w:rPr>
              <w:t>语文、数学优秀教研组</w:t>
            </w:r>
          </w:p>
        </w:tc>
        <w:tc>
          <w:tcPr>
            <w:tcW w:w="648" w:type="pct"/>
            <w:vAlign w:val="center"/>
          </w:tcPr>
          <w:p w14:paraId="43311A50">
            <w:pPr>
              <w:pStyle w:val="23"/>
              <w:jc w:val="center"/>
              <w:rPr>
                <w:kern w:val="0"/>
              </w:rPr>
            </w:pPr>
            <w:r>
              <w:rPr>
                <w:kern w:val="0"/>
              </w:rPr>
              <w:t>永康路小学</w:t>
            </w:r>
          </w:p>
        </w:tc>
        <w:tc>
          <w:tcPr>
            <w:tcW w:w="1791" w:type="pct"/>
            <w:vAlign w:val="center"/>
          </w:tcPr>
          <w:p w14:paraId="2D4F7471">
            <w:pPr>
              <w:pStyle w:val="23"/>
              <w:jc w:val="center"/>
              <w:rPr>
                <w:kern w:val="0"/>
              </w:rPr>
            </w:pPr>
            <w:r>
              <w:rPr>
                <w:kern w:val="0"/>
              </w:rPr>
              <w:t>韶关市教育局</w:t>
            </w:r>
          </w:p>
        </w:tc>
        <w:tc>
          <w:tcPr>
            <w:tcW w:w="610" w:type="pct"/>
            <w:vAlign w:val="center"/>
          </w:tcPr>
          <w:p w14:paraId="00331973">
            <w:pPr>
              <w:pStyle w:val="23"/>
              <w:jc w:val="center"/>
              <w:rPr>
                <w:kern w:val="0"/>
              </w:rPr>
            </w:pPr>
            <w:r>
              <w:rPr>
                <w:kern w:val="0"/>
              </w:rPr>
              <w:t>2011年10月</w:t>
            </w:r>
          </w:p>
        </w:tc>
      </w:tr>
      <w:tr w14:paraId="4C71CC8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jc w:val="center"/>
        </w:trPr>
        <w:tc>
          <w:tcPr>
            <w:tcW w:w="1951" w:type="pct"/>
            <w:vAlign w:val="center"/>
          </w:tcPr>
          <w:p w14:paraId="11AAA523">
            <w:pPr>
              <w:pStyle w:val="23"/>
              <w:rPr>
                <w:kern w:val="0"/>
              </w:rPr>
            </w:pPr>
            <w:r>
              <w:rPr>
                <w:kern w:val="0"/>
              </w:rPr>
              <w:t>第十六届“英东杯”小学组舞蹈比赛三等奖</w:t>
            </w:r>
          </w:p>
        </w:tc>
        <w:tc>
          <w:tcPr>
            <w:tcW w:w="648" w:type="pct"/>
            <w:vAlign w:val="center"/>
          </w:tcPr>
          <w:p w14:paraId="0C08164A">
            <w:pPr>
              <w:pStyle w:val="23"/>
              <w:jc w:val="center"/>
              <w:rPr>
                <w:kern w:val="0"/>
              </w:rPr>
            </w:pPr>
            <w:r>
              <w:rPr>
                <w:kern w:val="0"/>
              </w:rPr>
              <w:t>永康路小学</w:t>
            </w:r>
          </w:p>
        </w:tc>
        <w:tc>
          <w:tcPr>
            <w:tcW w:w="1791" w:type="pct"/>
            <w:vAlign w:val="center"/>
          </w:tcPr>
          <w:p w14:paraId="38290641">
            <w:pPr>
              <w:pStyle w:val="23"/>
              <w:jc w:val="center"/>
              <w:rPr>
                <w:kern w:val="0"/>
              </w:rPr>
            </w:pPr>
            <w:r>
              <w:rPr>
                <w:kern w:val="0"/>
              </w:rPr>
              <w:t>韶关市教育局</w:t>
            </w:r>
          </w:p>
        </w:tc>
        <w:tc>
          <w:tcPr>
            <w:tcW w:w="610" w:type="pct"/>
            <w:vAlign w:val="center"/>
          </w:tcPr>
          <w:p w14:paraId="66F14C2C">
            <w:pPr>
              <w:pStyle w:val="23"/>
              <w:jc w:val="center"/>
              <w:rPr>
                <w:kern w:val="0"/>
              </w:rPr>
            </w:pPr>
            <w:r>
              <w:rPr>
                <w:kern w:val="0"/>
              </w:rPr>
              <w:t>2011年11月</w:t>
            </w:r>
          </w:p>
        </w:tc>
      </w:tr>
      <w:tr w14:paraId="2DFCD1A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jc w:val="center"/>
        </w:trPr>
        <w:tc>
          <w:tcPr>
            <w:tcW w:w="1951" w:type="pct"/>
            <w:vAlign w:val="center"/>
          </w:tcPr>
          <w:p w14:paraId="016F0929">
            <w:pPr>
              <w:pStyle w:val="23"/>
              <w:rPr>
                <w:kern w:val="0"/>
              </w:rPr>
            </w:pPr>
            <w:r>
              <w:rPr>
                <w:kern w:val="0"/>
              </w:rPr>
              <w:t>广东省义务教育阶段规范化学校</w:t>
            </w:r>
          </w:p>
        </w:tc>
        <w:tc>
          <w:tcPr>
            <w:tcW w:w="648" w:type="pct"/>
            <w:vAlign w:val="center"/>
          </w:tcPr>
          <w:p w14:paraId="6815F962">
            <w:pPr>
              <w:pStyle w:val="23"/>
              <w:jc w:val="center"/>
              <w:rPr>
                <w:kern w:val="0"/>
              </w:rPr>
            </w:pPr>
            <w:r>
              <w:rPr>
                <w:kern w:val="0"/>
              </w:rPr>
              <w:t>百顺镇中心学校</w:t>
            </w:r>
          </w:p>
        </w:tc>
        <w:tc>
          <w:tcPr>
            <w:tcW w:w="1791" w:type="pct"/>
            <w:vAlign w:val="center"/>
          </w:tcPr>
          <w:p w14:paraId="332CCC93">
            <w:pPr>
              <w:pStyle w:val="23"/>
              <w:jc w:val="center"/>
              <w:rPr>
                <w:kern w:val="0"/>
              </w:rPr>
            </w:pPr>
            <w:r>
              <w:rPr>
                <w:kern w:val="0"/>
              </w:rPr>
              <w:t>韶关市教育局</w:t>
            </w:r>
          </w:p>
        </w:tc>
        <w:tc>
          <w:tcPr>
            <w:tcW w:w="610" w:type="pct"/>
            <w:vAlign w:val="center"/>
          </w:tcPr>
          <w:p w14:paraId="60808BE4">
            <w:pPr>
              <w:pStyle w:val="23"/>
              <w:jc w:val="center"/>
              <w:rPr>
                <w:kern w:val="0"/>
              </w:rPr>
            </w:pPr>
            <w:r>
              <w:rPr>
                <w:kern w:val="0"/>
              </w:rPr>
              <w:t>2012年1月</w:t>
            </w:r>
          </w:p>
        </w:tc>
      </w:tr>
      <w:tr w14:paraId="60CFE22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jc w:val="center"/>
        </w:trPr>
        <w:tc>
          <w:tcPr>
            <w:tcW w:w="1951" w:type="pct"/>
            <w:vAlign w:val="center"/>
          </w:tcPr>
          <w:p w14:paraId="0FD039A4">
            <w:pPr>
              <w:pStyle w:val="23"/>
              <w:rPr>
                <w:kern w:val="0"/>
              </w:rPr>
            </w:pPr>
            <w:r>
              <w:rPr>
                <w:kern w:val="0"/>
              </w:rPr>
              <w:t>广东省义务教育规范化学校</w:t>
            </w:r>
          </w:p>
        </w:tc>
        <w:tc>
          <w:tcPr>
            <w:tcW w:w="648" w:type="pct"/>
            <w:vAlign w:val="center"/>
          </w:tcPr>
          <w:p w14:paraId="44686D98">
            <w:pPr>
              <w:pStyle w:val="23"/>
              <w:jc w:val="center"/>
              <w:rPr>
                <w:kern w:val="0"/>
              </w:rPr>
            </w:pPr>
            <w:r>
              <w:rPr>
                <w:kern w:val="0"/>
              </w:rPr>
              <w:t>坪田中学</w:t>
            </w:r>
          </w:p>
        </w:tc>
        <w:tc>
          <w:tcPr>
            <w:tcW w:w="1791" w:type="pct"/>
            <w:vAlign w:val="center"/>
          </w:tcPr>
          <w:p w14:paraId="19F3C934">
            <w:pPr>
              <w:pStyle w:val="23"/>
              <w:jc w:val="center"/>
              <w:rPr>
                <w:kern w:val="0"/>
              </w:rPr>
            </w:pPr>
            <w:r>
              <w:rPr>
                <w:kern w:val="0"/>
              </w:rPr>
              <w:t>韶关市教育局</w:t>
            </w:r>
          </w:p>
        </w:tc>
        <w:tc>
          <w:tcPr>
            <w:tcW w:w="610" w:type="pct"/>
            <w:vAlign w:val="center"/>
          </w:tcPr>
          <w:p w14:paraId="3F4D1AC1">
            <w:pPr>
              <w:pStyle w:val="23"/>
              <w:jc w:val="center"/>
              <w:rPr>
                <w:kern w:val="0"/>
              </w:rPr>
            </w:pPr>
            <w:r>
              <w:rPr>
                <w:kern w:val="0"/>
              </w:rPr>
              <w:t>2011年11月</w:t>
            </w:r>
          </w:p>
        </w:tc>
      </w:tr>
      <w:tr w14:paraId="7423ED4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jc w:val="center"/>
        </w:trPr>
        <w:tc>
          <w:tcPr>
            <w:tcW w:w="1951" w:type="pct"/>
            <w:vAlign w:val="center"/>
          </w:tcPr>
          <w:p w14:paraId="6AF9EADD">
            <w:pPr>
              <w:pStyle w:val="23"/>
              <w:rPr>
                <w:kern w:val="0"/>
              </w:rPr>
            </w:pPr>
            <w:r>
              <w:rPr>
                <w:kern w:val="0"/>
              </w:rPr>
              <w:t>2011“韶关市高考优胜学校”称号</w:t>
            </w:r>
          </w:p>
        </w:tc>
        <w:tc>
          <w:tcPr>
            <w:tcW w:w="648" w:type="pct"/>
            <w:vAlign w:val="center"/>
          </w:tcPr>
          <w:p w14:paraId="2DADACB9">
            <w:pPr>
              <w:pStyle w:val="23"/>
              <w:jc w:val="center"/>
              <w:rPr>
                <w:kern w:val="0"/>
              </w:rPr>
            </w:pPr>
            <w:r>
              <w:rPr>
                <w:kern w:val="0"/>
              </w:rPr>
              <w:t>南雄中学</w:t>
            </w:r>
          </w:p>
        </w:tc>
        <w:tc>
          <w:tcPr>
            <w:tcW w:w="1791" w:type="pct"/>
            <w:vAlign w:val="center"/>
          </w:tcPr>
          <w:p w14:paraId="1512063D">
            <w:pPr>
              <w:pStyle w:val="23"/>
              <w:jc w:val="center"/>
              <w:rPr>
                <w:kern w:val="0"/>
              </w:rPr>
            </w:pPr>
            <w:r>
              <w:rPr>
                <w:kern w:val="0"/>
              </w:rPr>
              <w:t>韶关市教育局</w:t>
            </w:r>
          </w:p>
        </w:tc>
        <w:tc>
          <w:tcPr>
            <w:tcW w:w="610" w:type="pct"/>
            <w:vAlign w:val="center"/>
          </w:tcPr>
          <w:p w14:paraId="3CED5BC5">
            <w:pPr>
              <w:pStyle w:val="23"/>
              <w:jc w:val="center"/>
              <w:rPr>
                <w:kern w:val="0"/>
              </w:rPr>
            </w:pPr>
            <w:r>
              <w:rPr>
                <w:kern w:val="0"/>
              </w:rPr>
              <w:t>2011年8月</w:t>
            </w:r>
          </w:p>
        </w:tc>
      </w:tr>
      <w:tr w14:paraId="6DD505F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jc w:val="center"/>
        </w:trPr>
        <w:tc>
          <w:tcPr>
            <w:tcW w:w="1951" w:type="pct"/>
            <w:vAlign w:val="center"/>
          </w:tcPr>
          <w:p w14:paraId="3BA3C338">
            <w:pPr>
              <w:pStyle w:val="23"/>
              <w:rPr>
                <w:kern w:val="0"/>
              </w:rPr>
            </w:pPr>
            <w:r>
              <w:rPr>
                <w:kern w:val="0"/>
              </w:rPr>
              <w:t>计算机应用、财会应用、电力拖动</w:t>
            </w:r>
          </w:p>
        </w:tc>
        <w:tc>
          <w:tcPr>
            <w:tcW w:w="648" w:type="pct"/>
            <w:vAlign w:val="center"/>
          </w:tcPr>
          <w:p w14:paraId="628DFC0B">
            <w:pPr>
              <w:pStyle w:val="23"/>
              <w:jc w:val="center"/>
              <w:rPr>
                <w:kern w:val="0"/>
              </w:rPr>
            </w:pPr>
            <w:r>
              <w:rPr>
                <w:kern w:val="0"/>
              </w:rPr>
              <w:t>南雄市中等职业学校</w:t>
            </w:r>
          </w:p>
        </w:tc>
        <w:tc>
          <w:tcPr>
            <w:tcW w:w="1791" w:type="pct"/>
            <w:vAlign w:val="center"/>
          </w:tcPr>
          <w:p w14:paraId="7A08BEA8">
            <w:pPr>
              <w:pStyle w:val="23"/>
              <w:jc w:val="center"/>
              <w:rPr>
                <w:kern w:val="0"/>
              </w:rPr>
            </w:pPr>
            <w:r>
              <w:rPr>
                <w:kern w:val="0"/>
              </w:rPr>
              <w:t>韶关市教育局</w:t>
            </w:r>
          </w:p>
        </w:tc>
        <w:tc>
          <w:tcPr>
            <w:tcW w:w="610" w:type="pct"/>
            <w:vAlign w:val="center"/>
          </w:tcPr>
          <w:p w14:paraId="6F2CFC63">
            <w:pPr>
              <w:pStyle w:val="23"/>
              <w:jc w:val="center"/>
              <w:rPr>
                <w:kern w:val="0"/>
              </w:rPr>
            </w:pPr>
            <w:r>
              <w:rPr>
                <w:kern w:val="0"/>
              </w:rPr>
              <w:t>2011年11月</w:t>
            </w:r>
          </w:p>
        </w:tc>
      </w:tr>
      <w:tr w14:paraId="2DDB47C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jc w:val="center"/>
        </w:trPr>
        <w:tc>
          <w:tcPr>
            <w:tcW w:w="1951" w:type="pct"/>
            <w:vAlign w:val="center"/>
          </w:tcPr>
          <w:p w14:paraId="15EBC021">
            <w:pPr>
              <w:pStyle w:val="23"/>
              <w:rPr>
                <w:kern w:val="0"/>
              </w:rPr>
            </w:pPr>
            <w:r>
              <w:rPr>
                <w:kern w:val="0"/>
              </w:rPr>
              <w:t>韶关任务教育阶段教学质量优秀单位</w:t>
            </w:r>
          </w:p>
        </w:tc>
        <w:tc>
          <w:tcPr>
            <w:tcW w:w="648" w:type="pct"/>
            <w:vAlign w:val="center"/>
          </w:tcPr>
          <w:p w14:paraId="5333B583">
            <w:pPr>
              <w:pStyle w:val="23"/>
              <w:jc w:val="center"/>
              <w:rPr>
                <w:kern w:val="0"/>
              </w:rPr>
            </w:pPr>
            <w:r>
              <w:rPr>
                <w:kern w:val="0"/>
              </w:rPr>
              <w:t>珠玑中学</w:t>
            </w:r>
          </w:p>
        </w:tc>
        <w:tc>
          <w:tcPr>
            <w:tcW w:w="1791" w:type="pct"/>
            <w:vAlign w:val="center"/>
          </w:tcPr>
          <w:p w14:paraId="669B4877">
            <w:pPr>
              <w:pStyle w:val="23"/>
              <w:jc w:val="center"/>
              <w:rPr>
                <w:kern w:val="0"/>
              </w:rPr>
            </w:pPr>
            <w:r>
              <w:rPr>
                <w:kern w:val="0"/>
              </w:rPr>
              <w:t>韶关市教育局</w:t>
            </w:r>
          </w:p>
        </w:tc>
        <w:tc>
          <w:tcPr>
            <w:tcW w:w="610" w:type="pct"/>
            <w:vAlign w:val="center"/>
          </w:tcPr>
          <w:p w14:paraId="0590269C">
            <w:pPr>
              <w:pStyle w:val="23"/>
              <w:jc w:val="center"/>
              <w:rPr>
                <w:kern w:val="0"/>
              </w:rPr>
            </w:pPr>
            <w:r>
              <w:rPr>
                <w:kern w:val="0"/>
              </w:rPr>
              <w:t>2011年9月</w:t>
            </w:r>
          </w:p>
        </w:tc>
      </w:tr>
      <w:tr w14:paraId="0E7CBE6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jc w:val="center"/>
        </w:trPr>
        <w:tc>
          <w:tcPr>
            <w:tcW w:w="1951" w:type="pct"/>
            <w:vAlign w:val="center"/>
          </w:tcPr>
          <w:p w14:paraId="7A0FC98B">
            <w:pPr>
              <w:pStyle w:val="23"/>
              <w:rPr>
                <w:kern w:val="0"/>
              </w:rPr>
            </w:pPr>
            <w:r>
              <w:rPr>
                <w:kern w:val="0"/>
              </w:rPr>
              <w:t>教学质量优秀单位</w:t>
            </w:r>
          </w:p>
        </w:tc>
        <w:tc>
          <w:tcPr>
            <w:tcW w:w="648" w:type="pct"/>
            <w:vAlign w:val="center"/>
          </w:tcPr>
          <w:p w14:paraId="37778662">
            <w:pPr>
              <w:pStyle w:val="23"/>
              <w:jc w:val="center"/>
              <w:rPr>
                <w:kern w:val="0"/>
              </w:rPr>
            </w:pPr>
            <w:r>
              <w:rPr>
                <w:kern w:val="0"/>
              </w:rPr>
              <w:t>新城王锦辉中学</w:t>
            </w:r>
          </w:p>
        </w:tc>
        <w:tc>
          <w:tcPr>
            <w:tcW w:w="1791" w:type="pct"/>
            <w:vAlign w:val="center"/>
          </w:tcPr>
          <w:p w14:paraId="030EF51C">
            <w:pPr>
              <w:pStyle w:val="23"/>
              <w:jc w:val="center"/>
              <w:rPr>
                <w:kern w:val="0"/>
              </w:rPr>
            </w:pPr>
            <w:r>
              <w:rPr>
                <w:kern w:val="0"/>
              </w:rPr>
              <w:t>韶关市教育局</w:t>
            </w:r>
          </w:p>
        </w:tc>
        <w:tc>
          <w:tcPr>
            <w:tcW w:w="610" w:type="pct"/>
            <w:vAlign w:val="center"/>
          </w:tcPr>
          <w:p w14:paraId="5BA3C4A8">
            <w:pPr>
              <w:pStyle w:val="23"/>
              <w:jc w:val="center"/>
              <w:rPr>
                <w:kern w:val="0"/>
              </w:rPr>
            </w:pPr>
            <w:r>
              <w:rPr>
                <w:kern w:val="0"/>
              </w:rPr>
              <w:t>2011年9月</w:t>
            </w:r>
          </w:p>
        </w:tc>
      </w:tr>
      <w:tr w14:paraId="54292C1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jc w:val="center"/>
        </w:trPr>
        <w:tc>
          <w:tcPr>
            <w:tcW w:w="1951" w:type="pct"/>
            <w:vAlign w:val="center"/>
          </w:tcPr>
          <w:p w14:paraId="1ECB2D49">
            <w:pPr>
              <w:pStyle w:val="23"/>
              <w:rPr>
                <w:kern w:val="0"/>
              </w:rPr>
            </w:pPr>
            <w:r>
              <w:rPr>
                <w:kern w:val="0"/>
              </w:rPr>
              <w:t>韶关市义务教育阶段学校教学质量优秀单位</w:t>
            </w:r>
          </w:p>
        </w:tc>
        <w:tc>
          <w:tcPr>
            <w:tcW w:w="648" w:type="pct"/>
            <w:vAlign w:val="center"/>
          </w:tcPr>
          <w:p w14:paraId="5F11C070">
            <w:pPr>
              <w:pStyle w:val="23"/>
              <w:jc w:val="center"/>
              <w:rPr>
                <w:kern w:val="0"/>
              </w:rPr>
            </w:pPr>
            <w:r>
              <w:rPr>
                <w:kern w:val="0"/>
              </w:rPr>
              <w:t>黄坑中心小学</w:t>
            </w:r>
          </w:p>
        </w:tc>
        <w:tc>
          <w:tcPr>
            <w:tcW w:w="1791" w:type="pct"/>
            <w:vAlign w:val="center"/>
          </w:tcPr>
          <w:p w14:paraId="0343F336">
            <w:pPr>
              <w:pStyle w:val="23"/>
              <w:jc w:val="center"/>
              <w:rPr>
                <w:kern w:val="0"/>
              </w:rPr>
            </w:pPr>
            <w:r>
              <w:rPr>
                <w:kern w:val="0"/>
              </w:rPr>
              <w:t>韶关市教育局</w:t>
            </w:r>
          </w:p>
        </w:tc>
        <w:tc>
          <w:tcPr>
            <w:tcW w:w="610" w:type="pct"/>
            <w:vAlign w:val="center"/>
          </w:tcPr>
          <w:p w14:paraId="313E889B">
            <w:pPr>
              <w:pStyle w:val="23"/>
              <w:jc w:val="center"/>
              <w:rPr>
                <w:kern w:val="0"/>
              </w:rPr>
            </w:pPr>
            <w:r>
              <w:rPr>
                <w:kern w:val="0"/>
              </w:rPr>
              <w:t>2011年9月</w:t>
            </w:r>
          </w:p>
        </w:tc>
      </w:tr>
      <w:tr w14:paraId="7229788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jc w:val="center"/>
        </w:trPr>
        <w:tc>
          <w:tcPr>
            <w:tcW w:w="1951" w:type="pct"/>
            <w:vAlign w:val="center"/>
          </w:tcPr>
          <w:p w14:paraId="7B624499">
            <w:pPr>
              <w:pStyle w:val="23"/>
              <w:rPr>
                <w:kern w:val="0"/>
              </w:rPr>
            </w:pPr>
            <w:r>
              <w:rPr>
                <w:kern w:val="0"/>
              </w:rPr>
              <w:t>2011年韶关市中小学生交通安全知识竞赛小学组团体一等奖</w:t>
            </w:r>
          </w:p>
        </w:tc>
        <w:tc>
          <w:tcPr>
            <w:tcW w:w="648" w:type="pct"/>
            <w:vAlign w:val="center"/>
          </w:tcPr>
          <w:p w14:paraId="4DD7ADA9">
            <w:pPr>
              <w:pStyle w:val="23"/>
              <w:jc w:val="center"/>
              <w:rPr>
                <w:kern w:val="0"/>
              </w:rPr>
            </w:pPr>
            <w:r>
              <w:rPr>
                <w:kern w:val="0"/>
              </w:rPr>
              <w:t>黎灿学校</w:t>
            </w:r>
          </w:p>
        </w:tc>
        <w:tc>
          <w:tcPr>
            <w:tcW w:w="1791" w:type="pct"/>
            <w:vAlign w:val="center"/>
          </w:tcPr>
          <w:p w14:paraId="14F35AD0">
            <w:pPr>
              <w:pStyle w:val="23"/>
              <w:jc w:val="center"/>
              <w:rPr>
                <w:kern w:val="0"/>
              </w:rPr>
            </w:pPr>
            <w:r>
              <w:rPr>
                <w:kern w:val="0"/>
              </w:rPr>
              <w:t>韶关市公安局韶关市教育局</w:t>
            </w:r>
          </w:p>
        </w:tc>
        <w:tc>
          <w:tcPr>
            <w:tcW w:w="610" w:type="pct"/>
            <w:vAlign w:val="center"/>
          </w:tcPr>
          <w:p w14:paraId="53E43B52">
            <w:pPr>
              <w:pStyle w:val="23"/>
              <w:jc w:val="center"/>
              <w:rPr>
                <w:kern w:val="0"/>
              </w:rPr>
            </w:pPr>
            <w:r>
              <w:rPr>
                <w:kern w:val="0"/>
              </w:rPr>
              <w:t>2011年9月</w:t>
            </w:r>
          </w:p>
        </w:tc>
      </w:tr>
      <w:tr w14:paraId="3824939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jc w:val="center"/>
        </w:trPr>
        <w:tc>
          <w:tcPr>
            <w:tcW w:w="1951" w:type="pct"/>
            <w:vAlign w:val="center"/>
          </w:tcPr>
          <w:p w14:paraId="00BC2FD9">
            <w:pPr>
              <w:pStyle w:val="23"/>
              <w:rPr>
                <w:kern w:val="0"/>
              </w:rPr>
            </w:pPr>
            <w:r>
              <w:rPr>
                <w:kern w:val="0"/>
              </w:rPr>
              <w:t>广东省义务教育阶段规范化学校</w:t>
            </w:r>
          </w:p>
        </w:tc>
        <w:tc>
          <w:tcPr>
            <w:tcW w:w="648" w:type="pct"/>
            <w:vAlign w:val="center"/>
          </w:tcPr>
          <w:p w14:paraId="171FD623">
            <w:pPr>
              <w:pStyle w:val="23"/>
              <w:jc w:val="center"/>
              <w:rPr>
                <w:kern w:val="0"/>
              </w:rPr>
            </w:pPr>
            <w:r>
              <w:rPr>
                <w:kern w:val="0"/>
              </w:rPr>
              <w:t>乌迳中心小学生</w:t>
            </w:r>
          </w:p>
        </w:tc>
        <w:tc>
          <w:tcPr>
            <w:tcW w:w="1791" w:type="pct"/>
            <w:vAlign w:val="center"/>
          </w:tcPr>
          <w:p w14:paraId="260776D4">
            <w:pPr>
              <w:pStyle w:val="23"/>
              <w:jc w:val="center"/>
              <w:rPr>
                <w:kern w:val="0"/>
              </w:rPr>
            </w:pPr>
            <w:r>
              <w:rPr>
                <w:kern w:val="0"/>
              </w:rPr>
              <w:t>韶关教育局</w:t>
            </w:r>
          </w:p>
        </w:tc>
        <w:tc>
          <w:tcPr>
            <w:tcW w:w="610" w:type="pct"/>
            <w:vAlign w:val="center"/>
          </w:tcPr>
          <w:p w14:paraId="26D726F4">
            <w:pPr>
              <w:pStyle w:val="23"/>
              <w:jc w:val="center"/>
              <w:rPr>
                <w:kern w:val="0"/>
              </w:rPr>
            </w:pPr>
            <w:r>
              <w:rPr>
                <w:kern w:val="0"/>
              </w:rPr>
              <w:t>2011年12月</w:t>
            </w:r>
          </w:p>
        </w:tc>
      </w:tr>
      <w:tr w14:paraId="2FBC93F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jc w:val="center"/>
        </w:trPr>
        <w:tc>
          <w:tcPr>
            <w:tcW w:w="1951" w:type="pct"/>
            <w:vAlign w:val="center"/>
          </w:tcPr>
          <w:p w14:paraId="0EBA368D">
            <w:pPr>
              <w:pStyle w:val="23"/>
              <w:rPr>
                <w:kern w:val="0"/>
              </w:rPr>
            </w:pPr>
            <w:r>
              <w:rPr>
                <w:kern w:val="0"/>
              </w:rPr>
              <w:t>广东省义务教育阶段规范化学校</w:t>
            </w:r>
          </w:p>
        </w:tc>
        <w:tc>
          <w:tcPr>
            <w:tcW w:w="648" w:type="pct"/>
            <w:vAlign w:val="center"/>
          </w:tcPr>
          <w:p w14:paraId="49948BBE">
            <w:pPr>
              <w:pStyle w:val="23"/>
              <w:jc w:val="center"/>
              <w:rPr>
                <w:kern w:val="0"/>
              </w:rPr>
            </w:pPr>
            <w:r>
              <w:rPr>
                <w:kern w:val="0"/>
              </w:rPr>
              <w:t>邓坊镇中心小学</w:t>
            </w:r>
          </w:p>
        </w:tc>
        <w:tc>
          <w:tcPr>
            <w:tcW w:w="1791" w:type="pct"/>
            <w:vAlign w:val="center"/>
          </w:tcPr>
          <w:p w14:paraId="354385FC">
            <w:pPr>
              <w:pStyle w:val="23"/>
              <w:jc w:val="center"/>
              <w:rPr>
                <w:kern w:val="0"/>
              </w:rPr>
            </w:pPr>
            <w:r>
              <w:rPr>
                <w:kern w:val="0"/>
              </w:rPr>
              <w:t>韶关教育局</w:t>
            </w:r>
          </w:p>
        </w:tc>
        <w:tc>
          <w:tcPr>
            <w:tcW w:w="610" w:type="pct"/>
            <w:vAlign w:val="center"/>
          </w:tcPr>
          <w:p w14:paraId="3471DE6F">
            <w:pPr>
              <w:pStyle w:val="23"/>
              <w:jc w:val="center"/>
              <w:rPr>
                <w:kern w:val="0"/>
              </w:rPr>
            </w:pPr>
            <w:r>
              <w:rPr>
                <w:kern w:val="0"/>
              </w:rPr>
              <w:t>2011年12月</w:t>
            </w:r>
          </w:p>
        </w:tc>
      </w:tr>
      <w:tr w14:paraId="528BF32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jc w:val="center"/>
        </w:trPr>
        <w:tc>
          <w:tcPr>
            <w:tcW w:w="1951" w:type="pct"/>
            <w:vAlign w:val="center"/>
          </w:tcPr>
          <w:p w14:paraId="7C550DDF">
            <w:pPr>
              <w:pStyle w:val="23"/>
              <w:rPr>
                <w:kern w:val="0"/>
              </w:rPr>
            </w:pPr>
            <w:r>
              <w:rPr>
                <w:kern w:val="0"/>
              </w:rPr>
              <w:t>韶关市第十六届中小学生(幼儿园)“英东杯”舞蹈比赛中学组二等奖</w:t>
            </w:r>
          </w:p>
        </w:tc>
        <w:tc>
          <w:tcPr>
            <w:tcW w:w="648" w:type="pct"/>
            <w:vAlign w:val="center"/>
          </w:tcPr>
          <w:p w14:paraId="5319082B">
            <w:pPr>
              <w:pStyle w:val="23"/>
              <w:jc w:val="center"/>
              <w:rPr>
                <w:kern w:val="0"/>
              </w:rPr>
            </w:pPr>
            <w:r>
              <w:rPr>
                <w:kern w:val="0"/>
              </w:rPr>
              <w:t>南雄市第一中学</w:t>
            </w:r>
          </w:p>
        </w:tc>
        <w:tc>
          <w:tcPr>
            <w:tcW w:w="1791" w:type="pct"/>
            <w:vAlign w:val="center"/>
          </w:tcPr>
          <w:p w14:paraId="09156432">
            <w:pPr>
              <w:pStyle w:val="23"/>
              <w:jc w:val="center"/>
              <w:rPr>
                <w:kern w:val="0"/>
              </w:rPr>
            </w:pPr>
            <w:r>
              <w:rPr>
                <w:kern w:val="0"/>
              </w:rPr>
              <w:t>韶关(英东基金会、教育局、文广电新闻出版局、日报、电视台、人民广播电台)</w:t>
            </w:r>
          </w:p>
        </w:tc>
        <w:tc>
          <w:tcPr>
            <w:tcW w:w="610" w:type="pct"/>
            <w:vAlign w:val="center"/>
          </w:tcPr>
          <w:p w14:paraId="3AE7FE2E">
            <w:pPr>
              <w:pStyle w:val="23"/>
              <w:jc w:val="center"/>
              <w:rPr>
                <w:kern w:val="0"/>
              </w:rPr>
            </w:pPr>
            <w:r>
              <w:rPr>
                <w:kern w:val="0"/>
              </w:rPr>
              <w:t>2011年11月</w:t>
            </w:r>
          </w:p>
        </w:tc>
      </w:tr>
      <w:tr w14:paraId="187EBB1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jc w:val="center"/>
        </w:trPr>
        <w:tc>
          <w:tcPr>
            <w:tcW w:w="1951" w:type="pct"/>
            <w:vAlign w:val="center"/>
          </w:tcPr>
          <w:p w14:paraId="01209942">
            <w:pPr>
              <w:pStyle w:val="23"/>
              <w:rPr>
                <w:kern w:val="0"/>
              </w:rPr>
            </w:pPr>
            <w:r>
              <w:rPr>
                <w:kern w:val="0"/>
              </w:rPr>
              <w:t>第九届“全国中小学信息技术与实践活动”决赛。虚拟机器人搜救赛高中组</w:t>
            </w:r>
          </w:p>
        </w:tc>
        <w:tc>
          <w:tcPr>
            <w:tcW w:w="648" w:type="pct"/>
            <w:vAlign w:val="center"/>
          </w:tcPr>
          <w:p w14:paraId="6829845A">
            <w:pPr>
              <w:pStyle w:val="23"/>
              <w:jc w:val="center"/>
              <w:rPr>
                <w:kern w:val="0"/>
              </w:rPr>
            </w:pPr>
            <w:r>
              <w:rPr>
                <w:kern w:val="0"/>
              </w:rPr>
              <w:t>南雄市第一中学</w:t>
            </w:r>
          </w:p>
        </w:tc>
        <w:tc>
          <w:tcPr>
            <w:tcW w:w="1791" w:type="pct"/>
            <w:vAlign w:val="center"/>
          </w:tcPr>
          <w:p w14:paraId="6DE01BCC">
            <w:pPr>
              <w:pStyle w:val="23"/>
              <w:jc w:val="center"/>
              <w:rPr>
                <w:kern w:val="0"/>
              </w:rPr>
            </w:pPr>
            <w:r>
              <w:rPr>
                <w:kern w:val="0"/>
              </w:rPr>
              <w:t>全国中小学信息技术创新与实践活动组织委员会</w:t>
            </w:r>
          </w:p>
        </w:tc>
        <w:tc>
          <w:tcPr>
            <w:tcW w:w="610" w:type="pct"/>
            <w:vAlign w:val="center"/>
          </w:tcPr>
          <w:p w14:paraId="6432F223">
            <w:pPr>
              <w:pStyle w:val="23"/>
              <w:jc w:val="center"/>
              <w:rPr>
                <w:kern w:val="0"/>
              </w:rPr>
            </w:pPr>
            <w:r>
              <w:rPr>
                <w:kern w:val="0"/>
              </w:rPr>
              <w:t>2011年7月</w:t>
            </w:r>
          </w:p>
        </w:tc>
      </w:tr>
      <w:tr w14:paraId="13D9A2E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jc w:val="center"/>
        </w:trPr>
        <w:tc>
          <w:tcPr>
            <w:tcW w:w="1951" w:type="pct"/>
            <w:vAlign w:val="center"/>
          </w:tcPr>
          <w:p w14:paraId="27EEB9AE">
            <w:pPr>
              <w:pStyle w:val="23"/>
              <w:rPr>
                <w:kern w:val="0"/>
              </w:rPr>
            </w:pPr>
            <w:r>
              <w:rPr>
                <w:kern w:val="0"/>
              </w:rPr>
              <w:t>广东省中小学信息技术教学论文评比活动二等奖</w:t>
            </w:r>
          </w:p>
        </w:tc>
        <w:tc>
          <w:tcPr>
            <w:tcW w:w="648" w:type="pct"/>
            <w:vAlign w:val="center"/>
          </w:tcPr>
          <w:p w14:paraId="2E2CF524">
            <w:pPr>
              <w:pStyle w:val="23"/>
              <w:jc w:val="center"/>
              <w:rPr>
                <w:kern w:val="0"/>
              </w:rPr>
            </w:pPr>
            <w:r>
              <w:rPr>
                <w:kern w:val="0"/>
              </w:rPr>
              <w:t>南雄市第一中学</w:t>
            </w:r>
          </w:p>
        </w:tc>
        <w:tc>
          <w:tcPr>
            <w:tcW w:w="1791" w:type="pct"/>
            <w:vAlign w:val="center"/>
          </w:tcPr>
          <w:p w14:paraId="6CE49A1A">
            <w:pPr>
              <w:pStyle w:val="23"/>
              <w:jc w:val="center"/>
              <w:rPr>
                <w:kern w:val="0"/>
              </w:rPr>
            </w:pPr>
            <w:r>
              <w:rPr>
                <w:kern w:val="0"/>
              </w:rPr>
              <w:t>广东省教育学会中小学信息教育学专业委员会</w:t>
            </w:r>
          </w:p>
        </w:tc>
        <w:tc>
          <w:tcPr>
            <w:tcW w:w="610" w:type="pct"/>
            <w:vAlign w:val="center"/>
          </w:tcPr>
          <w:p w14:paraId="4ECB82E1">
            <w:pPr>
              <w:pStyle w:val="23"/>
              <w:jc w:val="center"/>
              <w:rPr>
                <w:kern w:val="0"/>
              </w:rPr>
            </w:pPr>
            <w:r>
              <w:rPr>
                <w:kern w:val="0"/>
              </w:rPr>
              <w:t>2011年5月</w:t>
            </w:r>
          </w:p>
        </w:tc>
      </w:tr>
      <w:tr w14:paraId="532D11D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jc w:val="center"/>
        </w:trPr>
        <w:tc>
          <w:tcPr>
            <w:tcW w:w="1951" w:type="pct"/>
            <w:vAlign w:val="center"/>
          </w:tcPr>
          <w:p w14:paraId="787CF8A0">
            <w:pPr>
              <w:pStyle w:val="23"/>
              <w:rPr>
                <w:kern w:val="0"/>
              </w:rPr>
            </w:pPr>
            <w:r>
              <w:rPr>
                <w:kern w:val="0"/>
              </w:rPr>
              <w:t>关心下一代“先进集体”</w:t>
            </w:r>
          </w:p>
        </w:tc>
        <w:tc>
          <w:tcPr>
            <w:tcW w:w="648" w:type="pct"/>
            <w:vAlign w:val="center"/>
          </w:tcPr>
          <w:p w14:paraId="3C4EA2FC">
            <w:pPr>
              <w:pStyle w:val="23"/>
              <w:jc w:val="center"/>
              <w:rPr>
                <w:kern w:val="0"/>
              </w:rPr>
            </w:pPr>
            <w:r>
              <w:rPr>
                <w:kern w:val="0"/>
              </w:rPr>
              <w:t>南雄市第一中学</w:t>
            </w:r>
          </w:p>
        </w:tc>
        <w:tc>
          <w:tcPr>
            <w:tcW w:w="1791" w:type="pct"/>
            <w:vAlign w:val="center"/>
          </w:tcPr>
          <w:p w14:paraId="51D180E3">
            <w:pPr>
              <w:pStyle w:val="23"/>
              <w:jc w:val="center"/>
              <w:rPr>
                <w:kern w:val="0"/>
              </w:rPr>
            </w:pPr>
            <w:r>
              <w:rPr>
                <w:kern w:val="0"/>
              </w:rPr>
              <w:t>广东省教育厅,关心下一代工作委员会</w:t>
            </w:r>
          </w:p>
        </w:tc>
        <w:tc>
          <w:tcPr>
            <w:tcW w:w="610" w:type="pct"/>
            <w:vAlign w:val="center"/>
          </w:tcPr>
          <w:p w14:paraId="14AF0BE5">
            <w:pPr>
              <w:pStyle w:val="23"/>
              <w:jc w:val="center"/>
              <w:rPr>
                <w:kern w:val="0"/>
              </w:rPr>
            </w:pPr>
            <w:r>
              <w:rPr>
                <w:kern w:val="0"/>
              </w:rPr>
              <w:t>2011年11月</w:t>
            </w:r>
          </w:p>
        </w:tc>
      </w:tr>
      <w:tr w14:paraId="27873CB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jc w:val="center"/>
        </w:trPr>
        <w:tc>
          <w:tcPr>
            <w:tcW w:w="1951" w:type="pct"/>
            <w:vAlign w:val="center"/>
          </w:tcPr>
          <w:p w14:paraId="22517E47">
            <w:pPr>
              <w:pStyle w:val="23"/>
              <w:rPr>
                <w:kern w:val="0"/>
              </w:rPr>
            </w:pPr>
            <w:r>
              <w:rPr>
                <w:kern w:val="0"/>
              </w:rPr>
              <w:t>广东省第八届虚拟机器人竞赛,虚拟足球机器人比赛一等奖</w:t>
            </w:r>
          </w:p>
        </w:tc>
        <w:tc>
          <w:tcPr>
            <w:tcW w:w="648" w:type="pct"/>
            <w:vAlign w:val="center"/>
          </w:tcPr>
          <w:p w14:paraId="171ADB87">
            <w:pPr>
              <w:pStyle w:val="23"/>
              <w:jc w:val="center"/>
              <w:rPr>
                <w:kern w:val="0"/>
              </w:rPr>
            </w:pPr>
            <w:r>
              <w:rPr>
                <w:kern w:val="0"/>
              </w:rPr>
              <w:t>南雄市第一中学</w:t>
            </w:r>
          </w:p>
        </w:tc>
        <w:tc>
          <w:tcPr>
            <w:tcW w:w="1791" w:type="pct"/>
            <w:vAlign w:val="center"/>
          </w:tcPr>
          <w:p w14:paraId="0D60D39B">
            <w:pPr>
              <w:pStyle w:val="23"/>
              <w:jc w:val="center"/>
              <w:rPr>
                <w:kern w:val="0"/>
              </w:rPr>
            </w:pPr>
            <w:r>
              <w:rPr>
                <w:kern w:val="0"/>
              </w:rPr>
              <w:t>广东省教育厅</w:t>
            </w:r>
          </w:p>
        </w:tc>
        <w:tc>
          <w:tcPr>
            <w:tcW w:w="610" w:type="pct"/>
            <w:vAlign w:val="center"/>
          </w:tcPr>
          <w:p w14:paraId="7088FADE">
            <w:pPr>
              <w:pStyle w:val="23"/>
              <w:jc w:val="center"/>
              <w:rPr>
                <w:kern w:val="0"/>
              </w:rPr>
            </w:pPr>
            <w:r>
              <w:rPr>
                <w:kern w:val="0"/>
              </w:rPr>
              <w:t>2011年7月</w:t>
            </w:r>
          </w:p>
        </w:tc>
      </w:tr>
      <w:tr w14:paraId="16C8BCB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jc w:val="center"/>
        </w:trPr>
        <w:tc>
          <w:tcPr>
            <w:tcW w:w="1951" w:type="pct"/>
            <w:vAlign w:val="center"/>
          </w:tcPr>
          <w:p w14:paraId="312A74CB">
            <w:pPr>
              <w:pStyle w:val="23"/>
              <w:rPr>
                <w:kern w:val="0"/>
              </w:rPr>
            </w:pPr>
            <w:r>
              <w:rPr>
                <w:kern w:val="0"/>
              </w:rPr>
              <w:t>广东省第八届虚拟机器人竞赛虚拟灭火机器人比赛二等奖</w:t>
            </w:r>
          </w:p>
        </w:tc>
        <w:tc>
          <w:tcPr>
            <w:tcW w:w="648" w:type="pct"/>
            <w:vAlign w:val="center"/>
          </w:tcPr>
          <w:p w14:paraId="5833C741">
            <w:pPr>
              <w:pStyle w:val="23"/>
              <w:jc w:val="center"/>
              <w:rPr>
                <w:kern w:val="0"/>
              </w:rPr>
            </w:pPr>
            <w:r>
              <w:rPr>
                <w:kern w:val="0"/>
              </w:rPr>
              <w:t>南雄市第一中学</w:t>
            </w:r>
          </w:p>
        </w:tc>
        <w:tc>
          <w:tcPr>
            <w:tcW w:w="1791" w:type="pct"/>
            <w:vAlign w:val="center"/>
          </w:tcPr>
          <w:p w14:paraId="0571D06D">
            <w:pPr>
              <w:pStyle w:val="23"/>
              <w:jc w:val="center"/>
              <w:rPr>
                <w:kern w:val="0"/>
              </w:rPr>
            </w:pPr>
            <w:r>
              <w:rPr>
                <w:kern w:val="0"/>
              </w:rPr>
              <w:t>广东省教育厅</w:t>
            </w:r>
          </w:p>
        </w:tc>
        <w:tc>
          <w:tcPr>
            <w:tcW w:w="610" w:type="pct"/>
            <w:vAlign w:val="center"/>
          </w:tcPr>
          <w:p w14:paraId="7BEEFC2A">
            <w:pPr>
              <w:pStyle w:val="23"/>
              <w:jc w:val="center"/>
              <w:rPr>
                <w:kern w:val="0"/>
              </w:rPr>
            </w:pPr>
            <w:r>
              <w:rPr>
                <w:kern w:val="0"/>
              </w:rPr>
              <w:t>2011年7月</w:t>
            </w:r>
          </w:p>
        </w:tc>
      </w:tr>
      <w:tr w14:paraId="35389CA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jc w:val="center"/>
        </w:trPr>
        <w:tc>
          <w:tcPr>
            <w:tcW w:w="1951" w:type="pct"/>
            <w:vAlign w:val="center"/>
          </w:tcPr>
          <w:p w14:paraId="6629C560">
            <w:pPr>
              <w:pStyle w:val="23"/>
              <w:rPr>
                <w:kern w:val="0"/>
              </w:rPr>
            </w:pPr>
            <w:r>
              <w:rPr>
                <w:kern w:val="0"/>
              </w:rPr>
              <w:t>广东省中小学校优秀网站</w:t>
            </w:r>
          </w:p>
        </w:tc>
        <w:tc>
          <w:tcPr>
            <w:tcW w:w="648" w:type="pct"/>
            <w:vAlign w:val="center"/>
          </w:tcPr>
          <w:p w14:paraId="3EC73266">
            <w:pPr>
              <w:pStyle w:val="23"/>
              <w:jc w:val="center"/>
              <w:rPr>
                <w:kern w:val="0"/>
              </w:rPr>
            </w:pPr>
            <w:r>
              <w:rPr>
                <w:kern w:val="0"/>
              </w:rPr>
              <w:t>全安中学</w:t>
            </w:r>
          </w:p>
        </w:tc>
        <w:tc>
          <w:tcPr>
            <w:tcW w:w="1791" w:type="pct"/>
            <w:vAlign w:val="center"/>
          </w:tcPr>
          <w:p w14:paraId="2F355567">
            <w:pPr>
              <w:pStyle w:val="23"/>
              <w:jc w:val="center"/>
              <w:rPr>
                <w:kern w:val="0"/>
              </w:rPr>
            </w:pPr>
            <w:r>
              <w:rPr>
                <w:kern w:val="0"/>
              </w:rPr>
              <w:t>广东省教育厅</w:t>
            </w:r>
          </w:p>
        </w:tc>
        <w:tc>
          <w:tcPr>
            <w:tcW w:w="610" w:type="pct"/>
            <w:vAlign w:val="center"/>
          </w:tcPr>
          <w:p w14:paraId="6207B5BF">
            <w:pPr>
              <w:pStyle w:val="23"/>
              <w:jc w:val="center"/>
              <w:rPr>
                <w:kern w:val="0"/>
              </w:rPr>
            </w:pPr>
            <w:r>
              <w:rPr>
                <w:kern w:val="0"/>
              </w:rPr>
              <w:t>2011年6月</w:t>
            </w:r>
          </w:p>
        </w:tc>
      </w:tr>
    </w:tbl>
    <w:p w14:paraId="03966D69">
      <w:pPr>
        <w:pStyle w:val="4"/>
      </w:pPr>
      <w:r>
        <w:rPr>
          <w:rFonts w:hint="eastAsia"/>
        </w:rPr>
        <w:t>【教育文化建设】</w:t>
      </w:r>
    </w:p>
    <w:p w14:paraId="15641585">
      <w:pPr>
        <w:ind w:firstLine="420"/>
        <w:rPr>
          <w:rFonts w:ascii="宋体" w:hAnsi="宋体"/>
          <w:szCs w:val="21"/>
        </w:rPr>
      </w:pPr>
      <w:r>
        <w:rPr>
          <w:rFonts w:hint="eastAsia" w:ascii="宋体" w:hAnsi="宋体"/>
          <w:szCs w:val="21"/>
        </w:rPr>
        <w:t>2011年，全市教育系统进一步加三十多项表292011年强教育文化建设，共编出版各类视频、书籍、画册等三十多项。</w:t>
      </w:r>
    </w:p>
    <w:p w14:paraId="5D9A9E8E">
      <w:pPr>
        <w:ind w:firstLine="422"/>
        <w:jc w:val="center"/>
        <w:rPr>
          <w:rFonts w:ascii="宋体" w:hAnsi="宋体"/>
          <w:b/>
          <w:szCs w:val="21"/>
        </w:rPr>
      </w:pPr>
      <w:r>
        <w:rPr>
          <w:rFonts w:hint="eastAsia" w:ascii="宋体" w:hAnsi="宋体"/>
          <w:b/>
          <w:szCs w:val="21"/>
        </w:rPr>
        <w:t>表29 2011年教育系统出版情况</w:t>
      </w:r>
    </w:p>
    <w:tbl>
      <w:tblPr>
        <w:tblStyle w:val="14"/>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979"/>
        <w:gridCol w:w="1297"/>
        <w:gridCol w:w="2979"/>
        <w:gridCol w:w="1195"/>
        <w:gridCol w:w="1512"/>
      </w:tblGrid>
      <w:tr w14:paraId="137DFA8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386" w:type="pct"/>
            <w:shd w:val="clear" w:color="auto" w:fill="auto"/>
            <w:noWrap/>
            <w:vAlign w:val="center"/>
          </w:tcPr>
          <w:p w14:paraId="17EAA9AA">
            <w:pPr>
              <w:pStyle w:val="23"/>
              <w:jc w:val="center"/>
              <w:rPr>
                <w:b/>
                <w:kern w:val="0"/>
              </w:rPr>
            </w:pPr>
            <w:r>
              <w:rPr>
                <w:b/>
                <w:kern w:val="0"/>
              </w:rPr>
              <w:t>题目</w:t>
            </w:r>
          </w:p>
        </w:tc>
        <w:tc>
          <w:tcPr>
            <w:tcW w:w="854" w:type="pct"/>
            <w:shd w:val="clear" w:color="auto" w:fill="auto"/>
            <w:noWrap/>
            <w:vAlign w:val="center"/>
          </w:tcPr>
          <w:p w14:paraId="1A4F7E70">
            <w:pPr>
              <w:pStyle w:val="23"/>
              <w:jc w:val="center"/>
              <w:rPr>
                <w:b/>
                <w:kern w:val="0"/>
              </w:rPr>
            </w:pPr>
            <w:r>
              <w:rPr>
                <w:b/>
                <w:kern w:val="0"/>
              </w:rPr>
              <w:t>字数、页数、期数或分钟</w:t>
            </w:r>
          </w:p>
        </w:tc>
        <w:tc>
          <w:tcPr>
            <w:tcW w:w="1374" w:type="pct"/>
            <w:shd w:val="clear" w:color="auto" w:fill="auto"/>
            <w:noWrap/>
            <w:vAlign w:val="center"/>
          </w:tcPr>
          <w:p w14:paraId="106AD22E">
            <w:pPr>
              <w:pStyle w:val="23"/>
              <w:jc w:val="center"/>
              <w:rPr>
                <w:b/>
                <w:kern w:val="0"/>
              </w:rPr>
            </w:pPr>
            <w:r>
              <w:rPr>
                <w:b/>
                <w:kern w:val="0"/>
              </w:rPr>
              <w:t>主要内容</w:t>
            </w:r>
          </w:p>
        </w:tc>
        <w:tc>
          <w:tcPr>
            <w:tcW w:w="557" w:type="pct"/>
            <w:shd w:val="clear" w:color="auto" w:fill="auto"/>
            <w:noWrap/>
            <w:vAlign w:val="center"/>
          </w:tcPr>
          <w:p w14:paraId="210C76D0">
            <w:pPr>
              <w:pStyle w:val="23"/>
              <w:jc w:val="center"/>
              <w:rPr>
                <w:b/>
                <w:kern w:val="0"/>
              </w:rPr>
            </w:pPr>
            <w:r>
              <w:rPr>
                <w:b/>
                <w:kern w:val="0"/>
              </w:rPr>
              <w:t>制作单位</w:t>
            </w:r>
          </w:p>
        </w:tc>
        <w:tc>
          <w:tcPr>
            <w:tcW w:w="829" w:type="pct"/>
            <w:shd w:val="clear" w:color="auto" w:fill="auto"/>
            <w:noWrap/>
            <w:vAlign w:val="center"/>
          </w:tcPr>
          <w:p w14:paraId="0BFCBB9E">
            <w:pPr>
              <w:pStyle w:val="23"/>
              <w:jc w:val="center"/>
              <w:rPr>
                <w:b/>
                <w:kern w:val="0"/>
              </w:rPr>
            </w:pPr>
            <w:r>
              <w:rPr>
                <w:b/>
                <w:kern w:val="0"/>
              </w:rPr>
              <w:t>制作时间</w:t>
            </w:r>
          </w:p>
        </w:tc>
      </w:tr>
      <w:tr w14:paraId="39D0F31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386" w:type="pct"/>
            <w:shd w:val="clear" w:color="auto" w:fill="auto"/>
            <w:noWrap/>
            <w:vAlign w:val="center"/>
          </w:tcPr>
          <w:p w14:paraId="6B7DBC1C">
            <w:pPr>
              <w:pStyle w:val="23"/>
              <w:rPr>
                <w:kern w:val="0"/>
              </w:rPr>
            </w:pPr>
            <w:r>
              <w:rPr>
                <w:kern w:val="0"/>
              </w:rPr>
              <w:t>蓓蕾</w:t>
            </w:r>
          </w:p>
        </w:tc>
        <w:tc>
          <w:tcPr>
            <w:tcW w:w="854" w:type="pct"/>
            <w:shd w:val="clear" w:color="auto" w:fill="auto"/>
            <w:noWrap/>
            <w:vAlign w:val="center"/>
          </w:tcPr>
          <w:p w14:paraId="66D833B5">
            <w:pPr>
              <w:pStyle w:val="23"/>
              <w:rPr>
                <w:kern w:val="0"/>
              </w:rPr>
            </w:pPr>
            <w:r>
              <w:rPr>
                <w:kern w:val="0"/>
              </w:rPr>
              <w:t>12期</w:t>
            </w:r>
          </w:p>
        </w:tc>
        <w:tc>
          <w:tcPr>
            <w:tcW w:w="1374" w:type="pct"/>
            <w:shd w:val="clear" w:color="auto" w:fill="auto"/>
            <w:noWrap/>
            <w:vAlign w:val="center"/>
          </w:tcPr>
          <w:p w14:paraId="6640E3ED">
            <w:pPr>
              <w:pStyle w:val="23"/>
              <w:rPr>
                <w:kern w:val="0"/>
              </w:rPr>
            </w:pPr>
            <w:r>
              <w:rPr>
                <w:kern w:val="0"/>
              </w:rPr>
              <w:t>学生文章、作品等</w:t>
            </w:r>
          </w:p>
        </w:tc>
        <w:tc>
          <w:tcPr>
            <w:tcW w:w="557" w:type="pct"/>
            <w:shd w:val="clear" w:color="auto" w:fill="auto"/>
            <w:noWrap/>
            <w:vAlign w:val="center"/>
          </w:tcPr>
          <w:p w14:paraId="158CAFBA">
            <w:pPr>
              <w:pStyle w:val="23"/>
              <w:rPr>
                <w:kern w:val="0"/>
              </w:rPr>
            </w:pPr>
            <w:r>
              <w:rPr>
                <w:kern w:val="0"/>
              </w:rPr>
              <w:t>黎灿学校</w:t>
            </w:r>
          </w:p>
        </w:tc>
        <w:tc>
          <w:tcPr>
            <w:tcW w:w="829" w:type="pct"/>
            <w:shd w:val="clear" w:color="auto" w:fill="auto"/>
            <w:noWrap/>
            <w:vAlign w:val="center"/>
          </w:tcPr>
          <w:p w14:paraId="2C62F955">
            <w:pPr>
              <w:pStyle w:val="23"/>
              <w:rPr>
                <w:kern w:val="0"/>
              </w:rPr>
            </w:pPr>
            <w:r>
              <w:rPr>
                <w:kern w:val="0"/>
              </w:rPr>
              <w:t>2011年</w:t>
            </w:r>
          </w:p>
        </w:tc>
      </w:tr>
      <w:tr w14:paraId="7DBCBAD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386" w:type="pct"/>
            <w:shd w:val="clear" w:color="auto" w:fill="auto"/>
            <w:noWrap/>
            <w:vAlign w:val="center"/>
          </w:tcPr>
          <w:p w14:paraId="4696677C">
            <w:pPr>
              <w:pStyle w:val="23"/>
              <w:rPr>
                <w:kern w:val="0"/>
              </w:rPr>
            </w:pPr>
            <w:r>
              <w:rPr>
                <w:kern w:val="0"/>
              </w:rPr>
              <w:t>黎灿学校德育工作汇报光盘</w:t>
            </w:r>
          </w:p>
        </w:tc>
        <w:tc>
          <w:tcPr>
            <w:tcW w:w="854" w:type="pct"/>
            <w:shd w:val="clear" w:color="auto" w:fill="auto"/>
            <w:noWrap/>
            <w:vAlign w:val="center"/>
          </w:tcPr>
          <w:p w14:paraId="5F3886B9">
            <w:pPr>
              <w:pStyle w:val="23"/>
              <w:rPr>
                <w:kern w:val="0"/>
              </w:rPr>
            </w:pPr>
            <w:r>
              <w:rPr>
                <w:kern w:val="0"/>
              </w:rPr>
              <w:t>45分钟</w:t>
            </w:r>
          </w:p>
        </w:tc>
        <w:tc>
          <w:tcPr>
            <w:tcW w:w="1374" w:type="pct"/>
            <w:shd w:val="clear" w:color="auto" w:fill="auto"/>
            <w:noWrap/>
            <w:vAlign w:val="center"/>
          </w:tcPr>
          <w:p w14:paraId="3F518FBC">
            <w:pPr>
              <w:pStyle w:val="23"/>
              <w:rPr>
                <w:kern w:val="0"/>
              </w:rPr>
            </w:pPr>
            <w:r>
              <w:rPr>
                <w:kern w:val="0"/>
              </w:rPr>
              <w:t>学校德育工作情况</w:t>
            </w:r>
          </w:p>
        </w:tc>
        <w:tc>
          <w:tcPr>
            <w:tcW w:w="557" w:type="pct"/>
            <w:shd w:val="clear" w:color="auto" w:fill="auto"/>
            <w:noWrap/>
            <w:vAlign w:val="center"/>
          </w:tcPr>
          <w:p w14:paraId="44498B6B">
            <w:pPr>
              <w:pStyle w:val="23"/>
              <w:rPr>
                <w:kern w:val="0"/>
              </w:rPr>
            </w:pPr>
            <w:r>
              <w:rPr>
                <w:kern w:val="0"/>
              </w:rPr>
              <w:t>黎灿学校</w:t>
            </w:r>
          </w:p>
        </w:tc>
        <w:tc>
          <w:tcPr>
            <w:tcW w:w="829" w:type="pct"/>
            <w:shd w:val="clear" w:color="auto" w:fill="auto"/>
            <w:noWrap/>
            <w:vAlign w:val="center"/>
          </w:tcPr>
          <w:p w14:paraId="25A95606">
            <w:pPr>
              <w:pStyle w:val="23"/>
              <w:rPr>
                <w:kern w:val="0"/>
              </w:rPr>
            </w:pPr>
            <w:r>
              <w:rPr>
                <w:kern w:val="0"/>
              </w:rPr>
              <w:t>2011年</w:t>
            </w:r>
          </w:p>
        </w:tc>
      </w:tr>
      <w:tr w14:paraId="565B64D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trHeight w:val="255" w:hRule="atLeast"/>
          <w:jc w:val="center"/>
        </w:trPr>
        <w:tc>
          <w:tcPr>
            <w:tcW w:w="1386" w:type="pct"/>
            <w:shd w:val="clear" w:color="auto" w:fill="auto"/>
            <w:noWrap/>
            <w:vAlign w:val="center"/>
          </w:tcPr>
          <w:p w14:paraId="1EC173AB">
            <w:pPr>
              <w:pStyle w:val="23"/>
              <w:rPr>
                <w:kern w:val="0"/>
              </w:rPr>
            </w:pPr>
            <w:r>
              <w:rPr>
                <w:kern w:val="0"/>
              </w:rPr>
              <w:t>传承红军精神办人民满意教育</w:t>
            </w:r>
          </w:p>
        </w:tc>
        <w:tc>
          <w:tcPr>
            <w:tcW w:w="854" w:type="pct"/>
            <w:shd w:val="clear" w:color="auto" w:fill="auto"/>
            <w:noWrap/>
            <w:vAlign w:val="center"/>
          </w:tcPr>
          <w:p w14:paraId="16A17DA4">
            <w:pPr>
              <w:pStyle w:val="23"/>
              <w:rPr>
                <w:kern w:val="0"/>
              </w:rPr>
            </w:pPr>
            <w:r>
              <w:rPr>
                <w:kern w:val="0"/>
              </w:rPr>
              <w:t>15分钟</w:t>
            </w:r>
          </w:p>
        </w:tc>
        <w:tc>
          <w:tcPr>
            <w:tcW w:w="1374" w:type="pct"/>
            <w:shd w:val="clear" w:color="auto" w:fill="auto"/>
            <w:noWrap/>
            <w:vAlign w:val="center"/>
          </w:tcPr>
          <w:p w14:paraId="0559FF0F">
            <w:pPr>
              <w:pStyle w:val="23"/>
              <w:rPr>
                <w:kern w:val="0"/>
              </w:rPr>
            </w:pPr>
            <w:r>
              <w:rPr>
                <w:kern w:val="0"/>
              </w:rPr>
              <w:t>教育创强</w:t>
            </w:r>
          </w:p>
        </w:tc>
        <w:tc>
          <w:tcPr>
            <w:tcW w:w="557" w:type="pct"/>
            <w:shd w:val="clear" w:color="auto" w:fill="auto"/>
            <w:noWrap/>
            <w:vAlign w:val="center"/>
          </w:tcPr>
          <w:p w14:paraId="392A78E6">
            <w:pPr>
              <w:pStyle w:val="23"/>
              <w:rPr>
                <w:kern w:val="0"/>
              </w:rPr>
            </w:pPr>
            <w:r>
              <w:rPr>
                <w:kern w:val="0"/>
              </w:rPr>
              <w:t>水口镇政府</w:t>
            </w:r>
          </w:p>
        </w:tc>
        <w:tc>
          <w:tcPr>
            <w:tcW w:w="829" w:type="pct"/>
            <w:shd w:val="clear" w:color="auto" w:fill="auto"/>
            <w:noWrap/>
            <w:vAlign w:val="center"/>
          </w:tcPr>
          <w:p w14:paraId="44624C7F">
            <w:pPr>
              <w:pStyle w:val="23"/>
              <w:rPr>
                <w:kern w:val="0"/>
              </w:rPr>
            </w:pPr>
            <w:r>
              <w:rPr>
                <w:kern w:val="0"/>
              </w:rPr>
              <w:t>2011年12月</w:t>
            </w:r>
          </w:p>
        </w:tc>
      </w:tr>
      <w:tr w14:paraId="352426D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386" w:type="pct"/>
            <w:shd w:val="clear" w:color="auto" w:fill="auto"/>
            <w:noWrap/>
            <w:vAlign w:val="center"/>
          </w:tcPr>
          <w:p w14:paraId="20631F21">
            <w:pPr>
              <w:pStyle w:val="23"/>
              <w:rPr>
                <w:kern w:val="0"/>
              </w:rPr>
            </w:pPr>
            <w:r>
              <w:rPr>
                <w:kern w:val="0"/>
              </w:rPr>
              <w:t>《进取》</w:t>
            </w:r>
          </w:p>
        </w:tc>
        <w:tc>
          <w:tcPr>
            <w:tcW w:w="854" w:type="pct"/>
            <w:shd w:val="clear" w:color="auto" w:fill="auto"/>
            <w:noWrap/>
            <w:vAlign w:val="center"/>
          </w:tcPr>
          <w:p w14:paraId="2DAFA8B8">
            <w:pPr>
              <w:pStyle w:val="23"/>
              <w:rPr>
                <w:kern w:val="0"/>
              </w:rPr>
            </w:pPr>
            <w:r>
              <w:rPr>
                <w:kern w:val="0"/>
              </w:rPr>
              <w:t>26页</w:t>
            </w:r>
          </w:p>
        </w:tc>
        <w:tc>
          <w:tcPr>
            <w:tcW w:w="1374" w:type="pct"/>
            <w:shd w:val="clear" w:color="auto" w:fill="auto"/>
            <w:noWrap/>
            <w:vAlign w:val="center"/>
          </w:tcPr>
          <w:p w14:paraId="12E3951C">
            <w:pPr>
              <w:pStyle w:val="23"/>
              <w:rPr>
                <w:kern w:val="0"/>
              </w:rPr>
            </w:pPr>
            <w:r>
              <w:rPr>
                <w:kern w:val="0"/>
              </w:rPr>
              <w:t>南雄市水口镇创建广东省教育强镇建设掠影</w:t>
            </w:r>
          </w:p>
        </w:tc>
        <w:tc>
          <w:tcPr>
            <w:tcW w:w="557" w:type="pct"/>
            <w:shd w:val="clear" w:color="auto" w:fill="auto"/>
            <w:noWrap/>
            <w:vAlign w:val="center"/>
          </w:tcPr>
          <w:p w14:paraId="66E0C186">
            <w:pPr>
              <w:pStyle w:val="23"/>
              <w:rPr>
                <w:kern w:val="0"/>
              </w:rPr>
            </w:pPr>
            <w:r>
              <w:rPr>
                <w:kern w:val="0"/>
              </w:rPr>
              <w:t>水口镇政府</w:t>
            </w:r>
          </w:p>
        </w:tc>
        <w:tc>
          <w:tcPr>
            <w:tcW w:w="829" w:type="pct"/>
            <w:shd w:val="clear" w:color="auto" w:fill="auto"/>
            <w:noWrap/>
            <w:vAlign w:val="center"/>
          </w:tcPr>
          <w:p w14:paraId="24302F5B">
            <w:pPr>
              <w:pStyle w:val="23"/>
              <w:rPr>
                <w:kern w:val="0"/>
              </w:rPr>
            </w:pPr>
            <w:r>
              <w:rPr>
                <w:kern w:val="0"/>
              </w:rPr>
              <w:t>2011年12月</w:t>
            </w:r>
          </w:p>
        </w:tc>
      </w:tr>
      <w:tr w14:paraId="5524AC6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386" w:type="pct"/>
            <w:shd w:val="clear" w:color="auto" w:fill="auto"/>
            <w:noWrap/>
            <w:vAlign w:val="center"/>
          </w:tcPr>
          <w:p w14:paraId="4388323B">
            <w:pPr>
              <w:pStyle w:val="23"/>
              <w:rPr>
                <w:kern w:val="0"/>
              </w:rPr>
            </w:pPr>
            <w:r>
              <w:rPr>
                <w:kern w:val="0"/>
              </w:rPr>
              <w:t>《开拓》</w:t>
            </w:r>
          </w:p>
        </w:tc>
        <w:tc>
          <w:tcPr>
            <w:tcW w:w="854" w:type="pct"/>
            <w:shd w:val="clear" w:color="auto" w:fill="auto"/>
            <w:noWrap/>
            <w:vAlign w:val="center"/>
          </w:tcPr>
          <w:p w14:paraId="483E1C39">
            <w:pPr>
              <w:pStyle w:val="23"/>
              <w:rPr>
                <w:kern w:val="0"/>
              </w:rPr>
            </w:pPr>
            <w:r>
              <w:rPr>
                <w:kern w:val="0"/>
              </w:rPr>
              <w:t>15分钟</w:t>
            </w:r>
          </w:p>
        </w:tc>
        <w:tc>
          <w:tcPr>
            <w:tcW w:w="1374" w:type="pct"/>
            <w:shd w:val="clear" w:color="auto" w:fill="auto"/>
            <w:noWrap/>
            <w:vAlign w:val="center"/>
          </w:tcPr>
          <w:p w14:paraId="5DBB36BE">
            <w:pPr>
              <w:pStyle w:val="23"/>
              <w:rPr>
                <w:kern w:val="0"/>
              </w:rPr>
            </w:pPr>
            <w:r>
              <w:rPr>
                <w:kern w:val="0"/>
              </w:rPr>
              <w:t>教育创强</w:t>
            </w:r>
          </w:p>
        </w:tc>
        <w:tc>
          <w:tcPr>
            <w:tcW w:w="557" w:type="pct"/>
            <w:shd w:val="clear" w:color="auto" w:fill="auto"/>
            <w:noWrap/>
            <w:vAlign w:val="center"/>
          </w:tcPr>
          <w:p w14:paraId="3903EA3B">
            <w:pPr>
              <w:pStyle w:val="23"/>
              <w:rPr>
                <w:kern w:val="0"/>
              </w:rPr>
            </w:pPr>
            <w:r>
              <w:rPr>
                <w:kern w:val="0"/>
              </w:rPr>
              <w:t>帽子峰镇政府</w:t>
            </w:r>
          </w:p>
        </w:tc>
        <w:tc>
          <w:tcPr>
            <w:tcW w:w="829" w:type="pct"/>
            <w:shd w:val="clear" w:color="auto" w:fill="auto"/>
            <w:noWrap/>
            <w:vAlign w:val="center"/>
          </w:tcPr>
          <w:p w14:paraId="54B685C4">
            <w:pPr>
              <w:pStyle w:val="23"/>
              <w:rPr>
                <w:kern w:val="0"/>
              </w:rPr>
            </w:pPr>
            <w:r>
              <w:rPr>
                <w:kern w:val="0"/>
              </w:rPr>
              <w:t>2011年12月</w:t>
            </w:r>
          </w:p>
        </w:tc>
      </w:tr>
      <w:tr w14:paraId="0743593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386" w:type="pct"/>
            <w:shd w:val="clear" w:color="auto" w:fill="auto"/>
            <w:noWrap/>
            <w:vAlign w:val="center"/>
          </w:tcPr>
          <w:p w14:paraId="6B37DF63">
            <w:pPr>
              <w:pStyle w:val="23"/>
              <w:rPr>
                <w:kern w:val="0"/>
              </w:rPr>
            </w:pPr>
            <w:r>
              <w:rPr>
                <w:kern w:val="0"/>
              </w:rPr>
              <w:t>《创建教育强镇,谱写教育华章帽子峰镇创建教育强镇工作纪实》</w:t>
            </w:r>
          </w:p>
        </w:tc>
        <w:tc>
          <w:tcPr>
            <w:tcW w:w="854" w:type="pct"/>
            <w:shd w:val="clear" w:color="auto" w:fill="auto"/>
            <w:noWrap/>
            <w:vAlign w:val="center"/>
          </w:tcPr>
          <w:p w14:paraId="5B3FFD08">
            <w:pPr>
              <w:pStyle w:val="23"/>
              <w:rPr>
                <w:kern w:val="0"/>
              </w:rPr>
            </w:pPr>
          </w:p>
        </w:tc>
        <w:tc>
          <w:tcPr>
            <w:tcW w:w="1374" w:type="pct"/>
            <w:shd w:val="clear" w:color="auto" w:fill="auto"/>
            <w:noWrap/>
            <w:vAlign w:val="center"/>
          </w:tcPr>
          <w:p w14:paraId="3FC01C1B">
            <w:pPr>
              <w:pStyle w:val="23"/>
              <w:rPr>
                <w:kern w:val="0"/>
              </w:rPr>
            </w:pPr>
            <w:r>
              <w:rPr>
                <w:kern w:val="0"/>
              </w:rPr>
              <w:t>《创建教育强镇,谱写教育华章帽子峰镇创建教育强镇工作纪实》</w:t>
            </w:r>
          </w:p>
        </w:tc>
        <w:tc>
          <w:tcPr>
            <w:tcW w:w="557" w:type="pct"/>
            <w:shd w:val="clear" w:color="auto" w:fill="auto"/>
            <w:noWrap/>
            <w:vAlign w:val="center"/>
          </w:tcPr>
          <w:p w14:paraId="79B4E955">
            <w:pPr>
              <w:pStyle w:val="23"/>
              <w:rPr>
                <w:kern w:val="0"/>
              </w:rPr>
            </w:pPr>
            <w:r>
              <w:rPr>
                <w:kern w:val="0"/>
              </w:rPr>
              <w:t>帽子峰镇政府</w:t>
            </w:r>
          </w:p>
        </w:tc>
        <w:tc>
          <w:tcPr>
            <w:tcW w:w="829" w:type="pct"/>
            <w:shd w:val="clear" w:color="auto" w:fill="auto"/>
            <w:noWrap/>
            <w:vAlign w:val="center"/>
          </w:tcPr>
          <w:p w14:paraId="412A40CC">
            <w:pPr>
              <w:pStyle w:val="23"/>
              <w:rPr>
                <w:kern w:val="0"/>
              </w:rPr>
            </w:pPr>
            <w:r>
              <w:rPr>
                <w:kern w:val="0"/>
              </w:rPr>
              <w:t>2011年12月</w:t>
            </w:r>
          </w:p>
        </w:tc>
      </w:tr>
      <w:tr w14:paraId="1DBC5BF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386" w:type="pct"/>
            <w:shd w:val="clear" w:color="auto" w:fill="auto"/>
            <w:noWrap/>
            <w:vAlign w:val="center"/>
          </w:tcPr>
          <w:p w14:paraId="008E6E77">
            <w:pPr>
              <w:pStyle w:val="23"/>
              <w:rPr>
                <w:kern w:val="0"/>
              </w:rPr>
            </w:pPr>
            <w:r>
              <w:rPr>
                <w:kern w:val="0"/>
              </w:rPr>
              <w:t>《弘扬红色精神创建教育强镇》澜河镇创建教育强镇工作纪实》</w:t>
            </w:r>
          </w:p>
        </w:tc>
        <w:tc>
          <w:tcPr>
            <w:tcW w:w="854" w:type="pct"/>
            <w:shd w:val="clear" w:color="auto" w:fill="auto"/>
            <w:noWrap/>
            <w:vAlign w:val="center"/>
          </w:tcPr>
          <w:p w14:paraId="679514B0">
            <w:pPr>
              <w:pStyle w:val="23"/>
              <w:rPr>
                <w:kern w:val="0"/>
              </w:rPr>
            </w:pPr>
            <w:r>
              <w:rPr>
                <w:kern w:val="0"/>
              </w:rPr>
              <w:t>15分钟</w:t>
            </w:r>
          </w:p>
        </w:tc>
        <w:tc>
          <w:tcPr>
            <w:tcW w:w="1374" w:type="pct"/>
            <w:shd w:val="clear" w:color="auto" w:fill="auto"/>
            <w:noWrap/>
            <w:vAlign w:val="center"/>
          </w:tcPr>
          <w:p w14:paraId="4475B65A">
            <w:pPr>
              <w:pStyle w:val="23"/>
              <w:rPr>
                <w:kern w:val="0"/>
              </w:rPr>
            </w:pPr>
            <w:r>
              <w:rPr>
                <w:kern w:val="0"/>
              </w:rPr>
              <w:t>南雄市澜河镇教育专题片</w:t>
            </w:r>
          </w:p>
        </w:tc>
        <w:tc>
          <w:tcPr>
            <w:tcW w:w="557" w:type="pct"/>
            <w:shd w:val="clear" w:color="auto" w:fill="auto"/>
            <w:noWrap/>
            <w:vAlign w:val="center"/>
          </w:tcPr>
          <w:p w14:paraId="44FC0A95">
            <w:pPr>
              <w:pStyle w:val="23"/>
              <w:rPr>
                <w:kern w:val="0"/>
              </w:rPr>
            </w:pPr>
            <w:r>
              <w:rPr>
                <w:kern w:val="0"/>
              </w:rPr>
              <w:t>澜河镇政府</w:t>
            </w:r>
          </w:p>
        </w:tc>
        <w:tc>
          <w:tcPr>
            <w:tcW w:w="829" w:type="pct"/>
            <w:shd w:val="clear" w:color="auto" w:fill="auto"/>
            <w:noWrap/>
            <w:vAlign w:val="center"/>
          </w:tcPr>
          <w:p w14:paraId="17CC3DD7">
            <w:pPr>
              <w:pStyle w:val="23"/>
              <w:rPr>
                <w:kern w:val="0"/>
              </w:rPr>
            </w:pPr>
            <w:r>
              <w:rPr>
                <w:kern w:val="0"/>
              </w:rPr>
              <w:t>2011年12月</w:t>
            </w:r>
          </w:p>
        </w:tc>
      </w:tr>
      <w:tr w14:paraId="1C1195E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386" w:type="pct"/>
            <w:shd w:val="clear" w:color="auto" w:fill="auto"/>
            <w:noWrap/>
            <w:vAlign w:val="center"/>
          </w:tcPr>
          <w:p w14:paraId="410B41AA">
            <w:pPr>
              <w:pStyle w:val="23"/>
              <w:rPr>
                <w:color w:val="000000"/>
                <w:kern w:val="0"/>
              </w:rPr>
            </w:pPr>
            <w:r>
              <w:rPr>
                <w:color w:val="000000"/>
                <w:kern w:val="0"/>
              </w:rPr>
              <w:t>《教育强镇福万代》</w:t>
            </w:r>
          </w:p>
        </w:tc>
        <w:tc>
          <w:tcPr>
            <w:tcW w:w="854" w:type="pct"/>
            <w:shd w:val="clear" w:color="auto" w:fill="auto"/>
            <w:noWrap/>
            <w:vAlign w:val="center"/>
          </w:tcPr>
          <w:p w14:paraId="3953FF2B">
            <w:pPr>
              <w:pStyle w:val="23"/>
              <w:rPr>
                <w:color w:val="000000"/>
                <w:kern w:val="0"/>
              </w:rPr>
            </w:pPr>
            <w:r>
              <w:rPr>
                <w:color w:val="000000"/>
                <w:kern w:val="0"/>
              </w:rPr>
              <w:t>26页</w:t>
            </w:r>
          </w:p>
        </w:tc>
        <w:tc>
          <w:tcPr>
            <w:tcW w:w="1374" w:type="pct"/>
            <w:shd w:val="clear" w:color="auto" w:fill="auto"/>
            <w:noWrap/>
            <w:vAlign w:val="center"/>
          </w:tcPr>
          <w:p w14:paraId="342C2DA1">
            <w:pPr>
              <w:pStyle w:val="23"/>
              <w:rPr>
                <w:color w:val="000000"/>
                <w:kern w:val="0"/>
              </w:rPr>
            </w:pPr>
            <w:r>
              <w:rPr>
                <w:color w:val="000000"/>
                <w:kern w:val="0"/>
              </w:rPr>
              <w:t>南雄澜河镇创建广东省教育强镇建设掠影</w:t>
            </w:r>
          </w:p>
        </w:tc>
        <w:tc>
          <w:tcPr>
            <w:tcW w:w="557" w:type="pct"/>
            <w:shd w:val="clear" w:color="auto" w:fill="auto"/>
            <w:noWrap/>
            <w:vAlign w:val="center"/>
          </w:tcPr>
          <w:p w14:paraId="39FD25CC">
            <w:pPr>
              <w:pStyle w:val="23"/>
              <w:rPr>
                <w:color w:val="000000"/>
                <w:kern w:val="0"/>
              </w:rPr>
            </w:pPr>
            <w:r>
              <w:rPr>
                <w:color w:val="000000"/>
                <w:kern w:val="0"/>
              </w:rPr>
              <w:t>澜河镇政府</w:t>
            </w:r>
          </w:p>
        </w:tc>
        <w:tc>
          <w:tcPr>
            <w:tcW w:w="829" w:type="pct"/>
            <w:shd w:val="clear" w:color="auto" w:fill="auto"/>
            <w:noWrap/>
            <w:vAlign w:val="center"/>
          </w:tcPr>
          <w:p w14:paraId="7BBD9352">
            <w:pPr>
              <w:pStyle w:val="23"/>
              <w:rPr>
                <w:color w:val="000000"/>
                <w:kern w:val="0"/>
              </w:rPr>
            </w:pPr>
            <w:r>
              <w:rPr>
                <w:color w:val="000000"/>
                <w:kern w:val="0"/>
              </w:rPr>
              <w:t>2011年12月</w:t>
            </w:r>
          </w:p>
        </w:tc>
      </w:tr>
      <w:tr w14:paraId="4F4C77F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386" w:type="pct"/>
            <w:shd w:val="clear" w:color="auto" w:fill="auto"/>
            <w:noWrap/>
            <w:vAlign w:val="center"/>
          </w:tcPr>
          <w:p w14:paraId="495E3013">
            <w:pPr>
              <w:pStyle w:val="23"/>
              <w:rPr>
                <w:color w:val="000000"/>
                <w:kern w:val="0"/>
              </w:rPr>
            </w:pPr>
            <w:r>
              <w:rPr>
                <w:color w:val="000000"/>
                <w:kern w:val="0"/>
              </w:rPr>
              <w:t>教师论文集</w:t>
            </w:r>
          </w:p>
        </w:tc>
        <w:tc>
          <w:tcPr>
            <w:tcW w:w="854" w:type="pct"/>
            <w:shd w:val="clear" w:color="auto" w:fill="auto"/>
            <w:noWrap/>
            <w:vAlign w:val="center"/>
          </w:tcPr>
          <w:p w14:paraId="134A2965">
            <w:pPr>
              <w:pStyle w:val="23"/>
              <w:rPr>
                <w:color w:val="000000"/>
                <w:kern w:val="0"/>
              </w:rPr>
            </w:pPr>
          </w:p>
        </w:tc>
        <w:tc>
          <w:tcPr>
            <w:tcW w:w="1374" w:type="pct"/>
            <w:shd w:val="clear" w:color="auto" w:fill="auto"/>
            <w:noWrap/>
            <w:vAlign w:val="center"/>
          </w:tcPr>
          <w:p w14:paraId="1A221701">
            <w:pPr>
              <w:pStyle w:val="23"/>
              <w:rPr>
                <w:color w:val="000000"/>
                <w:kern w:val="0"/>
              </w:rPr>
            </w:pPr>
            <w:r>
              <w:rPr>
                <w:color w:val="000000"/>
                <w:kern w:val="0"/>
              </w:rPr>
              <w:t>教师论文</w:t>
            </w:r>
          </w:p>
        </w:tc>
        <w:tc>
          <w:tcPr>
            <w:tcW w:w="557" w:type="pct"/>
            <w:shd w:val="clear" w:color="auto" w:fill="auto"/>
            <w:noWrap/>
            <w:vAlign w:val="center"/>
          </w:tcPr>
          <w:p w14:paraId="4AD4E388">
            <w:pPr>
              <w:pStyle w:val="23"/>
              <w:rPr>
                <w:color w:val="000000"/>
                <w:kern w:val="0"/>
              </w:rPr>
            </w:pPr>
            <w:r>
              <w:rPr>
                <w:color w:val="000000"/>
                <w:kern w:val="0"/>
              </w:rPr>
              <w:t>水口中心小学</w:t>
            </w:r>
          </w:p>
        </w:tc>
        <w:tc>
          <w:tcPr>
            <w:tcW w:w="829" w:type="pct"/>
            <w:shd w:val="clear" w:color="auto" w:fill="auto"/>
            <w:noWrap/>
            <w:vAlign w:val="center"/>
          </w:tcPr>
          <w:p w14:paraId="20AA3C55">
            <w:pPr>
              <w:pStyle w:val="23"/>
              <w:rPr>
                <w:color w:val="000000"/>
                <w:kern w:val="0"/>
              </w:rPr>
            </w:pPr>
            <w:r>
              <w:rPr>
                <w:color w:val="000000"/>
                <w:kern w:val="0"/>
              </w:rPr>
              <w:t>2011年11月</w:t>
            </w:r>
          </w:p>
        </w:tc>
      </w:tr>
      <w:tr w14:paraId="7C3D029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386" w:type="pct"/>
            <w:shd w:val="clear" w:color="auto" w:fill="auto"/>
            <w:noWrap/>
            <w:vAlign w:val="center"/>
          </w:tcPr>
          <w:p w14:paraId="5910554B">
            <w:pPr>
              <w:pStyle w:val="23"/>
              <w:rPr>
                <w:color w:val="000000"/>
                <w:kern w:val="0"/>
              </w:rPr>
            </w:pPr>
            <w:r>
              <w:rPr>
                <w:color w:val="000000"/>
                <w:kern w:val="0"/>
              </w:rPr>
              <w:t>学生优秀作文选</w:t>
            </w:r>
          </w:p>
        </w:tc>
        <w:tc>
          <w:tcPr>
            <w:tcW w:w="854" w:type="pct"/>
            <w:shd w:val="clear" w:color="auto" w:fill="auto"/>
            <w:noWrap/>
            <w:vAlign w:val="center"/>
          </w:tcPr>
          <w:p w14:paraId="7820244B">
            <w:pPr>
              <w:pStyle w:val="23"/>
              <w:rPr>
                <w:color w:val="000000"/>
                <w:kern w:val="0"/>
              </w:rPr>
            </w:pPr>
          </w:p>
        </w:tc>
        <w:tc>
          <w:tcPr>
            <w:tcW w:w="1374" w:type="pct"/>
            <w:shd w:val="clear" w:color="auto" w:fill="auto"/>
            <w:noWrap/>
            <w:vAlign w:val="center"/>
          </w:tcPr>
          <w:p w14:paraId="0C249229">
            <w:pPr>
              <w:pStyle w:val="23"/>
              <w:rPr>
                <w:color w:val="000000"/>
                <w:kern w:val="0"/>
              </w:rPr>
            </w:pPr>
            <w:r>
              <w:rPr>
                <w:color w:val="000000"/>
                <w:kern w:val="0"/>
              </w:rPr>
              <w:t>学生优秀作文</w:t>
            </w:r>
          </w:p>
        </w:tc>
        <w:tc>
          <w:tcPr>
            <w:tcW w:w="557" w:type="pct"/>
            <w:shd w:val="clear" w:color="auto" w:fill="auto"/>
            <w:noWrap/>
            <w:vAlign w:val="center"/>
          </w:tcPr>
          <w:p w14:paraId="0695CD7C">
            <w:pPr>
              <w:pStyle w:val="23"/>
              <w:rPr>
                <w:color w:val="000000"/>
                <w:kern w:val="0"/>
              </w:rPr>
            </w:pPr>
            <w:r>
              <w:rPr>
                <w:color w:val="000000"/>
                <w:kern w:val="0"/>
              </w:rPr>
              <w:t>水口中心小学</w:t>
            </w:r>
          </w:p>
        </w:tc>
        <w:tc>
          <w:tcPr>
            <w:tcW w:w="829" w:type="pct"/>
            <w:shd w:val="clear" w:color="auto" w:fill="auto"/>
            <w:noWrap/>
            <w:vAlign w:val="center"/>
          </w:tcPr>
          <w:p w14:paraId="0C5B8BEA">
            <w:pPr>
              <w:pStyle w:val="23"/>
              <w:rPr>
                <w:color w:val="000000"/>
                <w:kern w:val="0"/>
              </w:rPr>
            </w:pPr>
            <w:r>
              <w:rPr>
                <w:color w:val="000000"/>
                <w:kern w:val="0"/>
              </w:rPr>
              <w:t>2011年11月</w:t>
            </w:r>
          </w:p>
        </w:tc>
      </w:tr>
      <w:tr w14:paraId="3875C31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386" w:type="pct"/>
            <w:shd w:val="clear" w:color="auto" w:fill="auto"/>
            <w:noWrap/>
            <w:vAlign w:val="center"/>
          </w:tcPr>
          <w:p w14:paraId="082CDEC0">
            <w:pPr>
              <w:pStyle w:val="23"/>
              <w:rPr>
                <w:color w:val="000000"/>
                <w:kern w:val="0"/>
              </w:rPr>
            </w:pPr>
            <w:r>
              <w:rPr>
                <w:color w:val="000000"/>
                <w:kern w:val="0"/>
              </w:rPr>
              <w:t>《永康少儿》报</w:t>
            </w:r>
          </w:p>
        </w:tc>
        <w:tc>
          <w:tcPr>
            <w:tcW w:w="854" w:type="pct"/>
            <w:shd w:val="clear" w:color="auto" w:fill="auto"/>
            <w:noWrap/>
            <w:vAlign w:val="center"/>
          </w:tcPr>
          <w:p w14:paraId="33B180FA">
            <w:pPr>
              <w:pStyle w:val="23"/>
              <w:rPr>
                <w:color w:val="000000"/>
                <w:kern w:val="0"/>
              </w:rPr>
            </w:pPr>
            <w:r>
              <w:rPr>
                <w:color w:val="000000"/>
                <w:kern w:val="0"/>
              </w:rPr>
              <w:t>8期</w:t>
            </w:r>
          </w:p>
        </w:tc>
        <w:tc>
          <w:tcPr>
            <w:tcW w:w="1374" w:type="pct"/>
            <w:shd w:val="clear" w:color="auto" w:fill="auto"/>
            <w:noWrap/>
            <w:vAlign w:val="center"/>
          </w:tcPr>
          <w:p w14:paraId="56B1E6BD">
            <w:pPr>
              <w:pStyle w:val="23"/>
              <w:rPr>
                <w:color w:val="000000"/>
                <w:kern w:val="0"/>
              </w:rPr>
            </w:pPr>
            <w:r>
              <w:rPr>
                <w:color w:val="000000"/>
                <w:kern w:val="0"/>
              </w:rPr>
              <w:t>诗歌、花圃、创作园地、七色校园、教辅之窗</w:t>
            </w:r>
          </w:p>
        </w:tc>
        <w:tc>
          <w:tcPr>
            <w:tcW w:w="557" w:type="pct"/>
            <w:shd w:val="clear" w:color="auto" w:fill="auto"/>
            <w:noWrap/>
            <w:vAlign w:val="center"/>
          </w:tcPr>
          <w:p w14:paraId="45241120">
            <w:pPr>
              <w:pStyle w:val="23"/>
              <w:rPr>
                <w:color w:val="000000"/>
                <w:kern w:val="0"/>
              </w:rPr>
            </w:pPr>
            <w:r>
              <w:rPr>
                <w:color w:val="000000"/>
                <w:kern w:val="0"/>
              </w:rPr>
              <w:t>永康路小学</w:t>
            </w:r>
          </w:p>
        </w:tc>
        <w:tc>
          <w:tcPr>
            <w:tcW w:w="829" w:type="pct"/>
            <w:shd w:val="clear" w:color="auto" w:fill="auto"/>
            <w:noWrap/>
            <w:vAlign w:val="center"/>
          </w:tcPr>
          <w:p w14:paraId="0D695B36">
            <w:pPr>
              <w:pStyle w:val="23"/>
              <w:rPr>
                <w:color w:val="000000"/>
                <w:kern w:val="0"/>
              </w:rPr>
            </w:pPr>
            <w:r>
              <w:rPr>
                <w:color w:val="000000"/>
                <w:kern w:val="0"/>
              </w:rPr>
              <w:t>2011年各学月</w:t>
            </w:r>
          </w:p>
        </w:tc>
      </w:tr>
      <w:tr w14:paraId="579207A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386" w:type="pct"/>
            <w:shd w:val="clear" w:color="auto" w:fill="auto"/>
            <w:noWrap/>
            <w:vAlign w:val="center"/>
          </w:tcPr>
          <w:p w14:paraId="1991FDDD">
            <w:pPr>
              <w:pStyle w:val="23"/>
              <w:rPr>
                <w:color w:val="000000"/>
                <w:kern w:val="0"/>
              </w:rPr>
            </w:pPr>
            <w:r>
              <w:rPr>
                <w:color w:val="000000"/>
                <w:kern w:val="0"/>
              </w:rPr>
              <w:t>《桑梓情浓》感恩画册</w:t>
            </w:r>
          </w:p>
        </w:tc>
        <w:tc>
          <w:tcPr>
            <w:tcW w:w="854" w:type="pct"/>
            <w:shd w:val="clear" w:color="auto" w:fill="auto"/>
            <w:noWrap/>
            <w:vAlign w:val="center"/>
          </w:tcPr>
          <w:p w14:paraId="1CF79043">
            <w:pPr>
              <w:pStyle w:val="23"/>
              <w:rPr>
                <w:color w:val="000000"/>
                <w:kern w:val="0"/>
              </w:rPr>
            </w:pPr>
            <w:r>
              <w:rPr>
                <w:color w:val="000000"/>
                <w:kern w:val="0"/>
              </w:rPr>
              <w:t>30页</w:t>
            </w:r>
          </w:p>
        </w:tc>
        <w:tc>
          <w:tcPr>
            <w:tcW w:w="1374" w:type="pct"/>
            <w:shd w:val="clear" w:color="auto" w:fill="auto"/>
            <w:noWrap/>
            <w:vAlign w:val="center"/>
          </w:tcPr>
          <w:p w14:paraId="215F33F7">
            <w:pPr>
              <w:pStyle w:val="23"/>
              <w:rPr>
                <w:color w:val="000000"/>
                <w:kern w:val="0"/>
              </w:rPr>
            </w:pPr>
            <w:r>
              <w:rPr>
                <w:color w:val="000000"/>
                <w:kern w:val="0"/>
              </w:rPr>
              <w:t>卢道平先生捐资助学相片</w:t>
            </w:r>
          </w:p>
        </w:tc>
        <w:tc>
          <w:tcPr>
            <w:tcW w:w="557" w:type="pct"/>
            <w:shd w:val="clear" w:color="auto" w:fill="auto"/>
            <w:noWrap/>
            <w:vAlign w:val="center"/>
          </w:tcPr>
          <w:p w14:paraId="56E09D5A">
            <w:pPr>
              <w:pStyle w:val="23"/>
              <w:rPr>
                <w:color w:val="000000"/>
                <w:kern w:val="0"/>
              </w:rPr>
            </w:pPr>
            <w:r>
              <w:rPr>
                <w:color w:val="000000"/>
                <w:kern w:val="0"/>
              </w:rPr>
              <w:t>永康路小学</w:t>
            </w:r>
          </w:p>
        </w:tc>
        <w:tc>
          <w:tcPr>
            <w:tcW w:w="829" w:type="pct"/>
            <w:shd w:val="clear" w:color="auto" w:fill="auto"/>
            <w:noWrap/>
            <w:vAlign w:val="center"/>
          </w:tcPr>
          <w:p w14:paraId="4FA34DEB">
            <w:pPr>
              <w:pStyle w:val="23"/>
              <w:rPr>
                <w:color w:val="000000"/>
                <w:kern w:val="0"/>
              </w:rPr>
            </w:pPr>
            <w:r>
              <w:rPr>
                <w:color w:val="000000"/>
                <w:kern w:val="0"/>
              </w:rPr>
              <w:t>2011年12月</w:t>
            </w:r>
          </w:p>
        </w:tc>
      </w:tr>
      <w:tr w14:paraId="4864547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386" w:type="pct"/>
            <w:shd w:val="clear" w:color="auto" w:fill="auto"/>
            <w:noWrap/>
            <w:vAlign w:val="center"/>
          </w:tcPr>
          <w:p w14:paraId="7A37EBC4">
            <w:pPr>
              <w:pStyle w:val="23"/>
              <w:rPr>
                <w:color w:val="000000"/>
                <w:kern w:val="0"/>
              </w:rPr>
            </w:pPr>
            <w:r>
              <w:rPr>
                <w:color w:val="000000"/>
                <w:kern w:val="0"/>
              </w:rPr>
              <w:t>六一文艺汇演</w:t>
            </w:r>
          </w:p>
        </w:tc>
        <w:tc>
          <w:tcPr>
            <w:tcW w:w="854" w:type="pct"/>
            <w:shd w:val="clear" w:color="auto" w:fill="auto"/>
            <w:noWrap/>
            <w:vAlign w:val="center"/>
          </w:tcPr>
          <w:p w14:paraId="612F523D">
            <w:pPr>
              <w:pStyle w:val="23"/>
              <w:rPr>
                <w:color w:val="000000"/>
                <w:kern w:val="0"/>
              </w:rPr>
            </w:pPr>
            <w:r>
              <w:rPr>
                <w:color w:val="000000"/>
                <w:kern w:val="0"/>
              </w:rPr>
              <w:t>115分钟</w:t>
            </w:r>
          </w:p>
        </w:tc>
        <w:tc>
          <w:tcPr>
            <w:tcW w:w="1374" w:type="pct"/>
            <w:shd w:val="clear" w:color="auto" w:fill="auto"/>
            <w:noWrap/>
            <w:vAlign w:val="center"/>
          </w:tcPr>
          <w:p w14:paraId="163D0C64">
            <w:pPr>
              <w:pStyle w:val="23"/>
              <w:rPr>
                <w:color w:val="000000"/>
                <w:kern w:val="0"/>
              </w:rPr>
            </w:pPr>
            <w:r>
              <w:rPr>
                <w:color w:val="000000"/>
                <w:kern w:val="0"/>
              </w:rPr>
              <w:t>六一文艺会议</w:t>
            </w:r>
          </w:p>
        </w:tc>
        <w:tc>
          <w:tcPr>
            <w:tcW w:w="557" w:type="pct"/>
            <w:shd w:val="clear" w:color="auto" w:fill="auto"/>
            <w:noWrap/>
            <w:vAlign w:val="center"/>
          </w:tcPr>
          <w:p w14:paraId="766BCCFA">
            <w:pPr>
              <w:pStyle w:val="23"/>
              <w:rPr>
                <w:color w:val="000000"/>
                <w:kern w:val="0"/>
              </w:rPr>
            </w:pPr>
            <w:r>
              <w:rPr>
                <w:color w:val="000000"/>
                <w:kern w:val="0"/>
              </w:rPr>
              <w:t>全安镇中心小学</w:t>
            </w:r>
          </w:p>
        </w:tc>
        <w:tc>
          <w:tcPr>
            <w:tcW w:w="829" w:type="pct"/>
            <w:shd w:val="clear" w:color="auto" w:fill="auto"/>
            <w:noWrap/>
            <w:vAlign w:val="center"/>
          </w:tcPr>
          <w:p w14:paraId="5B7FC7F8">
            <w:pPr>
              <w:pStyle w:val="23"/>
              <w:rPr>
                <w:color w:val="000000"/>
                <w:kern w:val="0"/>
              </w:rPr>
            </w:pPr>
            <w:r>
              <w:rPr>
                <w:color w:val="000000"/>
                <w:kern w:val="0"/>
              </w:rPr>
              <w:t>2011年5月31日</w:t>
            </w:r>
          </w:p>
        </w:tc>
      </w:tr>
      <w:tr w14:paraId="77BFAB2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386" w:type="pct"/>
            <w:shd w:val="clear" w:color="auto" w:fill="auto"/>
            <w:noWrap/>
            <w:vAlign w:val="center"/>
          </w:tcPr>
          <w:p w14:paraId="0C7D0AAE">
            <w:pPr>
              <w:pStyle w:val="23"/>
              <w:rPr>
                <w:color w:val="000000"/>
                <w:kern w:val="0"/>
              </w:rPr>
            </w:pPr>
            <w:r>
              <w:rPr>
                <w:color w:val="000000"/>
                <w:kern w:val="0"/>
              </w:rPr>
              <w:t>《走进珠玑》</w:t>
            </w:r>
          </w:p>
        </w:tc>
        <w:tc>
          <w:tcPr>
            <w:tcW w:w="854" w:type="pct"/>
            <w:shd w:val="clear" w:color="auto" w:fill="auto"/>
            <w:noWrap/>
            <w:vAlign w:val="center"/>
          </w:tcPr>
          <w:p w14:paraId="6A7E54DB">
            <w:pPr>
              <w:pStyle w:val="23"/>
              <w:rPr>
                <w:color w:val="000000"/>
                <w:kern w:val="0"/>
              </w:rPr>
            </w:pPr>
          </w:p>
        </w:tc>
        <w:tc>
          <w:tcPr>
            <w:tcW w:w="1374" w:type="pct"/>
            <w:shd w:val="clear" w:color="auto" w:fill="auto"/>
            <w:noWrap/>
            <w:vAlign w:val="center"/>
          </w:tcPr>
          <w:p w14:paraId="660B370B">
            <w:pPr>
              <w:pStyle w:val="23"/>
              <w:rPr>
                <w:color w:val="000000"/>
                <w:kern w:val="0"/>
              </w:rPr>
            </w:pPr>
            <w:r>
              <w:rPr>
                <w:color w:val="000000"/>
                <w:kern w:val="0"/>
              </w:rPr>
              <w:t>珠玑人精神及人文历史</w:t>
            </w:r>
          </w:p>
        </w:tc>
        <w:tc>
          <w:tcPr>
            <w:tcW w:w="557" w:type="pct"/>
            <w:shd w:val="clear" w:color="auto" w:fill="auto"/>
            <w:noWrap/>
            <w:vAlign w:val="center"/>
          </w:tcPr>
          <w:p w14:paraId="18EBBA27">
            <w:pPr>
              <w:pStyle w:val="23"/>
              <w:rPr>
                <w:color w:val="000000"/>
                <w:kern w:val="0"/>
              </w:rPr>
            </w:pPr>
            <w:r>
              <w:rPr>
                <w:color w:val="000000"/>
                <w:kern w:val="0"/>
              </w:rPr>
              <w:t>珠玑镇中心小学办公室</w:t>
            </w:r>
          </w:p>
        </w:tc>
        <w:tc>
          <w:tcPr>
            <w:tcW w:w="829" w:type="pct"/>
            <w:shd w:val="clear" w:color="auto" w:fill="auto"/>
            <w:noWrap/>
            <w:vAlign w:val="center"/>
          </w:tcPr>
          <w:p w14:paraId="0F1A76E7">
            <w:pPr>
              <w:pStyle w:val="23"/>
              <w:rPr>
                <w:color w:val="000000"/>
                <w:kern w:val="0"/>
              </w:rPr>
            </w:pPr>
            <w:r>
              <w:rPr>
                <w:color w:val="000000"/>
                <w:kern w:val="0"/>
              </w:rPr>
              <w:t>2011年1月</w:t>
            </w:r>
          </w:p>
        </w:tc>
      </w:tr>
      <w:tr w14:paraId="2FEF780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386" w:type="pct"/>
            <w:shd w:val="clear" w:color="auto" w:fill="auto"/>
            <w:noWrap/>
            <w:vAlign w:val="center"/>
          </w:tcPr>
          <w:p w14:paraId="6DE33167">
            <w:pPr>
              <w:pStyle w:val="23"/>
              <w:rPr>
                <w:color w:val="000000"/>
                <w:kern w:val="0"/>
              </w:rPr>
            </w:pPr>
            <w:r>
              <w:rPr>
                <w:color w:val="000000"/>
                <w:kern w:val="0"/>
              </w:rPr>
              <w:t>《桃李园》校报</w:t>
            </w:r>
          </w:p>
        </w:tc>
        <w:tc>
          <w:tcPr>
            <w:tcW w:w="854" w:type="pct"/>
            <w:shd w:val="clear" w:color="auto" w:fill="auto"/>
            <w:noWrap/>
            <w:vAlign w:val="center"/>
          </w:tcPr>
          <w:p w14:paraId="1F9E315B">
            <w:pPr>
              <w:pStyle w:val="23"/>
              <w:rPr>
                <w:color w:val="000000"/>
                <w:kern w:val="0"/>
              </w:rPr>
            </w:pPr>
            <w:r>
              <w:rPr>
                <w:color w:val="000000"/>
                <w:kern w:val="0"/>
              </w:rPr>
              <w:t>8期</w:t>
            </w:r>
          </w:p>
        </w:tc>
        <w:tc>
          <w:tcPr>
            <w:tcW w:w="1374" w:type="pct"/>
            <w:shd w:val="clear" w:color="auto" w:fill="auto"/>
            <w:noWrap/>
            <w:vAlign w:val="center"/>
          </w:tcPr>
          <w:p w14:paraId="14E52AEF">
            <w:pPr>
              <w:pStyle w:val="23"/>
              <w:rPr>
                <w:color w:val="000000"/>
                <w:kern w:val="0"/>
              </w:rPr>
            </w:pPr>
            <w:r>
              <w:rPr>
                <w:color w:val="000000"/>
                <w:kern w:val="0"/>
              </w:rPr>
              <w:t>校园风采、学海遨游</w:t>
            </w:r>
          </w:p>
        </w:tc>
        <w:tc>
          <w:tcPr>
            <w:tcW w:w="557" w:type="pct"/>
            <w:shd w:val="clear" w:color="auto" w:fill="auto"/>
            <w:noWrap/>
            <w:vAlign w:val="center"/>
          </w:tcPr>
          <w:p w14:paraId="0A4A103A">
            <w:pPr>
              <w:pStyle w:val="23"/>
              <w:rPr>
                <w:color w:val="000000"/>
                <w:kern w:val="0"/>
              </w:rPr>
            </w:pPr>
            <w:r>
              <w:rPr>
                <w:color w:val="000000"/>
                <w:kern w:val="0"/>
              </w:rPr>
              <w:t>新城小学</w:t>
            </w:r>
          </w:p>
        </w:tc>
        <w:tc>
          <w:tcPr>
            <w:tcW w:w="829" w:type="pct"/>
            <w:shd w:val="clear" w:color="auto" w:fill="auto"/>
            <w:noWrap/>
            <w:vAlign w:val="center"/>
          </w:tcPr>
          <w:p w14:paraId="21A86546">
            <w:pPr>
              <w:pStyle w:val="23"/>
              <w:rPr>
                <w:color w:val="000000"/>
                <w:kern w:val="0"/>
              </w:rPr>
            </w:pPr>
            <w:r>
              <w:rPr>
                <w:color w:val="000000"/>
                <w:kern w:val="0"/>
              </w:rPr>
              <w:t>半年4期</w:t>
            </w:r>
          </w:p>
        </w:tc>
      </w:tr>
      <w:tr w14:paraId="1E883E1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386" w:type="pct"/>
            <w:shd w:val="clear" w:color="auto" w:fill="auto"/>
            <w:noWrap/>
            <w:vAlign w:val="center"/>
          </w:tcPr>
          <w:p w14:paraId="35D4DDC3">
            <w:pPr>
              <w:pStyle w:val="23"/>
              <w:rPr>
                <w:color w:val="000000"/>
                <w:kern w:val="0"/>
              </w:rPr>
            </w:pPr>
            <w:r>
              <w:rPr>
                <w:color w:val="000000"/>
                <w:kern w:val="0"/>
              </w:rPr>
              <w:t>大班毕业典礼(VCD)</w:t>
            </w:r>
          </w:p>
        </w:tc>
        <w:tc>
          <w:tcPr>
            <w:tcW w:w="854" w:type="pct"/>
            <w:shd w:val="clear" w:color="auto" w:fill="auto"/>
            <w:noWrap/>
            <w:vAlign w:val="center"/>
          </w:tcPr>
          <w:p w14:paraId="03F5DEF1">
            <w:pPr>
              <w:pStyle w:val="23"/>
              <w:rPr>
                <w:color w:val="000000"/>
                <w:kern w:val="0"/>
              </w:rPr>
            </w:pPr>
            <w:r>
              <w:rPr>
                <w:color w:val="000000"/>
                <w:kern w:val="0"/>
              </w:rPr>
              <w:t>60分钟</w:t>
            </w:r>
          </w:p>
        </w:tc>
        <w:tc>
          <w:tcPr>
            <w:tcW w:w="1374" w:type="pct"/>
            <w:shd w:val="clear" w:color="auto" w:fill="auto"/>
            <w:noWrap/>
            <w:vAlign w:val="center"/>
          </w:tcPr>
          <w:p w14:paraId="5E300866">
            <w:pPr>
              <w:pStyle w:val="23"/>
              <w:rPr>
                <w:color w:val="000000"/>
                <w:kern w:val="0"/>
              </w:rPr>
            </w:pPr>
            <w:r>
              <w:rPr>
                <w:color w:val="000000"/>
                <w:kern w:val="0"/>
              </w:rPr>
              <w:t>幼儿汇报演出</w:t>
            </w:r>
          </w:p>
        </w:tc>
        <w:tc>
          <w:tcPr>
            <w:tcW w:w="557" w:type="pct"/>
            <w:shd w:val="clear" w:color="auto" w:fill="auto"/>
            <w:noWrap/>
            <w:vAlign w:val="center"/>
          </w:tcPr>
          <w:p w14:paraId="28A23894">
            <w:pPr>
              <w:pStyle w:val="23"/>
              <w:rPr>
                <w:color w:val="000000"/>
                <w:kern w:val="0"/>
              </w:rPr>
            </w:pPr>
            <w:r>
              <w:rPr>
                <w:color w:val="000000"/>
                <w:kern w:val="0"/>
              </w:rPr>
              <w:t>机幼</w:t>
            </w:r>
          </w:p>
        </w:tc>
        <w:tc>
          <w:tcPr>
            <w:tcW w:w="829" w:type="pct"/>
            <w:shd w:val="clear" w:color="auto" w:fill="auto"/>
            <w:noWrap/>
            <w:vAlign w:val="center"/>
          </w:tcPr>
          <w:p w14:paraId="23D71ED5">
            <w:pPr>
              <w:pStyle w:val="23"/>
              <w:rPr>
                <w:color w:val="000000"/>
                <w:kern w:val="0"/>
              </w:rPr>
            </w:pPr>
            <w:r>
              <w:rPr>
                <w:color w:val="000000"/>
                <w:kern w:val="0"/>
              </w:rPr>
              <w:t>2011年7月</w:t>
            </w:r>
          </w:p>
        </w:tc>
      </w:tr>
      <w:tr w14:paraId="4E89BB9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386" w:type="pct"/>
            <w:shd w:val="clear" w:color="auto" w:fill="auto"/>
            <w:noWrap/>
            <w:vAlign w:val="center"/>
          </w:tcPr>
          <w:p w14:paraId="17CA20EF">
            <w:pPr>
              <w:pStyle w:val="23"/>
              <w:rPr>
                <w:color w:val="000000"/>
                <w:kern w:val="0"/>
              </w:rPr>
            </w:pPr>
            <w:r>
              <w:rPr>
                <w:color w:val="000000"/>
                <w:kern w:val="0"/>
              </w:rPr>
              <w:t>幼儿园教学观摩活动(VCD)</w:t>
            </w:r>
          </w:p>
        </w:tc>
        <w:tc>
          <w:tcPr>
            <w:tcW w:w="854" w:type="pct"/>
            <w:shd w:val="clear" w:color="auto" w:fill="auto"/>
            <w:noWrap/>
            <w:vAlign w:val="center"/>
          </w:tcPr>
          <w:p w14:paraId="1B1C8996">
            <w:pPr>
              <w:pStyle w:val="23"/>
              <w:rPr>
                <w:color w:val="000000"/>
                <w:kern w:val="0"/>
              </w:rPr>
            </w:pPr>
            <w:r>
              <w:rPr>
                <w:color w:val="000000"/>
                <w:kern w:val="0"/>
              </w:rPr>
              <w:t>300分钟</w:t>
            </w:r>
          </w:p>
        </w:tc>
        <w:tc>
          <w:tcPr>
            <w:tcW w:w="1374" w:type="pct"/>
            <w:shd w:val="clear" w:color="auto" w:fill="auto"/>
            <w:noWrap/>
            <w:vAlign w:val="center"/>
          </w:tcPr>
          <w:p w14:paraId="57D1730B">
            <w:pPr>
              <w:pStyle w:val="23"/>
              <w:rPr>
                <w:color w:val="000000"/>
                <w:kern w:val="0"/>
              </w:rPr>
            </w:pPr>
            <w:r>
              <w:rPr>
                <w:color w:val="000000"/>
                <w:kern w:val="0"/>
              </w:rPr>
              <w:t>各班教学活动</w:t>
            </w:r>
          </w:p>
        </w:tc>
        <w:tc>
          <w:tcPr>
            <w:tcW w:w="557" w:type="pct"/>
            <w:shd w:val="clear" w:color="auto" w:fill="auto"/>
            <w:noWrap/>
            <w:vAlign w:val="center"/>
          </w:tcPr>
          <w:p w14:paraId="45A7E40F">
            <w:pPr>
              <w:pStyle w:val="23"/>
              <w:rPr>
                <w:color w:val="000000"/>
                <w:kern w:val="0"/>
              </w:rPr>
            </w:pPr>
            <w:r>
              <w:rPr>
                <w:color w:val="000000"/>
                <w:kern w:val="0"/>
              </w:rPr>
              <w:t>机幼</w:t>
            </w:r>
          </w:p>
        </w:tc>
        <w:tc>
          <w:tcPr>
            <w:tcW w:w="829" w:type="pct"/>
            <w:shd w:val="clear" w:color="auto" w:fill="auto"/>
            <w:noWrap/>
            <w:vAlign w:val="center"/>
          </w:tcPr>
          <w:p w14:paraId="6B3B3E3B">
            <w:pPr>
              <w:pStyle w:val="23"/>
              <w:rPr>
                <w:color w:val="000000"/>
                <w:kern w:val="0"/>
              </w:rPr>
            </w:pPr>
            <w:r>
              <w:rPr>
                <w:color w:val="000000"/>
                <w:kern w:val="0"/>
              </w:rPr>
              <w:t>2011年11月</w:t>
            </w:r>
          </w:p>
        </w:tc>
      </w:tr>
      <w:tr w14:paraId="0811B87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386" w:type="pct"/>
            <w:shd w:val="clear" w:color="auto" w:fill="auto"/>
            <w:noWrap/>
            <w:vAlign w:val="center"/>
          </w:tcPr>
          <w:p w14:paraId="59046D4D">
            <w:pPr>
              <w:pStyle w:val="23"/>
              <w:rPr>
                <w:color w:val="000000"/>
                <w:kern w:val="0"/>
              </w:rPr>
            </w:pPr>
            <w:r>
              <w:rPr>
                <w:color w:val="000000"/>
                <w:kern w:val="0"/>
              </w:rPr>
              <w:t>《银杏》校刊</w:t>
            </w:r>
          </w:p>
        </w:tc>
        <w:tc>
          <w:tcPr>
            <w:tcW w:w="854" w:type="pct"/>
            <w:shd w:val="clear" w:color="auto" w:fill="auto"/>
            <w:noWrap/>
            <w:vAlign w:val="center"/>
          </w:tcPr>
          <w:p w14:paraId="27ACFDFA">
            <w:pPr>
              <w:pStyle w:val="23"/>
              <w:rPr>
                <w:color w:val="000000"/>
                <w:kern w:val="0"/>
              </w:rPr>
            </w:pPr>
            <w:r>
              <w:rPr>
                <w:color w:val="000000"/>
                <w:kern w:val="0"/>
              </w:rPr>
              <w:t>1期</w:t>
            </w:r>
          </w:p>
        </w:tc>
        <w:tc>
          <w:tcPr>
            <w:tcW w:w="1374" w:type="pct"/>
            <w:shd w:val="clear" w:color="auto" w:fill="auto"/>
            <w:noWrap/>
            <w:vAlign w:val="center"/>
          </w:tcPr>
          <w:p w14:paraId="2526DDAD">
            <w:pPr>
              <w:pStyle w:val="23"/>
              <w:rPr>
                <w:color w:val="000000"/>
                <w:kern w:val="0"/>
              </w:rPr>
            </w:pPr>
            <w:r>
              <w:rPr>
                <w:color w:val="000000"/>
                <w:kern w:val="0"/>
              </w:rPr>
              <w:t>师生文学作品</w:t>
            </w:r>
          </w:p>
        </w:tc>
        <w:tc>
          <w:tcPr>
            <w:tcW w:w="557" w:type="pct"/>
            <w:shd w:val="clear" w:color="auto" w:fill="auto"/>
            <w:noWrap/>
            <w:vAlign w:val="center"/>
          </w:tcPr>
          <w:p w14:paraId="7009B853">
            <w:pPr>
              <w:pStyle w:val="23"/>
              <w:rPr>
                <w:color w:val="000000"/>
                <w:kern w:val="0"/>
              </w:rPr>
            </w:pPr>
            <w:r>
              <w:rPr>
                <w:color w:val="000000"/>
                <w:kern w:val="0"/>
              </w:rPr>
              <w:t>坪田中学</w:t>
            </w:r>
          </w:p>
        </w:tc>
        <w:tc>
          <w:tcPr>
            <w:tcW w:w="829" w:type="pct"/>
            <w:shd w:val="clear" w:color="auto" w:fill="auto"/>
            <w:noWrap/>
            <w:vAlign w:val="center"/>
          </w:tcPr>
          <w:p w14:paraId="5F707D5D">
            <w:pPr>
              <w:pStyle w:val="23"/>
              <w:rPr>
                <w:color w:val="000000"/>
                <w:kern w:val="0"/>
              </w:rPr>
            </w:pPr>
            <w:r>
              <w:rPr>
                <w:color w:val="000000"/>
                <w:kern w:val="0"/>
              </w:rPr>
              <w:t>2011年12月</w:t>
            </w:r>
          </w:p>
        </w:tc>
      </w:tr>
      <w:tr w14:paraId="222CD63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386" w:type="pct"/>
            <w:shd w:val="clear" w:color="auto" w:fill="auto"/>
            <w:noWrap/>
            <w:vAlign w:val="center"/>
          </w:tcPr>
          <w:p w14:paraId="477A59CA">
            <w:pPr>
              <w:pStyle w:val="23"/>
              <w:rPr>
                <w:color w:val="000000"/>
                <w:kern w:val="0"/>
              </w:rPr>
            </w:pPr>
            <w:r>
              <w:rPr>
                <w:color w:val="000000"/>
                <w:kern w:val="0"/>
              </w:rPr>
              <w:t>《雄中报》</w:t>
            </w:r>
          </w:p>
        </w:tc>
        <w:tc>
          <w:tcPr>
            <w:tcW w:w="854" w:type="pct"/>
            <w:shd w:val="clear" w:color="auto" w:fill="auto"/>
            <w:noWrap/>
            <w:vAlign w:val="center"/>
          </w:tcPr>
          <w:p w14:paraId="18E8945C">
            <w:pPr>
              <w:pStyle w:val="23"/>
              <w:rPr>
                <w:color w:val="000000"/>
                <w:kern w:val="0"/>
              </w:rPr>
            </w:pPr>
            <w:r>
              <w:rPr>
                <w:color w:val="000000"/>
                <w:kern w:val="0"/>
              </w:rPr>
              <w:t>第187-195期</w:t>
            </w:r>
          </w:p>
        </w:tc>
        <w:tc>
          <w:tcPr>
            <w:tcW w:w="1374" w:type="pct"/>
            <w:shd w:val="clear" w:color="auto" w:fill="auto"/>
            <w:noWrap/>
            <w:vAlign w:val="center"/>
          </w:tcPr>
          <w:p w14:paraId="6D85D243">
            <w:pPr>
              <w:pStyle w:val="23"/>
              <w:rPr>
                <w:color w:val="000000"/>
                <w:kern w:val="0"/>
              </w:rPr>
            </w:pPr>
            <w:r>
              <w:rPr>
                <w:color w:val="000000"/>
                <w:kern w:val="0"/>
              </w:rPr>
              <w:t>南雄中学校报</w:t>
            </w:r>
          </w:p>
        </w:tc>
        <w:tc>
          <w:tcPr>
            <w:tcW w:w="557" w:type="pct"/>
            <w:shd w:val="clear" w:color="auto" w:fill="auto"/>
            <w:noWrap/>
            <w:vAlign w:val="center"/>
          </w:tcPr>
          <w:p w14:paraId="6B162B2F">
            <w:pPr>
              <w:pStyle w:val="23"/>
              <w:rPr>
                <w:color w:val="000000"/>
                <w:kern w:val="0"/>
              </w:rPr>
            </w:pPr>
            <w:r>
              <w:rPr>
                <w:color w:val="000000"/>
                <w:kern w:val="0"/>
              </w:rPr>
              <w:t>雄中办公室</w:t>
            </w:r>
          </w:p>
        </w:tc>
        <w:tc>
          <w:tcPr>
            <w:tcW w:w="829" w:type="pct"/>
            <w:shd w:val="clear" w:color="auto" w:fill="auto"/>
            <w:noWrap/>
            <w:vAlign w:val="center"/>
          </w:tcPr>
          <w:p w14:paraId="40A3892B">
            <w:pPr>
              <w:pStyle w:val="23"/>
              <w:rPr>
                <w:color w:val="000000"/>
                <w:kern w:val="0"/>
              </w:rPr>
            </w:pPr>
            <w:r>
              <w:rPr>
                <w:color w:val="000000"/>
                <w:kern w:val="0"/>
              </w:rPr>
              <w:t>2011年3月-6月、9月-12月</w:t>
            </w:r>
          </w:p>
        </w:tc>
      </w:tr>
      <w:tr w14:paraId="31401C1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386" w:type="pct"/>
            <w:shd w:val="clear" w:color="auto" w:fill="auto"/>
            <w:noWrap/>
            <w:vAlign w:val="center"/>
          </w:tcPr>
          <w:p w14:paraId="57F68B6F">
            <w:pPr>
              <w:pStyle w:val="23"/>
              <w:rPr>
                <w:color w:val="000000"/>
                <w:kern w:val="0"/>
              </w:rPr>
            </w:pPr>
            <w:r>
              <w:rPr>
                <w:color w:val="000000"/>
                <w:kern w:val="0"/>
              </w:rPr>
              <w:t>《旭日》</w:t>
            </w:r>
          </w:p>
        </w:tc>
        <w:tc>
          <w:tcPr>
            <w:tcW w:w="854" w:type="pct"/>
            <w:shd w:val="clear" w:color="auto" w:fill="auto"/>
            <w:noWrap/>
            <w:vAlign w:val="center"/>
          </w:tcPr>
          <w:p w14:paraId="7E28683C">
            <w:pPr>
              <w:pStyle w:val="23"/>
              <w:rPr>
                <w:color w:val="000000"/>
                <w:kern w:val="0"/>
              </w:rPr>
            </w:pPr>
            <w:r>
              <w:rPr>
                <w:color w:val="000000"/>
                <w:kern w:val="0"/>
              </w:rPr>
              <w:t>第13期第14期</w:t>
            </w:r>
          </w:p>
        </w:tc>
        <w:tc>
          <w:tcPr>
            <w:tcW w:w="1374" w:type="pct"/>
            <w:shd w:val="clear" w:color="auto" w:fill="auto"/>
            <w:noWrap/>
            <w:vAlign w:val="center"/>
          </w:tcPr>
          <w:p w14:paraId="265435EC">
            <w:pPr>
              <w:pStyle w:val="23"/>
              <w:rPr>
                <w:color w:val="000000"/>
                <w:kern w:val="0"/>
              </w:rPr>
            </w:pPr>
            <w:r>
              <w:rPr>
                <w:color w:val="000000"/>
                <w:kern w:val="0"/>
              </w:rPr>
              <w:t>南雄中学校内文学杂志</w:t>
            </w:r>
          </w:p>
        </w:tc>
        <w:tc>
          <w:tcPr>
            <w:tcW w:w="557" w:type="pct"/>
            <w:shd w:val="clear" w:color="auto" w:fill="auto"/>
            <w:noWrap/>
            <w:vAlign w:val="center"/>
          </w:tcPr>
          <w:p w14:paraId="57DC13E1">
            <w:pPr>
              <w:pStyle w:val="23"/>
              <w:rPr>
                <w:color w:val="000000"/>
                <w:kern w:val="0"/>
              </w:rPr>
            </w:pPr>
            <w:r>
              <w:rPr>
                <w:color w:val="000000"/>
                <w:kern w:val="0"/>
              </w:rPr>
              <w:t>雄中团委</w:t>
            </w:r>
          </w:p>
        </w:tc>
        <w:tc>
          <w:tcPr>
            <w:tcW w:w="829" w:type="pct"/>
            <w:shd w:val="clear" w:color="auto" w:fill="auto"/>
            <w:noWrap/>
            <w:vAlign w:val="center"/>
          </w:tcPr>
          <w:p w14:paraId="49D2E650">
            <w:pPr>
              <w:pStyle w:val="23"/>
              <w:rPr>
                <w:color w:val="000000"/>
                <w:kern w:val="0"/>
              </w:rPr>
            </w:pPr>
            <w:r>
              <w:rPr>
                <w:color w:val="000000"/>
                <w:kern w:val="0"/>
              </w:rPr>
              <w:t>2011年3月2011年11月</w:t>
            </w:r>
          </w:p>
        </w:tc>
      </w:tr>
      <w:tr w14:paraId="43AAC0F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386" w:type="pct"/>
            <w:shd w:val="clear" w:color="auto" w:fill="auto"/>
            <w:noWrap/>
            <w:vAlign w:val="center"/>
          </w:tcPr>
          <w:p w14:paraId="76A0173F">
            <w:pPr>
              <w:pStyle w:val="23"/>
              <w:rPr>
                <w:color w:val="000000"/>
                <w:kern w:val="0"/>
              </w:rPr>
            </w:pPr>
            <w:r>
              <w:rPr>
                <w:color w:val="000000"/>
                <w:kern w:val="0"/>
              </w:rPr>
              <w:t>就业有门路,高考有希望</w:t>
            </w:r>
          </w:p>
        </w:tc>
        <w:tc>
          <w:tcPr>
            <w:tcW w:w="854" w:type="pct"/>
            <w:shd w:val="clear" w:color="auto" w:fill="auto"/>
            <w:noWrap/>
            <w:vAlign w:val="center"/>
          </w:tcPr>
          <w:p w14:paraId="4FCF5F1D">
            <w:pPr>
              <w:pStyle w:val="23"/>
              <w:rPr>
                <w:color w:val="000000"/>
                <w:kern w:val="0"/>
              </w:rPr>
            </w:pPr>
            <w:r>
              <w:rPr>
                <w:color w:val="000000"/>
                <w:kern w:val="0"/>
              </w:rPr>
              <w:t>120分钟</w:t>
            </w:r>
          </w:p>
        </w:tc>
        <w:tc>
          <w:tcPr>
            <w:tcW w:w="1374" w:type="pct"/>
            <w:shd w:val="clear" w:color="auto" w:fill="auto"/>
            <w:noWrap/>
            <w:vAlign w:val="center"/>
          </w:tcPr>
          <w:p w14:paraId="31124CC8">
            <w:pPr>
              <w:pStyle w:val="23"/>
              <w:rPr>
                <w:color w:val="000000"/>
                <w:kern w:val="0"/>
              </w:rPr>
            </w:pPr>
            <w:r>
              <w:rPr>
                <w:color w:val="000000"/>
                <w:kern w:val="0"/>
              </w:rPr>
              <w:t>招生宣传</w:t>
            </w:r>
          </w:p>
        </w:tc>
        <w:tc>
          <w:tcPr>
            <w:tcW w:w="557" w:type="pct"/>
            <w:shd w:val="clear" w:color="auto" w:fill="auto"/>
            <w:noWrap/>
            <w:vAlign w:val="center"/>
          </w:tcPr>
          <w:p w14:paraId="20BE28D6">
            <w:pPr>
              <w:pStyle w:val="23"/>
              <w:rPr>
                <w:color w:val="000000"/>
                <w:kern w:val="0"/>
              </w:rPr>
            </w:pPr>
            <w:r>
              <w:rPr>
                <w:color w:val="000000"/>
                <w:kern w:val="0"/>
              </w:rPr>
              <w:t>南雄中职</w:t>
            </w:r>
          </w:p>
        </w:tc>
        <w:tc>
          <w:tcPr>
            <w:tcW w:w="829" w:type="pct"/>
            <w:shd w:val="clear" w:color="auto" w:fill="auto"/>
            <w:noWrap/>
            <w:vAlign w:val="center"/>
          </w:tcPr>
          <w:p w14:paraId="0C824913">
            <w:pPr>
              <w:pStyle w:val="23"/>
              <w:rPr>
                <w:color w:val="000000"/>
                <w:kern w:val="0"/>
              </w:rPr>
            </w:pPr>
            <w:r>
              <w:rPr>
                <w:color w:val="000000"/>
                <w:kern w:val="0"/>
              </w:rPr>
              <w:t>2011年4月</w:t>
            </w:r>
          </w:p>
        </w:tc>
      </w:tr>
      <w:tr w14:paraId="5EA76DF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386" w:type="pct"/>
            <w:shd w:val="clear" w:color="auto" w:fill="auto"/>
            <w:noWrap/>
            <w:vAlign w:val="center"/>
          </w:tcPr>
          <w:p w14:paraId="66CAEE27">
            <w:pPr>
              <w:pStyle w:val="23"/>
              <w:rPr>
                <w:color w:val="000000"/>
                <w:kern w:val="0"/>
              </w:rPr>
            </w:pPr>
            <w:r>
              <w:rPr>
                <w:color w:val="000000"/>
                <w:kern w:val="0"/>
              </w:rPr>
              <w:t>礼仪故事竞赛</w:t>
            </w:r>
          </w:p>
        </w:tc>
        <w:tc>
          <w:tcPr>
            <w:tcW w:w="854" w:type="pct"/>
            <w:shd w:val="clear" w:color="auto" w:fill="auto"/>
            <w:noWrap/>
            <w:vAlign w:val="center"/>
          </w:tcPr>
          <w:p w14:paraId="1BF8F382">
            <w:pPr>
              <w:pStyle w:val="23"/>
              <w:rPr>
                <w:color w:val="000000"/>
                <w:kern w:val="0"/>
              </w:rPr>
            </w:pPr>
            <w:r>
              <w:rPr>
                <w:color w:val="000000"/>
                <w:kern w:val="0"/>
              </w:rPr>
              <w:t>150分钟</w:t>
            </w:r>
          </w:p>
        </w:tc>
        <w:tc>
          <w:tcPr>
            <w:tcW w:w="1374" w:type="pct"/>
            <w:shd w:val="clear" w:color="auto" w:fill="auto"/>
            <w:noWrap/>
            <w:vAlign w:val="center"/>
          </w:tcPr>
          <w:p w14:paraId="2362B827">
            <w:pPr>
              <w:pStyle w:val="23"/>
              <w:rPr>
                <w:color w:val="000000"/>
                <w:kern w:val="0"/>
              </w:rPr>
            </w:pPr>
            <w:r>
              <w:rPr>
                <w:color w:val="000000"/>
                <w:kern w:val="0"/>
              </w:rPr>
              <w:t>礼仪故事竞赛</w:t>
            </w:r>
          </w:p>
        </w:tc>
        <w:tc>
          <w:tcPr>
            <w:tcW w:w="557" w:type="pct"/>
            <w:shd w:val="clear" w:color="auto" w:fill="auto"/>
            <w:noWrap/>
            <w:vAlign w:val="center"/>
          </w:tcPr>
          <w:p w14:paraId="6FD11775">
            <w:pPr>
              <w:pStyle w:val="23"/>
              <w:rPr>
                <w:color w:val="000000"/>
                <w:kern w:val="0"/>
              </w:rPr>
            </w:pPr>
            <w:r>
              <w:rPr>
                <w:color w:val="000000"/>
                <w:kern w:val="0"/>
              </w:rPr>
              <w:t>南雄中职</w:t>
            </w:r>
          </w:p>
        </w:tc>
        <w:tc>
          <w:tcPr>
            <w:tcW w:w="829" w:type="pct"/>
            <w:shd w:val="clear" w:color="auto" w:fill="auto"/>
            <w:noWrap/>
            <w:vAlign w:val="center"/>
          </w:tcPr>
          <w:p w14:paraId="6ECA6C87">
            <w:pPr>
              <w:pStyle w:val="23"/>
              <w:rPr>
                <w:color w:val="000000"/>
                <w:kern w:val="0"/>
              </w:rPr>
            </w:pPr>
            <w:r>
              <w:rPr>
                <w:color w:val="000000"/>
                <w:kern w:val="0"/>
              </w:rPr>
              <w:t>2011年11月</w:t>
            </w:r>
          </w:p>
        </w:tc>
      </w:tr>
      <w:tr w14:paraId="5CB09F8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1386" w:type="pct"/>
            <w:shd w:val="clear" w:color="auto" w:fill="auto"/>
            <w:noWrap/>
            <w:vAlign w:val="center"/>
          </w:tcPr>
          <w:p w14:paraId="635D3D67">
            <w:pPr>
              <w:pStyle w:val="23"/>
              <w:rPr>
                <w:color w:val="000000"/>
                <w:kern w:val="0"/>
              </w:rPr>
            </w:pPr>
            <w:r>
              <w:rPr>
                <w:color w:val="000000"/>
                <w:kern w:val="0"/>
              </w:rPr>
              <w:t>弟子规活动</w:t>
            </w:r>
          </w:p>
        </w:tc>
        <w:tc>
          <w:tcPr>
            <w:tcW w:w="854" w:type="pct"/>
            <w:shd w:val="clear" w:color="auto" w:fill="auto"/>
            <w:noWrap/>
            <w:vAlign w:val="center"/>
          </w:tcPr>
          <w:p w14:paraId="2F052CC1">
            <w:pPr>
              <w:pStyle w:val="23"/>
              <w:rPr>
                <w:color w:val="000000"/>
                <w:kern w:val="0"/>
              </w:rPr>
            </w:pPr>
            <w:r>
              <w:rPr>
                <w:color w:val="000000"/>
                <w:kern w:val="0"/>
              </w:rPr>
              <w:t>120分钟</w:t>
            </w:r>
          </w:p>
        </w:tc>
        <w:tc>
          <w:tcPr>
            <w:tcW w:w="1374" w:type="pct"/>
            <w:shd w:val="clear" w:color="auto" w:fill="auto"/>
            <w:noWrap/>
            <w:vAlign w:val="center"/>
          </w:tcPr>
          <w:p w14:paraId="2E602A33">
            <w:pPr>
              <w:pStyle w:val="23"/>
              <w:rPr>
                <w:color w:val="000000"/>
                <w:kern w:val="0"/>
              </w:rPr>
            </w:pPr>
            <w:r>
              <w:rPr>
                <w:color w:val="000000"/>
                <w:kern w:val="0"/>
              </w:rPr>
              <w:t>弟子规活动的全过程</w:t>
            </w:r>
          </w:p>
        </w:tc>
        <w:tc>
          <w:tcPr>
            <w:tcW w:w="557" w:type="pct"/>
            <w:shd w:val="clear" w:color="auto" w:fill="auto"/>
            <w:noWrap/>
            <w:vAlign w:val="center"/>
          </w:tcPr>
          <w:p w14:paraId="3EEBDCCD">
            <w:pPr>
              <w:pStyle w:val="23"/>
              <w:rPr>
                <w:color w:val="000000"/>
                <w:kern w:val="0"/>
              </w:rPr>
            </w:pPr>
            <w:r>
              <w:rPr>
                <w:color w:val="000000"/>
                <w:kern w:val="0"/>
              </w:rPr>
              <w:t>新城王锦辉中学</w:t>
            </w:r>
          </w:p>
        </w:tc>
        <w:tc>
          <w:tcPr>
            <w:tcW w:w="829" w:type="pct"/>
            <w:shd w:val="clear" w:color="auto" w:fill="auto"/>
            <w:noWrap/>
            <w:vAlign w:val="center"/>
          </w:tcPr>
          <w:p w14:paraId="26C9455B">
            <w:pPr>
              <w:pStyle w:val="23"/>
              <w:rPr>
                <w:color w:val="000000"/>
                <w:kern w:val="0"/>
              </w:rPr>
            </w:pPr>
            <w:r>
              <w:rPr>
                <w:color w:val="000000"/>
                <w:kern w:val="0"/>
              </w:rPr>
              <w:t>2011年10月</w:t>
            </w:r>
          </w:p>
        </w:tc>
      </w:tr>
    </w:tbl>
    <w:p w14:paraId="03767F78">
      <w:pPr>
        <w:pStyle w:val="4"/>
      </w:pPr>
      <w:r>
        <w:rPr>
          <w:rFonts w:hint="eastAsia"/>
        </w:rPr>
        <w:t>【中小学引资办学】</w:t>
      </w:r>
    </w:p>
    <w:p w14:paraId="0A19B5C6">
      <w:pPr>
        <w:ind w:firstLine="420"/>
        <w:rPr>
          <w:rFonts w:ascii="宋体" w:hAnsi="宋体"/>
          <w:szCs w:val="21"/>
        </w:rPr>
      </w:pPr>
      <w:r>
        <w:rPr>
          <w:rFonts w:hint="eastAsia" w:ascii="宋体" w:hAnsi="宋体"/>
          <w:szCs w:val="21"/>
        </w:rPr>
        <w:t>2011年，全市累计引资办学393.26万元。主要项目是：蔡惠玲捐资南雄市油山中学综合楼188万元；广东省财政拨款南雄市中等职业学校专业建设100万元；黎灿先生捐款黎灿学校图书18万元；香港强华建教基金会捐赠帽子峰学校新建文溥电脑室12万元；广州市华德工业有限公司捐赠乌迳新田小学奖教奖学9万元；梁广榕捐助南雄中学助学8.6万元；中国人寿广东省分公司水口小学捐赠学生课桌、书包等学习用品、教师办公电脑5.6万元；东莞市常平镇镇政府捐赠乌迳水松小学建厕所5.5万元；香港辉晋电子有限公司捐赠乌迳黄塘小学建厕所4.8万元；港商梁广榕先生捐助湖口中学奖教奖学助学金4.2万元；东莞市车迷网捐赠南亩镇芙蓉小学3.5万元；澳门教育局暨文娱康乐会捐赠乌迳坪塘小学3.2万元；澳门教育局暨文娱康乐会捐赠乌迳高溯小学3.1万元；社会人士捐款黎灿学校投影仪3万元；社会捐助水口河坪小学教师办公桌3万元；浈江电力公司捐赠水口河坪小学校园文化建设3万元；南雄市纪检委捐赠古市中心小学学校基础设施完善3万元；香港辉晋电子有限公司捐赠乌迳长龙小学改建教师住房、厨房3.0万元；香港辉晋电子有限公司捐赠乌迳坪塘小学建厕所、建升旗广场2.2万元；南雄大众房地产公司捐赠水口河坪小学奖教奖学2万元；广州市农商银行捐赠南亩镇中心小学励志班1.8万元；南雄棉土窝钨捐赠矿新城小学修缮1.1万元；华胜奔驰、宝马、奥迪维修连锁店捐款黄坑社前小学学校建设1.02万元；香港强华建教基金会捐赠帽子峰学校奖教助学金1万元；东莞市常平镇女子企业家协会捐赠乌迳水松小学助学0.9万元；南雄市妇联捐赠古市中心小学改善学校校园生活设施0.5万元；韶关市妇联捐赠古市中心小学改善学校校园生活设施0.5万元；南雄市机关事务管理中心接待办捐赠机关幼儿园0.5万元；广州市先烈东小学捐赠帽子峰学校“六一”学生纪念品0.48万元；南雄市公安局捐赠古市溪口小学升旗台0.4万元；梁广榕捐赠水口小学奖学助学0.24万元；新浪网络游戏公司捐款黄坑中心小学网络设备0.12万元。       （陈水勤）</w:t>
      </w:r>
    </w:p>
    <w:p w14:paraId="31C9AB2E">
      <w:pPr>
        <w:ind w:firstLine="0" w:firstLineChars="0"/>
        <w:rPr>
          <w:rFonts w:ascii="宋体" w:hAnsi="宋体"/>
          <w:szCs w:val="21"/>
        </w:rPr>
      </w:pPr>
      <w:r>
        <w:rPr>
          <w:rFonts w:hint="eastAsia" w:ascii="宋体" w:hAnsi="宋体"/>
          <w:b/>
          <w:szCs w:val="21"/>
        </w:rPr>
        <w:t>附：2011年市教育局领导班子成员名单</w:t>
      </w:r>
    </w:p>
    <w:p w14:paraId="138C0D3D">
      <w:pPr>
        <w:ind w:firstLine="0" w:firstLineChars="0"/>
        <w:rPr>
          <w:rFonts w:ascii="宋体" w:hAnsi="宋体"/>
          <w:szCs w:val="21"/>
        </w:rPr>
      </w:pPr>
      <w:r>
        <w:rPr>
          <w:rFonts w:hint="eastAsia" w:ascii="宋体" w:hAnsi="宋体"/>
          <w:szCs w:val="21"/>
        </w:rPr>
        <w:t>局  长：田文斌</w:t>
      </w:r>
    </w:p>
    <w:p w14:paraId="7B91FBE6">
      <w:pPr>
        <w:ind w:firstLine="0" w:firstLineChars="0"/>
        <w:rPr>
          <w:rFonts w:ascii="宋体" w:hAnsi="宋体"/>
          <w:szCs w:val="21"/>
        </w:rPr>
      </w:pPr>
      <w:r>
        <w:rPr>
          <w:rFonts w:hint="eastAsia" w:ascii="宋体" w:hAnsi="宋体"/>
          <w:szCs w:val="21"/>
        </w:rPr>
        <w:t>副局长：赖华焜  梁云凤  刘卫民</w:t>
      </w:r>
    </w:p>
    <w:p w14:paraId="2F1F2F47">
      <w:pPr>
        <w:ind w:firstLine="0" w:firstLineChars="0"/>
        <w:rPr>
          <w:rFonts w:ascii="宋体" w:hAnsi="宋体"/>
          <w:szCs w:val="21"/>
        </w:rPr>
      </w:pPr>
      <w:r>
        <w:rPr>
          <w:rFonts w:hint="eastAsia" w:ascii="宋体" w:hAnsi="宋体"/>
          <w:szCs w:val="21"/>
        </w:rPr>
        <w:t>纪检书记：徐学辉</w:t>
      </w:r>
    </w:p>
    <w:p w14:paraId="6747EAB5">
      <w:pPr>
        <w:ind w:firstLine="0" w:firstLineChars="0"/>
        <w:rPr>
          <w:rFonts w:ascii="宋体" w:hAnsi="宋体"/>
          <w:szCs w:val="21"/>
        </w:rPr>
      </w:pPr>
      <w:r>
        <w:rPr>
          <w:rFonts w:hint="eastAsia" w:ascii="宋体" w:hAnsi="宋体"/>
          <w:szCs w:val="21"/>
        </w:rPr>
        <w:t>工会主席：李卫兵</w:t>
      </w:r>
    </w:p>
    <w:p w14:paraId="6E6E0CEA">
      <w:pPr>
        <w:pStyle w:val="3"/>
      </w:pPr>
      <w:r>
        <w:rPr>
          <w:rFonts w:hint="eastAsia"/>
        </w:rPr>
        <w:t>学校选介</w:t>
      </w:r>
    </w:p>
    <w:p w14:paraId="3DC4B945">
      <w:pPr>
        <w:pStyle w:val="4"/>
      </w:pPr>
      <w:r>
        <w:rPr>
          <w:rFonts w:hint="eastAsia"/>
        </w:rPr>
        <w:t>【南雄中学】</w:t>
      </w:r>
    </w:p>
    <w:p w14:paraId="676CDC7F">
      <w:pPr>
        <w:ind w:firstLine="420"/>
        <w:rPr>
          <w:rFonts w:ascii="宋体" w:hAnsi="宋体"/>
          <w:szCs w:val="21"/>
        </w:rPr>
      </w:pPr>
      <w:r>
        <w:rPr>
          <w:rFonts w:hint="eastAsia" w:ascii="宋体" w:hAnsi="宋体"/>
          <w:szCs w:val="21"/>
        </w:rPr>
        <w:t>南雄中学前身为道南书院（1765年），1906年创办新学；1912年，奉省教育厅命令，改为“广东省立南雄中学”；1924年改为“广东省立第六中学”；1934年改为“广东省立南雄中学”；1951年定名为“广东南雄中学”；1981年被广东省人民政府定为南雄县重点中学；1995年被评为“韶关市一级学校”；2003年被评为“广东省一级学校”；2007年晋升为“广东省国家级示范性普通高中”。</w:t>
      </w:r>
    </w:p>
    <w:p w14:paraId="4AC7B987">
      <w:pPr>
        <w:ind w:firstLine="420"/>
        <w:rPr>
          <w:rFonts w:ascii="宋体" w:hAnsi="宋体"/>
          <w:szCs w:val="21"/>
        </w:rPr>
      </w:pPr>
      <w:r>
        <w:rPr>
          <w:rFonts w:hint="eastAsia" w:ascii="宋体" w:hAnsi="宋体"/>
          <w:szCs w:val="21"/>
        </w:rPr>
        <w:t>该校占地148亩，建筑面积近6万平方米。现有学生5000多人，是韶关市内规模较大的学校。2011年，复办初中班，在停办8年后，学校在全市范围内招收400多人的七年级、八年级学生。该校师资力量雄厚，现有教职工350人，其中特级教师3人，高级教师80人，一级教师110名；硕士研究生8人，研究生学历33人，专任教师学历达标率100%；拥有省级以上名校长、名教师6人，省级骨干教师28人，韶关市名校长、名教师11人。该校设施完善、设备先进、功能齐全，配备多媒体教学平台教学大楼3栋72间课室，实验楼一栋，图书馆一栋，学术交流中心一栋，综合大楼一栋，学生公寓式宿舍4栋，学生饭堂一座，400米标准塑胶田径运动场1个，塑胶篮球场7个，电视监控系统，网络化管理，现代教学设施设备在韶关市内居于领先地位。</w:t>
      </w:r>
    </w:p>
    <w:p w14:paraId="07BF74B2">
      <w:pPr>
        <w:ind w:firstLine="420"/>
        <w:rPr>
          <w:rFonts w:ascii="宋体" w:hAnsi="宋体"/>
          <w:szCs w:val="21"/>
        </w:rPr>
      </w:pPr>
      <w:r>
        <w:rPr>
          <w:rFonts w:hint="eastAsia" w:ascii="宋体" w:hAnsi="宋体"/>
          <w:szCs w:val="21"/>
        </w:rPr>
        <w:t>该校是省市重点中学，在长期的办学过程中，积累了丰富的办学经验，形成了“文化雄中、活力雄中、和谐雄中”的校园文化特色；“团结求实、进取创新”的科组特色；“以人为本，着眼发展”的德育特色；以“一球带多球”的群体性体育活动特色。学校先后被评为全国中小学“科研兴校示范基地”、全国体育锻炼先进单位、广东省普通高中教学水平评估优秀学校、广东省一级学校、广东省国家级示范性普通高中、广东省普教系统先进集体、广东省“固本强基”先进基层党组织、广东省体育特色学校、广东省书香校园、韶关市高考优胜学校等60多个国家、省、市级和20多个县市级先进荣誉称号。</w:t>
      </w:r>
    </w:p>
    <w:p w14:paraId="4A8DCE66">
      <w:pPr>
        <w:ind w:firstLine="420"/>
        <w:rPr>
          <w:rFonts w:ascii="宋体" w:hAnsi="宋体"/>
          <w:szCs w:val="21"/>
        </w:rPr>
      </w:pPr>
      <w:r>
        <w:rPr>
          <w:rFonts w:hint="eastAsia" w:ascii="宋体" w:hAnsi="宋体"/>
          <w:szCs w:val="21"/>
        </w:rPr>
        <w:t>恢复高考至今，该校已为国家输送了2万多名各类人才。尤其令人瞩目的是：有20位同学先后考入北京大学、清华大学；3人获高考广东省单科状元，8人摘取高考韶关市总分桂冠。从2005年至2011年，该校连续7年被评为“韶关市高考优胜学校”。</w:t>
      </w:r>
    </w:p>
    <w:p w14:paraId="5200DE18">
      <w:pPr>
        <w:ind w:firstLine="420"/>
        <w:rPr>
          <w:rFonts w:ascii="宋体" w:hAnsi="宋体"/>
          <w:szCs w:val="21"/>
        </w:rPr>
      </w:pPr>
      <w:r>
        <w:rPr>
          <w:rFonts w:hint="eastAsia" w:ascii="宋体" w:hAnsi="宋体"/>
          <w:szCs w:val="21"/>
        </w:rPr>
        <w:t>该校2011年高考成绩出色，在韶关各县市重点中学中名列前茅，其中，第一批本科院校上线64人，第二批本科院校上线539人，第三批专科院校以上上线总人数1286人，并包揽了南雄市文、理科总分前10名。赖金财同学以637分获南雄市理科第一名，沈燕萍同学以607分获南雄市文科第一名。因高考成绩突出，在2011年韶关市教学质量评估中，该校再次被评为“韶关市高考优胜学校”。2005年至2011年，该校连续第七年获得此项荣誉。该校是唯一一所连续七年获得“韶关市高考优胜学校”的县（市、区）重点中学。</w:t>
      </w:r>
    </w:p>
    <w:p w14:paraId="12F789A2">
      <w:pPr>
        <w:ind w:firstLine="420"/>
        <w:rPr>
          <w:rFonts w:ascii="宋体" w:hAnsi="宋体"/>
          <w:szCs w:val="21"/>
        </w:rPr>
      </w:pPr>
      <w:r>
        <w:rPr>
          <w:rFonts w:hint="eastAsia" w:ascii="宋体" w:hAnsi="宋体"/>
          <w:szCs w:val="21"/>
        </w:rPr>
        <w:t>2011年6月，该校被广东省教育厅确定为全省“提升500所普通高中办学水平”项目学校之一。该校立足学校发展的优势和特色，结合实际，以创新发展、强化内涵、铸造特色为重点，选择“彰显办学特色”、“加强校本教研和校本培训”和“完善办学条件”三个项目作为提升办学水平的具体项目。7月起，该校根据实施方案，狠抓工作落实，至12月下旬三个项目实施均达到评估要求，12月14日顺利通过终结性评估验收。</w:t>
      </w:r>
    </w:p>
    <w:p w14:paraId="1621FEE2">
      <w:pPr>
        <w:ind w:firstLine="420"/>
        <w:rPr>
          <w:rFonts w:ascii="宋体" w:hAnsi="宋体"/>
          <w:szCs w:val="21"/>
        </w:rPr>
      </w:pPr>
      <w:r>
        <w:rPr>
          <w:rFonts w:hint="eastAsia" w:ascii="宋体" w:hAnsi="宋体"/>
          <w:szCs w:val="21"/>
        </w:rPr>
        <w:t>加大投入，完善办学条件。该校开源节流，加大力度完善办学条件，创设一流的育人环境。一是高标准的完成学生宿舍内部改造工程，工程涉及建筑面积为5000多平方米，投入资金近50万元人民币；二是完成运动场周边配套工程，投入资金约30万元；三是实施危房改造工程，拆除原工厂遗留的一幢被质监部门列为D级危房的大车间，平整后建成3个篮球场，2个排球场和4个羽毛球场，投入资金约为30万元人民币；四是建设学生公寓空气源热泵热水供应系统，投入资金约60万元人民币。</w:t>
      </w:r>
    </w:p>
    <w:p w14:paraId="7E8193C9">
      <w:pPr>
        <w:ind w:firstLine="420"/>
        <w:rPr>
          <w:rFonts w:ascii="宋体" w:hAnsi="宋体"/>
          <w:szCs w:val="21"/>
        </w:rPr>
      </w:pPr>
      <w:r>
        <w:rPr>
          <w:rFonts w:hint="eastAsia" w:ascii="宋体" w:hAnsi="宋体"/>
          <w:szCs w:val="21"/>
        </w:rPr>
        <w:t>加强校园文化建设，文化体艺百花齐放。该注重内涵发展，不断加强校园文化建设，进一步彰显办学特色，文化、体育、艺术喜结硕果。一是扎实开展“书香校园”建设，形成良好的读书氛围和浓郁的书香气息，是年11月该校被评为广东省“书香校园”；二是狠抓学科竞赛，培养优质人才，是年，该校学生获国家级奖1人，获省级奖6人，获韶关市级奖25人；三是办好特长教育，培养特色人才，是年该校荣获韶关市第16届“英东杯”中小学生体育、文艺比赛一、二、三等奖。                          （周济焕）</w:t>
      </w:r>
      <w:r>
        <w:rPr>
          <w:rFonts w:hint="eastAsia" w:ascii="宋体" w:hAnsi="宋体"/>
          <w:b/>
          <w:szCs w:val="21"/>
        </w:rPr>
        <w:t>附：2011年南雄中学领导班子成员名单</w:t>
      </w:r>
    </w:p>
    <w:p w14:paraId="4474523E">
      <w:pPr>
        <w:ind w:firstLine="0" w:firstLineChars="0"/>
        <w:rPr>
          <w:rFonts w:ascii="宋体" w:hAnsi="宋体"/>
          <w:szCs w:val="21"/>
        </w:rPr>
      </w:pPr>
      <w:r>
        <w:rPr>
          <w:rFonts w:hint="eastAsia" w:ascii="宋体" w:hAnsi="宋体"/>
          <w:szCs w:val="21"/>
        </w:rPr>
        <w:t>校长：胡钟超</w:t>
      </w:r>
    </w:p>
    <w:p w14:paraId="757C5094">
      <w:pPr>
        <w:ind w:firstLine="0" w:firstLineChars="0"/>
        <w:rPr>
          <w:rFonts w:ascii="宋体" w:hAnsi="宋体"/>
          <w:szCs w:val="21"/>
        </w:rPr>
      </w:pPr>
      <w:r>
        <w:rPr>
          <w:rFonts w:hint="eastAsia" w:ascii="宋体" w:hAnsi="宋体"/>
          <w:szCs w:val="21"/>
        </w:rPr>
        <w:t>副校长：郭  军  吴海生  陈盛荣  郑东升</w:t>
      </w:r>
    </w:p>
    <w:p w14:paraId="2C40C930">
      <w:pPr>
        <w:ind w:firstLine="0" w:firstLineChars="0"/>
        <w:rPr>
          <w:rFonts w:ascii="宋体" w:hAnsi="宋体"/>
          <w:szCs w:val="21"/>
        </w:rPr>
      </w:pPr>
      <w:r>
        <w:rPr>
          <w:rFonts w:hint="eastAsia" w:ascii="宋体" w:hAnsi="宋体"/>
          <w:szCs w:val="21"/>
        </w:rPr>
        <w:t>工会主席：林琼</w:t>
      </w:r>
    </w:p>
    <w:p w14:paraId="7F569534">
      <w:pPr>
        <w:pStyle w:val="4"/>
      </w:pPr>
      <w:r>
        <w:rPr>
          <w:rFonts w:hint="eastAsia"/>
        </w:rPr>
        <w:t>【南雄市一中】</w:t>
      </w:r>
    </w:p>
    <w:p w14:paraId="7CC257AE">
      <w:pPr>
        <w:ind w:firstLine="420"/>
        <w:rPr>
          <w:rFonts w:ascii="宋体" w:hAnsi="宋体"/>
          <w:szCs w:val="21"/>
        </w:rPr>
      </w:pPr>
      <w:r>
        <w:rPr>
          <w:rFonts w:hint="eastAsia" w:ascii="宋体" w:hAnsi="宋体"/>
          <w:szCs w:val="21"/>
        </w:rPr>
        <w:t>南雄市第一中学地处南雄市东北郊，创建于1982年。校名由原广东省副省长王屏山题写，2002年秋季开始实行初高中剥离，向高级中学过渡，2011年秋季恢复初中招生。1986年被命名为广东省传统项目学校，2003年被评为广东省一级学校，2006年10月被北京奥组委、教育部命名“北京2008奥林匹克教育示范学校”，2008年12月顺利通过广东省国家级示范性普通高中验收。这标志着南雄市一中教育发展迈上新的里程碑，更加增添发展动力，学校将以此为契机，着力打造优质教育品牌。</w:t>
      </w:r>
    </w:p>
    <w:p w14:paraId="161E643D">
      <w:pPr>
        <w:ind w:firstLine="420"/>
        <w:rPr>
          <w:rFonts w:ascii="宋体" w:hAnsi="宋体"/>
          <w:szCs w:val="21"/>
        </w:rPr>
      </w:pPr>
      <w:r>
        <w:rPr>
          <w:rFonts w:hint="eastAsia" w:ascii="宋体" w:hAnsi="宋体"/>
          <w:szCs w:val="21"/>
        </w:rPr>
        <w:t>学校总占地面积为10.4公顷，建筑面积达3.1万平方米，分教学区、生活区、运动区，布局科学合理。目前，楼、堂、馆、所建设初具规模，教育教学设备日臻完善。有400米标准运动场和配套篮球场、羽毛球场等运动场地；有生物园、地理园；学校藏书已达8.1万多册，电子图书2万多册，初具现代化办学条件。学校建成有320多个信息点，1000兆宽带接入，100兆交换到桌面的完善校园网，拥有“一个中心”（网络管理控制中心）、“二个库”（教学资源库、试题库）、“五大功能室”（多媒体教室、模拟实验室、数字语言室、课件制作室、电子阅览室）、“七个子系统”（校园信息管理系统、考试系统、视频点播（直播）系统、图书管理系统、电子邮件系统、智能语言学习系统、远程教育系统）。2011年，兴建2栋学生宿舍楼，可住宿学生1180人，建成塑胶运动场。</w:t>
      </w:r>
    </w:p>
    <w:p w14:paraId="7DC6943F">
      <w:pPr>
        <w:ind w:firstLine="420"/>
        <w:rPr>
          <w:rFonts w:ascii="宋体" w:hAnsi="宋体"/>
          <w:szCs w:val="21"/>
        </w:rPr>
      </w:pPr>
      <w:r>
        <w:rPr>
          <w:rFonts w:hint="eastAsia" w:ascii="宋体" w:hAnsi="宋体"/>
          <w:szCs w:val="21"/>
        </w:rPr>
        <w:t>南雄市一中现有68个教学班，学生人数4136人。在职教工275人。办校30年来，南雄市一中高考成绩年胜一年，许多高素质的学主被清华、北大、人大、复旦、浙大、中大等著名高等学府所录取；初升高考试和学科竞赛成绩始终名列全市前列。学校体育艺术学科更是成绩斐然，早已成为南雄市一中一大鲜明的办学特色。优异的办学成绩得到各级领导的肯定和赞誉。近几年来，学校先后获得“全国群众体育先进集体”、“广东省全面贯彻党的教育方针、深化教育改革、成绩显著先进集体”、“韶关市校园建设和管理工作先进单位”、“韶关市教育改革先进单位”“广东省朝阳读书活动先进集体”“韶关市高考优秀学校”等集体荣誉称号。2011年，教师刘祥在韶关市中小学音乐、美术教师基本功比赛中获市三等奖；教师熊琴在韶关市高中英语教学技能大赛中，荣获综合一等奖；彭长英教师课题“衔接连贯理论在高中英语教学中的实验研究”，荣获韶关市二等奖；教师邓东林在广东省中学历史优秀课例展示交流评审，荣获高中组二等奖；特级教师黄学波荣获第九届苏步青数学教育奖。社会各界人士也对南雄市一中办学成绩给予高度评价，赢得“校龄短、投入少、效益高、发展快”美誉。随着时代发展，学校规模在不断扩展，办学档次，在逐步提升，办学水平稳步上升，校园发展从黄土地发展到充满现代气息的园林式学校，楼馆麟此接彼，校园绿树成荫，到处鸟语花园，广场建设各具特色，在信息广场、智慧广场、艺术广场、健身广场等形成独特的校园文化。</w:t>
      </w:r>
    </w:p>
    <w:p w14:paraId="7C4F60A5">
      <w:pPr>
        <w:ind w:firstLine="420"/>
        <w:rPr>
          <w:rFonts w:ascii="宋体" w:hAnsi="宋体"/>
          <w:szCs w:val="21"/>
        </w:rPr>
      </w:pPr>
      <w:r>
        <w:rPr>
          <w:rFonts w:hint="eastAsia" w:ascii="宋体" w:hAnsi="宋体"/>
          <w:szCs w:val="21"/>
        </w:rPr>
        <w:t>自1985年首届高考后，学校发展势头更加强劲，年年有突破，各批次人数逐年增加。2010年，宏志班洪美连同学以文化559分（艺术类）考入清华大学。2011年，学校重点上线33人，本科上线265人，专科上线866人，上线率85%，全面超额完成韶关市教育局和南雄市教育局下达学校的高考各项指标。（陈志雄）</w:t>
      </w:r>
    </w:p>
    <w:p w14:paraId="5C365E2F">
      <w:pPr>
        <w:ind w:firstLine="0" w:firstLineChars="0"/>
        <w:rPr>
          <w:rFonts w:ascii="宋体" w:hAnsi="宋体"/>
          <w:b/>
          <w:szCs w:val="21"/>
        </w:rPr>
      </w:pPr>
      <w:r>
        <w:rPr>
          <w:rFonts w:hint="eastAsia" w:ascii="宋体" w:hAnsi="宋体"/>
          <w:b/>
          <w:szCs w:val="21"/>
        </w:rPr>
        <w:t>附：2011年市一中领导班子成员名单</w:t>
      </w:r>
    </w:p>
    <w:p w14:paraId="6AAC5E79">
      <w:pPr>
        <w:ind w:firstLine="0" w:firstLineChars="0"/>
        <w:rPr>
          <w:rFonts w:ascii="宋体" w:hAnsi="宋体"/>
          <w:szCs w:val="21"/>
        </w:rPr>
      </w:pPr>
      <w:r>
        <w:rPr>
          <w:rFonts w:hint="eastAsia" w:ascii="宋体" w:hAnsi="宋体"/>
          <w:szCs w:val="21"/>
        </w:rPr>
        <w:t>校长：饶盛祥</w:t>
      </w:r>
    </w:p>
    <w:p w14:paraId="758B3AA6">
      <w:pPr>
        <w:ind w:firstLine="0" w:firstLineChars="0"/>
        <w:rPr>
          <w:rFonts w:ascii="宋体" w:hAnsi="宋体"/>
          <w:szCs w:val="21"/>
        </w:rPr>
      </w:pPr>
      <w:r>
        <w:rPr>
          <w:rFonts w:hint="eastAsia" w:ascii="宋体" w:hAnsi="宋体"/>
          <w:szCs w:val="21"/>
        </w:rPr>
        <w:t>副校长：沈世荣  李子慧</w:t>
      </w:r>
    </w:p>
    <w:p w14:paraId="277249B7">
      <w:pPr>
        <w:ind w:firstLine="840" w:firstLineChars="400"/>
        <w:rPr>
          <w:rFonts w:ascii="宋体" w:hAnsi="宋体"/>
          <w:szCs w:val="21"/>
        </w:rPr>
      </w:pPr>
      <w:r>
        <w:rPr>
          <w:rFonts w:hint="eastAsia" w:ascii="宋体" w:hAnsi="宋体"/>
          <w:szCs w:val="21"/>
        </w:rPr>
        <w:t>陈盛荣（任至8月）</w:t>
      </w:r>
    </w:p>
    <w:p w14:paraId="2BBACAD9">
      <w:pPr>
        <w:ind w:firstLine="840" w:firstLineChars="400"/>
        <w:rPr>
          <w:rFonts w:ascii="宋体" w:hAnsi="宋体"/>
          <w:szCs w:val="21"/>
        </w:rPr>
      </w:pPr>
      <w:r>
        <w:rPr>
          <w:rFonts w:hint="eastAsia" w:ascii="宋体" w:hAnsi="宋体"/>
          <w:szCs w:val="21"/>
        </w:rPr>
        <w:t>何俊杰（8月任）</w:t>
      </w:r>
    </w:p>
    <w:p w14:paraId="40CC3E72">
      <w:pPr>
        <w:pStyle w:val="4"/>
      </w:pPr>
      <w:r>
        <w:rPr>
          <w:rFonts w:hint="eastAsia"/>
        </w:rPr>
        <w:t>【黄坑中学】</w:t>
      </w:r>
    </w:p>
    <w:p w14:paraId="007D78A8">
      <w:pPr>
        <w:ind w:firstLine="420"/>
        <w:rPr>
          <w:rFonts w:ascii="宋体" w:hAnsi="宋体"/>
          <w:szCs w:val="21"/>
        </w:rPr>
      </w:pPr>
      <w:r>
        <w:rPr>
          <w:rFonts w:hint="eastAsia" w:ascii="宋体" w:hAnsi="宋体"/>
          <w:szCs w:val="21"/>
        </w:rPr>
        <w:t>黄坑中学坐落在南雄市黄坑镇，距市区22公里，是粤北地区唯一一所农村完全中学。该校创办于1956年，1973年定为韶关地区重点完全中学，1999年评为韶关市一级学校，2004年晋升为广东省一级学校。</w:t>
      </w:r>
    </w:p>
    <w:p w14:paraId="0024725A">
      <w:pPr>
        <w:ind w:firstLine="420"/>
        <w:rPr>
          <w:rFonts w:ascii="宋体" w:hAnsi="宋体"/>
          <w:szCs w:val="21"/>
        </w:rPr>
      </w:pPr>
      <w:r>
        <w:rPr>
          <w:rFonts w:hint="eastAsia" w:ascii="宋体" w:hAnsi="宋体"/>
          <w:szCs w:val="21"/>
        </w:rPr>
        <w:t>学校占地面积12万平方米，建筑面积近6万平方米，拥有实验楼、图书馆、信息楼、艺术楼和标准的400米跑道运动场，11月19日，市长刘清生参加了塑胶运动场启动仪式。2011年12月，由市财政局拔款120万元，建筑面积1252平方米，教师宿舍楼竣工。教育教学实施较完善。现有50个教学班，在校学生2830人，教职工215人，专任教师188人，其中高级教师15人，一级教师128人。该校围绕“用责任和激情创造黄坑中学新的辉煌”的工作思路，坚持以生为本、和谐发展理念，倡导“以欣赏的眼光看待每位学生，以尊重的心态对待每位教师”的校园文化，依法治校，以德治校，质量兴校，努力创建“文明、和谐、平安、快乐”校园。</w:t>
      </w:r>
    </w:p>
    <w:p w14:paraId="65099D10">
      <w:pPr>
        <w:ind w:firstLine="420"/>
        <w:rPr>
          <w:rFonts w:ascii="宋体" w:hAnsi="宋体"/>
          <w:szCs w:val="21"/>
        </w:rPr>
      </w:pPr>
      <w:r>
        <w:rPr>
          <w:rFonts w:hint="eastAsia" w:ascii="宋体" w:hAnsi="宋体"/>
          <w:szCs w:val="21"/>
        </w:rPr>
        <w:t>该校是一所农村完全中学，曾有过辉煌的办学历史。近年来，面对生源数量萎缩、质量下降的情况，黄中人具有较强的忧患意识，全体教职工爱校如家，群策群力，励精图治，在逆境中求生存，谋发展。目前，黄坑中学平稳、和谐，充满活力，发展态势良好。</w:t>
      </w:r>
    </w:p>
    <w:p w14:paraId="0D3F57DE">
      <w:pPr>
        <w:ind w:firstLine="420"/>
        <w:rPr>
          <w:rFonts w:ascii="宋体" w:hAnsi="宋体"/>
          <w:szCs w:val="21"/>
        </w:rPr>
      </w:pPr>
      <w:r>
        <w:rPr>
          <w:rFonts w:hint="eastAsia" w:ascii="宋体" w:hAnsi="宋体"/>
          <w:szCs w:val="21"/>
        </w:rPr>
        <w:t>新一届领导班子非常重视师德师风的建设。该校制定了符合学校实际的奖惩制度、考勤制度，并重新划定督导室的职责范围，明确督导室工作重心就是督察师德师风建设，要求督导室认真按章程和各种制度加强监管，力促教风的改变。该校还结合今年市委、市政府开展的“树正气强责任”活动，严明纪律，整肃教风，大树正气，严压歪风。学校要求全体教职工以学校发展为重，树立全局观念、发展观念，树立以校为家、以校为荣风气；强化教书育人责任，强化服务学生意识，强化“校兴我荣，校衰我耻”意识。学校向全体教师提出“教师的成就在学生，教师的成败在自己，教师的功夫在课堂”的口号，激励教师爱岗敬业，成就学生，成就自己。学校建立了一套较完整的制度，将教师的工作绩效与评优评先、晋升晋职挂钩，有力地推进师德师风的建设。</w:t>
      </w:r>
    </w:p>
    <w:p w14:paraId="5A50B8FF">
      <w:pPr>
        <w:ind w:firstLine="420"/>
        <w:rPr>
          <w:rFonts w:ascii="宋体" w:hAnsi="宋体"/>
          <w:szCs w:val="21"/>
        </w:rPr>
      </w:pPr>
      <w:r>
        <w:rPr>
          <w:rFonts w:hint="eastAsia" w:ascii="宋体" w:hAnsi="宋体"/>
          <w:szCs w:val="21"/>
        </w:rPr>
        <w:t>该校始终坚持质量兴校的策略。生源上的劣势使得黄坑中学格外重视教学质量，把质量提高到关系学校存亡的高度来认识。该校摸索总结出了一套适合本校校情、学情的工作方法——“坚持目标不动摇，坚持课堂不懈怠，坚持管理不放松”：即设定目标，激励学生，建立自信；立足课堂，狠抓常规，夯实基础；加强管理，规范行为，营造氛围。2011年508名学生参加高考，其中重点上线2人，本科重点上线85人，大专上线306人。</w:t>
      </w:r>
    </w:p>
    <w:p w14:paraId="1DAC542F">
      <w:pPr>
        <w:ind w:firstLine="420"/>
        <w:rPr>
          <w:rFonts w:ascii="宋体" w:hAnsi="宋体"/>
          <w:szCs w:val="21"/>
        </w:rPr>
      </w:pPr>
      <w:r>
        <w:rPr>
          <w:rFonts w:hint="eastAsia" w:ascii="宋体" w:hAnsi="宋体"/>
          <w:szCs w:val="21"/>
        </w:rPr>
        <w:t>该校重视学生的思想教育工作，已形成一套较完善的教育模式。该校利用每周一次的升旗仪式、班会课、年级集会，一年一次的家长会，一年多次的各种讲座、活动及学校宣传橱窗、校团委刊物等对学生进行思想教育。一年来，该校先后组织多次消防演练、紧急疏散演练及安全知识讲座，灌输生命与安全意识；同时，学校以培养学生良好的文明习惯为抓手，努力把学生培养成既有平民本色，又有绅士风度的新时代学生。该校先后被授予韶关市“文明单位”、韶关市中小学“行为规范示范校”、南雄市“安全文明学校”、“先进单位”、“南雄市德育示范学校”等称号。</w:t>
      </w:r>
    </w:p>
    <w:p w14:paraId="7E4E3060">
      <w:pPr>
        <w:ind w:firstLine="420"/>
        <w:rPr>
          <w:rFonts w:ascii="宋体" w:hAnsi="宋体"/>
          <w:szCs w:val="21"/>
        </w:rPr>
      </w:pPr>
      <w:r>
        <w:rPr>
          <w:rFonts w:hint="eastAsia" w:ascii="宋体" w:hAnsi="宋体"/>
          <w:szCs w:val="21"/>
        </w:rPr>
        <w:t>2011年，学校被授予“南雄市教育招生统一考试管理工作优秀单位”称号，参加南雄市第三十九届中学生运动会获得初、高中组第二名历史最好成绩。该校努力办成一所让学生成长、教师成就、家长放心、社会满意的完全中学。                                                                 （曾宪圣）</w:t>
      </w:r>
    </w:p>
    <w:p w14:paraId="6D095D2D">
      <w:pPr>
        <w:ind w:firstLine="0" w:firstLineChars="0"/>
        <w:rPr>
          <w:rFonts w:ascii="宋体" w:hAnsi="宋体"/>
          <w:szCs w:val="21"/>
        </w:rPr>
      </w:pPr>
      <w:r>
        <w:rPr>
          <w:rFonts w:hint="eastAsia" w:ascii="宋体" w:hAnsi="宋体"/>
          <w:b/>
          <w:szCs w:val="21"/>
        </w:rPr>
        <w:t>附：2011年黄坑中学领导班子成员名单</w:t>
      </w:r>
    </w:p>
    <w:p w14:paraId="7744E9A3">
      <w:pPr>
        <w:ind w:firstLine="0" w:firstLineChars="0"/>
        <w:rPr>
          <w:rFonts w:ascii="宋体" w:hAnsi="宋体"/>
          <w:szCs w:val="21"/>
        </w:rPr>
      </w:pPr>
      <w:r>
        <w:rPr>
          <w:rFonts w:hint="eastAsia" w:ascii="宋体" w:hAnsi="宋体"/>
          <w:szCs w:val="21"/>
        </w:rPr>
        <w:t>校长：李庚标</w:t>
      </w:r>
    </w:p>
    <w:p w14:paraId="276E249E">
      <w:pPr>
        <w:ind w:firstLine="0" w:firstLineChars="0"/>
        <w:rPr>
          <w:rFonts w:ascii="宋体" w:hAnsi="宋体"/>
          <w:szCs w:val="21"/>
        </w:rPr>
      </w:pPr>
      <w:r>
        <w:rPr>
          <w:rFonts w:hint="eastAsia" w:ascii="宋体" w:hAnsi="宋体"/>
          <w:szCs w:val="21"/>
        </w:rPr>
        <w:t>副校长：叶桂林  黄海斌  张  林</w:t>
      </w:r>
    </w:p>
    <w:p w14:paraId="291C784D">
      <w:pPr>
        <w:pStyle w:val="4"/>
      </w:pPr>
      <w:r>
        <w:rPr>
          <w:rFonts w:hint="eastAsia"/>
        </w:rPr>
        <w:t>【南雄市中等职业学校】</w:t>
      </w:r>
    </w:p>
    <w:p w14:paraId="4C0410FC">
      <w:pPr>
        <w:ind w:firstLine="420"/>
        <w:rPr>
          <w:rFonts w:ascii="宋体" w:hAnsi="宋体"/>
          <w:szCs w:val="21"/>
        </w:rPr>
      </w:pPr>
      <w:r>
        <w:rPr>
          <w:rFonts w:hint="eastAsia" w:ascii="宋体" w:hAnsi="宋体"/>
          <w:szCs w:val="21"/>
        </w:rPr>
        <w:t>南雄市中等职业学校是广东省首批重点职业高中，前身为雄州二中，1990年初、高中剥离，更名为南雄市职业高级中学，2008年更名为南雄市中等职业学校</w:t>
      </w:r>
      <w:r>
        <w:rPr>
          <w:rFonts w:hint="eastAsia" w:ascii="宋体" w:hAnsi="宋体"/>
          <w:szCs w:val="21"/>
          <w:lang w:eastAsia="zh-CN"/>
        </w:rPr>
        <w:t>，</w:t>
      </w:r>
      <w:r>
        <w:rPr>
          <w:rFonts w:hint="eastAsia" w:ascii="宋体" w:hAnsi="宋体"/>
          <w:szCs w:val="21"/>
        </w:rPr>
        <w:t>再次通过复评为省重点中等职业学校。同年南雄市委、政府为保障南雄精细化工园人才需求，进一步拓展学校发展空间，将原古市中学校区划归该校改造为南校区，成为南雄市精细化工人才培训基地。</w:t>
      </w:r>
    </w:p>
    <w:p w14:paraId="083DD6F7">
      <w:pPr>
        <w:ind w:firstLine="420"/>
        <w:rPr>
          <w:rFonts w:ascii="宋体" w:hAnsi="宋体"/>
          <w:szCs w:val="21"/>
        </w:rPr>
      </w:pPr>
      <w:r>
        <w:rPr>
          <w:rFonts w:hint="eastAsia" w:ascii="宋体" w:hAnsi="宋体"/>
          <w:szCs w:val="21"/>
        </w:rPr>
        <w:t>该校有一校两区，校园面积81.05亩（5.4公顷），建筑面积26036.25平方米，实验实训设备总值达1100多万元。有教学楼4幢，实训中心1幢，学生宿舍4幢，拥有完善的教育教学设施设备；该校师资力量雄厚，2011年，有教职工127人，专任教师115人，其中专业教师57人，本科以上114人，高级教师25人，中级60人，双师型教师31人，在册学生1800多人。开设适应社会经济和市场发展的精细化工等十个专业，是全国计算机信息高新技术考场和韶关市特种作业培训考核单位。多年来，学校坚持“面向市场需求，造就技能人才”办学理念，明确“使无业者有业，使有业者乐业”办学目标，制定“德以修身，技以立业”校训，建设“尚礼、精技、健体”校风，形成“重基础、求实用、益发展”教风和“乐学多问、勤练技能、追求卓越”学风，不断深化职业教育改革，面向市场培养了一大批技能型、实用型初、中级人才。</w:t>
      </w:r>
    </w:p>
    <w:p w14:paraId="6A63E1C3">
      <w:pPr>
        <w:ind w:firstLine="420"/>
        <w:rPr>
          <w:rFonts w:ascii="宋体" w:hAnsi="宋体"/>
          <w:szCs w:val="21"/>
        </w:rPr>
      </w:pPr>
      <w:r>
        <w:rPr>
          <w:rFonts w:hint="eastAsia" w:ascii="宋体" w:hAnsi="宋体"/>
          <w:szCs w:val="21"/>
        </w:rPr>
        <w:t>2011年3月，广东省评估小组莅临学校，对电气运行与控制专业和计算机专业进行评估。评估小组对这两个专业均给予肯定，高度评价两个专业校企合作特色做法，并提出计算机专业申请省重点专业的期望。5月，香港企业家吴汉樑资助学校50名贫困生。11月，参加韶关市中职学校学生技能竞赛活动，获得“计算机应用、财会应用、电力拖动”3个项目团体三等奖2011年，学校“3+证书”高考班，108人参加高考，91人已入专科线，入线率达84%，居韶关同类学校首位。</w:t>
      </w:r>
    </w:p>
    <w:p w14:paraId="3F9DCD99">
      <w:pPr>
        <w:ind w:firstLine="420"/>
        <w:rPr>
          <w:rFonts w:ascii="宋体" w:hAnsi="宋体"/>
          <w:szCs w:val="21"/>
        </w:rPr>
      </w:pPr>
      <w:r>
        <w:rPr>
          <w:rFonts w:hint="eastAsia" w:ascii="宋体" w:hAnsi="宋体"/>
          <w:szCs w:val="21"/>
        </w:rPr>
        <w:t>2011年，学校获韶关市“巾帼文明岗”荣誉称号。                                     （肖承军）</w:t>
      </w:r>
    </w:p>
    <w:p w14:paraId="57CE688B">
      <w:pPr>
        <w:ind w:firstLine="0" w:firstLineChars="0"/>
        <w:rPr>
          <w:rFonts w:ascii="宋体" w:hAnsi="宋体"/>
          <w:szCs w:val="21"/>
        </w:rPr>
      </w:pPr>
      <w:r>
        <w:rPr>
          <w:rFonts w:hint="eastAsia" w:ascii="宋体" w:hAnsi="宋体"/>
          <w:b/>
          <w:szCs w:val="21"/>
        </w:rPr>
        <w:t>附：2011年市中职校领导班子成员名单</w:t>
      </w:r>
    </w:p>
    <w:p w14:paraId="70275824">
      <w:pPr>
        <w:ind w:firstLine="0" w:firstLineChars="0"/>
        <w:rPr>
          <w:rFonts w:ascii="宋体" w:hAnsi="宋体"/>
          <w:szCs w:val="21"/>
        </w:rPr>
      </w:pPr>
      <w:r>
        <w:rPr>
          <w:rFonts w:hint="eastAsia" w:ascii="宋体" w:hAnsi="宋体"/>
          <w:szCs w:val="21"/>
        </w:rPr>
        <w:t>校长：曾昭贵</w:t>
      </w:r>
    </w:p>
    <w:p w14:paraId="6031542B">
      <w:pPr>
        <w:ind w:firstLine="0" w:firstLineChars="0"/>
        <w:rPr>
          <w:rFonts w:ascii="宋体" w:hAnsi="宋体"/>
          <w:szCs w:val="21"/>
        </w:rPr>
      </w:pPr>
      <w:r>
        <w:rPr>
          <w:rFonts w:hint="eastAsia" w:ascii="宋体" w:hAnsi="宋体"/>
          <w:szCs w:val="21"/>
        </w:rPr>
        <w:t>副校长：曾昭东  肖秀珠  邓光拥</w:t>
      </w:r>
    </w:p>
    <w:tbl>
      <w:tblPr>
        <w:tblStyle w:val="15"/>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7795039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2A9A2239">
            <w:pPr>
              <w:ind w:firstLine="0" w:firstLineChars="0"/>
              <w:rPr>
                <w:rFonts w:ascii="宋体" w:hAnsi="宋体"/>
                <w:szCs w:val="21"/>
              </w:rPr>
            </w:pPr>
            <w:r>
              <w:rPr>
                <w:rFonts w:ascii="宋体" w:hAnsi="宋体"/>
                <w:szCs w:val="21"/>
              </w:rPr>
              <w:pict>
                <v:shape id="_x0000_i1027" o:spt="75" type="#_x0000_t75" style="height:304.5pt;width:487.5pt;" filled="f" o:preferrelative="t" stroked="f" coordsize="21600,21600">
                  <v:path/>
                  <v:fill on="f" focussize="0,0"/>
                  <v:stroke on="f" joinstyle="miter"/>
                  <v:imagedata r:id="rId98" o:title="南雄年鉴2012-45"/>
                  <o:lock v:ext="edit" aspectratio="t"/>
                  <w10:wrap type="none"/>
                  <w10:anchorlock/>
                </v:shape>
              </w:pict>
            </w:r>
          </w:p>
        </w:tc>
      </w:tr>
    </w:tbl>
    <w:p w14:paraId="5447E4E1">
      <w:pPr>
        <w:pStyle w:val="4"/>
      </w:pPr>
      <w:r>
        <w:rPr>
          <w:rFonts w:hint="eastAsia"/>
        </w:rPr>
        <w:t>【新城王锦辉中学】</w:t>
      </w:r>
    </w:p>
    <w:p w14:paraId="06BB1999">
      <w:pPr>
        <w:ind w:firstLine="420"/>
        <w:rPr>
          <w:rFonts w:ascii="宋体" w:hAnsi="宋体"/>
          <w:szCs w:val="21"/>
        </w:rPr>
      </w:pPr>
      <w:r>
        <w:rPr>
          <w:rFonts w:hint="eastAsia" w:ascii="宋体" w:hAnsi="宋体"/>
          <w:szCs w:val="21"/>
        </w:rPr>
        <w:t>南雄市新城王锦辉中学创办于1989年，原名为“南雄县新城中学”，2002年12月4日经南雄市人大常委会批准，易名为“南雄市新城王锦辉中学”。意在颂扬香港金城营造集团公司董事长王锦辉先生对学校捐资助学的善举。</w:t>
      </w:r>
    </w:p>
    <w:p w14:paraId="0A6A3A84">
      <w:pPr>
        <w:ind w:firstLine="420"/>
        <w:rPr>
          <w:rFonts w:ascii="宋体" w:hAnsi="宋体"/>
          <w:szCs w:val="21"/>
        </w:rPr>
      </w:pPr>
      <w:r>
        <w:rPr>
          <w:rFonts w:hint="eastAsia" w:ascii="宋体" w:hAnsi="宋体"/>
          <w:szCs w:val="21"/>
        </w:rPr>
        <w:t>学校是市直初级中学。地处新城教育路，占地面积6万多平方米。校内绿树掩映，花团锦簇，环境优美。有教学楼3栋，科学馆1栋（内有达到省一级学校标准的电脑室、理化生实验室、舞蹈室、多媒体平台等），办公综合大楼1栋，学生宿舍楼2栋，有一间可容纳1000多人用餐的韶关市A级饭堂，还有学生图书室、阅览室、生物园、地理园及5000多平方米的文化广场。</w:t>
      </w:r>
    </w:p>
    <w:p w14:paraId="06F18486">
      <w:pPr>
        <w:ind w:firstLine="420"/>
        <w:rPr>
          <w:rFonts w:ascii="宋体" w:hAnsi="宋体"/>
          <w:szCs w:val="21"/>
        </w:rPr>
      </w:pPr>
      <w:r>
        <w:rPr>
          <w:rFonts w:hint="eastAsia" w:ascii="宋体" w:hAnsi="宋体"/>
          <w:szCs w:val="21"/>
        </w:rPr>
        <w:t>学校现有学生2712人，46个教学班；教职工193人，其中高级教师37人，一级教师126人，其中有5人参加省级骨干教师培训，教师学历达标率为100%。</w:t>
      </w:r>
    </w:p>
    <w:p w14:paraId="56D8F103">
      <w:pPr>
        <w:ind w:firstLine="420"/>
        <w:rPr>
          <w:rFonts w:ascii="宋体" w:hAnsi="宋体"/>
          <w:szCs w:val="21"/>
        </w:rPr>
      </w:pPr>
      <w:r>
        <w:rPr>
          <w:rFonts w:hint="eastAsia" w:ascii="宋体" w:hAnsi="宋体"/>
          <w:szCs w:val="21"/>
        </w:rPr>
        <w:t>学校倡导人性化的管理，坚持“以人为本、尊重的教育”的办学理念，秉承“明之以理，行之以德”的校训，形成“诚信和谐，求实进取”的校风、“严谨博学，敬业爱生”的教风和“励志勤学，慎思笃行”的学风。学生管理上建立行政领导蹲班负责制，形成政教处—年级—班级三位一体的德育管理工作机制。学校全面实施素质教育，全面推行新课程改革，提倡“立足过程、促进发展”的评价标准，狠抓研究性学习和校本课程的开发，致力走“专家治校、名师治教”的学校发展之路。</w:t>
      </w:r>
    </w:p>
    <w:p w14:paraId="393EF146">
      <w:pPr>
        <w:ind w:firstLine="420"/>
        <w:rPr>
          <w:rFonts w:ascii="宋体" w:hAnsi="宋体"/>
          <w:szCs w:val="21"/>
        </w:rPr>
      </w:pPr>
      <w:r>
        <w:rPr>
          <w:rFonts w:hint="eastAsia" w:ascii="宋体" w:hAnsi="宋体"/>
          <w:szCs w:val="21"/>
        </w:rPr>
        <w:t>2009年2月被评为广东省中小学校本培训示范学校《师资建设》教师发展学校，2009年4月被评为“广东省安全文明校园”，2010年被评为广东省“书香校园”，2011年被评为韶关市教学质量优秀学校、韶关市首批德育示范学校。</w:t>
      </w:r>
    </w:p>
    <w:p w14:paraId="0F1E4FBF">
      <w:pPr>
        <w:ind w:firstLine="0" w:firstLineChars="0"/>
        <w:rPr>
          <w:rFonts w:ascii="宋体" w:hAnsi="宋体"/>
          <w:szCs w:val="21"/>
        </w:rPr>
      </w:pPr>
      <w:r>
        <w:rPr>
          <w:rFonts w:hint="eastAsia" w:ascii="宋体" w:hAnsi="宋体"/>
          <w:b/>
          <w:szCs w:val="21"/>
        </w:rPr>
        <w:t>附：2011年新城王锦辉中学领导班子成员名单</w:t>
      </w:r>
    </w:p>
    <w:p w14:paraId="4C632F7E">
      <w:pPr>
        <w:ind w:firstLine="0" w:firstLineChars="0"/>
        <w:rPr>
          <w:rFonts w:ascii="宋体" w:hAnsi="宋体"/>
          <w:szCs w:val="21"/>
        </w:rPr>
      </w:pPr>
      <w:r>
        <w:rPr>
          <w:rFonts w:hint="eastAsia" w:ascii="宋体" w:hAnsi="宋体"/>
          <w:szCs w:val="21"/>
        </w:rPr>
        <w:t>校长：叶见荣</w:t>
      </w:r>
    </w:p>
    <w:p w14:paraId="3DE62D9D">
      <w:pPr>
        <w:ind w:firstLine="0" w:firstLineChars="0"/>
        <w:rPr>
          <w:rFonts w:ascii="宋体" w:hAnsi="宋体"/>
          <w:szCs w:val="21"/>
        </w:rPr>
      </w:pPr>
      <w:r>
        <w:rPr>
          <w:rFonts w:hint="eastAsia" w:ascii="宋体" w:hAnsi="宋体"/>
          <w:szCs w:val="21"/>
        </w:rPr>
        <w:t>副校长：龚模洲  蓝霞秀  何漱兰  张熙兰</w:t>
      </w:r>
    </w:p>
    <w:p w14:paraId="4338F504">
      <w:pPr>
        <w:pStyle w:val="4"/>
      </w:pPr>
      <w:r>
        <w:rPr>
          <w:rFonts w:hint="eastAsia"/>
        </w:rPr>
        <w:t>【雄州中学】</w:t>
      </w:r>
    </w:p>
    <w:p w14:paraId="5DF23ECF">
      <w:pPr>
        <w:ind w:firstLine="420"/>
        <w:rPr>
          <w:rFonts w:ascii="宋体" w:hAnsi="宋体"/>
          <w:szCs w:val="21"/>
        </w:rPr>
      </w:pPr>
      <w:r>
        <w:rPr>
          <w:rFonts w:hint="eastAsia" w:ascii="宋体" w:hAnsi="宋体"/>
          <w:szCs w:val="21"/>
        </w:rPr>
        <w:t>2011年，雄州中学深化教育教学改革，全面提升教育教学质量，全力打造城区教育品牌。以南雄市开展“履行责职，加快发展“活动为契机，抓好队伍建设，努力履行教师职责，大力推进依法执教、依法治校。</w:t>
      </w:r>
    </w:p>
    <w:p w14:paraId="3E0C671A">
      <w:pPr>
        <w:ind w:firstLine="420"/>
        <w:rPr>
          <w:rFonts w:ascii="宋体" w:hAnsi="宋体"/>
          <w:szCs w:val="21"/>
        </w:rPr>
      </w:pPr>
      <w:r>
        <w:rPr>
          <w:rFonts w:hint="eastAsia" w:ascii="宋体" w:hAnsi="宋体"/>
          <w:szCs w:val="21"/>
        </w:rPr>
        <w:t>雄州中学座落于南雄市区雄州大道东，创建于1963年8月，几经易名为“五七中学”、“城镇一中”“雄州镇第一中学”等，1989年校名定为“雄州中学”，沿用至今。至2011年学校已形成规模办学：在校学生达2500多人，有35个教学班，在职教师122人，其中高级教师9人，中学一级教师101人，初级教师12人，专任教师学历达标率为99%。学校占地面积14000多平方米，校园环境优雅，布局合理。2011年把教师人文素养提升作为本校教师师德水平和育德能力培训的重要内容，培养教师自觉阅读的习惯，拓展视野，加强思维的深度和广度。</w:t>
      </w:r>
    </w:p>
    <w:p w14:paraId="10582A37">
      <w:pPr>
        <w:ind w:firstLine="420"/>
        <w:rPr>
          <w:rFonts w:ascii="宋体" w:hAnsi="宋体"/>
          <w:szCs w:val="21"/>
        </w:rPr>
      </w:pPr>
      <w:r>
        <w:rPr>
          <w:rFonts w:hint="eastAsia" w:ascii="宋体" w:hAnsi="宋体"/>
          <w:szCs w:val="21"/>
        </w:rPr>
        <w:t>2011年坚持“质量立校，科研兴校”，全面贯彻党的教育方针，稳步科学地推进素质教育。因材施教，不断提高学生综合素质，培养学生的创新精神和实践能力，为学生升入高一级学校打下坚实基础，输送合格新生。通过各种有效途径和措施全力提升师生的整体人文素养，营造规范、和谐、幸福、民主的校园氛围，讲求创新研究，注重特色发展，致力文化建设，关注师生成长。</w:t>
      </w:r>
    </w:p>
    <w:p w14:paraId="32B92214">
      <w:pPr>
        <w:ind w:firstLine="420"/>
        <w:rPr>
          <w:rFonts w:ascii="宋体" w:hAnsi="宋体"/>
          <w:szCs w:val="21"/>
        </w:rPr>
      </w:pPr>
      <w:r>
        <w:rPr>
          <w:rFonts w:hint="eastAsia" w:ascii="宋体" w:hAnsi="宋体"/>
          <w:szCs w:val="21"/>
        </w:rPr>
        <w:t>学校办学思想：一切为了学生，为了学生的一切；学校教育理念：让学生成长并快乐着，让教师进步并幸福着，让学校发展并和谐着；</w:t>
      </w:r>
    </w:p>
    <w:p w14:paraId="21D29D99">
      <w:pPr>
        <w:ind w:firstLine="420"/>
        <w:rPr>
          <w:rFonts w:ascii="宋体" w:hAnsi="宋体"/>
          <w:szCs w:val="21"/>
        </w:rPr>
      </w:pPr>
      <w:r>
        <w:rPr>
          <w:rFonts w:hint="eastAsia" w:ascii="宋体" w:hAnsi="宋体"/>
          <w:szCs w:val="21"/>
        </w:rPr>
        <w:t>教师工作目标：学生喜欢，家长满意，同行佩服，领导信赖，自我认同；</w:t>
      </w:r>
    </w:p>
    <w:p w14:paraId="68DC29C4">
      <w:pPr>
        <w:ind w:firstLine="420"/>
        <w:rPr>
          <w:rFonts w:ascii="宋体" w:hAnsi="宋体"/>
          <w:szCs w:val="21"/>
        </w:rPr>
      </w:pPr>
      <w:r>
        <w:rPr>
          <w:rFonts w:hint="eastAsia" w:ascii="宋体" w:hAnsi="宋体"/>
          <w:szCs w:val="21"/>
        </w:rPr>
        <w:t>学生培养目标：人格自尊，行为自律，意志自强，学习自主，生活自理。</w:t>
      </w:r>
    </w:p>
    <w:p w14:paraId="12C3B1B1">
      <w:pPr>
        <w:ind w:firstLine="420"/>
        <w:rPr>
          <w:rFonts w:ascii="宋体" w:hAnsi="宋体"/>
          <w:szCs w:val="21"/>
        </w:rPr>
      </w:pPr>
      <w:r>
        <w:rPr>
          <w:rFonts w:hint="eastAsia" w:ascii="宋体" w:hAnsi="宋体"/>
          <w:szCs w:val="21"/>
        </w:rPr>
        <w:t>人文治校（科学管理策略）—人性化的团队，科学化的管理，调动每一名员工的积极性，创造优良的人文环境，让师生在幸福的环境中学习和工作，使学校成为师生身心愉悦的成长乐园和幸福的精神家园，从而提升工作和学习效率。</w:t>
      </w:r>
    </w:p>
    <w:p w14:paraId="1126C4C9">
      <w:pPr>
        <w:ind w:firstLine="420"/>
        <w:rPr>
          <w:rFonts w:ascii="宋体" w:hAnsi="宋体"/>
          <w:szCs w:val="21"/>
        </w:rPr>
      </w:pPr>
      <w:r>
        <w:rPr>
          <w:rFonts w:hint="eastAsia" w:ascii="宋体" w:hAnsi="宋体"/>
          <w:szCs w:val="21"/>
        </w:rPr>
        <w:t>文化立校（文化引领策略）—提升师生的文化品位，鼓励师生阅读写作，凝聚人心，鼓舞斗志，以健康高雅的文化树立学校的品牌形象，加强交流与合作，增强师生对学校的归属感，营造幸福的氛围。</w:t>
      </w:r>
    </w:p>
    <w:p w14:paraId="09CD715F">
      <w:pPr>
        <w:ind w:firstLine="420"/>
        <w:rPr>
          <w:rFonts w:ascii="宋体" w:hAnsi="宋体"/>
          <w:szCs w:val="21"/>
        </w:rPr>
      </w:pPr>
      <w:r>
        <w:rPr>
          <w:rFonts w:hint="eastAsia" w:ascii="宋体" w:hAnsi="宋体"/>
          <w:szCs w:val="21"/>
        </w:rPr>
        <w:t>质量兴校（目标导向策略）实现学校的内涵发展，注重学校工作的规范化和精细化，追求工作和教育教学的高质量。</w:t>
      </w:r>
    </w:p>
    <w:p w14:paraId="75CAA3F4">
      <w:pPr>
        <w:ind w:firstLine="420"/>
        <w:rPr>
          <w:rFonts w:ascii="宋体" w:hAnsi="宋体"/>
          <w:szCs w:val="21"/>
        </w:rPr>
      </w:pPr>
      <w:r>
        <w:rPr>
          <w:rFonts w:hint="eastAsia" w:ascii="宋体" w:hAnsi="宋体"/>
          <w:szCs w:val="21"/>
        </w:rPr>
        <w:t>科研助校（课题牵动策略）—提髙教育教学工作的科技含量，加强教师的科研意识，以先进的教育思想、教育理论及教育科研成果辅助学校办学品质的提升。</w:t>
      </w:r>
    </w:p>
    <w:p w14:paraId="432F84AC">
      <w:pPr>
        <w:ind w:firstLine="420"/>
        <w:rPr>
          <w:rFonts w:ascii="宋体" w:hAnsi="宋体"/>
          <w:szCs w:val="21"/>
        </w:rPr>
      </w:pPr>
      <w:r>
        <w:rPr>
          <w:rFonts w:hint="eastAsia" w:ascii="宋体" w:hAnsi="宋体"/>
          <w:szCs w:val="21"/>
        </w:rPr>
        <w:t>特色强校（项目推进策略）一在规范办学的前提下努力开展学校的特色项目建设（节日文化、诗歌诵读、诗意校园、文学赏析、书香校园），以特色项目促进学校的整体发展。</w:t>
      </w:r>
    </w:p>
    <w:p w14:paraId="10256DE1">
      <w:pPr>
        <w:ind w:firstLine="420"/>
        <w:rPr>
          <w:rFonts w:ascii="宋体" w:hAnsi="宋体"/>
          <w:szCs w:val="21"/>
        </w:rPr>
      </w:pPr>
      <w:r>
        <w:rPr>
          <w:rFonts w:hint="eastAsia" w:ascii="宋体" w:hAnsi="宋体"/>
          <w:szCs w:val="21"/>
        </w:rPr>
        <w:t>2011年，雄州中学教育教学及各项竞技比赛都取得可喜成绩。中考成绩再攀新高，获得全面丰收，再续新的辉煌，再一次向社会各界和广大家长递交一份令人满意的答卷，邓光钰夺取南雄市中考状元，高分层人数居南雄市前列；2011年获南雄市乒乓球男子团体第五名、乒乓球女子团体第一名、初中男子篮球甲组第三名、第39届中小学田径运动初中甲组第四名；获2011年度先进党总支、教育教学先进单位、教育招生管理良好单位、信息宣传先进单位等荣誉称号。                                       （邓金生）</w:t>
      </w:r>
    </w:p>
    <w:p w14:paraId="22B183AE">
      <w:pPr>
        <w:ind w:firstLine="0" w:firstLineChars="0"/>
        <w:rPr>
          <w:rFonts w:ascii="宋体" w:hAnsi="宋体"/>
          <w:b/>
          <w:szCs w:val="21"/>
        </w:rPr>
      </w:pPr>
      <w:r>
        <w:rPr>
          <w:rFonts w:hint="eastAsia" w:ascii="宋体" w:hAnsi="宋体"/>
          <w:b/>
          <w:szCs w:val="21"/>
        </w:rPr>
        <w:t>附：2011年雄州中学领导班子成员名单</w:t>
      </w:r>
    </w:p>
    <w:p w14:paraId="66E87067">
      <w:pPr>
        <w:ind w:firstLine="0" w:firstLineChars="0"/>
        <w:rPr>
          <w:rFonts w:ascii="宋体" w:hAnsi="宋体"/>
          <w:szCs w:val="21"/>
        </w:rPr>
      </w:pPr>
      <w:r>
        <w:rPr>
          <w:rFonts w:hint="eastAsia" w:ascii="宋体" w:hAnsi="宋体"/>
          <w:szCs w:val="21"/>
        </w:rPr>
        <w:t>校长：何社</w:t>
      </w:r>
    </w:p>
    <w:p w14:paraId="3BB10A10">
      <w:pPr>
        <w:ind w:firstLine="0" w:firstLineChars="0"/>
        <w:rPr>
          <w:rFonts w:ascii="宋体" w:hAnsi="宋体"/>
          <w:szCs w:val="21"/>
        </w:rPr>
      </w:pPr>
      <w:r>
        <w:rPr>
          <w:rFonts w:hint="eastAsia" w:ascii="宋体" w:hAnsi="宋体"/>
          <w:szCs w:val="21"/>
        </w:rPr>
        <w:t>生副校长：张鸿飞  刘发荣  丁德英  徐孔彬</w:t>
      </w:r>
    </w:p>
    <w:p w14:paraId="3672641D">
      <w:pPr>
        <w:pStyle w:val="4"/>
      </w:pPr>
      <w:r>
        <w:rPr>
          <w:rFonts w:hint="eastAsia"/>
        </w:rPr>
        <w:t>【黎口中学】</w:t>
      </w:r>
    </w:p>
    <w:p w14:paraId="78541E7F">
      <w:pPr>
        <w:ind w:firstLine="420"/>
        <w:rPr>
          <w:rFonts w:ascii="宋体" w:hAnsi="宋体"/>
          <w:szCs w:val="21"/>
        </w:rPr>
      </w:pPr>
      <w:r>
        <w:rPr>
          <w:rFonts w:hint="eastAsia" w:ascii="宋体" w:hAnsi="宋体"/>
          <w:szCs w:val="21"/>
        </w:rPr>
        <w:t>黎口中学创办于1941年，其间数迁校址，几易校名，于1991年搬迁到现址，1998年被评为南雄市一级学校，2004年被评为韶关市一级学校，2006年定为市直学校。</w:t>
      </w:r>
    </w:p>
    <w:p w14:paraId="6ED23711">
      <w:pPr>
        <w:ind w:firstLine="420"/>
        <w:rPr>
          <w:rFonts w:ascii="宋体" w:hAnsi="宋体"/>
          <w:szCs w:val="21"/>
        </w:rPr>
      </w:pPr>
      <w:r>
        <w:rPr>
          <w:rFonts w:hint="eastAsia" w:ascii="宋体" w:hAnsi="宋体"/>
          <w:szCs w:val="21"/>
        </w:rPr>
        <w:t>校园占地面积4.2万平方米，生均30.4平方米，校园绿化面积2000平方米。学校各功能区布局合理，做到教学、生活、运动三区分开，教学楼有2栋，办公楼1栋，学生公寓2栋，1栋分年级就餐的2500平方米的标准食堂，及教学所需的各种专用室几十间，是一所已基本形成布局合理、管理规范、设施较全、质量较好的全寄宿制初级中学。</w:t>
      </w:r>
    </w:p>
    <w:p w14:paraId="0BCFFE37">
      <w:pPr>
        <w:ind w:firstLine="420"/>
        <w:rPr>
          <w:rFonts w:ascii="宋体" w:hAnsi="宋体"/>
          <w:szCs w:val="21"/>
        </w:rPr>
      </w:pPr>
      <w:r>
        <w:rPr>
          <w:rFonts w:hint="eastAsia" w:ascii="宋体" w:hAnsi="宋体"/>
          <w:szCs w:val="21"/>
        </w:rPr>
        <w:t>2011年，学校有22个教学班，学生1200余名，教职工109人，高级教师有12人，一级教师96人，二级教师1人，职工5人。9月，邓应福为黎口中学校长，新一届领导班子成立，校风、学风都呈良性发展，校容校貌焕然一新。</w:t>
      </w:r>
    </w:p>
    <w:p w14:paraId="36DEADED">
      <w:pPr>
        <w:ind w:firstLine="420"/>
        <w:rPr>
          <w:rFonts w:ascii="宋体" w:hAnsi="宋体"/>
          <w:szCs w:val="21"/>
        </w:rPr>
      </w:pPr>
      <w:r>
        <w:rPr>
          <w:rFonts w:hint="eastAsia" w:ascii="宋体" w:hAnsi="宋体"/>
          <w:szCs w:val="21"/>
        </w:rPr>
        <w:t>学校坚持“以人为本，求真务实，和谐发展”办学理念，坚定“以教师专业化培养为着力点，以活动为载体德育为新亮点，以有效课堂实施为增长点，以和谐促发展，以质量铸品牌”办学思路。无一流生源，力争一流佳绩，2011年学期期末城区联考八年级总平均分第一。其中数学列全市第一，英语列农村中学第一。黎口中学从低谷中走出来，规范化管理使黎口中学不断变化，正在良性发展中。</w:t>
      </w:r>
    </w:p>
    <w:p w14:paraId="493CE459">
      <w:pPr>
        <w:ind w:firstLine="420"/>
        <w:rPr>
          <w:rFonts w:ascii="宋体" w:hAnsi="宋体"/>
          <w:szCs w:val="21"/>
        </w:rPr>
      </w:pPr>
      <w:r>
        <w:rPr>
          <w:rFonts w:hint="eastAsia" w:ascii="宋体" w:hAnsi="宋体"/>
          <w:szCs w:val="21"/>
        </w:rPr>
        <w:t>黎口中学以“新雄州中学建设”为核心第三次跨越，在现有基础上扩大规划，增建教学楼、宿舍楼、办公楼、饭堂等校园设施，改善办学条件，完善教学设施。加强与南雄市内兄弟学校的交流与合作，增进兄弟学校之间的相互解，共同研讨提升教育教学质量，3月与乌迳中学进行九年级教学交流活动，派出九年级各考试科目任课教师28人，听取乌迳中学语文、数学、英语等各门课的教学。3月28日“全国中小学安全教育日”，学校组织全校师生参与安全疏散演练活动。5月，召开七、八年级学生家长座谈会，增进学校与家庭之间的联系，更好地形成学校、家庭和社会教育的合力，促进学生全面发展。11月，召开中国共产主义青年团黎口中学第二次代表大会。12月举行2011年学生田径运动会                      （田海英）</w:t>
      </w:r>
    </w:p>
    <w:p w14:paraId="749375C5">
      <w:pPr>
        <w:ind w:firstLine="0" w:firstLineChars="0"/>
        <w:rPr>
          <w:rFonts w:ascii="宋体" w:hAnsi="宋体"/>
          <w:szCs w:val="21"/>
        </w:rPr>
      </w:pPr>
      <w:r>
        <w:rPr>
          <w:rFonts w:hint="eastAsia" w:ascii="宋体" w:hAnsi="宋体"/>
          <w:b/>
          <w:szCs w:val="21"/>
        </w:rPr>
        <w:t>附：2011年黎口中学领导班子成员名单</w:t>
      </w:r>
    </w:p>
    <w:p w14:paraId="478EBE24">
      <w:pPr>
        <w:ind w:firstLine="0" w:firstLineChars="0"/>
        <w:rPr>
          <w:rFonts w:ascii="宋体" w:hAnsi="宋体"/>
          <w:szCs w:val="21"/>
        </w:rPr>
      </w:pPr>
      <w:r>
        <w:rPr>
          <w:rFonts w:hint="eastAsia" w:ascii="宋体" w:hAnsi="宋体"/>
          <w:szCs w:val="21"/>
        </w:rPr>
        <w:t>校长：邓应福</w:t>
      </w:r>
    </w:p>
    <w:p w14:paraId="4F601D4E">
      <w:pPr>
        <w:ind w:firstLine="0" w:firstLineChars="0"/>
        <w:rPr>
          <w:rFonts w:ascii="宋体" w:hAnsi="宋体"/>
          <w:szCs w:val="21"/>
        </w:rPr>
      </w:pPr>
      <w:r>
        <w:rPr>
          <w:rFonts w:hint="eastAsia" w:ascii="宋体" w:hAnsi="宋体"/>
          <w:szCs w:val="21"/>
        </w:rPr>
        <w:t>副校长：陈  斌  何世超  吴水春</w:t>
      </w:r>
    </w:p>
    <w:p w14:paraId="03C873AC">
      <w:pPr>
        <w:pStyle w:val="4"/>
      </w:pPr>
      <w:r>
        <w:rPr>
          <w:rFonts w:hint="eastAsia"/>
        </w:rPr>
        <w:t>【乌迳中学】</w:t>
      </w:r>
    </w:p>
    <w:p w14:paraId="250AA8AA">
      <w:pPr>
        <w:ind w:firstLine="420"/>
        <w:rPr>
          <w:rFonts w:ascii="宋体" w:hAnsi="宋体"/>
          <w:szCs w:val="21"/>
        </w:rPr>
      </w:pPr>
      <w:r>
        <w:rPr>
          <w:rFonts w:hint="eastAsia" w:ascii="宋体" w:hAnsi="宋体"/>
          <w:szCs w:val="21"/>
        </w:rPr>
        <w:t>乌迳中学座落在广东省南雄市东北边陲的粤北著名古镇乌迳。学校交通便利，环境优美。学校创办于1958年，原校址设在乌迳医院宿舍楼区，始称为乌迳公社乌迳小学初中部。1959年迁至现今雄信公路旁。1968年高中开始招生，成为当时南雄市上片地区规模较大的农村完全中学。“文化大革命”期间曾一度易名为“燎原中学”。1989年高中改制为职业高中，1990年升格为科级单位，2004年被评为韶关市一级学校。2011年5月被评为南雄市德育示范学校，2011年5月被评为韶关市安全文明校园，2011年12月被评为广东省义务教育规范化学校。</w:t>
      </w:r>
    </w:p>
    <w:p w14:paraId="5500BF76">
      <w:pPr>
        <w:ind w:firstLine="420"/>
        <w:rPr>
          <w:rFonts w:ascii="宋体" w:hAnsi="宋体"/>
          <w:szCs w:val="21"/>
        </w:rPr>
      </w:pPr>
      <w:r>
        <w:rPr>
          <w:rFonts w:hint="eastAsia" w:ascii="宋体" w:hAnsi="宋体"/>
          <w:szCs w:val="21"/>
        </w:rPr>
        <w:t>学校始终坚持社会主义办学方向，秉承“传承文明、教书育人”的办学理念，坚持“彰显正义、主持公平，服务师生、促进发展”的原则，遵循“勤奋求是、务实创新”的校训。学校现有112名教师中，高级教师3人，一级教师56人。大学本科学历63人，专科学历45人，达标率99.2%。先后参加过省市骨干教师培训及业务培训的有35人，先后评为全国省市级先进教师或优秀班主任共有29人。一批教学骨干常年活跃在省市各学科的专业学术团体及其活动中。</w:t>
      </w:r>
    </w:p>
    <w:p w14:paraId="60413D50">
      <w:pPr>
        <w:ind w:firstLine="420"/>
        <w:rPr>
          <w:rFonts w:ascii="宋体" w:hAnsi="宋体"/>
          <w:szCs w:val="21"/>
        </w:rPr>
      </w:pPr>
      <w:r>
        <w:rPr>
          <w:rFonts w:hint="eastAsia" w:ascii="宋体" w:hAnsi="宋体"/>
          <w:szCs w:val="21"/>
        </w:rPr>
        <w:t>学校拥有“八室一场”（生化、物理实验室，生化、物理仪器室，语音室，电脑室，图书室，阅览室，运动场），教学设施较为齐全。学生宿舍楼四栋，教师楼四栋、教学楼一栋，综合楼1栋，实现师生工作、学习和生活楼房化；同时，又修建了花园小景和文化长廊，美化绿化校园，使校园绿树成荫，花红草绿，亭台轩榭，假山池沼相辉映，风景秀丽怡人，并能做到教学、生活、运动三区分开，整个校园布局科学合理，为师生工作、学习和生活创设优美环境，提供良好条件。</w:t>
      </w:r>
    </w:p>
    <w:p w14:paraId="79007C72">
      <w:pPr>
        <w:ind w:firstLine="420"/>
        <w:rPr>
          <w:rFonts w:ascii="宋体" w:hAnsi="宋体"/>
          <w:szCs w:val="21"/>
        </w:rPr>
      </w:pPr>
      <w:r>
        <w:rPr>
          <w:rFonts w:hint="eastAsia" w:ascii="宋体" w:hAnsi="宋体"/>
          <w:szCs w:val="21"/>
        </w:rPr>
        <w:t>学校一直把文化教育和素质教育摆在同等重要位置。浓郁校园文化气氛，给学生一个展示和发展自我的舞台，成功创办花迳文学社，并且在粤北文学社团中有较大影响。学校篮球队、文娱队、广播站等社团也如雨后春笋般成立并壮大。同时，研究性学习也蓬蓬勃勃地开展起来。在德育工作方面，以“弘扬中华传统文化，培育时代新人”为目标。多年来形成了比较成熟的以年级为阶梯的系列教育活动，寻找“传统、现代、现实”最佳结合点。开展诵读，学习“弟子规”、“百孝经”活动，让学生从小感悟博大精深的中华传统文化精髓，注重人文底蕴积淀和熏陶，不断强化每位学生未来可持续发展文化基因。传承粤北民间文化艺术、训练有素的乌迳中学板凳龙队，一度被广东省民间文艺家协会主席罗汉光称为“民间艺术奇葩”，并与其他地方板凳龙队作比较，原本以“舞龙求雨”形式而出现的板凳龙是以板凳出现的，而乌迳的板凳龙更具有艺术性，装饰和美术效果更好。叶教授曾肯定地称乌中板凳龙队“底蕴深厚、魅力独具、极有特点”，并指出这是古村落历史文化遗产中的非物质文化遗产之一。同时希望能继续传承、发展、创新这一项目，挖掘其文化底蕴。学校教育教学质量稳步上升，多年来质量检查、升学考试、学科竞赛以及体育竞技等方面成绩均名列南雄市前茅。在2011年中全校师生荣获以下荣誉：南雄市中小学乒乓球比赛中学女子团体第三名；荣获南雄市教工篮球比赛甲组第一名；彭毅帆荣获韶关市优秀学生干部、叶雨月、何德华荣获韶关市优秀三好学生的光荣称号</w:t>
      </w:r>
    </w:p>
    <w:p w14:paraId="3320FB20">
      <w:pPr>
        <w:ind w:firstLine="420"/>
        <w:rPr>
          <w:rFonts w:ascii="宋体" w:hAnsi="宋体"/>
          <w:szCs w:val="21"/>
        </w:rPr>
      </w:pPr>
      <w:r>
        <w:rPr>
          <w:rFonts w:hint="eastAsia" w:ascii="宋体" w:hAnsi="宋体"/>
          <w:szCs w:val="21"/>
        </w:rPr>
        <w:t>教育教学工作出色，学校获得诸多荣誉，深受上级领导与社会群众好评，知名度不断提升：以质量求生存，以特色求发展。在新的发展征程里，乌迳中学将追求科学、和谐、理性、可持续、高品位的教育，靠爱心、靠责任、靠智慧教书育人治校，倾力打造“文明校园、书香校园、和谐校园、魅力校园”。</w:t>
      </w:r>
    </w:p>
    <w:p w14:paraId="4E5F0C2D">
      <w:pPr>
        <w:ind w:firstLine="420"/>
        <w:jc w:val="right"/>
        <w:rPr>
          <w:rFonts w:ascii="宋体" w:hAnsi="宋体"/>
          <w:szCs w:val="21"/>
        </w:rPr>
      </w:pPr>
      <w:r>
        <w:rPr>
          <w:rFonts w:hint="eastAsia" w:ascii="宋体" w:hAnsi="宋体"/>
          <w:szCs w:val="21"/>
        </w:rPr>
        <w:t>（邓胜文）</w:t>
      </w:r>
    </w:p>
    <w:p w14:paraId="69BD640D">
      <w:pPr>
        <w:ind w:firstLine="0" w:firstLineChars="0"/>
        <w:rPr>
          <w:rFonts w:ascii="宋体" w:hAnsi="宋体"/>
          <w:szCs w:val="21"/>
        </w:rPr>
      </w:pPr>
      <w:r>
        <w:rPr>
          <w:rFonts w:hint="eastAsia" w:ascii="宋体" w:hAnsi="宋体"/>
          <w:b/>
          <w:szCs w:val="21"/>
        </w:rPr>
        <w:t>附：2011年乌迳中学领导班子成员名单</w:t>
      </w:r>
    </w:p>
    <w:p w14:paraId="6B3FC465">
      <w:pPr>
        <w:ind w:firstLine="0" w:firstLineChars="0"/>
        <w:rPr>
          <w:rFonts w:ascii="宋体" w:hAnsi="宋体"/>
          <w:szCs w:val="21"/>
        </w:rPr>
      </w:pPr>
      <w:r>
        <w:rPr>
          <w:rFonts w:hint="eastAsia" w:ascii="宋体" w:hAnsi="宋体"/>
          <w:szCs w:val="21"/>
        </w:rPr>
        <w:t>校长：黄国专</w:t>
      </w:r>
    </w:p>
    <w:p w14:paraId="43C40E26">
      <w:pPr>
        <w:ind w:firstLine="0" w:firstLineChars="0"/>
        <w:rPr>
          <w:rFonts w:ascii="宋体" w:hAnsi="宋体"/>
          <w:szCs w:val="21"/>
        </w:rPr>
      </w:pPr>
      <w:r>
        <w:rPr>
          <w:rFonts w:hint="eastAsia" w:ascii="宋体" w:hAnsi="宋体"/>
          <w:szCs w:val="21"/>
        </w:rPr>
        <w:t>副校长：叶勤生  彭  华</w:t>
      </w:r>
    </w:p>
    <w:p w14:paraId="5ECAABB3">
      <w:pPr>
        <w:pStyle w:val="2"/>
      </w:pPr>
      <w:r>
        <w:rPr>
          <w:rFonts w:hint="eastAsia"/>
        </w:rPr>
        <w:t>文化·广播</w:t>
      </w:r>
    </w:p>
    <w:p w14:paraId="490E1EFC">
      <w:pPr>
        <w:pStyle w:val="3"/>
      </w:pPr>
      <w:r>
        <w:rPr>
          <w:rFonts w:hint="eastAsia"/>
        </w:rPr>
        <w:t>综述</w:t>
      </w:r>
    </w:p>
    <w:p w14:paraId="3111F226">
      <w:pPr>
        <w:pStyle w:val="4"/>
      </w:pPr>
      <w:r>
        <w:rPr>
          <w:rFonts w:hint="eastAsia"/>
        </w:rPr>
        <w:t>【概况】</w:t>
      </w:r>
    </w:p>
    <w:p w14:paraId="4DC15074">
      <w:pPr>
        <w:ind w:firstLine="420"/>
        <w:rPr>
          <w:rFonts w:ascii="宋体" w:hAnsi="宋体"/>
          <w:szCs w:val="21"/>
        </w:rPr>
      </w:pPr>
      <w:r>
        <w:rPr>
          <w:rFonts w:hint="eastAsia" w:ascii="宋体" w:hAnsi="宋体"/>
          <w:szCs w:val="21"/>
        </w:rPr>
        <w:t>南雄市文化广电新闻出版局（简称“文新局”），其前身是南雄市文化局，担负着宣传贯彻、执行党和国家各项路线、方针、政策，制定本地区内文化政策，指导和管理本地区文化工作，执行国家各项文化法规，依法行政、依法治文、繁荣文学艺术创作，加强自身队伍建设，培养高素质文化人才。</w:t>
      </w:r>
    </w:p>
    <w:p w14:paraId="4514F433">
      <w:pPr>
        <w:ind w:firstLine="420"/>
        <w:rPr>
          <w:rFonts w:ascii="宋体" w:hAnsi="宋体"/>
          <w:szCs w:val="21"/>
        </w:rPr>
      </w:pPr>
      <w:r>
        <w:rPr>
          <w:rFonts w:hint="eastAsia" w:ascii="宋体" w:hAnsi="宋体"/>
          <w:szCs w:val="21"/>
        </w:rPr>
        <w:t>南雄市文化广电新闻出版局属正科级单位，内设人秘股、社会文化股、广电管理股、文化市场管理股、新闻出版管理股。其直属单位有南雄市文化市场综合执法大队，下属有文化馆、图书馆、博物馆、采茶剧团、影剧院及18个镇文化站。全局干部职工98人（其中在职67人、退休31人）。</w:t>
      </w:r>
    </w:p>
    <w:p w14:paraId="0CD5900B">
      <w:pPr>
        <w:pStyle w:val="4"/>
      </w:pPr>
      <w:r>
        <w:rPr>
          <w:rFonts w:hint="eastAsia"/>
        </w:rPr>
        <w:t>【文化基础设施】</w:t>
      </w:r>
    </w:p>
    <w:p w14:paraId="35E48DBB">
      <w:pPr>
        <w:ind w:firstLine="420"/>
        <w:rPr>
          <w:rFonts w:ascii="宋体" w:hAnsi="宋体"/>
          <w:szCs w:val="21"/>
        </w:rPr>
      </w:pPr>
      <w:r>
        <w:rPr>
          <w:rFonts w:hint="eastAsia" w:ascii="宋体" w:hAnsi="宋体"/>
          <w:szCs w:val="21"/>
        </w:rPr>
        <w:t>新城影剧院位于雄州街道新城林荫西路，总占地面积约20000平方米，于2008年1月获批立项，2009年3月开始动工兴建，2011年年底完成主体工程建设。2011年12月12日，南雄市与广东珠影文化产业投资有限公司就南雄珠影文化广场项目达成合作协议。新城影剧院建成后，根据珠影文化广场的发展理念，南雄市努力将珠影文化广场打造成为南雄影视文化产业基地。</w:t>
      </w:r>
    </w:p>
    <w:p w14:paraId="50AF04C6">
      <w:pPr>
        <w:pStyle w:val="4"/>
      </w:pPr>
      <w:r>
        <w:rPr>
          <w:rFonts w:hint="eastAsia"/>
        </w:rPr>
        <w:t>【文化体制改革】</w:t>
      </w:r>
    </w:p>
    <w:p w14:paraId="334B7DF2">
      <w:pPr>
        <w:ind w:firstLine="420"/>
        <w:rPr>
          <w:rFonts w:ascii="宋体" w:hAnsi="宋体"/>
          <w:szCs w:val="21"/>
        </w:rPr>
      </w:pPr>
      <w:r>
        <w:rPr>
          <w:rFonts w:hint="eastAsia" w:ascii="宋体" w:hAnsi="宋体"/>
          <w:szCs w:val="21"/>
        </w:rPr>
        <w:t>2011年9月，市文广新局根据实际情况，制定《南雄市采茶剧团体制改革实施方案》，将剧团原有人员、编制、经费等统一划转到市文化馆。实施方案分宣传发动、组织实施、总结验收三个阶段进行。2011年12月，市编办已批准同意市采茶剧团划转至市文化馆，人员编制定为31人。</w:t>
      </w:r>
    </w:p>
    <w:p w14:paraId="1EB240DE">
      <w:pPr>
        <w:pStyle w:val="4"/>
      </w:pPr>
      <w:r>
        <w:rPr>
          <w:rFonts w:hint="eastAsia"/>
        </w:rPr>
        <w:t>【群众文化活动】</w:t>
      </w:r>
    </w:p>
    <w:p w14:paraId="3057E76A">
      <w:pPr>
        <w:ind w:firstLine="420"/>
        <w:rPr>
          <w:rFonts w:ascii="宋体" w:hAnsi="宋体"/>
          <w:szCs w:val="21"/>
        </w:rPr>
      </w:pPr>
      <w:r>
        <w:rPr>
          <w:rFonts w:hint="eastAsia" w:ascii="宋体" w:hAnsi="宋体"/>
          <w:szCs w:val="21"/>
        </w:rPr>
        <w:t>2011年，市文广新局大力实施广播群众文化繁荣工程，精心组织广大群众喜闻乐见、丰富多彩的文化活动，先后组织开展春节文化周、群众闹元宵、民间艺术演出等活动。2011年5月，成功举办“地税杯——党在我心中”第三届红歌会，参赛选手达500多名，近万名群众观前来观看；6月，成功举办以《永远跟党走》为主题的庆祝建党90周年文艺晚会；12月，配合广东省旅游文化节南雄分会场的有关准备工作，在大会堂连续三天对外公演大型情景歌舞《风雨珠玑情》，取得公演场场爆满的骄人入座率，观看人数超过1.5万人次。围绕电影“2131”工程，“科技兴农”、“水土保护”、“禁毒宣传”、“计划生育”等活动主题，市文广新局广泛开展文化“三送”活动，累计送电影下乡近2400余场，送戏下乡136场，送图书下乡30多场，举办文化信息资源共享工程免费播放知识讲座20场。</w:t>
      </w:r>
    </w:p>
    <w:p w14:paraId="377F079E">
      <w:pPr>
        <w:pStyle w:val="4"/>
      </w:pPr>
      <w:r>
        <w:rPr>
          <w:rFonts w:hint="eastAsia"/>
        </w:rPr>
        <w:t>【文化市场】</w:t>
      </w:r>
    </w:p>
    <w:p w14:paraId="200E3237">
      <w:pPr>
        <w:ind w:firstLine="420"/>
        <w:rPr>
          <w:rFonts w:ascii="宋体" w:hAnsi="宋体"/>
          <w:szCs w:val="21"/>
        </w:rPr>
      </w:pPr>
      <w:r>
        <w:rPr>
          <w:rFonts w:hint="eastAsia" w:ascii="宋体" w:hAnsi="宋体"/>
          <w:szCs w:val="21"/>
        </w:rPr>
        <w:t>2011年，市文化市场综合执法队出动检查人员348人次，检查文化经营场所951家次，其中网吧258家次，音像制品经营店117家次，娱乐场所179家次，书报刊经营单位229家次，印刷企业168家次。收缴非法音像制品、非法出版物一批，行政处罚违规经营网吧3家。通过强有力的文化执法行动，净化了文化市场环境，保证文化市场健康有序发展。</w:t>
      </w:r>
    </w:p>
    <w:p w14:paraId="60D71D32">
      <w:pPr>
        <w:pStyle w:val="3"/>
      </w:pPr>
      <w:r>
        <w:rPr>
          <w:rFonts w:hint="eastAsia"/>
        </w:rPr>
        <w:t>文化文艺</w:t>
      </w:r>
    </w:p>
    <w:p w14:paraId="5380362B">
      <w:pPr>
        <w:pStyle w:val="4"/>
      </w:pPr>
      <w:r>
        <w:rPr>
          <w:rFonts w:hint="eastAsia"/>
        </w:rPr>
        <w:t>【概况】</w:t>
      </w:r>
    </w:p>
    <w:p w14:paraId="095A8592">
      <w:pPr>
        <w:ind w:firstLine="420"/>
        <w:rPr>
          <w:rFonts w:ascii="宋体" w:hAnsi="宋体"/>
          <w:szCs w:val="21"/>
        </w:rPr>
      </w:pPr>
      <w:r>
        <w:rPr>
          <w:rFonts w:hint="eastAsia" w:ascii="宋体" w:hAnsi="宋体"/>
          <w:szCs w:val="21"/>
        </w:rPr>
        <w:t>南雄市文化馆是股级公益性事业单位，内设音乐，舞蹈（戏剧），美术等辅导组。除参加与组织大型文艺活动外，着重负责对外宣传南雄珠玑文化，开展群众文化艺术辅导活动，培训群文干部，少儿艺术幼苗，编发群文刊物，开展业余文艺创作、搜集、整理、保护非物质文化遗产工作。</w:t>
      </w:r>
    </w:p>
    <w:p w14:paraId="01ED1458">
      <w:pPr>
        <w:pStyle w:val="4"/>
      </w:pPr>
      <w:r>
        <w:rPr>
          <w:rFonts w:hint="eastAsia"/>
        </w:rPr>
        <w:t>【主要工作】</w:t>
      </w:r>
    </w:p>
    <w:p w14:paraId="70EA6995">
      <w:pPr>
        <w:ind w:firstLine="420"/>
        <w:rPr>
          <w:rFonts w:ascii="宋体" w:hAnsi="宋体"/>
          <w:szCs w:val="21"/>
        </w:rPr>
      </w:pPr>
      <w:r>
        <w:rPr>
          <w:rFonts w:hint="eastAsia" w:ascii="宋体" w:hAnsi="宋体"/>
          <w:szCs w:val="21"/>
        </w:rPr>
        <w:t>2011年组织夕阳红艺术团和喜洋洋民乐队到南雄市各乡镇进行农村和谐文化演出活动18多场次，实现“送文化”和“种文化”有机结合。为群众提供练唱场地和辅导300人次，是南雄市普及与提高唱歌艺术水平，促进社区文化、机关文化、企业文化、校园文化、军营文化相互交流，丰富人民群众文化生活，基层文化指导员培育工程的坚持，真正实现公共文化免费服务的全覆盖。坚持基层文化指导员免费培训制度和文化馆业务干部下农村基层免费辅导制度。现有南雄市基层活动示范点7个，分别是珠玑镇、湖口镇、珠玑叟里元村业余采茶剧团、喜洋洋民乐队、黄坑娇阳采茶团、烟草公司和人民医院。未成年人文艺活动示范点3个，分别是黎灿学校、永康路小学、新城小学，城区文艺活动点20多个，乡镇文艺活动点30多个。举办“庆元旦”文艺汇聚演出，宣传南雄市珠玑文化，凝聚珠玑后裔，举办广东珠玑黄氏宗亲第六届恳亲大会文艺演出，排演主题节目《故园情、祖训颂》，赴顺德伦教各街道进行珠玑艺术团粤港澳巡回演出。辅导各项民间艺术，辅导《舞春牛》、《香火龙》、《双龙舞双狮》和《群狮会舞闹元宵》等民间艺术节目，参加元宵民间艺术晚会演出，协助文广新局举办南雄市“地税杯一党在我心中”第三届红歌大赛活动工作，歌伴舞《映山红》代表韶关参加广东省个体企业庆祝建党90周年文艺汇演，编排大型情景剧《风雨珠玑情》参加国际旅文化游节南雄分会场文艺演出，参加广东珠玑姓氏文化节、梅岭梅花节广场文艺演出。文艺创作硕果累累，参加国家、省、市的展览、调演和评选活动，均获得可喜成绩。如大戏《丰碑》参加广东省第十一届艺术节获优秀剧目奖；小品《证明》获韶关市群众业余文学作品评选三等奖；小品《赴圩巧遇》获韶关市群众业余文学作品评选三等奖。参加第二十四届《双龙杯》全国少年儿童书画大赛，荣获金奖2人、银奖11人、铜奖5人、优秀奖5人。非物质文化遗产得到进一步保护，其中，传统舞蹈“香火龙”被列入国家级非物质文化遗产项目，传统音乐“龙船歌”被公示广东省第四批省级非物质文化遗产项目。开展少儿艺术培训辅导工作，举办钢琴培训班、美术培训班、舞蹈培训班、拉丁舞培训班和爵士鼓培训班等，提高学生艺术素养，满足培训学员学习渴望。做好老人文化活动，免费为老人学员提供各类专业课，学员现有100多人，每周上8节课，分别对学员进行音乐、舞蹈培训，丰富中老人朋友艺术修养。</w:t>
      </w:r>
    </w:p>
    <w:p w14:paraId="2DD4D8E8">
      <w:pPr>
        <w:pStyle w:val="3"/>
      </w:pPr>
      <w:r>
        <w:rPr>
          <w:rFonts w:hint="eastAsia"/>
        </w:rPr>
        <w:t>图书馆理</w:t>
      </w:r>
    </w:p>
    <w:p w14:paraId="47732FB7">
      <w:pPr>
        <w:pStyle w:val="4"/>
      </w:pPr>
      <w:r>
        <w:rPr>
          <w:rFonts w:hint="eastAsia"/>
        </w:rPr>
        <w:t>【南雄市图书馆】</w:t>
      </w:r>
    </w:p>
    <w:p w14:paraId="2439368D">
      <w:pPr>
        <w:ind w:firstLine="420"/>
        <w:rPr>
          <w:rFonts w:ascii="宋体" w:hAnsi="宋体"/>
          <w:szCs w:val="21"/>
        </w:rPr>
      </w:pPr>
      <w:r>
        <w:rPr>
          <w:rFonts w:hint="eastAsia" w:ascii="宋体" w:hAnsi="宋体"/>
          <w:szCs w:val="21"/>
        </w:rPr>
        <w:t>南雄市图书馆是股级公益性事业单位，以“创新服务、高效管理、优质服务、读者满意”作为办馆方针，馆藏文献8万余册，年订阅报刊量100余种，阅览室座位250个，全年接待读者14万多人次。</w:t>
      </w:r>
    </w:p>
    <w:p w14:paraId="2E2FF812">
      <w:pPr>
        <w:ind w:firstLine="420"/>
        <w:rPr>
          <w:rFonts w:ascii="宋体" w:hAnsi="宋体"/>
          <w:szCs w:val="21"/>
        </w:rPr>
      </w:pPr>
      <w:r>
        <w:rPr>
          <w:rFonts w:hint="eastAsia" w:ascii="宋体" w:hAnsi="宋体"/>
          <w:szCs w:val="21"/>
        </w:rPr>
        <w:t>南雄市图书馆采用开放灵活的藏、借、阅、查一体的服务模式，开设图书外借、内参地文资料室、少儿借阅室、报刊阅览室、全国文化信息资源共享南雄县级支中心（多媒体电子阅览室）、广东流动图书馆南雄分馆等服务窗口，实行全开架服务。开展阅览、外借、参考咨询、专题、电子信息、网上续借、读者咨询等服务。努力建设一个集传统文献资源和现代网络资源为一体的现代化图书馆，与南雄市发展目标相适应。为广大人民群众提供多渠道、多层次的读书服务，推动学习型社会的建设，是知识信息的集散地，市民终身教育的学校。</w:t>
      </w:r>
    </w:p>
    <w:p w14:paraId="7F83F51A">
      <w:pPr>
        <w:ind w:firstLine="420"/>
        <w:rPr>
          <w:rFonts w:ascii="宋体" w:hAnsi="宋体"/>
          <w:szCs w:val="21"/>
        </w:rPr>
      </w:pPr>
      <w:r>
        <w:rPr>
          <w:rFonts w:hint="eastAsia" w:ascii="宋体" w:hAnsi="宋体"/>
          <w:szCs w:val="21"/>
        </w:rPr>
        <w:t>利用节庆、假日、墟日走进社区开展读书有奖活动8场，如：开展春节有奖灯谜竞猜、送科技图书与科技信息下乡等；利用全国信息资源共享支中心资源与设备，开展形式多样的电影展播、在馆读书活动10场，如“红色电影展播”、“陪伴我成长的图书”等。</w:t>
      </w:r>
    </w:p>
    <w:p w14:paraId="2115758B">
      <w:pPr>
        <w:ind w:firstLine="420"/>
        <w:rPr>
          <w:rFonts w:ascii="宋体" w:hAnsi="宋体"/>
          <w:szCs w:val="21"/>
        </w:rPr>
      </w:pPr>
      <w:r>
        <w:rPr>
          <w:rFonts w:hint="eastAsia" w:ascii="宋体" w:hAnsi="宋体"/>
          <w:szCs w:val="21"/>
        </w:rPr>
        <w:t>在全省图书馆年度表彰大会上，再次获省文化厅“先进集体”荣誉称号，已连续七年被广东省立中山图书馆评为“广东流动图书馆先进集体”。</w:t>
      </w:r>
    </w:p>
    <w:p w14:paraId="784303EF">
      <w:pPr>
        <w:pStyle w:val="4"/>
      </w:pPr>
      <w:r>
        <w:rPr>
          <w:rFonts w:hint="eastAsia"/>
        </w:rPr>
        <w:t>【举行迎新春灯谜竞猜活动】</w:t>
      </w:r>
    </w:p>
    <w:p w14:paraId="68CE1257">
      <w:pPr>
        <w:ind w:firstLine="420"/>
        <w:rPr>
          <w:rFonts w:ascii="宋体" w:hAnsi="宋体"/>
          <w:szCs w:val="21"/>
        </w:rPr>
      </w:pPr>
      <w:r>
        <w:rPr>
          <w:rFonts w:hint="eastAsia" w:ascii="宋体" w:hAnsi="宋体"/>
          <w:szCs w:val="21"/>
        </w:rPr>
        <w:t>春节期间，举办迎新春文化系列活动一一灯谜竞猜。灯谜有奖竞猜活动推出300多条灯谜，吸引不少市民参与竞猜。现场气氛火热，竞猜踊跃，兑奖台前排起了长龙，活动一直持续半天。</w:t>
      </w:r>
    </w:p>
    <w:p w14:paraId="12107CF6">
      <w:pPr>
        <w:pStyle w:val="4"/>
      </w:pPr>
      <w:r>
        <w:rPr>
          <w:rFonts w:hint="eastAsia"/>
        </w:rPr>
        <w:t>【完成图书流动，受赠图书】</w:t>
      </w:r>
    </w:p>
    <w:p w14:paraId="621DC378">
      <w:pPr>
        <w:ind w:firstLine="420"/>
        <w:rPr>
          <w:rFonts w:ascii="宋体" w:hAnsi="宋体"/>
          <w:szCs w:val="21"/>
        </w:rPr>
      </w:pPr>
      <w:r>
        <w:rPr>
          <w:rFonts w:hint="eastAsia" w:ascii="宋体" w:hAnsi="宋体"/>
          <w:szCs w:val="21"/>
        </w:rPr>
        <w:t>2011年3月，完成第七次广东省流动图书馆图书流动，1.2万多册散发着墨香的新书和一批音像资料再次流进南雄市“流动图书馆”，为该市广大群众提供丰富精神食粮。这批书有与群众息息相关科技、生产、养殖、医学、卫生保健等实用型图书和学生文艺、课外图书、阅读工具书、音像资料等，价值36万元。同时，接受省流动图书馆3000册图书赠送，价值人民币八万元。</w:t>
      </w:r>
    </w:p>
    <w:p w14:paraId="14F1E4AE">
      <w:pPr>
        <w:pStyle w:val="4"/>
      </w:pPr>
      <w:r>
        <w:rPr>
          <w:rFonts w:hint="eastAsia"/>
        </w:rPr>
        <w:t>【壮大基层服务站点建设】</w:t>
      </w:r>
    </w:p>
    <w:p w14:paraId="30AA1A0D">
      <w:pPr>
        <w:ind w:firstLine="420"/>
        <w:rPr>
          <w:rFonts w:ascii="宋体" w:hAnsi="宋体"/>
          <w:szCs w:val="21"/>
        </w:rPr>
      </w:pPr>
      <w:r>
        <w:rPr>
          <w:rFonts w:hint="eastAsia" w:ascii="宋体" w:hAnsi="宋体"/>
          <w:szCs w:val="21"/>
        </w:rPr>
        <w:t>2011年5月，不断壮大基层服务站点建设，在工业园区、企业，新建立3个图书馆流动吧。</w:t>
      </w:r>
    </w:p>
    <w:p w14:paraId="0B5EA4EC">
      <w:pPr>
        <w:pStyle w:val="4"/>
      </w:pPr>
      <w:r>
        <w:rPr>
          <w:rFonts w:hint="eastAsia"/>
        </w:rPr>
        <w:t>【启用自动化管理系统，接受社会捐赠图书】</w:t>
      </w:r>
    </w:p>
    <w:p w14:paraId="324E52D4">
      <w:pPr>
        <w:ind w:firstLine="420"/>
        <w:rPr>
          <w:rFonts w:ascii="宋体" w:hAnsi="宋体"/>
          <w:szCs w:val="21"/>
        </w:rPr>
      </w:pPr>
      <w:r>
        <w:rPr>
          <w:rFonts w:hint="eastAsia" w:ascii="宋体" w:hAnsi="宋体"/>
          <w:szCs w:val="21"/>
        </w:rPr>
        <w:t>2011年8月，启用图书馆自动化管理系统（广东省），通过此系统可对图书、期刊进行书目采访、订购、编目、流通（借还）等业务操作，标志着图书馆彻底告别手工操作的管理方式。同月，接受广东人民出版社赠书5000册，价值人民币10万元。</w:t>
      </w:r>
    </w:p>
    <w:p w14:paraId="74BB893B">
      <w:pPr>
        <w:pStyle w:val="4"/>
      </w:pPr>
      <w:r>
        <w:rPr>
          <w:rFonts w:hint="eastAsia"/>
        </w:rPr>
        <w:t>【送书下乡】</w:t>
      </w:r>
    </w:p>
    <w:p w14:paraId="5F4F4C7D">
      <w:pPr>
        <w:ind w:firstLine="420"/>
        <w:rPr>
          <w:rFonts w:ascii="宋体" w:hAnsi="宋体"/>
          <w:szCs w:val="21"/>
        </w:rPr>
      </w:pPr>
      <w:r>
        <w:rPr>
          <w:rFonts w:hint="eastAsia" w:ascii="宋体" w:hAnsi="宋体"/>
          <w:szCs w:val="21"/>
        </w:rPr>
        <w:t>2011年11月，在乌迳中学校园文化节时，利用共享支中心资源，送上优秀光盘，助力校园文化节的开展。同月，在黄坑镇板桥村村民喜庆收获，欢度姓氏文化节，利用流动书香车送书到板桥村，助力乡村姓氏文化节。</w:t>
      </w:r>
    </w:p>
    <w:p w14:paraId="1B6FE875">
      <w:pPr>
        <w:pStyle w:val="3"/>
      </w:pPr>
      <w:r>
        <w:rPr>
          <w:rFonts w:hint="eastAsia"/>
        </w:rPr>
        <w:t>文物古迹</w:t>
      </w:r>
    </w:p>
    <w:p w14:paraId="14345A0F">
      <w:pPr>
        <w:pStyle w:val="4"/>
      </w:pPr>
      <w:r>
        <w:rPr>
          <w:rFonts w:hint="eastAsia"/>
        </w:rPr>
        <w:t>【文物普查与发掘】</w:t>
      </w:r>
    </w:p>
    <w:p w14:paraId="189AF2AD">
      <w:pPr>
        <w:ind w:firstLine="420"/>
        <w:rPr>
          <w:rFonts w:ascii="宋体" w:hAnsi="宋体"/>
          <w:szCs w:val="21"/>
        </w:rPr>
      </w:pPr>
      <w:r>
        <w:rPr>
          <w:rFonts w:hint="eastAsia" w:ascii="宋体" w:hAnsi="宋体"/>
          <w:szCs w:val="21"/>
        </w:rPr>
        <w:t>南雄市从2007年4月开始开展第三次全国文物普查工作，从成立机构、组织队伍、宣传发动、组织培训、田野调查等方面积极有序地进行。至2009年12月，基本完成全市的田野调查工作，2010年元月通过广东省第三次全国文物普查办对南雄市实地文物调查阶段工作的验收，2011年5月，通过国家验收。此后，进行普查数据的电脑录入、整理、上报工作，第三次全国文物普查工作已完成。2011年8月，编辑印制南雄市第三次全国文物普查工作报告。</w:t>
      </w:r>
    </w:p>
    <w:p w14:paraId="54A22E2F">
      <w:pPr>
        <w:ind w:firstLine="420"/>
        <w:rPr>
          <w:rFonts w:ascii="宋体" w:hAnsi="宋体"/>
          <w:szCs w:val="21"/>
        </w:rPr>
      </w:pPr>
      <w:r>
        <w:rPr>
          <w:rFonts w:hint="eastAsia" w:ascii="宋体" w:hAnsi="宋体"/>
          <w:szCs w:val="21"/>
        </w:rPr>
        <w:t>南雄市第三次全国文物普查调查18个镇（街道），登记489处不可移动文物点，其中，复查103处，新发现386处。登记六大类中的五大类，即古遗址、古墓葬、古建筑、石窟寺及石刻和近现代重要史迹及代表性建筑。其中古遗址9处、古墓葬7处、古建筑256处、石窟寺及石刻4处、近现代重要史迹及代表性建筑113处。图纸导入477张、相片导入978张、登记标本8件。</w:t>
      </w:r>
    </w:p>
    <w:p w14:paraId="79A8F80A">
      <w:pPr>
        <w:ind w:firstLine="420"/>
        <w:rPr>
          <w:rFonts w:ascii="宋体" w:hAnsi="宋体"/>
          <w:szCs w:val="21"/>
        </w:rPr>
      </w:pPr>
      <w:r>
        <w:rPr>
          <w:rFonts w:hint="eastAsia" w:ascii="宋体" w:hAnsi="宋体"/>
          <w:szCs w:val="21"/>
        </w:rPr>
        <w:t>2011年6月，编制《广东省南雄市不可移动文物名录》，名录编制按照国家文物局《第三次全国文物普查名录编制规范》进行，从登录不可移动文物489处中选取部分最具有特色不可移动文物点着重介绍，内容包括不可移动文物简介和照片。</w:t>
      </w:r>
    </w:p>
    <w:p w14:paraId="40A498C6">
      <w:pPr>
        <w:ind w:firstLine="420"/>
        <w:rPr>
          <w:rFonts w:ascii="宋体" w:hAnsi="宋体"/>
          <w:szCs w:val="21"/>
        </w:rPr>
      </w:pPr>
      <w:r>
        <w:rPr>
          <w:rFonts w:hint="eastAsia" w:ascii="宋体" w:hAnsi="宋体"/>
          <w:szCs w:val="21"/>
        </w:rPr>
        <w:t>2011年6月至12月，为全面、完整、准确记录不可移动文物本体原貌，以利文物保护工作，将366处不可移动文物用摄像机拍摄编辑存档，摄像信息量大，较全面、完整保存拍摄对象本体信息和环境风貌信息。</w:t>
      </w:r>
    </w:p>
    <w:p w14:paraId="1CB761FC">
      <w:pPr>
        <w:pStyle w:val="3"/>
      </w:pPr>
      <w:r>
        <w:rPr>
          <w:rFonts w:hint="eastAsia"/>
        </w:rPr>
        <w:t>文物馆藏与管理</w:t>
      </w:r>
    </w:p>
    <w:p w14:paraId="5CA62771">
      <w:pPr>
        <w:pStyle w:val="4"/>
      </w:pPr>
      <w:r>
        <w:rPr>
          <w:rFonts w:hint="eastAsia"/>
        </w:rPr>
        <w:t>【博物馆馆藏】</w:t>
      </w:r>
    </w:p>
    <w:p w14:paraId="7C39CC3C">
      <w:pPr>
        <w:ind w:firstLine="420"/>
        <w:rPr>
          <w:rFonts w:ascii="宋体" w:hAnsi="宋体"/>
          <w:szCs w:val="21"/>
        </w:rPr>
      </w:pPr>
      <w:r>
        <w:rPr>
          <w:rFonts w:hint="eastAsia" w:ascii="宋体" w:hAnsi="宋体"/>
          <w:szCs w:val="21"/>
        </w:rPr>
        <w:t>博物馆馆藏文物总计2184件（套），其中，一级文物5件、二级文物15件、三级文物125件。馆藏有三大类：</w:t>
      </w:r>
    </w:p>
    <w:p w14:paraId="5EF0C16F">
      <w:pPr>
        <w:ind w:firstLine="420"/>
        <w:rPr>
          <w:rFonts w:ascii="宋体" w:hAnsi="宋体"/>
          <w:szCs w:val="21"/>
        </w:rPr>
      </w:pPr>
      <w:r>
        <w:rPr>
          <w:rFonts w:hint="eastAsia" w:ascii="宋体" w:hAnsi="宋体"/>
          <w:szCs w:val="21"/>
        </w:rPr>
        <w:t>1、历史文物（包括出土文物），包括新石器、铜器、铁器、陶器、瓷器、古钱币、古书画及民俗文物等。</w:t>
      </w:r>
    </w:p>
    <w:p w14:paraId="381EDC8A">
      <w:pPr>
        <w:ind w:firstLine="420"/>
        <w:rPr>
          <w:rFonts w:ascii="宋体" w:hAnsi="宋体"/>
          <w:szCs w:val="21"/>
        </w:rPr>
      </w:pPr>
      <w:r>
        <w:rPr>
          <w:rFonts w:hint="eastAsia" w:ascii="宋体" w:hAnsi="宋体"/>
          <w:szCs w:val="21"/>
        </w:rPr>
        <w:t>2、革命文物，包括大革命时期工农赤卫队使用的武器、印章、中共党组织通告、中国工农红军标语、诗歌、漫画揭取件、“水口战役战场”遗物、苏维埃时期票证、烈士遗物等。</w:t>
      </w:r>
    </w:p>
    <w:p w14:paraId="291FE772">
      <w:pPr>
        <w:ind w:firstLine="420"/>
        <w:rPr>
          <w:rFonts w:ascii="宋体" w:hAnsi="宋体"/>
          <w:szCs w:val="21"/>
        </w:rPr>
      </w:pPr>
      <w:r>
        <w:rPr>
          <w:rFonts w:hint="eastAsia" w:ascii="宋体" w:hAnsi="宋体"/>
          <w:szCs w:val="21"/>
        </w:rPr>
        <w:t>3、古生物化石标本，包括南雄红层盆地出土的恐龙化石、恐龙蛋化石、恐龙脚印化石以及哺乳类动物化石、龟鳄化石和微体化石等。</w:t>
      </w:r>
    </w:p>
    <w:p w14:paraId="15449FBB">
      <w:pPr>
        <w:pStyle w:val="4"/>
      </w:pPr>
      <w:r>
        <w:rPr>
          <w:rFonts w:hint="eastAsia"/>
        </w:rPr>
        <w:t>【文物馆藏管理】</w:t>
      </w:r>
    </w:p>
    <w:p w14:paraId="57E0904C">
      <w:pPr>
        <w:ind w:firstLine="420"/>
        <w:rPr>
          <w:rFonts w:ascii="宋体" w:hAnsi="宋体"/>
          <w:szCs w:val="21"/>
        </w:rPr>
      </w:pPr>
      <w:r>
        <w:rPr>
          <w:rFonts w:hint="eastAsia" w:ascii="宋体" w:hAnsi="宋体"/>
          <w:szCs w:val="21"/>
        </w:rPr>
        <w:t>博物馆馆藏管理依照国家制定的《博物馆馆藏管理办法》实施，库房面积180平方米，设有铁门、铁柜和技防电视监控设施。库房照明、通风、防潮、防虫设施较完善。藏品按质地分类存放，珍贵文物置放在专用铁柜或保险柜中。库房设专人管理，有完善严格的藏品出入库手续。</w:t>
      </w:r>
    </w:p>
    <w:p w14:paraId="21D0C2E6">
      <w:pPr>
        <w:ind w:firstLine="420"/>
        <w:rPr>
          <w:rFonts w:ascii="宋体" w:hAnsi="宋体"/>
          <w:szCs w:val="21"/>
        </w:rPr>
      </w:pPr>
      <w:r>
        <w:rPr>
          <w:rFonts w:hint="eastAsia" w:ascii="宋体" w:hAnsi="宋体"/>
          <w:szCs w:val="21"/>
        </w:rPr>
        <w:t>博物馆有藏品修复室，配备有专用的修复材料和修复用具，能对陶瓷类、纸类等藏品作修复，也能对古生物化石标本进行修理和修复。</w:t>
      </w:r>
    </w:p>
    <w:p w14:paraId="02ACCFAD">
      <w:pPr>
        <w:pStyle w:val="4"/>
      </w:pPr>
      <w:r>
        <w:rPr>
          <w:rFonts w:hint="eastAsia"/>
        </w:rPr>
        <w:t>【文物修复工作】</w:t>
      </w:r>
    </w:p>
    <w:p w14:paraId="0AC20250">
      <w:pPr>
        <w:ind w:firstLine="420"/>
        <w:rPr>
          <w:rFonts w:ascii="宋体" w:hAnsi="宋体"/>
          <w:szCs w:val="21"/>
        </w:rPr>
      </w:pPr>
      <w:r>
        <w:rPr>
          <w:rFonts w:hint="eastAsia" w:ascii="宋体" w:hAnsi="宋体"/>
          <w:szCs w:val="21"/>
        </w:rPr>
        <w:t>1、2011年5月，对市级文物保护单位百顺镇溪头塔进行修复工作。溪头塔，始建于宋代，为五层六角砖塔。由于年代久远，塔刹残毁，塔基、塔身均有较大残损，2010年由省文物局下拨专款55万元，2011年动工全面修复该塔，修复工程于2011年8月竣工。</w:t>
      </w:r>
    </w:p>
    <w:p w14:paraId="0640C255">
      <w:pPr>
        <w:ind w:firstLine="420"/>
        <w:rPr>
          <w:rFonts w:ascii="宋体" w:hAnsi="宋体"/>
          <w:szCs w:val="21"/>
        </w:rPr>
      </w:pPr>
      <w:r>
        <w:rPr>
          <w:rFonts w:hint="eastAsia" w:ascii="宋体" w:hAnsi="宋体"/>
          <w:szCs w:val="21"/>
        </w:rPr>
        <w:t>2、2011年11月，位于市区政府大院内的市级文物保护单位大成殿修复工程动工。修复工程总投资130万元，修复工程计划于2012年6月竣工。</w:t>
      </w:r>
    </w:p>
    <w:p w14:paraId="5E84C95B">
      <w:pPr>
        <w:pStyle w:val="3"/>
      </w:pPr>
      <w:r>
        <w:rPr>
          <w:rFonts w:hint="eastAsia"/>
        </w:rPr>
        <w:t>南雄文物古迹选介</w:t>
      </w:r>
    </w:p>
    <w:p w14:paraId="4CC6D5E2">
      <w:pPr>
        <w:pStyle w:val="4"/>
      </w:pPr>
      <w:r>
        <w:rPr>
          <w:rFonts w:hint="eastAsia"/>
        </w:rPr>
        <w:t>【三影塔】</w:t>
      </w:r>
    </w:p>
    <w:p w14:paraId="126741AF">
      <w:pPr>
        <w:ind w:firstLine="420"/>
        <w:rPr>
          <w:rFonts w:ascii="宋体" w:hAnsi="宋体"/>
          <w:szCs w:val="21"/>
        </w:rPr>
      </w:pPr>
      <w:r>
        <w:rPr>
          <w:rFonts w:hint="eastAsia" w:ascii="宋体" w:hAnsi="宋体"/>
          <w:szCs w:val="21"/>
        </w:rPr>
        <w:t>三影塔位于市区三影塔广场北侧。三影塔原名延祥寺塔（寺久毁），建于北宋大中祥符二年（1009），塔向南，因其影有三，一影向上、二影倒悬，因而称三影塔。三影塔为六角九层楼阁式空心砖塔，通高50.2米。塔自首层起，向上每层尺寸层层递减，塔内设梯穿腔壁经每层回廊通达顶层，塔刹为覆盆、宝瓶、七层相轮和铜铸宝珠组成，六条铁索固定。二层以上六向檐脊端吊铜铃铎。塔身首层有一块“大中祥符二年三月十四日”刻字纪年砖，三影塔历史悠久，1982年修复塔身，1985年修复副阶。1988年1月公布为全国重点文物保护单位。</w:t>
      </w:r>
    </w:p>
    <w:tbl>
      <w:tblPr>
        <w:tblStyle w:val="15"/>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2A77278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1C6C53E9">
            <w:pPr>
              <w:ind w:firstLine="0" w:firstLineChars="0"/>
              <w:rPr>
                <w:rFonts w:ascii="宋体" w:hAnsi="宋体"/>
                <w:szCs w:val="21"/>
              </w:rPr>
            </w:pPr>
            <w:r>
              <w:rPr>
                <w:rFonts w:ascii="宋体" w:hAnsi="宋体"/>
                <w:szCs w:val="21"/>
              </w:rPr>
              <w:pict>
                <v:shape id="_x0000_i1028" o:spt="75" type="#_x0000_t75" style="height:534.75pt;width:487.5pt;" filled="f" o:preferrelative="t" stroked="f" coordsize="21600,21600">
                  <v:path/>
                  <v:fill on="f" focussize="0,0"/>
                  <v:stroke on="f" joinstyle="miter"/>
                  <v:imagedata r:id="rId99" o:title="南雄年鉴2012-46"/>
                  <o:lock v:ext="edit" aspectratio="t"/>
                  <w10:wrap type="none"/>
                  <w10:anchorlock/>
                </v:shape>
              </w:pict>
            </w:r>
          </w:p>
        </w:tc>
      </w:tr>
    </w:tbl>
    <w:p w14:paraId="714E92E7">
      <w:pPr>
        <w:ind w:firstLine="0" w:firstLineChars="0"/>
        <w:jc w:val="center"/>
        <w:rPr>
          <w:rFonts w:ascii="宋体" w:hAnsi="宋体"/>
          <w:szCs w:val="21"/>
        </w:rPr>
      </w:pPr>
      <w:r>
        <w:rPr>
          <w:rFonts w:hint="eastAsia" w:ascii="宋体" w:hAnsi="宋体"/>
          <w:szCs w:val="21"/>
        </w:rPr>
        <w:t>三影塔</w:t>
      </w:r>
    </w:p>
    <w:p w14:paraId="7814E2A1">
      <w:pPr>
        <w:pStyle w:val="4"/>
      </w:pPr>
      <w:r>
        <w:rPr>
          <w:rFonts w:hint="eastAsia"/>
        </w:rPr>
        <w:t>【广州会馆】</w:t>
      </w:r>
    </w:p>
    <w:p w14:paraId="105021D7">
      <w:pPr>
        <w:ind w:firstLine="420"/>
        <w:rPr>
          <w:rFonts w:ascii="宋体" w:hAnsi="宋体"/>
          <w:szCs w:val="21"/>
        </w:rPr>
      </w:pPr>
      <w:r>
        <w:rPr>
          <w:rFonts w:hint="eastAsia" w:ascii="宋体" w:hAnsi="宋体"/>
          <w:szCs w:val="21"/>
        </w:rPr>
        <w:t>广州会馆位于市区青云东路。始建于明代中叶，清乾隆、光绪年间重修。坐北向南，主体建筑为三进四合院布局，正面分三间，中座以火巷与两厢相连，是江淮“五岳朝天”式风火山墙。东西厢为岭南地区常见的“猫儿拱背”式山墙。会馆东西宽32.35米，南北深64.5米，建筑面积2086.6平方米。会馆门额石匾刻“广州会馆”四个大字，为岭南著名文人陈灃所题。厅内石柱刻有清代探花、顺德县人李文田书的一副对联，还刻有光绪七年修复会馆时众多捐资商行的名号。广州会馆具有较高的历史文化和古建筑工艺研究价值，2006年公布为广东省文物保护单位。</w:t>
      </w:r>
    </w:p>
    <w:tbl>
      <w:tblPr>
        <w:tblStyle w:val="15"/>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10FF6C3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78688D15">
            <w:pPr>
              <w:ind w:firstLine="0" w:firstLineChars="0"/>
              <w:rPr>
                <w:rFonts w:ascii="宋体" w:hAnsi="宋体"/>
                <w:szCs w:val="21"/>
              </w:rPr>
            </w:pPr>
            <w:r>
              <w:rPr>
                <w:rFonts w:ascii="宋体" w:hAnsi="宋体"/>
                <w:szCs w:val="21"/>
              </w:rPr>
              <w:pict>
                <v:shape id="_x0000_i1029" o:spt="75" type="#_x0000_t75" style="height:345pt;width:487.5pt;" filled="f" o:preferrelative="t" stroked="f" coordsize="21600,21600">
                  <v:path/>
                  <v:fill on="f" focussize="0,0"/>
                  <v:stroke on="f" joinstyle="miter"/>
                  <v:imagedata r:id="rId100" o:title="南雄年鉴2012-47"/>
                  <o:lock v:ext="edit" aspectratio="t"/>
                  <w10:wrap type="none"/>
                  <w10:anchorlock/>
                </v:shape>
              </w:pict>
            </w:r>
          </w:p>
        </w:tc>
      </w:tr>
    </w:tbl>
    <w:p w14:paraId="276F0085">
      <w:pPr>
        <w:ind w:firstLine="0" w:firstLineChars="0"/>
        <w:jc w:val="center"/>
        <w:rPr>
          <w:rFonts w:ascii="宋体" w:hAnsi="宋体"/>
          <w:szCs w:val="21"/>
        </w:rPr>
      </w:pPr>
      <w:r>
        <w:rPr>
          <w:rFonts w:hint="eastAsia" w:ascii="宋体" w:hAnsi="宋体"/>
          <w:szCs w:val="21"/>
        </w:rPr>
        <w:t>广州会馆正门</w:t>
      </w:r>
    </w:p>
    <w:p w14:paraId="703EE00C">
      <w:pPr>
        <w:pStyle w:val="4"/>
      </w:pPr>
      <w:r>
        <w:rPr>
          <w:rFonts w:hint="eastAsia"/>
        </w:rPr>
        <w:t>【南雄府城正南门】</w:t>
      </w:r>
    </w:p>
    <w:p w14:paraId="45FB0E58">
      <w:pPr>
        <w:ind w:firstLine="420"/>
        <w:rPr>
          <w:rFonts w:ascii="宋体" w:hAnsi="宋体"/>
          <w:szCs w:val="21"/>
        </w:rPr>
      </w:pPr>
      <w:r>
        <w:rPr>
          <w:rFonts w:hint="eastAsia" w:ascii="宋体" w:hAnsi="宋体"/>
          <w:szCs w:val="21"/>
        </w:rPr>
        <w:t>南雄府城正南门位于市区中山街口，始建于北宋皇祐四年（1052），重修于明代万历二十三年（1595年），门楼向南，以麻石砌基，青砖砌墙，重檐歇山顶，盖酱红色陶瓦。面宽20米，进深18米，城墙高6.11米，通高16.26米，西侧设砖阶登楼。城楼平面为凹形。中开拱形城门，宽4米，高3.6米，首层两侧设阙，楼上三十四柱前后廊，穿斗式和抬梁式构架，城门上石匾刻“正南门”三字，落款为“南雄府知府张东旸同知陆鲤通判谢文炳重修”，“万历二十三年五月吉旦”。正南门为南雄现存最古老的城门，1996年由政府修复，2002年7月公布为广东省文物保护单位。</w:t>
      </w:r>
    </w:p>
    <w:tbl>
      <w:tblPr>
        <w:tblStyle w:val="15"/>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346A7D2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64F3DC1F">
            <w:pPr>
              <w:ind w:firstLine="0" w:firstLineChars="0"/>
              <w:rPr>
                <w:rFonts w:ascii="宋体" w:hAnsi="宋体"/>
                <w:szCs w:val="21"/>
              </w:rPr>
            </w:pPr>
            <w:r>
              <w:rPr>
                <w:rFonts w:ascii="宋体" w:hAnsi="宋体"/>
                <w:szCs w:val="21"/>
              </w:rPr>
              <w:pict>
                <v:shape id="_x0000_i1030" o:spt="75" type="#_x0000_t75" style="height:339pt;width:486.75pt;" filled="f" o:preferrelative="t" stroked="f" coordsize="21600,21600">
                  <v:path/>
                  <v:fill on="f" focussize="0,0"/>
                  <v:stroke on="f" joinstyle="miter"/>
                  <v:imagedata r:id="rId101" o:title="南雄年鉴2012-48"/>
                  <o:lock v:ext="edit" aspectratio="t"/>
                  <w10:wrap type="none"/>
                  <w10:anchorlock/>
                </v:shape>
              </w:pict>
            </w:r>
          </w:p>
        </w:tc>
      </w:tr>
    </w:tbl>
    <w:p w14:paraId="562AD7BC">
      <w:pPr>
        <w:ind w:firstLine="0" w:firstLineChars="0"/>
        <w:jc w:val="center"/>
        <w:rPr>
          <w:rFonts w:ascii="宋体" w:hAnsi="宋体"/>
          <w:szCs w:val="21"/>
        </w:rPr>
      </w:pPr>
      <w:r>
        <w:rPr>
          <w:rFonts w:hint="eastAsia" w:ascii="宋体" w:hAnsi="宋体"/>
          <w:szCs w:val="21"/>
        </w:rPr>
        <w:t>南雄府城正南门</w:t>
      </w:r>
    </w:p>
    <w:p w14:paraId="4501F292">
      <w:pPr>
        <w:pStyle w:val="4"/>
      </w:pPr>
      <w:r>
        <w:rPr>
          <w:rFonts w:hint="eastAsia"/>
        </w:rPr>
        <w:t>【梅关关楼与古道】</w:t>
      </w:r>
    </w:p>
    <w:p w14:paraId="3AA6EF48">
      <w:pPr>
        <w:ind w:firstLine="420"/>
        <w:rPr>
          <w:rFonts w:ascii="宋体" w:hAnsi="宋体"/>
          <w:szCs w:val="21"/>
        </w:rPr>
      </w:pPr>
      <w:r>
        <w:rPr>
          <w:rFonts w:hint="eastAsia" w:ascii="宋体" w:hAnsi="宋体"/>
          <w:szCs w:val="21"/>
        </w:rPr>
        <w:t>梅关关楼与古道位于珠玑镇梅岭上。关楼坐落在梅岭山巅的隘口（粤赣两省交界处），古道自梅岭村北路口蜿蜒至关楼，长1200米，宽3-4米，以青石、鹅卵石铺砌，连通江西大余县境。古道始建于唐代，唐开元四年（716年），张九龄奉诏开凿大庾岭路，梅关古道成为沟通南北的重要通道。关楼砖石结构，坐南朝北，东西连卧，紧连山崖，关楼北面门额匾刻“南粤雄关”四字：关楼南面门额匾刻“岭南第一关”字样，落款为“万历戊戌中秋，南雄知府蒋杰题”。宋嘉祐年间梅岭立关，名“梅关”，现存梅关关楼建于明代万历年间。</w:t>
      </w:r>
    </w:p>
    <w:p w14:paraId="07502CCF">
      <w:pPr>
        <w:ind w:firstLine="420"/>
        <w:rPr>
          <w:rFonts w:ascii="宋体" w:hAnsi="宋体"/>
          <w:szCs w:val="21"/>
        </w:rPr>
      </w:pPr>
      <w:r>
        <w:rPr>
          <w:rFonts w:hint="eastAsia" w:ascii="宋体" w:hAnsi="宋体"/>
          <w:szCs w:val="21"/>
        </w:rPr>
        <w:t>梅关关楼与古道历史悠久，梅关古道是古代沟通南北的咽喉要道，梅关是古代军事要塞，它是岭南地区有幸保存下来的不可多得的古关、古道，对于考证古代岭南与中原政治、文化、经济、军事方面的历史交流有重要的价值。1989年6月，梅梅关关楼与古道公布为广东省文物保护单位。</w:t>
      </w:r>
    </w:p>
    <w:tbl>
      <w:tblPr>
        <w:tblStyle w:val="15"/>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4729DDB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5F0BBC55">
            <w:pPr>
              <w:ind w:firstLine="0" w:firstLineChars="0"/>
              <w:rPr>
                <w:rFonts w:ascii="宋体" w:hAnsi="宋体"/>
                <w:szCs w:val="21"/>
              </w:rPr>
            </w:pPr>
            <w:r>
              <w:rPr>
                <w:rFonts w:ascii="宋体" w:hAnsi="宋体"/>
                <w:szCs w:val="21"/>
              </w:rPr>
              <w:pict>
                <v:shape id="_x0000_i1031" o:spt="75" type="#_x0000_t75" style="height:318.75pt;width:487.5pt;" filled="f" o:preferrelative="t" stroked="f" coordsize="21600,21600">
                  <v:path/>
                  <v:fill on="f" focussize="0,0"/>
                  <v:stroke on="f" joinstyle="miter"/>
                  <v:imagedata r:id="rId102" o:title="南雄年鉴2012-49"/>
                  <o:lock v:ext="edit" aspectratio="t"/>
                  <w10:wrap type="none"/>
                  <w10:anchorlock/>
                </v:shape>
              </w:pict>
            </w:r>
          </w:p>
        </w:tc>
      </w:tr>
    </w:tbl>
    <w:p w14:paraId="6DDDE01F">
      <w:pPr>
        <w:ind w:firstLine="0" w:firstLineChars="0"/>
        <w:jc w:val="center"/>
        <w:rPr>
          <w:rFonts w:ascii="宋体" w:hAnsi="宋体"/>
          <w:szCs w:val="21"/>
        </w:rPr>
      </w:pPr>
      <w:r>
        <w:rPr>
          <w:rFonts w:hint="eastAsia" w:ascii="宋体" w:hAnsi="宋体"/>
          <w:szCs w:val="21"/>
        </w:rPr>
        <w:t>梅岭山隘的南粵雄关</w:t>
      </w:r>
    </w:p>
    <w:p w14:paraId="6C1EA2B4">
      <w:pPr>
        <w:pStyle w:val="4"/>
      </w:pPr>
      <w:r>
        <w:rPr>
          <w:rFonts w:hint="eastAsia"/>
        </w:rPr>
        <w:t>【钟鼓岩摩崖石刻】</w:t>
      </w:r>
    </w:p>
    <w:p w14:paraId="29246CAF">
      <w:pPr>
        <w:ind w:firstLine="420"/>
        <w:rPr>
          <w:rFonts w:ascii="宋体" w:hAnsi="宋体"/>
          <w:szCs w:val="21"/>
        </w:rPr>
      </w:pPr>
      <w:r>
        <w:rPr>
          <w:rFonts w:hint="eastAsia" w:ascii="宋体" w:hAnsi="宋体"/>
          <w:szCs w:val="21"/>
        </w:rPr>
        <w:t>钟鼓岩摩崖石刻位于珠玑镇梅岭钟鼓岩。钟鼓岩又名翠屏山，山岩洞为天然石灰岩溶洞。洞内外崖壁上有17处题刻。其中有“万福洞”石刻，落款“大唐李岩书”；“诸仙岩”三字为“东坡书”；清代住岩洞道人也有多题石刻。钟鼓岩古称道人岩，自东晋起就有道人在此炼丹、采药，岩洞内因有形似钟鼓的突出岩石而称钟鼓岩。1989年6月，钟鼓岩摩崖石刻公布为广东省文物保护单位。改革开放以来，钟鼓岩已开发建设成为风景名胜旅游区。</w:t>
      </w:r>
    </w:p>
    <w:tbl>
      <w:tblPr>
        <w:tblStyle w:val="15"/>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6F6780F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15B8C0B9">
            <w:pPr>
              <w:ind w:firstLine="0" w:firstLineChars="0"/>
              <w:rPr>
                <w:rFonts w:ascii="宋体" w:hAnsi="宋体"/>
                <w:szCs w:val="21"/>
              </w:rPr>
            </w:pPr>
            <w:r>
              <w:rPr>
                <w:rFonts w:ascii="宋体" w:hAnsi="宋体"/>
                <w:szCs w:val="21"/>
              </w:rPr>
              <w:pict>
                <v:shape id="_x0000_i1032" o:spt="75" type="#_x0000_t75" style="height:320.25pt;width:486pt;" filled="f" o:preferrelative="t" stroked="f" coordsize="21600,21600">
                  <v:path/>
                  <v:fill on="f" focussize="0,0"/>
                  <v:stroke on="f" joinstyle="miter"/>
                  <v:imagedata r:id="rId103" o:title="南雄年鉴2012-50"/>
                  <o:lock v:ext="edit" aspectratio="t"/>
                  <w10:wrap type="none"/>
                  <w10:anchorlock/>
                </v:shape>
              </w:pict>
            </w:r>
          </w:p>
        </w:tc>
      </w:tr>
    </w:tbl>
    <w:p w14:paraId="226E1F41">
      <w:pPr>
        <w:ind w:firstLine="0" w:firstLineChars="0"/>
        <w:jc w:val="center"/>
        <w:rPr>
          <w:rFonts w:ascii="宋体" w:hAnsi="宋体"/>
          <w:szCs w:val="21"/>
        </w:rPr>
      </w:pPr>
      <w:r>
        <w:rPr>
          <w:rFonts w:hint="eastAsia" w:ascii="宋体" w:hAnsi="宋体"/>
          <w:szCs w:val="21"/>
        </w:rPr>
        <w:t>钟鼓岩摩崖石刻</w:t>
      </w:r>
    </w:p>
    <w:p w14:paraId="6E88F573">
      <w:pPr>
        <w:pStyle w:val="4"/>
      </w:pPr>
      <w:r>
        <w:rPr>
          <w:rFonts w:hint="eastAsia"/>
        </w:rPr>
        <w:t>【大成殿】</w:t>
      </w:r>
    </w:p>
    <w:p w14:paraId="1B439FFC">
      <w:pPr>
        <w:ind w:firstLine="420"/>
        <w:rPr>
          <w:rFonts w:ascii="宋体" w:hAnsi="宋体"/>
          <w:szCs w:val="21"/>
        </w:rPr>
      </w:pPr>
      <w:r>
        <w:rPr>
          <w:rFonts w:hint="eastAsia" w:ascii="宋体" w:hAnsi="宋体"/>
          <w:szCs w:val="21"/>
        </w:rPr>
        <w:t>大成殿位于市政府大院内。建于明代建文已卯元年（1399），由南雄知府文德远创建，原为南雄学宫内一座建筑。殿坐北朝南，建于平台之上，台高1.1米，台前踏步三级。殿面宽五间18米、进深13米、高12.4米。歇山顶，用黄色琉璃瓦覆盖。梁架为穿斗与抬梁相结合结构。殿内柱为八角形石质，柱础为鼓形，柱排列为纵四横六，殿中置藻井绘龙和八仙法器图。1995年7月公布为南雄县文物保护单位。</w:t>
      </w:r>
    </w:p>
    <w:tbl>
      <w:tblPr>
        <w:tblStyle w:val="15"/>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54D3669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4CA2E146">
            <w:pPr>
              <w:ind w:firstLine="0" w:firstLineChars="0"/>
              <w:rPr>
                <w:rFonts w:ascii="宋体" w:hAnsi="宋体"/>
                <w:szCs w:val="21"/>
              </w:rPr>
            </w:pPr>
            <w:r>
              <w:rPr>
                <w:rFonts w:ascii="宋体" w:hAnsi="宋体"/>
                <w:szCs w:val="21"/>
              </w:rPr>
              <w:pict>
                <v:shape id="_x0000_i1033" o:spt="75" type="#_x0000_t75" style="height:285pt;width:487.5pt;" filled="f" o:preferrelative="t" stroked="f" coordsize="21600,21600">
                  <v:path/>
                  <v:fill on="f" focussize="0,0"/>
                  <v:stroke on="f" joinstyle="miter"/>
                  <v:imagedata r:id="rId104" o:title="南雄年鉴2012-51"/>
                  <o:lock v:ext="edit" aspectratio="t"/>
                  <w10:wrap type="none"/>
                  <w10:anchorlock/>
                </v:shape>
              </w:pict>
            </w:r>
          </w:p>
        </w:tc>
      </w:tr>
    </w:tbl>
    <w:p w14:paraId="116C87B4">
      <w:pPr>
        <w:ind w:firstLine="0" w:firstLineChars="0"/>
        <w:jc w:val="center"/>
        <w:rPr>
          <w:rFonts w:ascii="宋体" w:hAnsi="宋体"/>
          <w:szCs w:val="21"/>
        </w:rPr>
      </w:pPr>
      <w:r>
        <w:rPr>
          <w:rFonts w:hint="eastAsia" w:ascii="宋体" w:hAnsi="宋体"/>
          <w:szCs w:val="21"/>
        </w:rPr>
        <w:t>大成殿</w:t>
      </w:r>
    </w:p>
    <w:p w14:paraId="62179E69">
      <w:pPr>
        <w:pStyle w:val="4"/>
      </w:pPr>
      <w:r>
        <w:rPr>
          <w:rFonts w:hint="eastAsia"/>
        </w:rPr>
        <w:t>【珠玑古巷门楼】</w:t>
      </w:r>
    </w:p>
    <w:p w14:paraId="772F3226">
      <w:pPr>
        <w:ind w:firstLine="420"/>
        <w:rPr>
          <w:rFonts w:ascii="宋体" w:hAnsi="宋体"/>
          <w:szCs w:val="21"/>
        </w:rPr>
      </w:pPr>
      <w:r>
        <w:rPr>
          <w:rFonts w:hint="eastAsia" w:ascii="宋体" w:hAnsi="宋体"/>
          <w:szCs w:val="21"/>
        </w:rPr>
        <w:t>珠玑古巷门楼位于珠玑镇珠玑古巷。始建于清代乾隆年间，建在珠玑古巷南端，门楼向西南，红砂石砌基，青砖墙，中开大门。楼为三楼式，重檐歇山顶，盖绿色琉璃瓦，门拱上方石匾刻“珠玑古巷”四字，左侧一块石匾刻“祖宗故居”四字。门楼面宽7.7米、进深3.2米、楼高9.5米。拱门宽3.5米、高3.5米，由门洞右侧墙间设石阶登楼。该门楼于1983年由县政府拨款重修。珠玑古巷门楼是珠玑古巷的南大门，是古巷的标志性建筑。珠玑古巷创于唐代，是古代商业重镇，历史上，中原氏族南迁珠江三角洲一带，珠玑古巷是中转站，成为千百万珠三角和海外珠玑古巷后裔的祖居地。1982年5月，公布为南雄县文物保护单位。珠玑古巷现已成为著名古迹旅游景区。</w:t>
      </w:r>
    </w:p>
    <w:tbl>
      <w:tblPr>
        <w:tblStyle w:val="15"/>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22B4E08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5A975BD8">
            <w:pPr>
              <w:ind w:firstLine="0" w:firstLineChars="0"/>
              <w:rPr>
                <w:rFonts w:ascii="宋体" w:hAnsi="宋体"/>
                <w:szCs w:val="21"/>
              </w:rPr>
            </w:pPr>
            <w:r>
              <w:rPr>
                <w:rFonts w:ascii="宋体" w:hAnsi="宋体"/>
                <w:szCs w:val="21"/>
              </w:rPr>
              <w:pict>
                <v:shape id="_x0000_i1034" o:spt="75" type="#_x0000_t75" style="height:285pt;width:486.75pt;" filled="f" o:preferrelative="t" stroked="f" coordsize="21600,21600">
                  <v:path/>
                  <v:fill on="f" focussize="0,0"/>
                  <v:stroke on="f" joinstyle="miter"/>
                  <v:imagedata r:id="rId105" o:title="南雄年鉴2012-52"/>
                  <o:lock v:ext="edit" aspectratio="t"/>
                  <w10:wrap type="none"/>
                  <w10:anchorlock/>
                </v:shape>
              </w:pict>
            </w:r>
          </w:p>
        </w:tc>
      </w:tr>
    </w:tbl>
    <w:p w14:paraId="790B4AE5">
      <w:pPr>
        <w:ind w:firstLine="0" w:firstLineChars="0"/>
        <w:jc w:val="center"/>
        <w:rPr>
          <w:rFonts w:ascii="宋体" w:hAnsi="宋体"/>
          <w:szCs w:val="21"/>
        </w:rPr>
      </w:pPr>
      <w:r>
        <w:rPr>
          <w:rFonts w:hint="eastAsia" w:ascii="宋体" w:hAnsi="宋体"/>
          <w:szCs w:val="21"/>
        </w:rPr>
        <w:t>珠玑古巷门楼</w:t>
      </w:r>
    </w:p>
    <w:p w14:paraId="04922B2C">
      <w:pPr>
        <w:pStyle w:val="4"/>
      </w:pPr>
      <w:r>
        <w:rPr>
          <w:rFonts w:hint="eastAsia"/>
        </w:rPr>
        <w:t>【水松村董氏祠堂】</w:t>
      </w:r>
    </w:p>
    <w:p w14:paraId="324FF75B">
      <w:pPr>
        <w:ind w:firstLine="420"/>
        <w:rPr>
          <w:rFonts w:ascii="宋体" w:hAnsi="宋体"/>
          <w:szCs w:val="21"/>
        </w:rPr>
      </w:pPr>
      <w:r>
        <w:rPr>
          <w:rFonts w:hint="eastAsia" w:ascii="宋体" w:hAnsi="宋体"/>
          <w:szCs w:val="21"/>
        </w:rPr>
        <w:t>水松村董氏祠堂位于乌迳镇水松村委会水松村。建于清代，坐北朝南，面宽12.2米，进深54.5米，风火式山墙，灰塑瓦脊，硬山顶盖灰瓦。三进，每进天井相隔。穿斗式和抬梁式相结合构架。祠门及中厅檐坎两侧均建石栏。厅堂石柱多刻有柱联。后堂设神祖台。该祠规模宏大，建筑精美，为南雄市保存最为完好的古代优秀宗祠建筑之一，2006年列为南雄市文物保护单位。</w:t>
      </w:r>
    </w:p>
    <w:tbl>
      <w:tblPr>
        <w:tblStyle w:val="15"/>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01959BF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2C63A44C">
            <w:pPr>
              <w:ind w:firstLine="0" w:firstLineChars="0"/>
              <w:rPr>
                <w:rFonts w:ascii="宋体" w:hAnsi="宋体"/>
                <w:szCs w:val="21"/>
              </w:rPr>
            </w:pPr>
            <w:r>
              <w:rPr>
                <w:rFonts w:ascii="宋体" w:hAnsi="宋体"/>
                <w:szCs w:val="21"/>
              </w:rPr>
              <w:pict>
                <v:shape id="_x0000_i1035" o:spt="75" type="#_x0000_t75" style="height:282pt;width:486.75pt;" filled="f" o:preferrelative="t" stroked="f" coordsize="21600,21600">
                  <v:path/>
                  <v:fill on="f" focussize="0,0"/>
                  <v:stroke on="f" joinstyle="miter"/>
                  <v:imagedata r:id="rId106" o:title="南雄年鉴2012-53"/>
                  <o:lock v:ext="edit" aspectratio="t"/>
                  <w10:wrap type="none"/>
                  <w10:anchorlock/>
                </v:shape>
              </w:pict>
            </w:r>
          </w:p>
        </w:tc>
      </w:tr>
    </w:tbl>
    <w:p w14:paraId="6D2AF9DB">
      <w:pPr>
        <w:ind w:firstLine="0" w:firstLineChars="0"/>
        <w:jc w:val="center"/>
        <w:rPr>
          <w:rFonts w:ascii="宋体" w:hAnsi="宋体"/>
          <w:szCs w:val="21"/>
        </w:rPr>
      </w:pPr>
      <w:r>
        <w:rPr>
          <w:rFonts w:hint="eastAsia" w:ascii="宋体" w:hAnsi="宋体"/>
          <w:szCs w:val="21"/>
        </w:rPr>
        <w:t>古老宏伟的鸟迳镇水松村董氏祠堂</w:t>
      </w:r>
    </w:p>
    <w:p w14:paraId="0365DB57">
      <w:pPr>
        <w:pStyle w:val="4"/>
      </w:pPr>
      <w:r>
        <w:rPr>
          <w:rFonts w:hint="eastAsia"/>
        </w:rPr>
        <w:t>【望夫桥】</w:t>
      </w:r>
    </w:p>
    <w:p w14:paraId="3F0F94A5">
      <w:pPr>
        <w:ind w:firstLine="420"/>
        <w:rPr>
          <w:rFonts w:ascii="宋体" w:hAnsi="宋体"/>
          <w:szCs w:val="21"/>
        </w:rPr>
      </w:pPr>
      <w:r>
        <w:rPr>
          <w:rFonts w:hint="eastAsia" w:ascii="宋体" w:hAnsi="宋体"/>
          <w:szCs w:val="21"/>
        </w:rPr>
        <w:t>望夫桥位于全安镇苍石半迳水，建于清代。南北走向，是一座双拱石平桥，长25米、宽3.5米，以青石砌筑，两端各设四级石阶。桥横跨山涧峡谷，主拱跨南北两岸，副孔建于北岸台地上。桥面距河面4.5米，桥面无栏，但桥面两侧长二排杂树青藤，犹如两行绿色护栏。桥下是深潭，山涧两岸是茂密山林，四周风景古朴、秀丽，宛如仙境。故老相传，附近村庄有一女子，每年春节前都在桥边等外出做工的丈夫归来。因此，当地人将此桥称为“望夫桥”。该桥具有较高的石桥建造艺术和鉴赏价值。</w:t>
      </w:r>
    </w:p>
    <w:tbl>
      <w:tblPr>
        <w:tblStyle w:val="15"/>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51DD089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2A3977F7">
            <w:pPr>
              <w:ind w:firstLine="0" w:firstLineChars="0"/>
              <w:rPr>
                <w:rFonts w:ascii="宋体" w:hAnsi="宋体"/>
                <w:szCs w:val="21"/>
              </w:rPr>
            </w:pPr>
            <w:r>
              <w:rPr>
                <w:rFonts w:ascii="宋体" w:hAnsi="宋体"/>
                <w:szCs w:val="21"/>
              </w:rPr>
              <w:pict>
                <v:shape id="_x0000_i1036" o:spt="75" type="#_x0000_t75" style="height:360.75pt;width:487.5pt;" filled="f" o:preferrelative="t" stroked="f" coordsize="21600,21600">
                  <v:path/>
                  <v:fill on="f" focussize="0,0"/>
                  <v:stroke on="f" joinstyle="miter"/>
                  <v:imagedata r:id="rId107" o:title="南雄年鉴2012-54"/>
                  <o:lock v:ext="edit" aspectratio="t"/>
                  <w10:wrap type="none"/>
                  <w10:anchorlock/>
                </v:shape>
              </w:pict>
            </w:r>
          </w:p>
        </w:tc>
      </w:tr>
    </w:tbl>
    <w:p w14:paraId="3B51288A">
      <w:pPr>
        <w:ind w:firstLine="0" w:firstLineChars="0"/>
        <w:jc w:val="center"/>
        <w:rPr>
          <w:rFonts w:ascii="宋体" w:hAnsi="宋体"/>
          <w:szCs w:val="21"/>
        </w:rPr>
      </w:pPr>
      <w:r>
        <w:rPr>
          <w:rFonts w:hint="eastAsia" w:ascii="宋体" w:hAnsi="宋体"/>
          <w:szCs w:val="21"/>
        </w:rPr>
        <w:t>宛如仙境的苍石丰迳水望夫桥</w:t>
      </w:r>
    </w:p>
    <w:p w14:paraId="77CC59A7">
      <w:pPr>
        <w:pStyle w:val="4"/>
      </w:pPr>
      <w:r>
        <w:rPr>
          <w:rFonts w:hint="eastAsia"/>
        </w:rPr>
        <w:t>【下石村石旌杆】</w:t>
      </w:r>
    </w:p>
    <w:p w14:paraId="67B9D389">
      <w:pPr>
        <w:ind w:firstLine="420"/>
        <w:rPr>
          <w:rFonts w:ascii="宋体" w:hAnsi="宋体"/>
          <w:szCs w:val="21"/>
        </w:rPr>
      </w:pPr>
      <w:r>
        <w:rPr>
          <w:rFonts w:hint="eastAsia" w:ascii="宋体" w:hAnsi="宋体"/>
          <w:szCs w:val="21"/>
        </w:rPr>
        <w:t>下石村石旌杆位于南雄市全安镇荔迳村委会下石村。建于清代咸丰年间，旌杆立在下石村大门坪前，青石质，杆底部直径34厘米、高8米，两杆间距6米，两块夹杆石夹住旌杆下部，顶为葫芦形，距顶2.5米处穿一四方石斗，夹杆石上部面雕有骐麟和凤凰图案。左旌杆正面刻“咸丰六年秿行乙卯科乡试”，右旌杆刻“中式第二十九名举人胡日初立”。胡日初是该村人氏。清咸丰六年（1856年）中举，曾任监试官、福建省分巡兵备道等职。石旌杆具有较高的地方人文历史和旌杆石建筑艺术研究价值。       （欧阳建强）</w:t>
      </w:r>
    </w:p>
    <w:tbl>
      <w:tblPr>
        <w:tblStyle w:val="15"/>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421F00D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0887FF20">
            <w:pPr>
              <w:ind w:firstLine="0" w:firstLineChars="0"/>
              <w:rPr>
                <w:rFonts w:ascii="宋体" w:hAnsi="宋体"/>
                <w:szCs w:val="21"/>
              </w:rPr>
            </w:pPr>
            <w:r>
              <w:rPr>
                <w:rFonts w:ascii="宋体" w:hAnsi="宋体"/>
                <w:szCs w:val="21"/>
              </w:rPr>
              <w:pict>
                <v:shape id="_x0000_i1037" o:spt="75" type="#_x0000_t75" style="height:320.25pt;width:487.5pt;" filled="f" o:preferrelative="t" stroked="f" coordsize="21600,21600">
                  <v:path/>
                  <v:fill on="f" focussize="0,0"/>
                  <v:stroke on="f" joinstyle="miter"/>
                  <v:imagedata r:id="rId108" o:title="南雄年鉴2012-55"/>
                  <o:lock v:ext="edit" aspectratio="t"/>
                  <w10:wrap type="none"/>
                  <w10:anchorlock/>
                </v:shape>
              </w:pict>
            </w:r>
          </w:p>
        </w:tc>
      </w:tr>
    </w:tbl>
    <w:p w14:paraId="0388BE4F">
      <w:pPr>
        <w:ind w:firstLine="0" w:firstLineChars="0"/>
        <w:jc w:val="center"/>
        <w:rPr>
          <w:rFonts w:ascii="宋体" w:hAnsi="宋体"/>
          <w:szCs w:val="21"/>
        </w:rPr>
      </w:pPr>
      <w:r>
        <w:rPr>
          <w:rFonts w:hint="eastAsia" w:ascii="宋体" w:hAnsi="宋体"/>
          <w:szCs w:val="21"/>
        </w:rPr>
        <w:t>全安镇下石村石旌杆</w:t>
      </w:r>
    </w:p>
    <w:p w14:paraId="04BB51E8">
      <w:pPr>
        <w:ind w:firstLine="0" w:firstLineChars="0"/>
        <w:rPr>
          <w:rFonts w:ascii="宋体" w:hAnsi="宋体"/>
          <w:szCs w:val="21"/>
        </w:rPr>
      </w:pPr>
      <w:r>
        <w:rPr>
          <w:rFonts w:hint="eastAsia" w:ascii="宋体" w:hAnsi="宋体"/>
          <w:b/>
          <w:szCs w:val="21"/>
        </w:rPr>
        <w:t>附：2011年市文广新局领导班子成员名单</w:t>
      </w:r>
    </w:p>
    <w:p w14:paraId="73791B95">
      <w:pPr>
        <w:ind w:firstLine="0" w:firstLineChars="0"/>
        <w:rPr>
          <w:rFonts w:ascii="宋体" w:hAnsi="宋体"/>
          <w:szCs w:val="21"/>
        </w:rPr>
      </w:pPr>
      <w:r>
        <w:rPr>
          <w:rFonts w:hint="eastAsia" w:ascii="宋体" w:hAnsi="宋体"/>
          <w:szCs w:val="21"/>
        </w:rPr>
        <w:t>局长：肖丽琼（兼）</w:t>
      </w:r>
    </w:p>
    <w:p w14:paraId="2B252629">
      <w:pPr>
        <w:ind w:firstLine="0" w:firstLineChars="0"/>
        <w:rPr>
          <w:rFonts w:ascii="宋体" w:hAnsi="宋体"/>
          <w:szCs w:val="21"/>
        </w:rPr>
      </w:pPr>
      <w:r>
        <w:rPr>
          <w:rFonts w:hint="eastAsia" w:ascii="宋体" w:hAnsi="宋体"/>
          <w:szCs w:val="21"/>
        </w:rPr>
        <w:t>副局长：曾昭雄  沈青松  陈章林</w:t>
      </w:r>
    </w:p>
    <w:p w14:paraId="2A06B28A">
      <w:pPr>
        <w:ind w:firstLine="0" w:firstLineChars="0"/>
        <w:rPr>
          <w:rFonts w:ascii="宋体" w:hAnsi="宋体"/>
          <w:szCs w:val="21"/>
        </w:rPr>
      </w:pPr>
      <w:r>
        <w:rPr>
          <w:rFonts w:hint="eastAsia" w:ascii="宋体" w:hAnsi="宋体"/>
          <w:szCs w:val="21"/>
        </w:rPr>
        <w:t>纪检组长：曾秀兰</w:t>
      </w:r>
    </w:p>
    <w:p w14:paraId="6F6F9641">
      <w:pPr>
        <w:pStyle w:val="3"/>
      </w:pPr>
      <w:r>
        <w:rPr>
          <w:rFonts w:hint="eastAsia"/>
        </w:rPr>
        <w:t>广播电视</w:t>
      </w:r>
    </w:p>
    <w:p w14:paraId="1DC8FB39">
      <w:pPr>
        <w:pStyle w:val="4"/>
      </w:pPr>
      <w:r>
        <w:rPr>
          <w:rFonts w:hint="eastAsia"/>
        </w:rPr>
        <w:t>【概况】</w:t>
      </w:r>
    </w:p>
    <w:p w14:paraId="2255B352">
      <w:pPr>
        <w:ind w:firstLine="420"/>
        <w:rPr>
          <w:rFonts w:ascii="宋体" w:hAnsi="宋体"/>
          <w:szCs w:val="21"/>
        </w:rPr>
      </w:pPr>
      <w:r>
        <w:rPr>
          <w:rFonts w:hint="eastAsia" w:ascii="宋体" w:hAnsi="宋体"/>
          <w:szCs w:val="21"/>
        </w:rPr>
        <w:t>南雄市广播电视台担负着贯彻党和政府有关广播、电视方面方针、政策和法律、法规，把握正确舆论导向，负责全市广播电视新闻报道宣传、专题、广告制作播出，广播电视事业建设、经营有线数字电视、数据传输业务，转播全国农村中央广播电视节目无线覆盖工作。</w:t>
      </w:r>
    </w:p>
    <w:p w14:paraId="73FCC545">
      <w:pPr>
        <w:ind w:firstLine="420"/>
        <w:rPr>
          <w:rFonts w:ascii="宋体" w:hAnsi="宋体"/>
          <w:szCs w:val="21"/>
        </w:rPr>
      </w:pPr>
      <w:r>
        <w:rPr>
          <w:rFonts w:hint="eastAsia" w:ascii="宋体" w:hAnsi="宋体"/>
          <w:szCs w:val="21"/>
        </w:rPr>
        <w:t>广播电视台内设办公室、财务部、总编室、事业技术部、电视新闻广告部、广播电台部、城区网络部、农村网络部，设置乌迳、黄坑、珠玑、全安、湖口、水口、古市7个基层广播电视中心站。编制人数105人。2011年南雄市广播电视台被中共广东省委宣传部、广东省文化厅、广东省广播电影电视局、广东省新闻出版局评为“广东省基层宣传文化工作先进单位”，被南方广播影视传媒集团评为“2011年度广播电视宣传创新先进单位”，被韶关市广播电视台评为“宣传工作先进单位”。</w:t>
      </w:r>
    </w:p>
    <w:p w14:paraId="4B263EC7">
      <w:pPr>
        <w:pStyle w:val="4"/>
      </w:pPr>
      <w:r>
        <w:rPr>
          <w:rFonts w:hint="eastAsia"/>
        </w:rPr>
        <w:t>【广播电视事业发展】</w:t>
      </w:r>
    </w:p>
    <w:p w14:paraId="36ED66A6">
      <w:pPr>
        <w:ind w:firstLine="420"/>
        <w:rPr>
          <w:rFonts w:ascii="宋体" w:hAnsi="宋体"/>
          <w:szCs w:val="21"/>
        </w:rPr>
      </w:pPr>
      <w:r>
        <w:rPr>
          <w:rFonts w:hint="eastAsia" w:ascii="宋体" w:hAnsi="宋体"/>
          <w:szCs w:val="21"/>
        </w:rPr>
        <w:t>南雄市广播电视事业建设快速推进，广播电视台根据市委、市政府关于实施有线数字电视整体转换意见，按照“技术先进，安全可靠，成本最低，整转平稳”要求，全面完成城区数字电视整体转换。2011年完成城区数字电视整转25800多户，占城区在册用户27500户的90%。同时，稳步推进农村数字电视整转工作，并完成数字电视整转3500多户。</w:t>
      </w:r>
    </w:p>
    <w:p w14:paraId="0CFF7BFD">
      <w:pPr>
        <w:pStyle w:val="4"/>
      </w:pPr>
      <w:r>
        <w:rPr>
          <w:rFonts w:hint="eastAsia"/>
        </w:rPr>
        <w:t>【广播电视宣传】</w:t>
      </w:r>
    </w:p>
    <w:p w14:paraId="7168A8D3">
      <w:pPr>
        <w:ind w:firstLine="420"/>
        <w:rPr>
          <w:rFonts w:ascii="宋体" w:hAnsi="宋体"/>
          <w:szCs w:val="21"/>
        </w:rPr>
      </w:pPr>
      <w:r>
        <w:rPr>
          <w:rFonts w:hint="eastAsia" w:ascii="宋体" w:hAnsi="宋体"/>
          <w:szCs w:val="21"/>
        </w:rPr>
        <w:t>2011年广播电视台把握正确舆论导向，围绕市委、市政府中心工作开拓创新，宣传工作水平稳步提升。播出电视新闻2495条，上送中央电视台用稿2条，省电视台用稿27条，韶关电视台用稿488条；播出广播新闻3526条，上送中央电台用稿2条，省电台用稿33条，韶关电台用稿528条。广播电视精品创作获得新突破，电视散文《叶子》获2011广东国际旅游文化节“爱山、爱水、爱家乡”电视散文评选一等奖。电视消息《党员夫妻走过半个世纪的爱》获2011年度全国广播电视作品评析三等奖和2011年度广东省县级广播电视新闻评析三等奖。广播消息《党员夫妻：五十余载的忠诚六十余载的爱》获2011年度全国广播电视作品评析三等奖和2011年度广东省县级广播电视新闻评析三等奖。电视连续报道《抢购食盐风潮》获2011年度韶关市广播电视节目奖一等奖，电视长消息《党员夫妻：走过半个世纪的爱》获2011年度韶关市广播电视节目奖二等奖，电视短消息《宝江水库头渡渡槽结束使命今天开始拆除》、新闻编排《12月16日南雄新闻》获2011年度韶关市广播电视节目奖三等奖。电视社教专题《肖丙凤的一天》获2011年度韶关市广播电视节目奖二等奖，电视公益广告《写好人做好人》获2011年度韶关市广播电视节目奖一等奖。广播长消息《党员夫妻：五十余载的忠诚六十余载的爱》获2011年度韶关市广播电视节目奖二等奖，广播短消息《孤儿立志从军终圆梦》获2011年度韶关市广播电视节目奖三等奖，广播长消息《义务植树护林11载执着守护青山绿水》获2011年度韶关市广播电视节目奖三等奖，广播评论《顶风建违章房谁之痛》获2011年度韶关市广播电视节目奖三等奖。</w:t>
      </w:r>
    </w:p>
    <w:p w14:paraId="748739D3">
      <w:pPr>
        <w:pStyle w:val="4"/>
      </w:pPr>
      <w:r>
        <w:rPr>
          <w:rFonts w:hint="eastAsia"/>
        </w:rPr>
        <w:t>【栏目设置】</w:t>
      </w:r>
    </w:p>
    <w:p w14:paraId="37863BBA">
      <w:pPr>
        <w:ind w:firstLine="420"/>
        <w:rPr>
          <w:rFonts w:ascii="宋体" w:hAnsi="宋体"/>
          <w:szCs w:val="21"/>
        </w:rPr>
      </w:pPr>
      <w:r>
        <w:rPr>
          <w:rFonts w:hint="eastAsia" w:ascii="宋体" w:hAnsi="宋体"/>
          <w:szCs w:val="21"/>
        </w:rPr>
        <w:t>每天开设栏目有《南雄新闻》、《今日新闻提要》、《雄州新视线》、《南雄警务报道》、《金叶之路》、《南雄农业病虫测报》、《科教天地》、《信息视窗》、《天气预报》等固定栏目。     （蓝惠娟）</w:t>
      </w:r>
    </w:p>
    <w:p w14:paraId="2012446E">
      <w:pPr>
        <w:ind w:firstLine="0" w:firstLineChars="0"/>
        <w:rPr>
          <w:rFonts w:ascii="宋体" w:hAnsi="宋体"/>
          <w:szCs w:val="21"/>
        </w:rPr>
      </w:pPr>
      <w:r>
        <w:rPr>
          <w:rFonts w:hint="eastAsia" w:ascii="宋体" w:hAnsi="宋体"/>
          <w:b/>
          <w:szCs w:val="21"/>
        </w:rPr>
        <w:t>附：2011年市广播电台领导班子成员名单</w:t>
      </w:r>
    </w:p>
    <w:p w14:paraId="7AD2AB96">
      <w:pPr>
        <w:ind w:firstLine="0" w:firstLineChars="0"/>
        <w:rPr>
          <w:rFonts w:ascii="宋体" w:hAnsi="宋体"/>
          <w:szCs w:val="21"/>
        </w:rPr>
      </w:pPr>
      <w:r>
        <w:rPr>
          <w:rFonts w:hint="eastAsia" w:ascii="宋体" w:hAnsi="宋体"/>
          <w:szCs w:val="21"/>
        </w:rPr>
        <w:t>台长：卢德政</w:t>
      </w:r>
    </w:p>
    <w:p w14:paraId="4FEC054B">
      <w:pPr>
        <w:ind w:firstLine="0" w:firstLineChars="0"/>
        <w:rPr>
          <w:rFonts w:ascii="宋体" w:hAnsi="宋体"/>
          <w:szCs w:val="21"/>
        </w:rPr>
      </w:pPr>
      <w:r>
        <w:rPr>
          <w:rFonts w:hint="eastAsia" w:ascii="宋体" w:hAnsi="宋体"/>
          <w:szCs w:val="21"/>
        </w:rPr>
        <w:t>副台长：张帮贵  刘  勇  朱志军</w:t>
      </w:r>
    </w:p>
    <w:p w14:paraId="63659C8A">
      <w:pPr>
        <w:pStyle w:val="2"/>
      </w:pPr>
      <w:r>
        <w:rPr>
          <w:rFonts w:hint="eastAsia"/>
        </w:rPr>
        <w:t>卫生·体育</w:t>
      </w:r>
    </w:p>
    <w:p w14:paraId="7E23748E">
      <w:pPr>
        <w:pStyle w:val="3"/>
      </w:pPr>
      <w:r>
        <w:rPr>
          <w:rFonts w:hint="eastAsia"/>
        </w:rPr>
        <w:t>综述</w:t>
      </w:r>
    </w:p>
    <w:p w14:paraId="23B30163">
      <w:pPr>
        <w:pStyle w:val="4"/>
      </w:pPr>
      <w:r>
        <w:rPr>
          <w:rFonts w:hint="eastAsia"/>
        </w:rPr>
        <w:t>【概况】</w:t>
      </w:r>
    </w:p>
    <w:p w14:paraId="08613A7B">
      <w:pPr>
        <w:ind w:firstLine="420"/>
        <w:rPr>
          <w:rFonts w:ascii="宋体" w:hAnsi="宋体"/>
          <w:szCs w:val="21"/>
        </w:rPr>
      </w:pPr>
      <w:r>
        <w:rPr>
          <w:rFonts w:hint="eastAsia" w:ascii="宋体" w:hAnsi="宋体"/>
          <w:szCs w:val="21"/>
        </w:rPr>
        <w:t>2011年，全市卫生工作以科学发展观为指导，紧紧围绕公共卫生服务、新型农村合作医疗、疾病预防控制和农村卫生等工作重点，进一步深化医药卫生体制改革，积极推进卫生服务能力建设和实施卫生民生工程，人民群众的健康水平有了明显提升。年末，全市有各级各类医疗机构353个，其中县（市）级综合性医院1个（人民医院），县（市）级中医院1个，县（市）级防保机构4间（疾病预防控制中心、卫生监督所、慢性病防治站、妇幼保健院），镇级卫生院19间（含1间社区卫生服务中心），村级卫生站288个，机关、企事业、厂矿医务室8间，个体诊所32间，医疗网点已遍布城乡，布局也比较合理；全市卫生工作人员1100人，其中在职卫生技术人员968人（高级职称59人，中级职称269人，初级职称640人），乡村医生288人；卫生技术人员中，执业医师（含助理）613人，每千人拥有医生数1.61人；注册护士568人，每千人拥有护士1.49人，；全市有病床1129张，其中城区759张，镇卫生院370张。每千人拥有床位2.96张；全市有单价万元以上设备430台，其中50万元以上设备26台。在国务院公布的甲、乙类大型医疗设备中，医用核磁共振（MRI）1台，Ⅹ线电子计算机断层扫描装置（CT）2台（其中螺旋CT1台），DR机1台，计算机化的X线放射影像系统（CR）7台，彩色B超4台，800MA医用X线诊断机1台，500MA以上医用Ⅹ线诊断机5台。全市医疗卫生系统2011年门诊服务585038人次，住院26163人次。</w:t>
      </w:r>
    </w:p>
    <w:p w14:paraId="27C17668">
      <w:pPr>
        <w:pStyle w:val="4"/>
      </w:pPr>
      <w:r>
        <w:rPr>
          <w:rFonts w:hint="eastAsia"/>
        </w:rPr>
        <w:t>【深化医药卫生体制改革】</w:t>
      </w:r>
    </w:p>
    <w:p w14:paraId="4DDC750C">
      <w:pPr>
        <w:ind w:firstLine="420"/>
        <w:rPr>
          <w:rFonts w:ascii="宋体" w:hAnsi="宋体"/>
          <w:szCs w:val="21"/>
        </w:rPr>
      </w:pPr>
      <w:r>
        <w:rPr>
          <w:rFonts w:hint="eastAsia" w:ascii="宋体" w:hAnsi="宋体"/>
          <w:szCs w:val="21"/>
        </w:rPr>
        <w:t>按照《广东省医药卫生体制改革近期实施方案（2009-2011年）》的要求，以“保基本，强基层，建机制”为工作重点，扎实推进医药卫生体制改革和基层医疗卫生机构综合改革工作。一是巩固和完善农村合作医疗制度。新型农村合作医疗实现全覆盖，参合率100%；二是全市基层医疗卫生机构全面实施国家基本药物制度，对国家基本药物目录药品和省级增补的非目录药品实行药品零差价销售；三是进一步健全基层医疗卫生服务体系。加强基层医疗卫生队伍建设，强化全科医生的培训工作。至2011年底，已完成全科医师（护师）岗位培训共108人（全科医师骨干培训1人，全科医师培训57人，全科护士岗位培训50人），已完成全科医师转岗培训8人。四是促进基本公共卫生均等化。全面实施（建立居民健康档案、健康教育、儿童保健、孕产妇保健、老年人保健、预防接种、传染病报告处理、高血压及糖尿病管理、重性精神病管理、卫生监督协管）10类基本公共卫生服务和重大公共卫生服务项目工作。2011年已建立城市居民电子健康档案32714份，电子建档率为43.29%；已建立农村居民电子健康档案245502，电子建档率为80.40%。五是积极推进基层医疗卫生机构综合改革工作。推进基层医疗卫生机构人事制度改革。完成了基层医疗卫生机构人员编制核定以及岗位设置和人员竞聘上岗工作。将基层医疗卫生机构划归为一类公共事业单位，出台《南雄市公共卫生与基层医疗卫生事业单位绩效工资实施办法》，《南雄市基层医疗卫生机构收支两条线管理办法》、《南雄市基层医疗卫生机构补偿暂行办法》以及《南雄市基层医疗卫生机构经常性收支核定和差额补助办法》，对基层医疗卫生事业单位实施绩效考核制和收支两条线管理。</w:t>
      </w:r>
    </w:p>
    <w:p w14:paraId="272E9732">
      <w:pPr>
        <w:pStyle w:val="3"/>
      </w:pPr>
      <w:r>
        <w:rPr>
          <w:rFonts w:hint="eastAsia"/>
        </w:rPr>
        <w:t>公共卫生应急体系建设</w:t>
      </w:r>
    </w:p>
    <w:p w14:paraId="7979ADCE">
      <w:pPr>
        <w:pStyle w:val="4"/>
      </w:pPr>
      <w:r>
        <w:rPr>
          <w:rFonts w:hint="eastAsia"/>
        </w:rPr>
        <w:t>【概况】</w:t>
      </w:r>
    </w:p>
    <w:p w14:paraId="26B419F9">
      <w:pPr>
        <w:ind w:firstLine="420"/>
        <w:rPr>
          <w:rFonts w:ascii="宋体" w:hAnsi="宋体"/>
          <w:szCs w:val="21"/>
        </w:rPr>
      </w:pPr>
      <w:r>
        <w:rPr>
          <w:rFonts w:hint="eastAsia" w:ascii="宋体" w:hAnsi="宋体"/>
          <w:szCs w:val="21"/>
        </w:rPr>
        <w:t>全市公共医疗卫生体系主要有市人民医院、市中医院、市卫生监督所、市疾病预防控制中心、市健康教育所、市妇幼保健院、市慢性病防治站、镇卫生院的防保组及妇幼卫生组和村卫生站等机构组成。</w:t>
      </w:r>
    </w:p>
    <w:p w14:paraId="3ED50923">
      <w:pPr>
        <w:pStyle w:val="4"/>
      </w:pPr>
      <w:r>
        <w:rPr>
          <w:rFonts w:hint="eastAsia"/>
        </w:rPr>
        <w:t>【应对突发公共卫生事件机制】</w:t>
      </w:r>
    </w:p>
    <w:p w14:paraId="36E5087E">
      <w:pPr>
        <w:ind w:firstLine="420"/>
        <w:rPr>
          <w:rFonts w:ascii="宋体" w:hAnsi="宋体"/>
          <w:szCs w:val="21"/>
        </w:rPr>
      </w:pPr>
      <w:r>
        <w:rPr>
          <w:rFonts w:hint="eastAsia" w:ascii="宋体" w:hAnsi="宋体"/>
          <w:szCs w:val="21"/>
        </w:rPr>
        <w:t>加强和完善卫生应急“一案三制”（制订修订应急预案，建立健全应急的体制、机制和法制），制定《南雄市卫生系统突发公共卫生事件应急预案》，并成立南雄市卫生系统突发公共卫生事件应急处理工作领导小组，下设医疗救护、预防控制、卫生监督三个指导小组，重大传染病和突发公共卫生事件得到有效防控。一是与农业、畜牧、水利、环保、质监等部门建立协调机制，加强部门间突发公共卫生事件信息沟通与措施联动。二是结合卫生应急工作需要，制订和修订相关突发公共卫生事件防控预案，2003年至2011年制订预案5部，卫生应急预案框架体系逐步完善。三是建立健全全市24个镇级以上医疗卫生机构传染病疫情和突发公共卫生事件网络直报常态管理、实时监控机制，及时、准确地对突发公共卫生事件作出预测、预警和预报。四是加强队伍建设。对村卫生站、镇级以上医疗机构和托幼机构、学校等相关卫生工作人员每年定期进行业务技术指导、培训、督促检查，使之能够掌握突发公共卫生事件调查处理办法，有效开展疾病预防控制工作；五是全面实施基本公共卫生服务项目。2011年全市继续实施城乡居民健康档案管理、健康教育、预防接种、0~6岁儿童健康管理、孕产妇健康管理、老年人健康管理、高血压患者健康管理、2型糖尿病患者健康管理、重性精神疾病患者管理、传染病及突发公共卫生事件报告和处理、卫生监督协管服务规范等基本公共卫生服务项目工作。六是全力做好突发公共卫生事件医疗救治工作，积极组织医疗、卫生机构专业人员开展应急演练，组织应急物资储备。七是广泛开展传染病防治知识健康教育工作，提高居民防病控病意识；重点抓好以非典、人感染高致病性禽流感、霍乱等为主的传染病监测工作。</w:t>
      </w:r>
    </w:p>
    <w:p w14:paraId="0CA36041">
      <w:pPr>
        <w:pStyle w:val="3"/>
      </w:pPr>
      <w:r>
        <w:rPr>
          <w:rFonts w:hint="eastAsia"/>
        </w:rPr>
        <w:t>农村医疗卫生</w:t>
      </w:r>
    </w:p>
    <w:p w14:paraId="4C6D488F">
      <w:pPr>
        <w:pStyle w:val="4"/>
      </w:pPr>
      <w:r>
        <w:rPr>
          <w:rFonts w:hint="eastAsia"/>
        </w:rPr>
        <w:t>【基层医疗卫生设施建设】</w:t>
      </w:r>
    </w:p>
    <w:p w14:paraId="08616E63">
      <w:pPr>
        <w:ind w:firstLine="420"/>
        <w:rPr>
          <w:rFonts w:ascii="宋体" w:hAnsi="宋体"/>
          <w:szCs w:val="21"/>
        </w:rPr>
      </w:pPr>
      <w:r>
        <w:rPr>
          <w:rFonts w:hint="eastAsia" w:ascii="宋体" w:hAnsi="宋体"/>
          <w:szCs w:val="21"/>
        </w:rPr>
        <w:t>积极改善农村卫生院就医环境，多渠道积极筹集资金，2011年投资340万元完成古市、珠玑等卫生院综合大楼建设。基层医疗卫生机构整体面貌明显改观。在资金紧张的情况下，采取分期付款等方式，投资300多万元为雄州街道社区卫生服务中心、乌迳中心卫生院、珠玑、水口、江头、邓坊、南亩等卫生院添置B超、全自动或半自动生化分析仪、计算机放射成像系统（CR）、全自动分类血液细胞分析仪等一批高、尖、精仪器。基层医疗卫生机构整体装备水平进一步提高。</w:t>
      </w:r>
    </w:p>
    <w:p w14:paraId="45E516B9">
      <w:pPr>
        <w:pStyle w:val="4"/>
      </w:pPr>
      <w:r>
        <w:rPr>
          <w:rFonts w:hint="eastAsia"/>
        </w:rPr>
        <w:t>【稳步推进新型农村合作医疗工作】</w:t>
      </w:r>
    </w:p>
    <w:p w14:paraId="7AF95E5E">
      <w:pPr>
        <w:ind w:firstLine="420"/>
        <w:rPr>
          <w:rFonts w:ascii="宋体" w:hAnsi="宋体"/>
          <w:szCs w:val="21"/>
        </w:rPr>
      </w:pPr>
      <w:r>
        <w:rPr>
          <w:rFonts w:hint="eastAsia" w:ascii="宋体" w:hAnsi="宋体"/>
          <w:szCs w:val="21"/>
        </w:rPr>
        <w:t>2011年全市有356163人参加新型农村合作医疗，覆盖率为100%。各级财政补助标准不断提高各级财政对新农合人均补助标准提高到200元，比2008年90元，提高110元。农村合作医疗保障水平大幅提高。全市参合农民在镇、县及县外的报销比例分别为75%、65%、50%，分别比2008年60%、40%、30%提高15%、25%、20%。年度累计最高支付限额10万元，比2008年3万元提高7万元。全面建立门诊统筹补偿制度，并实行提高农村儿童重大疾病医疗保障水平试点（白血病和先天性心脏病的补偿比达70%），同时基本实现即时结报。2011年全市新型农村合作医疗基金总收入82157118元，历年累计结余37288560元。2011年，全市累计使用共使用合作医疗资金60832891元，其中：住院报销人次25973人，补偿金额53174323元；住院分娩补偿人数2821人，补偿金额1817400元；门诊补偿人数609287人，补偿金额4367149元，婚检人数2329人，补偿金额279480元，白内障手术补偿人数100人，补偿金额120000元，特殊病种大额门诊补偿人数59人，补偿金额541530元，药品零差价款68611元。201l年，年度基金结余21324227元，年住院率为7.4%。</w:t>
      </w:r>
    </w:p>
    <w:p w14:paraId="177E95DA">
      <w:pPr>
        <w:pStyle w:val="3"/>
      </w:pPr>
      <w:r>
        <w:rPr>
          <w:rFonts w:hint="eastAsia"/>
        </w:rPr>
        <w:t>疾病预防控制和卫生保健</w:t>
      </w:r>
    </w:p>
    <w:p w14:paraId="2932BE92">
      <w:pPr>
        <w:pStyle w:val="4"/>
      </w:pPr>
      <w:r>
        <w:rPr>
          <w:rFonts w:hint="eastAsia"/>
        </w:rPr>
        <w:t>【疾病预防控制】</w:t>
      </w:r>
    </w:p>
    <w:p w14:paraId="2E32E1C0">
      <w:pPr>
        <w:ind w:firstLine="420"/>
        <w:rPr>
          <w:rFonts w:ascii="宋体" w:hAnsi="宋体"/>
          <w:szCs w:val="21"/>
        </w:rPr>
      </w:pPr>
      <w:r>
        <w:rPr>
          <w:rFonts w:hint="eastAsia" w:ascii="宋体" w:hAnsi="宋体"/>
          <w:szCs w:val="21"/>
        </w:rPr>
        <w:t>加强传染病和突发公共卫生事件网络直报工作。2011年全市报告法定传染病14种2126例，总发病率440.47/10万。发病上升主要病种是伤寒、梅毒、流行性腮腺炎、风疹、手足口病等。无甲类传染病报告；乙类传染病报告7种949例，发病率196.62/10万，居前五位病种是病毒性肝炎、肺结核、梅毒、痢疾、淋病；丙类传染病报告7种1177例，发病率243.85/10万，居前三位病种是手足口病、感染性腹泻、流行性腮腺炎。乙类传染病艾滋病感染者新发现4例，乙类传染病死亡病例3例，为肺结核1例，艾滋病2例，乙类传染病病死率为0.32%；无丙类传染病死亡病例。</w:t>
      </w:r>
    </w:p>
    <w:p w14:paraId="5242C179">
      <w:pPr>
        <w:pStyle w:val="4"/>
      </w:pPr>
      <w:r>
        <w:rPr>
          <w:rFonts w:hint="eastAsia"/>
        </w:rPr>
        <w:t>【重大疾病防控与突发公共卫生事件处置】</w:t>
      </w:r>
    </w:p>
    <w:p w14:paraId="3EBAAC44">
      <w:pPr>
        <w:ind w:firstLine="420"/>
        <w:rPr>
          <w:rFonts w:ascii="宋体" w:hAnsi="宋体"/>
          <w:szCs w:val="21"/>
        </w:rPr>
      </w:pPr>
      <w:r>
        <w:rPr>
          <w:rFonts w:hint="eastAsia" w:ascii="宋体" w:hAnsi="宋体"/>
          <w:szCs w:val="21"/>
        </w:rPr>
        <w:t>一是非典、人禽流感等重大疾病防控工作。进一步完善医疗卫生机构传染病网络直报和发热病人监测等防控措施。2011年本市未发生相关病例。二是落实艾滋病防控措施。2011年全年报告艾滋病3例，男性2例，女性1例，其中农民2例，不详工作者1例，死亡2例。报告HIV感染者4例，男性2例，女性2例，其中商业服务1例，工人1例，农民1例，不详工作者1例，感染者人数比去年下降33.33%。三是开展犬伤门诊狂犬病监测。2011年监测3047例犬伤者，以家犬（2336例）和猫（331例）伤人最多。受伤深层犬伤者1300例，Ⅲ度犬伤者1891例。四是有效处置各类疫情。2011年接报急性传染病疫情和卫生事件共19起，排除1起。18起卫生应急事件中，急性传染病12起疫情（含1起突发公共卫生事件），食源性感染事件3起，一犬伤及多人事件3起，这些事件处置及时、措施得力，有效防止蔓延扩散。12起急性传染病疫情分别是手足口病疫情4起（27例）流行性腮腺炎疫情2起（31例）、伤寒疫情1起（8例）、感染性腹泻1起23例）、水痘疫情2起（12例），风疹疫情1起（1例）流感疫情1起（12例）</w:t>
      </w:r>
    </w:p>
    <w:p w14:paraId="2A6F2FD8">
      <w:pPr>
        <w:pStyle w:val="4"/>
      </w:pPr>
      <w:r>
        <w:rPr>
          <w:rFonts w:hint="eastAsia"/>
        </w:rPr>
        <w:t>【巩固地方病、慢性病、非传染性疾病防治效果】</w:t>
      </w:r>
    </w:p>
    <w:p w14:paraId="55CBD575">
      <w:pPr>
        <w:ind w:firstLine="420"/>
        <w:rPr>
          <w:rFonts w:ascii="宋体" w:hAnsi="宋体"/>
          <w:szCs w:val="21"/>
        </w:rPr>
      </w:pPr>
      <w:r>
        <w:rPr>
          <w:rFonts w:hint="eastAsia" w:ascii="宋体" w:hAnsi="宋体"/>
          <w:szCs w:val="21"/>
        </w:rPr>
        <w:t>一是碘缺乏病监控。2011年对雄州街道、澜河镇、百顺镇、油山镇、珠玑镇、江头镇、界址镇、南亩镇、乌迳镇等9个镇开展碘盐监测，监测碘盐294份，其中286份合格，合格率为97.28%。二是高血压、糖尿病管理。2011年全市建立高血压档案19671份，糖尿病档案5442份，并进行随访管理。三是慢病相关危害因素监测和死因监测。2004年10月，南雄市被卫生部抽中为全国慢病相关危害因素监测点之一，2007年为全国死因和伤害监测点之一。2011年监测死亡个案2790例，监测哨点医院伤害病例3861例。四是结核病控制项目工作。登记检查肺结核可疑者1244人，免费照胸片1037人，初诊查痰420人。发现活动性肺结核病人226例，其中初治涂阳161人，复治涂阳6人，初治涂阴59人，分别完成年度任务的100.63%、20%和32.78%，初治涂阳肺结核病人发现已超额完成任务数。五是落实麻防工作。全年排查可疑麻风线索396条，新发现麻风病人2例，管治现症病人6例，判愈2例，年底有现症病人4例，患病率为0.8/10万，控制在国家1/10万标准范围内。做好重点人群监测，检查现症病人家属17人，未发现可疑麻风病人。疫点调查，对雄州上坪石坪、界址下屋子、坪田龙口、澜河鱼地、邓坊兰田及上坊等6个疫点村进行疫点调查，未发现可疑麻风病人。六是性病防治工作。2011年全市登记报告性病病人237例，其中：梅毒185例、淋病14例、生殖道沙眼衣原体8例、尖锐湿疣30例。病例报告有较大幅度增长（主要是梅毒报告病例比去年有较大幅度上升）。2011年7月1日正式启动农村梅毒控制试点项目工作。纳入项目对象1503例，超额完成上级下达任务数，确诊2例隐性梅毒，均进行梅毒治疗和随访。高危人群干预工作，检查31名女性服务小姐，结果发现1例梅毒快速试验阳性病例，后经RPR和TPPA检测，已排除梅毒。七是精神病防治工作。2011年全市累计排查、登记、建立重性精神病人纸质档案1841例，录入国家信息系统基础的重性精神病1841例，完成全年任务119%，全年接受过4次以上随访和1次年度评估的有1672例，病人管理率71.24%、规范管理率达90.97%。在“精神病防治日”期间接诊精神病人3702人次，免费发放抗精神药品111060元。</w:t>
      </w:r>
    </w:p>
    <w:p w14:paraId="01CCB7C5">
      <w:pPr>
        <w:pStyle w:val="4"/>
      </w:pPr>
      <w:r>
        <w:rPr>
          <w:rFonts w:hint="eastAsia"/>
        </w:rPr>
        <w:t>【免疫规划】</w:t>
      </w:r>
    </w:p>
    <w:p w14:paraId="0D5FCF35">
      <w:pPr>
        <w:ind w:firstLine="420"/>
        <w:rPr>
          <w:rFonts w:ascii="宋体" w:hAnsi="宋体"/>
          <w:szCs w:val="21"/>
        </w:rPr>
      </w:pPr>
      <w:r>
        <w:rPr>
          <w:rFonts w:hint="eastAsia" w:ascii="宋体" w:hAnsi="宋体"/>
          <w:szCs w:val="21"/>
        </w:rPr>
        <w:t>一是计划免疫工作。儿童预防接种全市从2006年开始实施免费接种第一类疫苗（卡介苗、麻疹疫苗、百白破疫苗、乙肝疫苗、脊髓灰质炎疫苗、乙脑疫苗、流脑疫苗、麻腮风疫苗、甲肝疫苗）。2009年、2010年、2011年连续开展麻疹疫苗强化免疫；2011年全市无免疫规划相应传染病发生；2011年，全市一类疫苗建卡、建证率100%，一类疫苗全程合格接种率达97.94%。二是15岁以下儿童乙肝疫苗查漏补种工作。2011年已全面完成15岁以下儿童乙肝疫苗查漏补种工作，接种人次数达39703针次，接种率97.33%，达到国家要求接种率95%以上的目标。三是执行儿童入园、入学查验证制度。对135所小学和53所幼儿园开展了儿童入园入学预防接种查验证工作，查验率为93.58%。其中小学查验率为94.79%（4638/4893）、幼儿园查验率91.43%（2506/2741）。2011年6月全市启动儿童预防接种信息化管理系统的建设，现投入使用。</w:t>
      </w:r>
    </w:p>
    <w:p w14:paraId="1DBFCAFD">
      <w:pPr>
        <w:pStyle w:val="4"/>
      </w:pPr>
      <w:r>
        <w:rPr>
          <w:rFonts w:hint="eastAsia"/>
        </w:rPr>
        <w:t>【妇幼保健】</w:t>
      </w:r>
    </w:p>
    <w:p w14:paraId="5ABEFF0F">
      <w:pPr>
        <w:ind w:firstLine="420"/>
        <w:rPr>
          <w:rFonts w:ascii="宋体" w:hAnsi="宋体"/>
          <w:szCs w:val="21"/>
        </w:rPr>
      </w:pPr>
      <w:r>
        <w:rPr>
          <w:rFonts w:hint="eastAsia" w:ascii="宋体" w:hAnsi="宋体"/>
          <w:szCs w:val="21"/>
        </w:rPr>
        <w:t>开展重大公共卫生服务妇幼项目，实行农村孕产妇住院分娩补助100元和育龄妇女免费补服叶酸项目，2011年10月市启动农村贫困妇女“两癌”免费筛查项目。2011年全年活产数4382人，产妇总数4363人，孕产妇系统管理4249人，孕产妇系统管理率96.96%；产后访视4318人，产后访视率98.97%；住院分娩4363人，住院分娩率100%。全年补助农村住院分娩孕产妇3669人、为全市准备怀孕和孕三个月内农村妇女免费增补叶酸3261人，服用率81.91%。全市高危孕产妇共568人，高危孕产妇住院分娩率100%。孕产妇死亡2例，孕产妇死亡率45.64/10万。2011年全市7岁以下儿童32172人，保健覆盖人数31268人，保健率97.19%，5岁以下儿童死亡40人，死亡率9.13‰，婴儿死亡26例，死亡率5.92%；新生儿死亡15人，死亡率3.42%5岁以下儿童营养评价体重（-2SD）234人，开展血红蛋白检测7406人，中重度贫血患病人数11人，患病率0.15%。开展妇女病普查工作，2011年全市城区妇女病普查单位92个，普查人数1500人，妇女患病人数958人，患病率63.87%。农村妇女病普查35067人普查率38.92%。妇女患病人数6086人，患病率17.36%。推进免费婚检工作，2011年婚检数4093人，平均婚检率49.41%。</w:t>
      </w:r>
    </w:p>
    <w:p w14:paraId="338ED3C5">
      <w:pPr>
        <w:pStyle w:val="4"/>
      </w:pPr>
      <w:r>
        <w:rPr>
          <w:rFonts w:hint="eastAsia"/>
        </w:rPr>
        <w:t>【健康教育】</w:t>
      </w:r>
    </w:p>
    <w:p w14:paraId="6EBD15C2">
      <w:pPr>
        <w:ind w:firstLine="420"/>
        <w:rPr>
          <w:rFonts w:ascii="宋体" w:hAnsi="宋体"/>
          <w:szCs w:val="21"/>
        </w:rPr>
      </w:pPr>
      <w:r>
        <w:rPr>
          <w:rFonts w:hint="eastAsia" w:ascii="宋体" w:hAnsi="宋体"/>
          <w:szCs w:val="21"/>
        </w:rPr>
        <w:t>开展健康教育工作。2011年全市医疗机构开展健康教育知识讲座276期，各乡镇卫生院、卫生站设置宣传栏260块，全年出版宣传栏1288期，发放宣传资料近6万份、张贴各种标语50条、悬挂横额30幅、现场播放各类继续健康教育音像材料近11040分钟，开展4.25计划免疫宣传日、5.31控烟活动日、碘缺乏病防治日、</w:t>
      </w:r>
      <w:bookmarkStart w:id="0" w:name="_GoBack"/>
      <w:bookmarkEnd w:id="0"/>
      <w:r>
        <w:rPr>
          <w:rFonts w:hint="eastAsia" w:ascii="宋体" w:hAnsi="宋体"/>
          <w:szCs w:val="21"/>
        </w:rPr>
        <w:t>12.1艾滋病防治日、精神卫生、预防性病、无偿献血、生殖健康、禁毒、慢病防治等主题宣传活动。通过健康教育，很大程度上改变了一些群众的不良卫生习惯，真正做到预防疾病从自己做起。开展创建无烟医疗单位活动。2011年市卫生局、市疾病预防控制中心、市卫生监督所、市慢病站被授予“韶关市无烟单位”称号，市人民医院、市中医院、市妇保院被授予“韶关市无烟医院”称号。</w:t>
      </w:r>
    </w:p>
    <w:p w14:paraId="271DD6D2">
      <w:pPr>
        <w:pStyle w:val="3"/>
      </w:pPr>
      <w:r>
        <w:rPr>
          <w:rFonts w:hint="eastAsia"/>
        </w:rPr>
        <w:t>医疗质量与医疗科研</w:t>
      </w:r>
    </w:p>
    <w:p w14:paraId="6F163635">
      <w:pPr>
        <w:pStyle w:val="4"/>
      </w:pPr>
      <w:r>
        <w:rPr>
          <w:rFonts w:hint="eastAsia"/>
        </w:rPr>
        <w:t>【医疗质量管理】</w:t>
      </w:r>
    </w:p>
    <w:p w14:paraId="60412CA4">
      <w:pPr>
        <w:ind w:firstLine="420"/>
        <w:rPr>
          <w:rFonts w:ascii="宋体" w:hAnsi="宋体"/>
          <w:szCs w:val="21"/>
        </w:rPr>
      </w:pPr>
      <w:r>
        <w:rPr>
          <w:rFonts w:hint="eastAsia" w:ascii="宋体" w:hAnsi="宋体"/>
          <w:szCs w:val="21"/>
        </w:rPr>
        <w:t>继续开展以完善规章制度、落实岗位职责、严格诊疗护理常规和各项技术规程为主的医疗质量万里行、医院管理年等活动，全面开展卫生技术人员培训。2011年全市各类各级医疗机构组织集中学习364多次，“三基”理论考试合格率为100%。加强落实各项医疗质量管理规章制度。2011年市卫生局每季度就执行医疗质量和医疗安全核心制度等情况，对各医疗卫生单位进行督导检查，促进医务人员增强依法执业意识，改善医疗服务质量，提高医疗技术水平，减少医疗纠纷。</w:t>
      </w:r>
    </w:p>
    <w:p w14:paraId="3AADE3E0">
      <w:pPr>
        <w:pStyle w:val="4"/>
      </w:pPr>
      <w:r>
        <w:rPr>
          <w:rFonts w:hint="eastAsia"/>
        </w:rPr>
        <w:t>【科研成果】</w:t>
      </w:r>
    </w:p>
    <w:p w14:paraId="7D3DB05F">
      <w:pPr>
        <w:ind w:firstLine="420"/>
        <w:rPr>
          <w:rFonts w:ascii="宋体" w:hAnsi="宋体"/>
          <w:szCs w:val="21"/>
        </w:rPr>
      </w:pPr>
      <w:r>
        <w:rPr>
          <w:rFonts w:hint="eastAsia" w:ascii="宋体" w:hAnsi="宋体"/>
          <w:szCs w:val="21"/>
        </w:rPr>
        <w:t>继续推行“科教兴医”战略，卫生科研工作有新突破。市人民医院、市中医院、市疾病预防控制中心、市妇幼保健院等单位积极申报“推广新技术、新项目”。2011年全市申报24个“新技术、新项目”科研课题。其中有13个科研课题获得韶关市推广新技术、新项目，2个科研课题获县推广新技术、新项目。</w:t>
      </w:r>
    </w:p>
    <w:p w14:paraId="2715E08B">
      <w:pPr>
        <w:pStyle w:val="4"/>
      </w:pPr>
      <w:r>
        <w:rPr>
          <w:rFonts w:hint="eastAsia"/>
        </w:rPr>
        <w:t>【医学教育】</w:t>
      </w:r>
    </w:p>
    <w:p w14:paraId="2C3D8137">
      <w:pPr>
        <w:ind w:firstLine="420"/>
        <w:rPr>
          <w:rFonts w:ascii="宋体" w:hAnsi="宋体"/>
          <w:szCs w:val="21"/>
        </w:rPr>
      </w:pPr>
      <w:r>
        <w:rPr>
          <w:rFonts w:hint="eastAsia" w:ascii="宋体" w:hAnsi="宋体"/>
          <w:szCs w:val="21"/>
        </w:rPr>
        <w:t>医学教育力度进一步加大。一是开展继续医学教育，规定学分的专业技术人员学分率均能达标。二是抓好住院医师规范化培训工作。组织相关人员参加住院医师规范化培训，2011年全市有8人通过住院医师考试。三是加强农村卫生技术人员业务和技能培训，2011年各镇卫生院完成了8名全科医师转岗培训，选送17名医疗卫生技术人员到市人民医院、市中医院等上级医院进修学习，基层医疗卫生机构诊治水平进一步得到提高。2011年12月韶关市医学学术到南雄市人民医院举办学习班，全市有600多名医务人员参加学习，业务水平得到了较大的提高。</w:t>
      </w:r>
    </w:p>
    <w:p w14:paraId="47F5C6BE">
      <w:pPr>
        <w:pStyle w:val="4"/>
      </w:pPr>
      <w:r>
        <w:rPr>
          <w:rFonts w:hint="eastAsia"/>
        </w:rPr>
        <w:t>【社区卫生工作】</w:t>
      </w:r>
    </w:p>
    <w:p w14:paraId="33DB5509">
      <w:pPr>
        <w:ind w:firstLine="420"/>
        <w:rPr>
          <w:rFonts w:ascii="宋体" w:hAnsi="宋体"/>
          <w:szCs w:val="21"/>
        </w:rPr>
      </w:pPr>
      <w:r>
        <w:rPr>
          <w:rFonts w:hint="eastAsia" w:ascii="宋体" w:hAnsi="宋体"/>
          <w:szCs w:val="21"/>
        </w:rPr>
        <w:t>南雄市于2008年将原黎口卫生院设置为南雄市雄州街道社区卫生服务中心，并下设八一、胜利、建国和新城四个卫生服务站。2011年，加强对辖区内的城市社区卫生服务体系建设。充分利用中央扩大内需基层医疗卫生服务体系建设项目建设资金建设雄州街道社区卫生服务中心医技楼。进一步健全基本的社区卫生服务功能，开展社区卫生信息管理、健康教育、传染病预防控制、慢性病预防控制、精神卫生服务、妇女保健、儿童保健、老年保健、康复服务、突发公共卫生事件以及其他公共卫生服务等工作，努力实现“小病在社区，防病在社区，康复在社区”的目标。</w:t>
      </w:r>
    </w:p>
    <w:p w14:paraId="4B15B1AE">
      <w:pPr>
        <w:pStyle w:val="4"/>
      </w:pPr>
      <w:r>
        <w:rPr>
          <w:rFonts w:hint="eastAsia"/>
        </w:rPr>
        <w:t>【中医事业】</w:t>
      </w:r>
    </w:p>
    <w:p w14:paraId="48ED97EB">
      <w:pPr>
        <w:ind w:firstLine="420"/>
        <w:rPr>
          <w:rFonts w:ascii="宋体" w:hAnsi="宋体"/>
          <w:szCs w:val="21"/>
        </w:rPr>
      </w:pPr>
      <w:r>
        <w:rPr>
          <w:rFonts w:hint="eastAsia" w:ascii="宋体" w:hAnsi="宋体"/>
          <w:szCs w:val="21"/>
        </w:rPr>
        <w:t>加强做好中医强市工作，不断发展中医事业。充分利用中央扩大内需基层医疗卫生服务体系建设项目建设资金推进中医院住院大楼的建设。强化内涵管理，加强中医特色专科建设，提升中医服务能力。加大中草药使用力度，制订相关制度，打造中医特色名片——市中医院康复科，专科专病特色优势明显，能充分发挥简、便、验、廉的中医优势，采用中药内服外治、针灸推拿、康复治疗等手段治疗痛症和瘫症疗效显著，传统的三伏天天灸疗法以其确切的疗效，深受患者的喜爱。将骨伤康复科分为骨伤科、康复科，进一步整合中医人才，不断完善康复科的建设，给予康复科政策扶持，改善就医环境，加大投入添置康复设备，中医特色效果显现。</w:t>
      </w:r>
    </w:p>
    <w:p w14:paraId="498BB27B">
      <w:pPr>
        <w:pStyle w:val="4"/>
      </w:pPr>
      <w:r>
        <w:rPr>
          <w:rFonts w:hint="eastAsia"/>
        </w:rPr>
        <w:t>【无偿献血工作】</w:t>
      </w:r>
    </w:p>
    <w:p w14:paraId="114CEC09">
      <w:pPr>
        <w:ind w:firstLine="420"/>
        <w:rPr>
          <w:rFonts w:ascii="宋体" w:hAnsi="宋体"/>
          <w:szCs w:val="21"/>
        </w:rPr>
      </w:pPr>
      <w:r>
        <w:rPr>
          <w:rFonts w:hint="eastAsia" w:ascii="宋体" w:hAnsi="宋体"/>
          <w:szCs w:val="21"/>
        </w:rPr>
        <w:t>宣传贯彻落实《献血法》，积极推动无偿献血工作，确保医疗用血安全和需要。自1998年10月启动无偿献血以来，全市参加无偿献血15888人次，献血总量为317万毫升。2011年全市参加无偿献血2980人次，总血量59万毫升。其中有1049名农民参加无偿献血，占总献血人次的35%。2008年至2011年连续三年被韶关市人民政府评为韶关市无偿献血工作先进单位。</w:t>
      </w:r>
    </w:p>
    <w:p w14:paraId="5E623EA5">
      <w:pPr>
        <w:pStyle w:val="3"/>
      </w:pPr>
      <w:r>
        <w:rPr>
          <w:rFonts w:hint="eastAsia"/>
        </w:rPr>
        <w:t>爱国卫生运动</w:t>
      </w:r>
    </w:p>
    <w:p w14:paraId="162F69A6">
      <w:pPr>
        <w:pStyle w:val="4"/>
      </w:pPr>
      <w:r>
        <w:rPr>
          <w:rFonts w:hint="eastAsia"/>
        </w:rPr>
        <w:t>【概况】</w:t>
      </w:r>
    </w:p>
    <w:p w14:paraId="6E0CB7D2">
      <w:pPr>
        <w:ind w:firstLine="420"/>
        <w:rPr>
          <w:rFonts w:ascii="宋体" w:hAnsi="宋体"/>
          <w:szCs w:val="21"/>
        </w:rPr>
      </w:pPr>
      <w:r>
        <w:rPr>
          <w:rFonts w:hint="eastAsia" w:ascii="宋体" w:hAnsi="宋体"/>
          <w:szCs w:val="21"/>
        </w:rPr>
        <w:t>落实全市爱国卫生工作和创建国家卫生城市工作“十二五”长期规划和短期工作要点。组织实施全市农村改水、改厕工作，印发《南雄市2012年度重大公共卫生服务项目农村改厕管理方案》。2011年9月底完成300户农村改厕任务。印发《南雄市2011年农村饮用水水质卫生监测报告》，并把监测结果反馈给市卫生局和水务局。组织实施全市城乡除“四害”及其监督工作。组织实施省、市级卫生村的创建工作。2011年全市有1个行政村、8个自然村被授予“广东省卫生村”称号，有18个自然村被授予“韶关市卫生村”称号。</w:t>
      </w:r>
    </w:p>
    <w:p w14:paraId="564CA6B7">
      <w:pPr>
        <w:pStyle w:val="4"/>
      </w:pPr>
      <w:r>
        <w:rPr>
          <w:rFonts w:hint="eastAsia"/>
        </w:rPr>
        <w:t>【建立健全组织机构】</w:t>
      </w:r>
    </w:p>
    <w:p w14:paraId="7F26A171">
      <w:pPr>
        <w:ind w:firstLine="420"/>
        <w:rPr>
          <w:rFonts w:ascii="宋体" w:hAnsi="宋体"/>
          <w:szCs w:val="21"/>
        </w:rPr>
      </w:pPr>
      <w:r>
        <w:rPr>
          <w:rFonts w:hint="eastAsia" w:ascii="宋体" w:hAnsi="宋体"/>
          <w:szCs w:val="21"/>
        </w:rPr>
        <w:t>2011年11月鉴于南雄市爱国卫生运动委员会部分成员工作已变动，经市政府同意，对市爱国卫生运动委员会成员进行调整，主任由副市长马细妹担任，委员单位增加到27个。办公室设在市卫生局。</w:t>
      </w:r>
    </w:p>
    <w:p w14:paraId="0EF1F867">
      <w:pPr>
        <w:pStyle w:val="4"/>
      </w:pPr>
      <w:r>
        <w:rPr>
          <w:rFonts w:hint="eastAsia"/>
        </w:rPr>
        <w:t>【巩固省卫生城市创建成果和创建卫生村工作】</w:t>
      </w:r>
    </w:p>
    <w:p w14:paraId="03F7FC86">
      <w:pPr>
        <w:ind w:firstLine="420"/>
        <w:rPr>
          <w:rFonts w:ascii="宋体" w:hAnsi="宋体"/>
          <w:szCs w:val="21"/>
        </w:rPr>
      </w:pPr>
      <w:r>
        <w:rPr>
          <w:rFonts w:hint="eastAsia" w:ascii="宋体" w:hAnsi="宋体"/>
          <w:szCs w:val="21"/>
        </w:rPr>
        <w:t>实施《南雄市2010-2012年城乡环境卫生整洁行动实施方案》，进一步巩固省卫生城市创建成果。开展多次以清洁市容、镇容、村容为重点的“牛皮癣”整治、集贸市场内外环境的综合整治、清除城、镇、村存在的卫生死角、城乡结合部整治、市民不文明行为等的专项整治活动。通过综合整治，城乡面貌达到明显的改观。同时积极推动生活垃圾收集处理，保障城市生活垃圾和污水处理设施正常运行，逐步实现垃圾、污水处理减量化、无害化。加强对公共厕所、垃圾收集等市政公用设施的改造和建设，推动农贸市场的升级改造，提升城市农贸市场规范化水平。以创建卫生村镇、生态文明村为载体，开展村庄整治，实施农村清洁工程，实施“门前三包”制度；建立村庄清扫保洁机制，推行农村垃圾“村收集、镇转运、县处理”的模式，适时建设符合标准的垃圾填埋场。2011年11月雄州镇莲塘村贵村十队、界址镇马芫村园下被授予省级卫生村称号、油山镇下惠村委会上门村等10个村被授予韶关市卫生村称号。</w:t>
      </w:r>
    </w:p>
    <w:p w14:paraId="078CBD72">
      <w:pPr>
        <w:pStyle w:val="4"/>
      </w:pPr>
      <w:r>
        <w:rPr>
          <w:rFonts w:hint="eastAsia"/>
        </w:rPr>
        <w:t>【农村卫生工作】</w:t>
      </w:r>
    </w:p>
    <w:p w14:paraId="3B679DE6">
      <w:pPr>
        <w:ind w:firstLine="420"/>
        <w:rPr>
          <w:rFonts w:ascii="宋体" w:hAnsi="宋体"/>
          <w:szCs w:val="21"/>
        </w:rPr>
      </w:pPr>
      <w:r>
        <w:rPr>
          <w:rFonts w:hint="eastAsia" w:ascii="宋体" w:hAnsi="宋体"/>
          <w:szCs w:val="21"/>
        </w:rPr>
        <w:t>根据韶关市《2011年韶关市旅游景区周边环境卫生整治工作实施方案》的要求，加强对学校、车站、城中村、建筑工地、乡镇与集市、卫生院、旅游景区周边环境卫生的管理。加大了城乡结合部、珠玑、梅岭、坪田和帽子峰旅游景区餐饮业、周边环境卫生整治力度。强化景区公路和河道、公路沿线环境卫生设施建设和绿化美化工作。积极开展南雄市农村改厕项目的落实工作，市爱卫办认真抓好项目范围的选择、项目镇的动员组织、宣传发动、技术培训和技术指导等一系列工作，按照上级的有关规定和要求，2011年高质量地完成了珠玑、水口和湖口共300户农村厕所的改造工作。</w:t>
      </w:r>
    </w:p>
    <w:p w14:paraId="6B6AE588">
      <w:pPr>
        <w:pStyle w:val="4"/>
      </w:pPr>
      <w:r>
        <w:rPr>
          <w:rFonts w:hint="eastAsia"/>
        </w:rPr>
        <w:t>【除四害防病工作】</w:t>
      </w:r>
    </w:p>
    <w:p w14:paraId="7F3A9A08">
      <w:pPr>
        <w:ind w:firstLine="420"/>
        <w:rPr>
          <w:rFonts w:ascii="宋体" w:hAnsi="宋体"/>
          <w:szCs w:val="21"/>
        </w:rPr>
      </w:pPr>
      <w:r>
        <w:rPr>
          <w:rFonts w:hint="eastAsia" w:ascii="宋体" w:hAnsi="宋体"/>
          <w:szCs w:val="21"/>
        </w:rPr>
        <w:t>经市政府批准同意，2011年12月始，除“四害”工作职责由城市综合管理局划归市爱卫办管理，成立“南雄市有害生物防制消杀中心”。一是进一步加强对全市病媒生物的防制工作，运用各种物理和化学的方法，干预和控制有害生物密度，努力降低虫媒性传染病对人群健康的影响。2011年5月开展全市统一灭蚊、灭鼠工作和“四害”孳生地本底调查工作。二是贯彻执行《广东省除四害管理规定》，巩固灭鼠灭蝇达标成果，做好市区除四害工作。截至2011年12月，治理蚊蝇孳生地239处，在城区公共场所共投入85%敌敌畏乳油89公斤，20%拜力坦乳油8公斤，50%甲胺磷乳油29公斤，5%奋斗呐粉剂11公斤，5%康宁广谱剂9公斤，0.2%敌鼠钠盐稻谷556公斤。有效控制“四害”密度，预防由虫媒引起的传染性疾病的发生。</w:t>
      </w:r>
    </w:p>
    <w:p w14:paraId="7F11C4BF">
      <w:pPr>
        <w:pStyle w:val="4"/>
      </w:pPr>
      <w:r>
        <w:rPr>
          <w:rFonts w:hint="eastAsia"/>
        </w:rPr>
        <w:t>【建立完善相关规定制度】</w:t>
      </w:r>
    </w:p>
    <w:p w14:paraId="74899D23">
      <w:pPr>
        <w:ind w:firstLine="420"/>
        <w:rPr>
          <w:rFonts w:ascii="宋体" w:hAnsi="宋体"/>
          <w:szCs w:val="21"/>
        </w:rPr>
      </w:pPr>
      <w:r>
        <w:rPr>
          <w:rFonts w:hint="eastAsia" w:ascii="宋体" w:hAnsi="宋体"/>
          <w:szCs w:val="21"/>
        </w:rPr>
        <w:t>按照“以块为主，条块结合，统一领导，分级管理”的原则，建立完善爱卫工作领导约束机制，做到爱卫工作件件有人管，事事有人干，项项得落实。明确爱卫会成员单位工作的职责、目标、任务，建立领导联系责任制度，爱国卫生各成员单位根据职责要求，明确各自分工及相互关系，积极开展工作。同时建立相关指标体系，把爱卫工作的绩效纳入领导干部年终考核内容，增进领导者对这方面工作的责任心。</w:t>
      </w:r>
    </w:p>
    <w:p w14:paraId="30BC662D">
      <w:pPr>
        <w:pStyle w:val="3"/>
      </w:pPr>
      <w:r>
        <w:rPr>
          <w:rFonts w:hint="eastAsia"/>
        </w:rPr>
        <w:t>卫生执法监督</w:t>
      </w:r>
    </w:p>
    <w:p w14:paraId="7914117C">
      <w:pPr>
        <w:pStyle w:val="4"/>
      </w:pPr>
      <w:r>
        <w:rPr>
          <w:rFonts w:hint="eastAsia"/>
        </w:rPr>
        <w:t>【概况】</w:t>
      </w:r>
    </w:p>
    <w:p w14:paraId="39E01D8D">
      <w:pPr>
        <w:ind w:firstLine="420"/>
        <w:rPr>
          <w:rFonts w:ascii="宋体" w:hAnsi="宋体"/>
          <w:szCs w:val="21"/>
        </w:rPr>
      </w:pPr>
      <w:r>
        <w:rPr>
          <w:rFonts w:hint="eastAsia" w:ascii="宋体" w:hAnsi="宋体"/>
          <w:szCs w:val="21"/>
        </w:rPr>
        <w:t>重点加强职业卫生、放射卫生、医疗机构、公共场所、生活饮用水卫生、学校卫生、传染病防治等方面的预防性和经常性卫生监督。参与对危害公共卫生、医疗放射、重大疫情和突发事件的调查处理。严肃查处危害食品安全、医疗安全以及传染病防治等方面的违法行为，维护一方平安。</w:t>
      </w:r>
    </w:p>
    <w:p w14:paraId="562389EB">
      <w:pPr>
        <w:pStyle w:val="4"/>
      </w:pPr>
      <w:r>
        <w:rPr>
          <w:rFonts w:hint="eastAsia"/>
        </w:rPr>
        <w:t>【公共场所卫生监管】</w:t>
      </w:r>
    </w:p>
    <w:p w14:paraId="26CF7274">
      <w:pPr>
        <w:ind w:firstLine="420"/>
        <w:rPr>
          <w:rFonts w:ascii="宋体" w:hAnsi="宋体"/>
          <w:szCs w:val="21"/>
        </w:rPr>
      </w:pPr>
      <w:r>
        <w:rPr>
          <w:rFonts w:hint="eastAsia" w:ascii="宋体" w:hAnsi="宋体"/>
          <w:szCs w:val="21"/>
        </w:rPr>
        <w:t>强化学校卫生监督。2011年对全市76间中小学学校和市区17间幼儿园进行卫生监督执法检查。加强对公共场所经营单位的监督。累计开展公共场所等卫生监督户数达190多户次。针对存在问题下达卫生监督意见书180份，对经营单位均未作出罚款、停业、吊销卫生许可证等行政处罚。强化生活饮用水卫生监督。联合市疾控中心对全市12个自来水厂的卫生设施、从业人员健康状况、水质检测情况等进行监督检查，规范其管理。确保全市居民饮水安全。</w:t>
      </w:r>
    </w:p>
    <w:p w14:paraId="26D0028E">
      <w:pPr>
        <w:pStyle w:val="4"/>
      </w:pPr>
      <w:r>
        <w:rPr>
          <w:rFonts w:hint="eastAsia"/>
        </w:rPr>
        <w:t>【医疗机构监管】</w:t>
      </w:r>
    </w:p>
    <w:p w14:paraId="73D6A0E3">
      <w:pPr>
        <w:ind w:firstLine="420"/>
        <w:rPr>
          <w:rFonts w:ascii="宋体" w:hAnsi="宋体"/>
          <w:szCs w:val="21"/>
        </w:rPr>
      </w:pPr>
      <w:r>
        <w:rPr>
          <w:rFonts w:hint="eastAsia" w:ascii="宋体" w:hAnsi="宋体"/>
          <w:szCs w:val="21"/>
        </w:rPr>
        <w:t>加强医疗市场监管，严格医疗执业资格准入。一是严把医疗机构和执业人员审查关，在医疗机构审批、执业人员注册中严格按照法规规定审查，做到不合格的机构坚决不审批、不符合规定的人员坚决不注册，把好打击非法行医的第一道关口；二是利用医疗机构年度校验审查、整改、规范不合法的行为，取缔不合法的机构。三是开展打击非法行医专项行动工作，取得较好的效果。据不完全统计，2011年出动卫生执法人员156人次，出动执法车辆47台次，监督检查医疗机构和药品经营单位213家，其中医疗机构212家，药品经营单位1家。对3家未取得《医疗机构执业许可证》擅自开展医疗执业活动的诊所进行取缔；对18家超执业范围行医的医疗机构进行责令整改。在专项行动期间，查处各类违法医疗机构21家，对违法的医疗机构下达整改意见书并处罚款人民币41000元，没收非法药品及器械一批（价值约4000元）。其中19家已结案。查处超出执业登记范围诊疗活动的18家，罚款人民币共计27000元，进一步规范医疗市场，保障患者合法权益。</w:t>
      </w:r>
    </w:p>
    <w:p w14:paraId="594C9FCB">
      <w:pPr>
        <w:pStyle w:val="4"/>
      </w:pPr>
      <w:r>
        <w:rPr>
          <w:rFonts w:hint="eastAsia"/>
        </w:rPr>
        <w:t>【职业卫生监督】</w:t>
      </w:r>
    </w:p>
    <w:p w14:paraId="5302A0F7">
      <w:pPr>
        <w:ind w:firstLine="420"/>
        <w:rPr>
          <w:rFonts w:ascii="宋体" w:hAnsi="宋体"/>
          <w:szCs w:val="21"/>
        </w:rPr>
      </w:pPr>
      <w:r>
        <w:rPr>
          <w:rFonts w:hint="eastAsia" w:ascii="宋体" w:hAnsi="宋体"/>
          <w:szCs w:val="21"/>
        </w:rPr>
        <w:t>为加强职业监管力度，强化企业第一责任人意识，保护劳动者身体健康，根据</w:t>
      </w:r>
      <w:r>
        <w:rPr>
          <w:rFonts w:hint="eastAsia" w:ascii="宋体" w:hAnsi="宋体"/>
          <w:szCs w:val="21"/>
          <w:lang w:eastAsia="zh-CN"/>
        </w:rPr>
        <w:t>《中华人民共和国职业病防治法》</w:t>
      </w:r>
      <w:r>
        <w:rPr>
          <w:rFonts w:hint="eastAsia" w:ascii="宋体" w:hAnsi="宋体"/>
          <w:szCs w:val="21"/>
        </w:rPr>
        <w:t>及相关法律法规，2011年5月，对东莞大岭山（南雄）产业园的企业及其他产生职业病危害因素的企业进行摸底调查和监督检查。要求企业在职业病防护措施、建立职业健康监护档案、从事接触职业病危害作业的工人职业健康检查等方面，严格执行</w:t>
      </w:r>
      <w:r>
        <w:rPr>
          <w:rFonts w:hint="eastAsia" w:ascii="宋体" w:hAnsi="宋体"/>
          <w:szCs w:val="21"/>
          <w:lang w:eastAsia="zh-CN"/>
        </w:rPr>
        <w:t>《中华人民共和国职业病防治法》</w:t>
      </w:r>
      <w:r>
        <w:rPr>
          <w:rFonts w:hint="eastAsia" w:ascii="宋体" w:hAnsi="宋体"/>
          <w:szCs w:val="21"/>
        </w:rPr>
        <w:t>及相关法律法规。这次检查26家企业，出具《卫生监督意见书》26份。</w:t>
      </w:r>
    </w:p>
    <w:p w14:paraId="0D6DDC0E">
      <w:pPr>
        <w:pStyle w:val="4"/>
      </w:pPr>
      <w:r>
        <w:rPr>
          <w:rFonts w:hint="eastAsia"/>
        </w:rPr>
        <w:t>【食品安全综合协调】</w:t>
      </w:r>
    </w:p>
    <w:p w14:paraId="09707C3F">
      <w:pPr>
        <w:ind w:firstLine="420"/>
        <w:rPr>
          <w:rFonts w:ascii="宋体" w:hAnsi="宋体"/>
          <w:szCs w:val="21"/>
        </w:rPr>
      </w:pPr>
      <w:r>
        <w:rPr>
          <w:rFonts w:hint="eastAsia" w:ascii="宋体" w:hAnsi="宋体"/>
          <w:szCs w:val="21"/>
        </w:rPr>
        <w:t>深入贯彻《食品安全法》，准确把握当前食品安全工作面临的形式和任务。2011年制定《南雄市2011年食品安全工作计划》和《南雄市严厉打击食品非法添加和滥用食品添加剂专项行动工作方案》，进一步落实食品安全专项整治工作的工作目标、工作措施等，扎实开展全市食品安全工作。严厉查处无证无照经营和制售假冒伪劣食品等违法行为，2011年办结食品流通环节案件7宗，查获一批瓶装蓝带、名士、茅台、五粮液涉嫌伪劣假酒，价值约5万元；查处湖口镇一个专门从事屠宰病死猪进行销售的黑窝点，现场查获已屠宰病死猪肉100公斤，未屠宰病害猪3头，当场进行无害化处理；查处3宗手工面制品小作坊添加非食用物质硼砂案件，并将有关责任人移送市公安局作进一步处理；组织农业、工商、卫生、质监等有关部门查处乌迳一非法使用工业硫磺熏制辣椒加工黑窝点，销毁用工业硫磺熏制的辣椒约6000公斤（价值约20000元）、工业硫磺10公斤及加工工具一批，有力打击硫磺熏制辣椒违法行为。通过专项整治，使食品生产经营企业的责任意识进一步增强，食品安全保障水平明显提高；食品安全各环节监管责任进一步落实，食品安全监管效能明显提高；食品安全长效机制进一步完善，食品安全生产经营秩序明显改善；农村和城乡结合部食品安全状况进一步好转，人民群众饮食安全得到切实保障。</w:t>
      </w:r>
    </w:p>
    <w:p w14:paraId="29ADFE9C">
      <w:pPr>
        <w:pStyle w:val="3"/>
      </w:pPr>
      <w:r>
        <w:rPr>
          <w:rFonts w:hint="eastAsia"/>
        </w:rPr>
        <w:t>医德医风建设</w:t>
      </w:r>
    </w:p>
    <w:p w14:paraId="24E96879">
      <w:pPr>
        <w:pStyle w:val="4"/>
      </w:pPr>
      <w:r>
        <w:rPr>
          <w:rFonts w:hint="eastAsia"/>
        </w:rPr>
        <w:t>【行业作风建设与医德医风教育】</w:t>
      </w:r>
    </w:p>
    <w:p w14:paraId="64A64430">
      <w:pPr>
        <w:ind w:firstLine="420"/>
        <w:rPr>
          <w:rFonts w:ascii="宋体" w:hAnsi="宋体"/>
          <w:szCs w:val="21"/>
        </w:rPr>
      </w:pPr>
      <w:r>
        <w:rPr>
          <w:rFonts w:hint="eastAsia" w:ascii="宋体" w:hAnsi="宋体"/>
          <w:szCs w:val="21"/>
        </w:rPr>
        <w:t>坚持“标本兼治、纠建并举”的方针和“谁主管谁负责”、“管行业必须管行风”的原则，紧紧围绕医疗卫生系统改革与发展任务，以维护人民群众的切身利益为目的，以制度建设为根本，以社会各界广泛参与为基础，以强化社会监督为手段，深入开展政风行风评议与“三好一满意”活动，通过抓行风建设和落实纠风工作责任制、开展“三纪”教育和职业道德教育，强化服务宗旨、改善服务态度、改进服务作风、提高服务质量、加强医院内部规范化管理和制度建设，采取便民利民措施情况等一系列措施，着力解决医药购销和医疗服务之中人民群众反映强烈的政风行风问题，大力弘扬大医精诚、仁心仁术、尊重生命、精益求精、乐于奉献的新时期医疗卫生职业精神，不断提升服务水平，持续改进医疗质量，构建和谐医患关系，努力为人民群众提供安全、有效、方便、价廉医疗卫生服务。切实减轻群众医疗费用负担，达到“服务好、质量好、医德好，群众满意”的目标。</w:t>
      </w:r>
    </w:p>
    <w:p w14:paraId="4934186B">
      <w:pPr>
        <w:pStyle w:val="4"/>
      </w:pPr>
      <w:r>
        <w:rPr>
          <w:rFonts w:hint="eastAsia"/>
        </w:rPr>
        <w:t>【建立监督激励机制】</w:t>
      </w:r>
    </w:p>
    <w:p w14:paraId="42DA1292">
      <w:pPr>
        <w:ind w:firstLine="420"/>
        <w:rPr>
          <w:rFonts w:ascii="宋体" w:hAnsi="宋体"/>
          <w:szCs w:val="21"/>
        </w:rPr>
      </w:pPr>
      <w:r>
        <w:rPr>
          <w:rFonts w:hint="eastAsia" w:ascii="宋体" w:hAnsi="宋体"/>
          <w:szCs w:val="21"/>
        </w:rPr>
        <w:t>一是建立监督制度，接受人民群众监督。设立院内、院外监督员，采取走出去、请进来等方式听取群众意见；设立举报箱、举报电话，建立接待日制度，把群众意见集中进行梳理，并针对存在问题，制定相应措施，做到定时间、定人员落实整改措施。对违规违纪人和事严肃处理，公开曝光。二是建立自查自纠制度。医院制定明确的自查自纠规定，做到值班查、医护人员结合自己的岗位查，重点查服务态度、医疗质量、医患关系、收费标准、投诉信件，通过这些措施及时了解医德医风现状，做到边查边改。三是建立医德医风考评制度，奖优罚劣。按级成立考评小组，制定出考评标准，主要考评医疗质量、服务态度、坚守岗位、履行职责、收受物品等情况，建立医德医风档案，每年对医护人员进行1至2次的集体综合考评，将考评情况装入档案，把考评结果公平、公开、公正地向群众公布，与晋升、调整工资、表彰先进挂钩，达到激励先进、鞭策后进教育大家的目的。                                               （邓荣强）</w:t>
      </w:r>
    </w:p>
    <w:p w14:paraId="3D263429">
      <w:pPr>
        <w:ind w:firstLine="0" w:firstLineChars="0"/>
        <w:rPr>
          <w:rFonts w:ascii="宋体" w:hAnsi="宋体"/>
          <w:szCs w:val="21"/>
        </w:rPr>
      </w:pPr>
      <w:r>
        <w:rPr>
          <w:rFonts w:hint="eastAsia" w:ascii="宋体" w:hAnsi="宋体"/>
          <w:b/>
          <w:szCs w:val="21"/>
        </w:rPr>
        <w:t>附：2011年市卫生局领导班子成员名单</w:t>
      </w:r>
    </w:p>
    <w:p w14:paraId="04847BD9">
      <w:pPr>
        <w:ind w:firstLine="0" w:firstLineChars="0"/>
        <w:rPr>
          <w:rFonts w:ascii="宋体" w:hAnsi="宋体"/>
          <w:szCs w:val="21"/>
        </w:rPr>
      </w:pPr>
      <w:r>
        <w:rPr>
          <w:rFonts w:hint="eastAsia" w:ascii="宋体" w:hAnsi="宋体"/>
          <w:szCs w:val="21"/>
        </w:rPr>
        <w:t>局长：丁春晖</w:t>
      </w:r>
    </w:p>
    <w:p w14:paraId="0E4DD865">
      <w:pPr>
        <w:ind w:firstLine="0" w:firstLineChars="0"/>
        <w:rPr>
          <w:rFonts w:ascii="宋体" w:hAnsi="宋体"/>
          <w:szCs w:val="21"/>
        </w:rPr>
      </w:pPr>
      <w:r>
        <w:rPr>
          <w:rFonts w:hint="eastAsia" w:ascii="宋体" w:hAnsi="宋体"/>
          <w:szCs w:val="21"/>
        </w:rPr>
        <w:t>副局长：彭大芬  朱广庭  易艳辉</w:t>
      </w:r>
    </w:p>
    <w:p w14:paraId="481C101E">
      <w:pPr>
        <w:ind w:firstLine="0" w:firstLineChars="0"/>
        <w:rPr>
          <w:rFonts w:ascii="宋体" w:hAnsi="宋体"/>
          <w:szCs w:val="21"/>
        </w:rPr>
      </w:pPr>
      <w:r>
        <w:rPr>
          <w:rFonts w:hint="eastAsia" w:ascii="宋体" w:hAnsi="宋体"/>
          <w:szCs w:val="21"/>
        </w:rPr>
        <w:t>纪委书记：钟祥培</w:t>
      </w:r>
    </w:p>
    <w:p w14:paraId="10454A78">
      <w:pPr>
        <w:ind w:firstLine="0" w:firstLineChars="0"/>
        <w:rPr>
          <w:rFonts w:ascii="宋体" w:hAnsi="宋体"/>
          <w:szCs w:val="21"/>
        </w:rPr>
      </w:pPr>
      <w:r>
        <w:rPr>
          <w:rFonts w:hint="eastAsia" w:ascii="宋体" w:hAnsi="宋体"/>
          <w:szCs w:val="21"/>
        </w:rPr>
        <w:t>工会主席：温  靖</w:t>
      </w:r>
    </w:p>
    <w:p w14:paraId="5CE6BE1F">
      <w:pPr>
        <w:pStyle w:val="3"/>
      </w:pPr>
      <w:r>
        <w:rPr>
          <w:rFonts w:hint="eastAsia"/>
        </w:rPr>
        <w:t>市直属医疗卫生机构</w:t>
      </w:r>
    </w:p>
    <w:p w14:paraId="415CDA41">
      <w:pPr>
        <w:pStyle w:val="4"/>
      </w:pPr>
      <w:r>
        <w:rPr>
          <w:rFonts w:hint="eastAsia"/>
        </w:rPr>
        <w:t>【南雄市人民医院】</w:t>
      </w:r>
    </w:p>
    <w:p w14:paraId="09322610">
      <w:pPr>
        <w:ind w:firstLine="420"/>
        <w:rPr>
          <w:rFonts w:ascii="宋体" w:hAnsi="宋体"/>
          <w:szCs w:val="21"/>
        </w:rPr>
      </w:pPr>
      <w:r>
        <w:rPr>
          <w:rFonts w:hint="eastAsia" w:ascii="宋体" w:hAnsi="宋体"/>
          <w:szCs w:val="21"/>
        </w:rPr>
        <w:t>南雄市人民医院成立于1949年，其前身为南雄县人民政府卫生院。经过半个多世纪的发展，南雄市人民医院已建设成为一所集医疗、教学、科研、保健、康复为一体的综合性二级甲等医院。是南雄市的医疗急救中心，是广东省普通高等医学院校教学医院和南方医院实践教学基地、广州药学院附属第一医院教学医院，是广东省百家医院。设有南方医院南雄远程医学分中心，多次被评为省、韶关市文明单位称号，并荣获中华全国总工会授予的“全国模范职工之家”荣誉称号。</w:t>
      </w:r>
    </w:p>
    <w:p w14:paraId="12D580FF">
      <w:pPr>
        <w:ind w:firstLine="420"/>
        <w:rPr>
          <w:rFonts w:ascii="宋体" w:hAnsi="宋体"/>
          <w:szCs w:val="21"/>
        </w:rPr>
      </w:pPr>
      <w:r>
        <w:rPr>
          <w:rFonts w:hint="eastAsia" w:ascii="宋体" w:hAnsi="宋体"/>
          <w:szCs w:val="21"/>
        </w:rPr>
        <w:t>医院占地面积6.8万平方米，建筑面积4万平方米。在职职工394人，专业技术人员348人，占在职职工的88.3%。高级技术职称人员50人，中级职称135人，初级职称125人，硕士学历人员2人。医院病床编制为500张，实际开放床位490张，病床使用率为80%。2010年门诊患者26万人次，比上年增长6.7%；住院患者1.8万人次，比上年增长6.3%；大小手术5531台，各类体检人数8130人次。全院业务收入为1.0113亿元，比上年增长4.44%。</w:t>
      </w:r>
    </w:p>
    <w:p w14:paraId="7BBC78E5">
      <w:pPr>
        <w:ind w:firstLine="420"/>
        <w:rPr>
          <w:rFonts w:ascii="宋体" w:hAnsi="宋体"/>
          <w:szCs w:val="21"/>
        </w:rPr>
      </w:pPr>
      <w:r>
        <w:rPr>
          <w:rFonts w:hint="eastAsia" w:ascii="宋体" w:hAnsi="宋体"/>
          <w:szCs w:val="21"/>
        </w:rPr>
        <w:t>医院设置内科、心肾内科、外一科、外二科、骨科、妇产科、儿科、中医科、传染科、五官科、ICU重症监护病区、急诊科等临床住院科室和检验、功能、放射、CT等医技科室，开放病床500张，医疗设备齐全，拥有进口全身CT扫描机、磁共振成像设备（MR）、800mAX光机、彩色B超、全自动生化分析仪、血液分析仪、血液透析机、电子胃肠镜、体外震波碎石机、关节镜、腹腔镜等先进医疗设备。</w:t>
      </w:r>
    </w:p>
    <w:p w14:paraId="57383FDD">
      <w:pPr>
        <w:ind w:firstLine="420"/>
        <w:rPr>
          <w:rFonts w:ascii="宋体" w:hAnsi="宋体"/>
          <w:szCs w:val="21"/>
        </w:rPr>
      </w:pPr>
      <w:r>
        <w:rPr>
          <w:rFonts w:hint="eastAsia" w:ascii="宋体" w:hAnsi="宋体"/>
          <w:szCs w:val="21"/>
        </w:rPr>
        <w:t>医院重视内涵建设，加强医疗护理质量管理，狠抓医务人员技术培训、积极引进、应用、开展新技术、新项目，促进全院医疗护理质量的快速稳步提高。近年来、内科开展微创颅内穿刺针治疗高血压性脑出血、外科的腹腔镜、前列腺气化电切、颅脑、肿瘤手术、骨科的关节镜、全髋、全膝关节置换、胸腰椎手术、妇产科的妇科腹腔镜、宫腔镜、妇科肿瘤手术、儿科的新生儿缺血缺氧性脑病早期干预治疗等新项目取得较好的疗效。其中，内科开展《微创颅内穿刺针治疗高血压性脑出血》获韶关市科技进步三等奖，骨科开展《复杂性髋舀骨折形态与功能重建的临床研究》获南雄市科技进步二等奖，检验科连续八年被广东省临床检验中心评为临床检验优良奖。</w:t>
      </w:r>
    </w:p>
    <w:p w14:paraId="4788E86D">
      <w:pPr>
        <w:ind w:firstLine="420"/>
        <w:rPr>
          <w:rFonts w:ascii="宋体" w:hAnsi="宋体"/>
          <w:szCs w:val="21"/>
        </w:rPr>
      </w:pPr>
      <w:r>
        <w:rPr>
          <w:rFonts w:hint="eastAsia" w:ascii="宋体" w:hAnsi="宋体"/>
          <w:szCs w:val="21"/>
        </w:rPr>
        <w:t>2011年，医院老城门诊部改造工作顺利完成。采取多渠道、多方式的办法筹集资金，加紧加快重点科室的建设和发展，对老城门诊部进行装修改造，扩建成人、儿童输液室，增设小型手术室和门诊诊室，加装电梯等设施，修补陈旧内、外墙，改善诊疗环境。2011年3月，医院实现老城门诊部全面电脑化管理，既方便广大人民群众，又规范医疗护理质量管理，收到良好的社会效益和经济效益。</w:t>
      </w:r>
    </w:p>
    <w:p w14:paraId="48D87F8E">
      <w:pPr>
        <w:ind w:firstLine="420"/>
        <w:rPr>
          <w:rFonts w:ascii="宋体" w:hAnsi="宋体"/>
          <w:szCs w:val="21"/>
        </w:rPr>
      </w:pPr>
      <w:r>
        <w:rPr>
          <w:rFonts w:hint="eastAsia" w:ascii="宋体" w:hAnsi="宋体"/>
          <w:szCs w:val="21"/>
        </w:rPr>
        <w:t>南雄市人民医院以医疗工作为中心，以提高医疗技术水平、强化医疗服务质量、注重人才开发培养、加大医院基础设施建设为重点，积极探索新的发展模式，力争在“十二五”期间创建成为一所规模适度、科室齐全、功能完善、环境优美、设施完备、服务规范、技术精湛的三级医院。               （刘世洪）</w:t>
      </w:r>
    </w:p>
    <w:p w14:paraId="019CF70C">
      <w:pPr>
        <w:ind w:firstLine="0" w:firstLineChars="0"/>
        <w:rPr>
          <w:rFonts w:ascii="宋体" w:hAnsi="宋体"/>
          <w:szCs w:val="21"/>
        </w:rPr>
      </w:pPr>
      <w:r>
        <w:rPr>
          <w:rFonts w:hint="eastAsia" w:ascii="宋体" w:hAnsi="宋体"/>
          <w:b/>
          <w:szCs w:val="21"/>
        </w:rPr>
        <w:t>附：2011年市人民医院领导班子成员名单</w:t>
      </w:r>
    </w:p>
    <w:p w14:paraId="621D803D">
      <w:pPr>
        <w:ind w:firstLine="0" w:firstLineChars="0"/>
        <w:rPr>
          <w:rFonts w:ascii="宋体" w:hAnsi="宋体"/>
          <w:szCs w:val="21"/>
        </w:rPr>
      </w:pPr>
      <w:r>
        <w:rPr>
          <w:rFonts w:hint="eastAsia" w:ascii="宋体" w:hAnsi="宋体"/>
          <w:szCs w:val="21"/>
        </w:rPr>
        <w:t>院长：廖宣明</w:t>
      </w:r>
    </w:p>
    <w:p w14:paraId="00D57003">
      <w:pPr>
        <w:ind w:firstLine="0" w:firstLineChars="0"/>
        <w:rPr>
          <w:rFonts w:ascii="宋体" w:hAnsi="宋体"/>
          <w:szCs w:val="21"/>
        </w:rPr>
      </w:pPr>
      <w:r>
        <w:rPr>
          <w:rFonts w:hint="eastAsia" w:ascii="宋体" w:hAnsi="宋体"/>
          <w:szCs w:val="21"/>
        </w:rPr>
        <w:t>副院长：王  英  刘卫忠  严松林</w:t>
      </w:r>
    </w:p>
    <w:p w14:paraId="38638105">
      <w:pPr>
        <w:ind w:firstLine="840" w:firstLineChars="400"/>
        <w:rPr>
          <w:rFonts w:ascii="宋体" w:hAnsi="宋体"/>
          <w:szCs w:val="21"/>
        </w:rPr>
      </w:pPr>
      <w:r>
        <w:rPr>
          <w:rFonts w:hint="eastAsia" w:ascii="宋体" w:hAnsi="宋体"/>
          <w:szCs w:val="21"/>
        </w:rPr>
        <w:t>何旗明  陈友方  殷圣银</w:t>
      </w:r>
    </w:p>
    <w:p w14:paraId="45D1426E">
      <w:pPr>
        <w:ind w:firstLine="0" w:firstLineChars="0"/>
        <w:rPr>
          <w:rFonts w:ascii="宋体" w:hAnsi="宋体"/>
          <w:szCs w:val="21"/>
        </w:rPr>
      </w:pPr>
      <w:r>
        <w:rPr>
          <w:rFonts w:hint="eastAsia" w:ascii="宋体" w:hAnsi="宋体"/>
          <w:szCs w:val="21"/>
        </w:rPr>
        <w:t>工会主席：谢雄生</w:t>
      </w:r>
    </w:p>
    <w:p w14:paraId="3BE5F51D">
      <w:pPr>
        <w:pStyle w:val="4"/>
      </w:pPr>
      <w:r>
        <w:rPr>
          <w:rFonts w:hint="eastAsia"/>
        </w:rPr>
        <w:t>【南雄市中医院】</w:t>
      </w:r>
    </w:p>
    <w:p w14:paraId="745B50B9">
      <w:pPr>
        <w:ind w:firstLine="420"/>
        <w:rPr>
          <w:rFonts w:ascii="宋体" w:hAnsi="宋体"/>
          <w:szCs w:val="21"/>
        </w:rPr>
      </w:pPr>
      <w:r>
        <w:rPr>
          <w:rFonts w:hint="eastAsia" w:ascii="宋体" w:hAnsi="宋体"/>
          <w:szCs w:val="21"/>
        </w:rPr>
        <w:t>南雄市中医院地处市区雄州大道中段，是一所集医疗、教学、科研、保健、康复为一体的二级甲等中医医院，是广东药学院临床教学医院、广东药学院附属第一医院技术协作医院、韶关医学院教学医院、本市医疗保险机构定点医院。医院占地2万平方米，业务用房占地面积6848平方米，建筑面积20540平方米，设施完善。医院编制床位180张，现有在职职工278人，其中高级职称15人，中级职称55人。2011年医院住院人次7273人次，同比增长8.8%；业务收入3600万元同比增长6.5%；人均住院费用3503元，同比下降3.1%；药品比例29.45%，同比下降0.96%。</w:t>
      </w:r>
    </w:p>
    <w:p w14:paraId="0F6F0DFB">
      <w:pPr>
        <w:ind w:firstLine="420"/>
        <w:rPr>
          <w:rFonts w:ascii="宋体" w:hAnsi="宋体"/>
          <w:szCs w:val="21"/>
        </w:rPr>
      </w:pPr>
      <w:r>
        <w:rPr>
          <w:rFonts w:hint="eastAsia" w:ascii="宋体" w:hAnsi="宋体"/>
          <w:szCs w:val="21"/>
        </w:rPr>
        <w:t>医院设有急诊科、内儿科、外科、妇产科、骨伤科、康复科、五官科、肛肠科、皮肤科、口腔科、检验科、胃肠镜室、放射科、CT室、功能检查科等20多个医学专业学科和专科门诊，其中康复科是国家农村医疗机构中医特色专科建设项目。拥有螺旋CT、彩超、数字化X线摄影（DR）、计算机X线摄影（CR）、全自动生化分析仪、全自动五分类血球分析仪、腹腔镜、电子胃镜、钬激光治疗仪等一批性能稳定、质量可靠的设备。</w:t>
      </w:r>
    </w:p>
    <w:p w14:paraId="1CAC7D01">
      <w:pPr>
        <w:ind w:firstLine="420"/>
        <w:rPr>
          <w:rFonts w:ascii="宋体" w:hAnsi="宋体"/>
          <w:szCs w:val="21"/>
        </w:rPr>
      </w:pPr>
      <w:r>
        <w:rPr>
          <w:rFonts w:hint="eastAsia" w:ascii="宋体" w:hAnsi="宋体"/>
          <w:szCs w:val="21"/>
        </w:rPr>
        <w:t>2011年，列入中央扩大内需基础设施建设项目的医院新住院综合大楼完成一期基础工程，投入资金6968万元，完成年度工作计划139%。</w:t>
      </w:r>
    </w:p>
    <w:p w14:paraId="4020EA6C">
      <w:pPr>
        <w:ind w:firstLine="420"/>
        <w:rPr>
          <w:rFonts w:ascii="宋体" w:hAnsi="宋体"/>
          <w:szCs w:val="21"/>
        </w:rPr>
      </w:pPr>
      <w:r>
        <w:rPr>
          <w:rFonts w:hint="eastAsia" w:ascii="宋体" w:hAnsi="宋体"/>
          <w:szCs w:val="21"/>
        </w:rPr>
        <w:t>医院坚持“一切以病人为中心”服务宗旨和合理检查、合理治疗、合理用药的原则，实行全程优质服务，深得广大人民群众信任，被南雄市委评为“2011年度政风行风建设先进单位”。</w:t>
      </w:r>
    </w:p>
    <w:p w14:paraId="27859794">
      <w:pPr>
        <w:ind w:firstLine="420"/>
        <w:rPr>
          <w:rFonts w:ascii="宋体" w:hAnsi="宋体"/>
          <w:szCs w:val="21"/>
        </w:rPr>
      </w:pPr>
      <w:r>
        <w:rPr>
          <w:rFonts w:hint="eastAsia" w:ascii="宋体" w:hAnsi="宋体"/>
          <w:szCs w:val="21"/>
        </w:rPr>
        <w:t>医院将继续加强内涵管理，狠抓中医药文化建设，加强中医药特色建设各项措施及计划的落实，努力将医院建设成为中医特色浓厚、学科优势明显、专科特色鲜明的中医医院。                     （刘华）</w:t>
      </w:r>
    </w:p>
    <w:p w14:paraId="051E143C">
      <w:pPr>
        <w:ind w:firstLine="0" w:firstLineChars="0"/>
        <w:rPr>
          <w:rFonts w:ascii="宋体" w:hAnsi="宋体"/>
          <w:szCs w:val="21"/>
        </w:rPr>
      </w:pPr>
      <w:r>
        <w:rPr>
          <w:rFonts w:hint="eastAsia" w:ascii="宋体" w:hAnsi="宋体"/>
          <w:szCs w:val="21"/>
        </w:rPr>
        <w:t>附：2011年市中医院领导班子成员名单</w:t>
      </w:r>
    </w:p>
    <w:p w14:paraId="4480373C">
      <w:pPr>
        <w:ind w:firstLine="0" w:firstLineChars="0"/>
        <w:rPr>
          <w:rFonts w:ascii="宋体" w:hAnsi="宋体"/>
          <w:szCs w:val="21"/>
        </w:rPr>
      </w:pPr>
      <w:r>
        <w:rPr>
          <w:rFonts w:hint="eastAsia" w:ascii="宋体" w:hAnsi="宋体"/>
          <w:szCs w:val="21"/>
        </w:rPr>
        <w:t>院长：李  冰</w:t>
      </w:r>
    </w:p>
    <w:p w14:paraId="39AA5979">
      <w:pPr>
        <w:ind w:firstLine="0" w:firstLineChars="0"/>
        <w:rPr>
          <w:rFonts w:ascii="宋体" w:hAnsi="宋体"/>
          <w:szCs w:val="21"/>
        </w:rPr>
      </w:pPr>
      <w:r>
        <w:rPr>
          <w:rFonts w:hint="eastAsia" w:ascii="宋体" w:hAnsi="宋体"/>
          <w:szCs w:val="21"/>
        </w:rPr>
        <w:t>副院长：张万峰  刘加波  郭晓日</w:t>
      </w:r>
    </w:p>
    <w:p w14:paraId="09AD42E4">
      <w:pPr>
        <w:ind w:firstLine="0" w:firstLineChars="0"/>
        <w:rPr>
          <w:rFonts w:ascii="宋体" w:hAnsi="宋体"/>
          <w:szCs w:val="21"/>
        </w:rPr>
      </w:pPr>
      <w:r>
        <w:rPr>
          <w:rFonts w:hint="eastAsia" w:ascii="宋体" w:hAnsi="宋体"/>
          <w:szCs w:val="21"/>
        </w:rPr>
        <w:t>工会主席：王文博</w:t>
      </w:r>
    </w:p>
    <w:p w14:paraId="3DE4D29F">
      <w:pPr>
        <w:pStyle w:val="4"/>
      </w:pPr>
      <w:r>
        <w:rPr>
          <w:rFonts w:hint="eastAsia"/>
        </w:rPr>
        <w:t>【南雄市疾病预防控制中心】</w:t>
      </w:r>
    </w:p>
    <w:p w14:paraId="064E4158">
      <w:pPr>
        <w:ind w:firstLine="420"/>
        <w:rPr>
          <w:rFonts w:ascii="宋体" w:hAnsi="宋体"/>
          <w:szCs w:val="21"/>
        </w:rPr>
      </w:pPr>
      <w:r>
        <w:rPr>
          <w:rFonts w:hint="eastAsia" w:ascii="宋体" w:hAnsi="宋体"/>
          <w:szCs w:val="21"/>
        </w:rPr>
        <w:t>南雄市疾病预防控制中心是政府设立实施疾病预防控制与公共卫生技术管理和服务的副科级公益事业单位，负责全市疾病预防控制、免疫规划、突发公共卫生事件应急处置、卫生监测检验和卫生学评价、健康教育等技术指导与服务。设有办公室、行政管理科、疾病预防控制科、供应科、公共卫生科、检验科、体检科、预防接种门诊、健康教育所共9个科（所）。在编工作人员45人，其中专业技术人员39人（高级职称3人，中级职称19人，初级职称17人）；合同制职工14人（专业技术人员8人，工勤人员6人）。占地面积508.6平方米，建筑面积1501平方米，其中检验用房595.2平方米。2011年9月疾病预防控制中心新办公大楼正式开工建设，至2011年12月底已完成孔桩和地梁浇注等工程。</w:t>
      </w:r>
    </w:p>
    <w:p w14:paraId="2448BB11">
      <w:pPr>
        <w:ind w:firstLine="420"/>
        <w:rPr>
          <w:rFonts w:ascii="宋体" w:hAnsi="宋体"/>
          <w:b/>
          <w:szCs w:val="21"/>
        </w:rPr>
      </w:pPr>
      <w:r>
        <w:rPr>
          <w:rFonts w:hint="eastAsia" w:ascii="宋体" w:hAnsi="宋体"/>
          <w:szCs w:val="21"/>
        </w:rPr>
        <w:t>2011年，围绕度疾病预防控制工作目标，积极推进基本公共卫生服务均等化和实施疾病预防控制机构绩效考核，狠抓疾病预防控制各项工作落实，艾滋病、狂犬病、乙型病毒型肝炎、手足口病等重大传染病得到有效防控，手足口病、季节性流感、流行性腮腺炎等疾病为主的疫情得到有效控制。全年接报和处置急性传染病疫情和卫生事件19起，排除1起。18起卫生应急事件中，急性传染病疫情12起（含1起突发公共卫生事件），食源性感染事件3起，一犬伤及多人事件3起。未发生有重大影响的突发公共卫生事件。2011年被评为“韶关市2011年疾控系统突发公共卫生事件应急演练优秀奖”。                （王海涛）</w:t>
      </w:r>
      <w:r>
        <w:rPr>
          <w:rFonts w:hint="eastAsia" w:ascii="宋体" w:hAnsi="宋体"/>
          <w:b/>
          <w:szCs w:val="21"/>
        </w:rPr>
        <w:t>附：2011年市疾控中心领导班子成员名单</w:t>
      </w:r>
    </w:p>
    <w:p w14:paraId="547DF67B">
      <w:pPr>
        <w:ind w:firstLine="0" w:firstLineChars="0"/>
        <w:rPr>
          <w:rFonts w:ascii="宋体" w:hAnsi="宋体"/>
          <w:szCs w:val="21"/>
        </w:rPr>
      </w:pPr>
      <w:r>
        <w:rPr>
          <w:rFonts w:hint="eastAsia" w:ascii="宋体" w:hAnsi="宋体"/>
          <w:szCs w:val="21"/>
        </w:rPr>
        <w:t>主任：叶春福</w:t>
      </w:r>
    </w:p>
    <w:p w14:paraId="52EBE630">
      <w:pPr>
        <w:ind w:firstLine="0" w:firstLineChars="0"/>
        <w:rPr>
          <w:rFonts w:ascii="宋体" w:hAnsi="宋体"/>
          <w:szCs w:val="21"/>
        </w:rPr>
      </w:pPr>
      <w:r>
        <w:rPr>
          <w:rFonts w:hint="eastAsia" w:ascii="宋体" w:hAnsi="宋体"/>
          <w:szCs w:val="21"/>
        </w:rPr>
        <w:t>副主任：霍丽峰  欧阳效金（任至3月）</w:t>
      </w:r>
    </w:p>
    <w:p w14:paraId="187891A6">
      <w:pPr>
        <w:ind w:firstLine="840" w:firstLineChars="400"/>
        <w:rPr>
          <w:rFonts w:ascii="宋体" w:hAnsi="宋体"/>
          <w:szCs w:val="21"/>
        </w:rPr>
      </w:pPr>
      <w:r>
        <w:rPr>
          <w:rFonts w:hint="eastAsia" w:ascii="宋体" w:hAnsi="宋体"/>
          <w:szCs w:val="21"/>
        </w:rPr>
        <w:t>陈日新  赖华海  邬香华（3月任）</w:t>
      </w:r>
    </w:p>
    <w:p w14:paraId="24417719">
      <w:pPr>
        <w:ind w:firstLine="0" w:firstLineChars="0"/>
        <w:rPr>
          <w:rFonts w:ascii="宋体" w:hAnsi="宋体"/>
          <w:szCs w:val="21"/>
        </w:rPr>
      </w:pPr>
      <w:r>
        <w:rPr>
          <w:rFonts w:hint="eastAsia" w:ascii="宋体" w:hAnsi="宋体"/>
          <w:szCs w:val="21"/>
        </w:rPr>
        <w:t>工会主席：彭庆育</w:t>
      </w:r>
    </w:p>
    <w:p w14:paraId="5BC6E774">
      <w:pPr>
        <w:pStyle w:val="4"/>
      </w:pPr>
      <w:r>
        <w:rPr>
          <w:rFonts w:hint="eastAsia"/>
        </w:rPr>
        <w:t>【南雄市妇幼保健院】</w:t>
      </w:r>
    </w:p>
    <w:p w14:paraId="38656A65">
      <w:pPr>
        <w:ind w:firstLine="420"/>
        <w:rPr>
          <w:rFonts w:ascii="宋体" w:hAnsi="宋体"/>
          <w:szCs w:val="21"/>
        </w:rPr>
      </w:pPr>
      <w:r>
        <w:rPr>
          <w:rFonts w:hint="eastAsia" w:ascii="宋体" w:hAnsi="宋体"/>
          <w:szCs w:val="21"/>
        </w:rPr>
        <w:t>南雄市妇幼保健院其前身为南雄县妇幼保健站，成立于1953年，系县直单位兼计划生育工作。1975年与计生分开，成立妇幼保健所。1993年7月由原繁荣路75号迁至现在的新城中街22号。占地面积2200平方米。保健院内设妇产科、儿科、妇产门诊、检验科、B超室、保健科、药剂科、康复科、婚检室等科室。2001年12月通过省级上等达标评审，被卫生部授予“一级甲等”妇幼保健院。2011年12月16日南雄市机构编制委员会同意在“南雄市妇幼保健院”增挂“南雄市妇女儿童医院”牌子。是一间以保健为主，保健与临床相结合的集临床、保健、教学、科研为一体的综合医院。主要承担全市妇女、儿童的卫生保健工作。院内拥全自动生化分析仪、电子阴道镜、化学发光检测仪、微量元素分析仪、新生儿电子辐射抢救台、彩色多普勒超声诊断系统等先进设备。</w:t>
      </w:r>
    </w:p>
    <w:p w14:paraId="09C0F77B">
      <w:pPr>
        <w:ind w:firstLine="420"/>
        <w:rPr>
          <w:rFonts w:ascii="宋体" w:hAnsi="宋体"/>
          <w:szCs w:val="21"/>
        </w:rPr>
      </w:pPr>
      <w:r>
        <w:rPr>
          <w:rFonts w:hint="eastAsia" w:ascii="宋体" w:hAnsi="宋体"/>
          <w:szCs w:val="21"/>
        </w:rPr>
        <w:t>2011年全院在职人员69人，其中专业技术人员有35人（高级职称1人，中级职称13人，初级职称21人）。全年业务收入625万元，与去年同比增长11%，门诊人次34443人，同比增加49%，住院人次1202人，同比增加6%。                                                                     （何青竹）</w:t>
      </w:r>
    </w:p>
    <w:p w14:paraId="5DD439B9">
      <w:pPr>
        <w:ind w:firstLine="0" w:firstLineChars="0"/>
        <w:rPr>
          <w:rFonts w:ascii="宋体" w:hAnsi="宋体"/>
          <w:b/>
          <w:szCs w:val="21"/>
        </w:rPr>
      </w:pPr>
      <w:r>
        <w:rPr>
          <w:rFonts w:hint="eastAsia" w:ascii="宋体" w:hAnsi="宋体"/>
          <w:b/>
          <w:szCs w:val="21"/>
        </w:rPr>
        <w:t>附：2011年市妇幼保健院领导班子成员名单</w:t>
      </w:r>
    </w:p>
    <w:p w14:paraId="2BA26BED">
      <w:pPr>
        <w:ind w:firstLine="0" w:firstLineChars="0"/>
        <w:rPr>
          <w:rFonts w:ascii="宋体" w:hAnsi="宋体"/>
          <w:szCs w:val="21"/>
        </w:rPr>
      </w:pPr>
      <w:r>
        <w:rPr>
          <w:rFonts w:hint="eastAsia" w:ascii="宋体" w:hAnsi="宋体"/>
          <w:szCs w:val="21"/>
        </w:rPr>
        <w:t>院长：徐永宁</w:t>
      </w:r>
    </w:p>
    <w:p w14:paraId="04CCB254">
      <w:pPr>
        <w:ind w:firstLine="0" w:firstLineChars="0"/>
        <w:rPr>
          <w:rFonts w:ascii="宋体" w:hAnsi="宋体"/>
          <w:szCs w:val="21"/>
        </w:rPr>
      </w:pPr>
      <w:r>
        <w:rPr>
          <w:rFonts w:hint="eastAsia" w:ascii="宋体" w:hAnsi="宋体"/>
          <w:szCs w:val="21"/>
        </w:rPr>
        <w:t>副院长：江忠权  邓月秋</w:t>
      </w:r>
    </w:p>
    <w:p w14:paraId="385B0692">
      <w:pPr>
        <w:pStyle w:val="4"/>
      </w:pPr>
      <w:r>
        <w:rPr>
          <w:rFonts w:hint="eastAsia"/>
        </w:rPr>
        <w:t>【南雄市慢性病防治站】</w:t>
      </w:r>
    </w:p>
    <w:p w14:paraId="62CBBA98">
      <w:pPr>
        <w:ind w:firstLine="420"/>
        <w:rPr>
          <w:rFonts w:ascii="宋体" w:hAnsi="宋体"/>
          <w:szCs w:val="21"/>
        </w:rPr>
      </w:pPr>
      <w:r>
        <w:rPr>
          <w:rFonts w:hint="eastAsia" w:ascii="宋体" w:hAnsi="宋体"/>
          <w:szCs w:val="21"/>
        </w:rPr>
        <w:t>南雄市慢性病防治站为副科级卫生事业单位，成立于1976年6月。主要承担全市结核病防控、麻风病防治、重性精神疾病防治以及皮肤性病等慢性病防治工作。目前，单位业务用房发展到近2500平方米，设有门诊部、住院部、化验室、功能科和防治科等业务科室，全站在职正式工27人、其中专业技术人员有22人（中级职称7人，初级职称15人）。2011年接诊门诊病人13974人次，收治住院病人457人次。2011年荣获“2011年广东省麻风疫情管理先进单位”，“2011年度韶关市慢病防治工作先进单位”，“2011年度韶关市重性精神疾病管治项目先进单位”。                                             （傅赣明）</w:t>
      </w:r>
    </w:p>
    <w:p w14:paraId="3234328E">
      <w:pPr>
        <w:ind w:firstLine="0" w:firstLineChars="0"/>
        <w:rPr>
          <w:rFonts w:ascii="宋体" w:hAnsi="宋体"/>
          <w:szCs w:val="21"/>
        </w:rPr>
      </w:pPr>
      <w:r>
        <w:rPr>
          <w:rFonts w:hint="eastAsia" w:ascii="宋体" w:hAnsi="宋体"/>
          <w:b/>
          <w:szCs w:val="21"/>
        </w:rPr>
        <w:t>附：2011年市慢性病防治站领导班子名单</w:t>
      </w:r>
    </w:p>
    <w:p w14:paraId="252FA388">
      <w:pPr>
        <w:ind w:firstLine="0" w:firstLineChars="0"/>
        <w:rPr>
          <w:rFonts w:ascii="宋体" w:hAnsi="宋体"/>
          <w:szCs w:val="21"/>
        </w:rPr>
      </w:pPr>
      <w:r>
        <w:rPr>
          <w:rFonts w:hint="eastAsia" w:ascii="宋体" w:hAnsi="宋体"/>
          <w:szCs w:val="21"/>
        </w:rPr>
        <w:t>站长：张明峰</w:t>
      </w:r>
    </w:p>
    <w:p w14:paraId="346F35FA">
      <w:pPr>
        <w:ind w:firstLine="0" w:firstLineChars="0"/>
        <w:rPr>
          <w:rFonts w:ascii="宋体" w:hAnsi="宋体"/>
          <w:szCs w:val="21"/>
        </w:rPr>
      </w:pPr>
      <w:r>
        <w:rPr>
          <w:rFonts w:hint="eastAsia" w:ascii="宋体" w:hAnsi="宋体"/>
          <w:szCs w:val="21"/>
        </w:rPr>
        <w:t>副站长：王拨雄  傅赣明  曾昭华</w:t>
      </w:r>
    </w:p>
    <w:p w14:paraId="038AC080">
      <w:pPr>
        <w:pStyle w:val="3"/>
      </w:pPr>
      <w:r>
        <w:rPr>
          <w:rFonts w:hint="eastAsia"/>
        </w:rPr>
        <w:t>体育</w:t>
      </w:r>
    </w:p>
    <w:p w14:paraId="236C1CC1">
      <w:pPr>
        <w:pStyle w:val="4"/>
      </w:pPr>
      <w:r>
        <w:rPr>
          <w:rFonts w:hint="eastAsia"/>
        </w:rPr>
        <w:t>【概况】</w:t>
      </w:r>
    </w:p>
    <w:p w14:paraId="45200462">
      <w:pPr>
        <w:ind w:firstLine="420"/>
        <w:rPr>
          <w:rFonts w:ascii="宋体" w:hAnsi="宋体"/>
          <w:szCs w:val="21"/>
        </w:rPr>
      </w:pPr>
      <w:r>
        <w:rPr>
          <w:rFonts w:hint="eastAsia" w:ascii="宋体" w:hAnsi="宋体"/>
          <w:szCs w:val="21"/>
        </w:rPr>
        <w:t>2011年，南雄市体育局落实科学发展观，树立以人为本、关注民生的理念，立足体育工作职能，探索转变体育发展方式的问题，不断创新工作思路，提高竞技体育实力，保持群众体育在韶关前列位置，体育产业持续发展。</w:t>
      </w:r>
    </w:p>
    <w:p w14:paraId="4BCCD665">
      <w:pPr>
        <w:pStyle w:val="4"/>
      </w:pPr>
      <w:r>
        <w:rPr>
          <w:rFonts w:hint="eastAsia"/>
        </w:rPr>
        <w:t>【群众体育蓬勃开展】</w:t>
      </w:r>
    </w:p>
    <w:p w14:paraId="0B44208E">
      <w:pPr>
        <w:ind w:firstLine="420"/>
        <w:rPr>
          <w:rFonts w:ascii="宋体" w:hAnsi="宋体"/>
          <w:szCs w:val="21"/>
        </w:rPr>
      </w:pPr>
      <w:r>
        <w:rPr>
          <w:rFonts w:hint="eastAsia" w:ascii="宋体" w:hAnsi="宋体"/>
          <w:szCs w:val="21"/>
        </w:rPr>
        <w:t>开展节日体育活动。春节、体育节、国庆节期间全市举办群众性体育竞赛活动12次，参与人数近万人。实施镇级农民健身工程。学校体育重点发展。有3所中小学被省、市命名为体育传统项目学校。群众健身服务网络建设不断完善。2011年培训各社会体育指导员，其中省级1名，市级2名，县级116名。体育协会作用得到充分发挥。市老年人体协、市篮球协会、市羽毛球协会、市乒乓球协会、市自行车协会等群众体育协会异常活跃，做到月月有活动，季季有比赛，带动南雄城乡不断掀起健身热潮。2011年，组织2支队伍参加韶关市龙舟赛，组织开展“履行发展杯”篮球赛，有31支代表队参加比赛。组织老年体协参加韶关市老年人运动会，取得团体总分第三名。南雄市农民乒乓球队夺得韶关市首届“百镇千村”乒乓球赛男子单打第一名、女子单打第二名成绩。2011年，全市体育人口达到46.5%。</w:t>
      </w:r>
    </w:p>
    <w:p w14:paraId="5DC8D4A2">
      <w:pPr>
        <w:pStyle w:val="4"/>
      </w:pPr>
      <w:r>
        <w:rPr>
          <w:rFonts w:hint="eastAsia"/>
        </w:rPr>
        <w:t>【增强竞技体育实力】</w:t>
      </w:r>
    </w:p>
    <w:p w14:paraId="29578E5C">
      <w:pPr>
        <w:ind w:firstLine="420"/>
        <w:rPr>
          <w:rFonts w:ascii="宋体" w:hAnsi="宋体"/>
          <w:szCs w:val="21"/>
        </w:rPr>
      </w:pPr>
      <w:r>
        <w:rPr>
          <w:rFonts w:hint="eastAsia" w:ascii="宋体" w:hAnsi="宋体"/>
          <w:szCs w:val="21"/>
        </w:rPr>
        <w:t>加快业余训练发展，重视业余训练，注重后备人才培养。一是优化网点建设，规范基地管理；二是抓好体校田径、武术、举重、射击四个重点训练班的训练和管理；三是建立和完善体育人才输送渠道。2011年，向韶关体校输送运动员35人，在省集训运动员5人。2011年，参加韶关市青少年锦标赛，获团体总分第四名。</w:t>
      </w:r>
    </w:p>
    <w:p w14:paraId="476F914F">
      <w:pPr>
        <w:pStyle w:val="4"/>
      </w:pPr>
      <w:r>
        <w:rPr>
          <w:rFonts w:hint="eastAsia"/>
        </w:rPr>
        <w:t>【体育经济发展有新进展】</w:t>
      </w:r>
    </w:p>
    <w:p w14:paraId="3ED7C204">
      <w:pPr>
        <w:ind w:firstLine="420"/>
        <w:rPr>
          <w:rFonts w:ascii="宋体" w:hAnsi="宋体"/>
          <w:szCs w:val="21"/>
        </w:rPr>
      </w:pPr>
      <w:r>
        <w:rPr>
          <w:rFonts w:hint="eastAsia" w:ascii="宋体" w:hAnsi="宋体"/>
          <w:szCs w:val="21"/>
        </w:rPr>
        <w:t>以体育彩票为重点，体彩销售额不断上升，到年底销售额达2150万元，创历史新高。新玩法上市工作、销售点形象建设、从业人员培训及安全管理工作均走在韶关市前列。</w:t>
      </w:r>
    </w:p>
    <w:p w14:paraId="67A31264">
      <w:pPr>
        <w:pStyle w:val="4"/>
      </w:pPr>
      <w:r>
        <w:rPr>
          <w:rFonts w:hint="eastAsia"/>
        </w:rPr>
        <w:t>【体育场馆建设】</w:t>
      </w:r>
    </w:p>
    <w:p w14:paraId="07692736">
      <w:pPr>
        <w:ind w:firstLine="420"/>
        <w:rPr>
          <w:rFonts w:ascii="宋体" w:hAnsi="宋体"/>
          <w:szCs w:val="21"/>
        </w:rPr>
      </w:pPr>
      <w:r>
        <w:rPr>
          <w:rFonts w:hint="eastAsia" w:ascii="宋体" w:hAnsi="宋体"/>
          <w:szCs w:val="21"/>
        </w:rPr>
        <w:t>建成人民医院、政府大院内、全民健身广场等10个健身网点。完善武术、跆拳道、举重、射击、羽毛球、乒乓球项目的训练实施和体育馆的灯光改造。2011年，在40个村委会建设“农民体育健身工程”（一个标准篮球场和两张室外乒乓球台），“农民体育健身工程”累计完成178个村委会。全市人均体育场地面积达到0.47平方米。                                                                  （马平）</w:t>
      </w:r>
    </w:p>
    <w:p w14:paraId="09B97D28">
      <w:pPr>
        <w:ind w:firstLine="0" w:firstLineChars="0"/>
        <w:rPr>
          <w:rFonts w:ascii="宋体" w:hAnsi="宋体"/>
          <w:szCs w:val="21"/>
        </w:rPr>
      </w:pPr>
      <w:r>
        <w:rPr>
          <w:rFonts w:hint="eastAsia" w:ascii="宋体" w:hAnsi="宋体"/>
          <w:b/>
          <w:szCs w:val="21"/>
        </w:rPr>
        <w:t>附：2011年市体育局领导班子成员名单</w:t>
      </w:r>
    </w:p>
    <w:p w14:paraId="63A77F80">
      <w:pPr>
        <w:ind w:firstLine="0" w:firstLineChars="0"/>
        <w:rPr>
          <w:rFonts w:ascii="宋体" w:hAnsi="宋体"/>
          <w:szCs w:val="21"/>
        </w:rPr>
      </w:pPr>
      <w:r>
        <w:rPr>
          <w:rFonts w:hint="eastAsia" w:ascii="宋体" w:hAnsi="宋体"/>
          <w:szCs w:val="21"/>
        </w:rPr>
        <w:t>局  长：吴林山</w:t>
      </w:r>
    </w:p>
    <w:p w14:paraId="30BA3E91">
      <w:pPr>
        <w:ind w:firstLine="0" w:firstLineChars="0"/>
        <w:rPr>
          <w:rFonts w:ascii="宋体" w:hAnsi="宋体"/>
          <w:szCs w:val="21"/>
        </w:rPr>
      </w:pPr>
      <w:r>
        <w:rPr>
          <w:rFonts w:hint="eastAsia" w:ascii="宋体" w:hAnsi="宋体"/>
          <w:szCs w:val="21"/>
        </w:rPr>
        <w:t>副局长：陈志高  曾智君</w:t>
      </w:r>
    </w:p>
    <w:tbl>
      <w:tblPr>
        <w:tblStyle w:val="15"/>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276EAA5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151A5ABE">
            <w:pPr>
              <w:ind w:firstLine="0" w:firstLineChars="0"/>
              <w:rPr>
                <w:rFonts w:ascii="宋体" w:hAnsi="宋体"/>
                <w:szCs w:val="21"/>
              </w:rPr>
            </w:pPr>
            <w:r>
              <w:rPr>
                <w:rFonts w:ascii="宋体" w:hAnsi="宋体"/>
                <w:szCs w:val="21"/>
              </w:rPr>
              <w:pict>
                <v:shape id="_x0000_i1038" o:spt="75" type="#_x0000_t75" style="height:403.5pt;width:487.5pt;" filled="f" o:preferrelative="t" stroked="f" coordsize="21600,21600">
                  <v:path/>
                  <v:fill on="f" focussize="0,0"/>
                  <v:stroke on="f" joinstyle="miter"/>
                  <v:imagedata r:id="rId109" o:title="南雄年鉴2012-56"/>
                  <o:lock v:ext="edit" aspectratio="t"/>
                  <w10:wrap type="none"/>
                  <w10:anchorlock/>
                </v:shape>
              </w:pict>
            </w:r>
          </w:p>
        </w:tc>
      </w:tr>
    </w:tbl>
    <w:p w14:paraId="61C34D5B">
      <w:pPr>
        <w:pStyle w:val="2"/>
      </w:pPr>
      <w:r>
        <w:rPr>
          <w:rFonts w:hint="eastAsia"/>
        </w:rPr>
        <w:t>社会事业</w:t>
      </w:r>
    </w:p>
    <w:p w14:paraId="47E15013">
      <w:pPr>
        <w:pStyle w:val="3"/>
      </w:pPr>
      <w:r>
        <w:rPr>
          <w:rFonts w:hint="eastAsia"/>
        </w:rPr>
        <w:t>人口和计划生育</w:t>
      </w:r>
    </w:p>
    <w:p w14:paraId="129593A7">
      <w:pPr>
        <w:pStyle w:val="4"/>
      </w:pPr>
      <w:r>
        <w:rPr>
          <w:rFonts w:hint="eastAsia"/>
        </w:rPr>
        <w:t>【概况】</w:t>
      </w:r>
    </w:p>
    <w:p w14:paraId="73E85CFF">
      <w:pPr>
        <w:ind w:firstLine="420"/>
        <w:rPr>
          <w:rFonts w:ascii="宋体" w:hAnsi="宋体"/>
          <w:szCs w:val="21"/>
        </w:rPr>
      </w:pPr>
      <w:r>
        <w:rPr>
          <w:rFonts w:hint="eastAsia" w:ascii="宋体" w:hAnsi="宋体"/>
          <w:szCs w:val="21"/>
        </w:rPr>
        <w:t>南雄市人口和计划生育局属政府组成部门，主管全市人口和计划生育工作；市计划生育协会是协助政府做好人口和计划生育工作的群众团体，与市人口和计划生育局合署办公。内设机构8个股（室），分别为：办公室、规划统计股、科学技术股、政策法规股、宣传教育股、综合治理出生人口性别比办公室、人口目标与责任制考核办公室、计划生育协会。行政编制13名。南雄市计划生育服务站属市人口计生局下属事业单位。</w:t>
      </w:r>
    </w:p>
    <w:p w14:paraId="0372A083">
      <w:pPr>
        <w:pStyle w:val="4"/>
      </w:pPr>
      <w:r>
        <w:rPr>
          <w:rFonts w:hint="eastAsia"/>
        </w:rPr>
        <w:t>【信息化建设】</w:t>
      </w:r>
    </w:p>
    <w:p w14:paraId="44204751">
      <w:pPr>
        <w:ind w:firstLine="420"/>
        <w:rPr>
          <w:rFonts w:ascii="宋体" w:hAnsi="宋体"/>
          <w:szCs w:val="21"/>
        </w:rPr>
      </w:pPr>
      <w:r>
        <w:rPr>
          <w:rFonts w:hint="eastAsia" w:ascii="宋体" w:hAnsi="宋体"/>
          <w:szCs w:val="21"/>
        </w:rPr>
        <w:t>南雄市人口和计划生育信息化网络已实现市、县、镇三级光纤联网，已建立育龄妇女个案人口数据库，流动人口信息网上全国交互，软件自动生成报表，软件审核办证并且电脑打印。进行全员人口信息清理核查，摸清人口底子。全市人口计生系统共有98台计算机和一台服务器，各镇（街道）配备有二名以上的信息操作员，今年市人口计生局组织开展了3期业务培训。</w:t>
      </w:r>
    </w:p>
    <w:p w14:paraId="6E256D71">
      <w:pPr>
        <w:pStyle w:val="4"/>
      </w:pPr>
      <w:r>
        <w:rPr>
          <w:rFonts w:hint="eastAsia"/>
        </w:rPr>
        <w:t>【人口计生宣传】</w:t>
      </w:r>
    </w:p>
    <w:p w14:paraId="4471AEFB">
      <w:pPr>
        <w:ind w:firstLine="420"/>
        <w:rPr>
          <w:rFonts w:ascii="宋体" w:hAnsi="宋体"/>
          <w:szCs w:val="21"/>
        </w:rPr>
      </w:pPr>
      <w:r>
        <w:rPr>
          <w:rFonts w:hint="eastAsia" w:ascii="宋体" w:hAnsi="宋体"/>
          <w:szCs w:val="21"/>
        </w:rPr>
        <w:t>坚持重大宣传和经常性宣传相结合。充分利用市广播电视、网络、报刊和大型宣传牌等传统的宣传方式，坚持做好经常性宣传工作。2011年开始，在广播电视台开设创“国优”计生动态专栏，在南雄市党员干部远程教育网上开辟计生专栏。同时，“抓住“5·29”协会会员日、“7·11”世界人口日和中秋、国庆等重大节日契机，开展集中性宣传。</w:t>
      </w:r>
    </w:p>
    <w:p w14:paraId="3E444BD5">
      <w:pPr>
        <w:pStyle w:val="4"/>
      </w:pPr>
      <w:r>
        <w:rPr>
          <w:rFonts w:hint="eastAsia"/>
        </w:rPr>
        <w:t>【计划生育工作会议】</w:t>
      </w:r>
    </w:p>
    <w:p w14:paraId="043B9899">
      <w:pPr>
        <w:ind w:firstLine="420"/>
        <w:rPr>
          <w:rFonts w:ascii="宋体" w:hAnsi="宋体"/>
          <w:szCs w:val="21"/>
        </w:rPr>
      </w:pPr>
      <w:r>
        <w:rPr>
          <w:rFonts w:hint="eastAsia" w:ascii="宋体" w:hAnsi="宋体"/>
          <w:szCs w:val="21"/>
        </w:rPr>
        <w:t>2011年4月，召开全市计划生育工作会议暨表彰会，会议对上一年度的工作事业进行总结，对下一年度的工作作出部署，市长与各镇（街道）、各兼职单位代表签订责任书，会议对计划生育先进集体进行表彰颁奖。</w:t>
      </w:r>
    </w:p>
    <w:p w14:paraId="65481136">
      <w:pPr>
        <w:pStyle w:val="4"/>
      </w:pPr>
      <w:r>
        <w:rPr>
          <w:rFonts w:hint="eastAsia"/>
        </w:rPr>
        <w:t>【转型期人口计生工作新机制】</w:t>
      </w:r>
    </w:p>
    <w:p w14:paraId="21EB49D8">
      <w:pPr>
        <w:ind w:firstLine="420"/>
        <w:rPr>
          <w:rFonts w:ascii="宋体" w:hAnsi="宋体"/>
          <w:szCs w:val="21"/>
        </w:rPr>
      </w:pPr>
      <w:r>
        <w:rPr>
          <w:rFonts w:hint="eastAsia" w:ascii="宋体" w:hAnsi="宋体"/>
          <w:szCs w:val="21"/>
        </w:rPr>
        <w:t>全市推行人口和计划生育综合改革，2011年全市有80个村（居）进行计划生育综合改革试点，旨在推进村民自觉遵守计划生育政策。</w:t>
      </w:r>
    </w:p>
    <w:p w14:paraId="2EE650EE">
      <w:pPr>
        <w:pStyle w:val="4"/>
      </w:pPr>
      <w:r>
        <w:rPr>
          <w:rFonts w:hint="eastAsia"/>
        </w:rPr>
        <w:t>【人口专项整治】</w:t>
      </w:r>
    </w:p>
    <w:p w14:paraId="6D5F7DB7">
      <w:pPr>
        <w:ind w:firstLine="420"/>
        <w:rPr>
          <w:rFonts w:ascii="宋体" w:hAnsi="宋体"/>
          <w:szCs w:val="21"/>
        </w:rPr>
      </w:pPr>
      <w:r>
        <w:rPr>
          <w:rFonts w:hint="eastAsia" w:ascii="宋体" w:hAnsi="宋体"/>
          <w:szCs w:val="21"/>
        </w:rPr>
        <w:t>由市财政拨款10万元，对非医学需要的胎儿性别鉴定和非医学需要的人工终止妊娠行为（简称“两非”）进行打击查处，没收B超机、违法药品一批，罚款5万元以上，处理涉案人员6人；联合市公安局、住建局、工商局、卫生局、财政局等计划生育兼职部门在全市范围内开展流动人口计划生育服务管理专项活动，对出租屋、窝棚、商铺、住宅小区、工地、厂区宿舍等流动人口比较集中的地方进行地毯式的清查登记。</w:t>
      </w:r>
    </w:p>
    <w:p w14:paraId="74316F5C">
      <w:pPr>
        <w:pStyle w:val="4"/>
      </w:pPr>
      <w:r>
        <w:rPr>
          <w:rFonts w:hint="eastAsia"/>
        </w:rPr>
        <w:t>【荣誊】</w:t>
      </w:r>
    </w:p>
    <w:p w14:paraId="0C4D180D">
      <w:pPr>
        <w:ind w:firstLine="420"/>
        <w:rPr>
          <w:rFonts w:ascii="宋体" w:hAnsi="宋体"/>
          <w:szCs w:val="21"/>
        </w:rPr>
      </w:pPr>
      <w:r>
        <w:rPr>
          <w:rFonts w:hint="eastAsia" w:ascii="宋体" w:hAnsi="宋体"/>
          <w:szCs w:val="21"/>
        </w:rPr>
        <w:t>综合治理出生人口性别比项目获得“广东省综合治理出生人口性别比项目创新奖”荣誉称号。</w:t>
      </w:r>
    </w:p>
    <w:p w14:paraId="0D89F9D1">
      <w:pPr>
        <w:pStyle w:val="4"/>
      </w:pPr>
      <w:r>
        <w:rPr>
          <w:rFonts w:hint="eastAsia"/>
        </w:rPr>
        <w:t>【政策法规】</w:t>
      </w:r>
    </w:p>
    <w:p w14:paraId="3D5A5D16">
      <w:pPr>
        <w:ind w:firstLine="420"/>
        <w:rPr>
          <w:rFonts w:ascii="宋体" w:hAnsi="宋体"/>
          <w:szCs w:val="21"/>
        </w:rPr>
      </w:pPr>
      <w:r>
        <w:rPr>
          <w:rFonts w:hint="eastAsia" w:ascii="宋体" w:hAnsi="宋体"/>
          <w:szCs w:val="21"/>
        </w:rPr>
        <w:t>贯彻落实《中华人民共和国人口与计划生育法》、《广东省人口与计划生育条例》和《行政许可法》等法律法规，加大基层文明执法力度，依法管理，依法办事，依法行政。没有发生因违反法定程序而出现的行政复议和行政诉讼案件，也无违反《行政许可法》滥收费、乱罚款的现象发生。严格兑现省、市规定的有关奖励政策。2011年发放农村部分家庭奖励金960多人次，发放金额45万多元；发放农村独生子女及纯生二女户节育奖2721人次，奖励金额158万多元；发放计划生育家庭特别扶助对象31人次，金额5万多元；发放城镇独生子女父母计划生育奖励金299人次，金额26万多元。2011年，有569名纯二女户女孩和农村独生子女享受中考加10分政策。</w:t>
      </w:r>
    </w:p>
    <w:p w14:paraId="5B031B6A">
      <w:pPr>
        <w:pStyle w:val="4"/>
      </w:pPr>
      <w:r>
        <w:rPr>
          <w:rFonts w:hint="eastAsia"/>
        </w:rPr>
        <w:t>【规划统计】</w:t>
      </w:r>
    </w:p>
    <w:p w14:paraId="25FE7E0F">
      <w:pPr>
        <w:ind w:firstLine="420"/>
        <w:rPr>
          <w:rFonts w:ascii="宋体" w:hAnsi="宋体"/>
          <w:szCs w:val="21"/>
        </w:rPr>
      </w:pPr>
      <w:r>
        <w:rPr>
          <w:rFonts w:hint="eastAsia" w:ascii="宋体" w:hAnsi="宋体"/>
          <w:szCs w:val="21"/>
        </w:rPr>
        <w:t>对人口和计划生育发展动态进行监测，通过对人口统计数据和人口变动抽样调查结果的分析，提出人口和计划生育安全预警预报建议，以达到稳定低生育水平，控制全市人口的过快增长的目的。同时拟订全市流动人口计划生育服务管理工作规划，规范流动人口计划生育服务管理工作制度，对全市流动人口实行全面统一的管理，切实维护流动人口合法权益。</w:t>
      </w:r>
    </w:p>
    <w:p w14:paraId="1337841C">
      <w:pPr>
        <w:pStyle w:val="4"/>
      </w:pPr>
      <w:r>
        <w:rPr>
          <w:rFonts w:hint="eastAsia"/>
        </w:rPr>
        <w:t>【基础建设】</w:t>
      </w:r>
    </w:p>
    <w:p w14:paraId="0D6A57F5">
      <w:pPr>
        <w:ind w:firstLine="420"/>
        <w:rPr>
          <w:rFonts w:ascii="宋体" w:hAnsi="宋体"/>
          <w:szCs w:val="21"/>
        </w:rPr>
      </w:pPr>
      <w:r>
        <w:rPr>
          <w:rFonts w:hint="eastAsia" w:ascii="宋体" w:hAnsi="宋体"/>
          <w:szCs w:val="21"/>
        </w:rPr>
        <w:t>市、镇财政投入计划生育基础建设资金400多万元，232个村（社区）更新计划生育“三栏二室一校”；18个镇（街道）建立人口和计划生育技术服务所，其中4个镇（街道）达到了省甲级服务所标准，7个镇为乙级服务所，5个中心服务所。</w:t>
      </w:r>
    </w:p>
    <w:p w14:paraId="1C917792">
      <w:pPr>
        <w:pStyle w:val="4"/>
      </w:pPr>
      <w:r>
        <w:rPr>
          <w:rFonts w:hint="eastAsia"/>
        </w:rPr>
        <w:t>【技术服务】</w:t>
      </w:r>
    </w:p>
    <w:p w14:paraId="033EDD6B">
      <w:pPr>
        <w:ind w:firstLine="420"/>
        <w:rPr>
          <w:rFonts w:ascii="宋体" w:hAnsi="宋体"/>
          <w:szCs w:val="21"/>
        </w:rPr>
      </w:pPr>
      <w:r>
        <w:rPr>
          <w:rFonts w:hint="eastAsia" w:ascii="宋体" w:hAnsi="宋体"/>
          <w:szCs w:val="21"/>
        </w:rPr>
        <w:t>投资近230万元改建市计划生育服务站；对服务大楼进行了修缮。服务站所人员全程参加“科技大练兵”活动，广泛开展全国免费孕前优生健康检查项目，为3000多对夫妇免费进行健康检查和义诊。</w:t>
      </w:r>
    </w:p>
    <w:p w14:paraId="3E3C2620">
      <w:pPr>
        <w:pStyle w:val="4"/>
      </w:pPr>
      <w:r>
        <w:rPr>
          <w:rFonts w:hint="eastAsia"/>
        </w:rPr>
        <w:t>【队伍建设】</w:t>
      </w:r>
    </w:p>
    <w:p w14:paraId="3D45EA28">
      <w:pPr>
        <w:ind w:firstLine="420"/>
        <w:rPr>
          <w:rFonts w:ascii="宋体" w:hAnsi="宋体"/>
          <w:szCs w:val="21"/>
        </w:rPr>
      </w:pPr>
      <w:r>
        <w:rPr>
          <w:rFonts w:hint="eastAsia" w:ascii="宋体" w:hAnsi="宋体"/>
          <w:szCs w:val="21"/>
        </w:rPr>
        <w:t>计生队伍由计生工作队和计生服务所组成，有186人。2011年向社会新招聘12名大中专毕业的专业技术人员充实到各镇（街道）计生队伍。                                                   （李俊国）</w:t>
      </w:r>
    </w:p>
    <w:p w14:paraId="568188EF">
      <w:pPr>
        <w:ind w:firstLine="0" w:firstLineChars="0"/>
        <w:rPr>
          <w:rFonts w:ascii="宋体" w:hAnsi="宋体"/>
          <w:b/>
          <w:szCs w:val="21"/>
        </w:rPr>
      </w:pPr>
      <w:r>
        <w:rPr>
          <w:rFonts w:hint="eastAsia" w:ascii="宋体" w:hAnsi="宋体"/>
          <w:b/>
          <w:szCs w:val="21"/>
        </w:rPr>
        <w:t>附：2011年市计生局领导班子成员名单</w:t>
      </w:r>
    </w:p>
    <w:p w14:paraId="276436E0">
      <w:pPr>
        <w:ind w:firstLine="0" w:firstLineChars="0"/>
        <w:rPr>
          <w:rFonts w:ascii="宋体" w:hAnsi="宋体"/>
          <w:szCs w:val="21"/>
        </w:rPr>
      </w:pPr>
      <w:r>
        <w:rPr>
          <w:rFonts w:hint="eastAsia" w:ascii="宋体" w:hAnsi="宋体"/>
          <w:szCs w:val="21"/>
        </w:rPr>
        <w:t>局  长：卢德政（任至8月）</w:t>
      </w:r>
    </w:p>
    <w:p w14:paraId="0701BB82">
      <w:pPr>
        <w:ind w:firstLine="840" w:firstLineChars="400"/>
        <w:rPr>
          <w:rFonts w:ascii="宋体" w:hAnsi="宋体"/>
          <w:szCs w:val="21"/>
        </w:rPr>
      </w:pPr>
      <w:r>
        <w:rPr>
          <w:rFonts w:hint="eastAsia" w:ascii="宋体" w:hAnsi="宋体"/>
          <w:szCs w:val="21"/>
        </w:rPr>
        <w:t>刘光新（8月任）</w:t>
      </w:r>
    </w:p>
    <w:p w14:paraId="3E72E0C8">
      <w:pPr>
        <w:ind w:firstLine="0" w:firstLineChars="0"/>
        <w:rPr>
          <w:rFonts w:ascii="宋体" w:hAnsi="宋体"/>
          <w:szCs w:val="21"/>
        </w:rPr>
      </w:pPr>
      <w:r>
        <w:rPr>
          <w:rFonts w:hint="eastAsia" w:ascii="宋体" w:hAnsi="宋体"/>
          <w:szCs w:val="21"/>
        </w:rPr>
        <w:t>党组书记：何哲瑜（8月任）</w:t>
      </w:r>
    </w:p>
    <w:p w14:paraId="58A34A58">
      <w:pPr>
        <w:ind w:firstLine="0" w:firstLineChars="0"/>
        <w:rPr>
          <w:rFonts w:ascii="宋体" w:hAnsi="宋体"/>
          <w:szCs w:val="21"/>
        </w:rPr>
      </w:pPr>
      <w:r>
        <w:rPr>
          <w:rFonts w:hint="eastAsia" w:ascii="宋体" w:hAnsi="宋体"/>
          <w:szCs w:val="21"/>
        </w:rPr>
        <w:t>副局长：廖贤光  何荣生</w:t>
      </w:r>
    </w:p>
    <w:p w14:paraId="6A2BC2FF">
      <w:pPr>
        <w:ind w:firstLine="0" w:firstLineChars="0"/>
        <w:rPr>
          <w:rFonts w:ascii="宋体" w:hAnsi="宋体"/>
          <w:szCs w:val="21"/>
        </w:rPr>
      </w:pPr>
      <w:r>
        <w:rPr>
          <w:rFonts w:hint="eastAsia" w:ascii="宋体" w:hAnsi="宋体"/>
          <w:szCs w:val="21"/>
        </w:rPr>
        <w:t>纪检组长：陈道英</w:t>
      </w:r>
    </w:p>
    <w:p w14:paraId="782072CD">
      <w:pPr>
        <w:ind w:firstLine="0" w:firstLineChars="0"/>
        <w:rPr>
          <w:rFonts w:ascii="宋体" w:hAnsi="宋体"/>
          <w:szCs w:val="21"/>
        </w:rPr>
      </w:pPr>
      <w:r>
        <w:rPr>
          <w:rFonts w:hint="eastAsia" w:ascii="宋体" w:hAnsi="宋体"/>
          <w:szCs w:val="21"/>
        </w:rPr>
        <w:t>工会主席：李镰昌</w:t>
      </w:r>
    </w:p>
    <w:p w14:paraId="7C7CCB3E">
      <w:pPr>
        <w:pStyle w:val="3"/>
      </w:pPr>
      <w:r>
        <w:rPr>
          <w:rFonts w:hint="eastAsia"/>
        </w:rPr>
        <w:t>人力资源和社会保障</w:t>
      </w:r>
    </w:p>
    <w:p w14:paraId="310EEBB1">
      <w:pPr>
        <w:pStyle w:val="4"/>
      </w:pPr>
      <w:r>
        <w:rPr>
          <w:rFonts w:hint="eastAsia"/>
        </w:rPr>
        <w:t>【概况】</w:t>
      </w:r>
    </w:p>
    <w:p w14:paraId="524D6ED1">
      <w:pPr>
        <w:ind w:firstLine="420"/>
        <w:rPr>
          <w:rFonts w:ascii="宋体" w:hAnsi="宋体"/>
          <w:szCs w:val="21"/>
        </w:rPr>
      </w:pPr>
      <w:r>
        <w:rPr>
          <w:rFonts w:hint="eastAsia" w:ascii="宋体" w:hAnsi="宋体"/>
          <w:szCs w:val="21"/>
        </w:rPr>
        <w:t>南雄市人力资源和社会保障局是正科级行政单位，为南雄市人民政府工作部门，内设8个股室：办公室、就业促进股、职业能力建设股、事业单位人事管理股、工资福利股、人事劳动监察股、社会保障股和公务员办公室。下属5个事业单位：南雄市人才工作管理办公室（市人才服务中心）、南雄市劳动人事争议仲裁院、南雄市劳动监察大队、南雄市人力资源管理办公室和南雄市劳动就业服务管理办公室。</w:t>
      </w:r>
    </w:p>
    <w:p w14:paraId="5CA90477">
      <w:pPr>
        <w:ind w:firstLine="420"/>
        <w:rPr>
          <w:rFonts w:ascii="宋体" w:hAnsi="宋体"/>
          <w:szCs w:val="21"/>
        </w:rPr>
      </w:pPr>
      <w:r>
        <w:rPr>
          <w:rFonts w:hint="eastAsia" w:ascii="宋体" w:hAnsi="宋体"/>
          <w:szCs w:val="21"/>
        </w:rPr>
        <w:t>2011年，先后获得省、韶关和南雄市委、市政府授予的“广东省新型农村社会养老保险制度全覆盖达标单位”、“2011年度广东省模范劳动关系和谐园区”、“韶关市文明单位”、“韶关市依法治市工作先进单位”、“韶关市新型农村社会养老保险试点工作先进单位”、“韶关市农村劳动力培训转移就业工作示范县（市、区）”、“韶关市人力资源和社会保障系统庆祝建党90周年文艺晚会二等奖”。</w:t>
      </w:r>
    </w:p>
    <w:p w14:paraId="02BB6B80">
      <w:pPr>
        <w:pStyle w:val="4"/>
      </w:pPr>
      <w:r>
        <w:rPr>
          <w:rFonts w:hint="eastAsia"/>
        </w:rPr>
        <w:t>【城乡统筹就业】</w:t>
      </w:r>
    </w:p>
    <w:p w14:paraId="4BE57861">
      <w:pPr>
        <w:ind w:firstLine="420"/>
        <w:rPr>
          <w:rFonts w:ascii="宋体" w:hAnsi="宋体"/>
          <w:szCs w:val="21"/>
        </w:rPr>
      </w:pPr>
      <w:r>
        <w:rPr>
          <w:rFonts w:hint="eastAsia" w:ascii="宋体" w:hAnsi="宋体"/>
          <w:szCs w:val="21"/>
        </w:rPr>
        <w:t>2011年，实现城镇新增就业4591人，比上年增加39人。年末城镇失业率始终控制在2.6%以内。农村劳动力转移就业12156人，其中就地就近转移8879人，劳务输出3277人。全年发放社会保险补贴65人次24.9万元，办理小额贷款3笔10万元。全年办理失业人员登记1088人，发放就业失业登记证3712本，发布招聘信息763条。</w:t>
      </w:r>
    </w:p>
    <w:p w14:paraId="050186EE">
      <w:pPr>
        <w:pStyle w:val="4"/>
      </w:pPr>
      <w:r>
        <w:rPr>
          <w:rFonts w:hint="eastAsia"/>
        </w:rPr>
        <w:t>【农民工就业】</w:t>
      </w:r>
    </w:p>
    <w:p w14:paraId="50F1CA90">
      <w:pPr>
        <w:ind w:firstLine="420"/>
        <w:rPr>
          <w:rFonts w:ascii="宋体" w:hAnsi="宋体"/>
          <w:szCs w:val="21"/>
        </w:rPr>
      </w:pPr>
      <w:r>
        <w:rPr>
          <w:rFonts w:hint="eastAsia" w:ascii="宋体" w:hAnsi="宋体"/>
          <w:szCs w:val="21"/>
        </w:rPr>
        <w:t>2011年，举办农民工专场招聘会36场，参加各场招聘会的企业有208家，提供就业岗位1.2万多个，吸引2万多人前来咨询应聘，现场达成就业意向9760人。</w:t>
      </w:r>
    </w:p>
    <w:p w14:paraId="33A45637">
      <w:pPr>
        <w:pStyle w:val="4"/>
      </w:pPr>
      <w:r>
        <w:rPr>
          <w:rFonts w:hint="eastAsia"/>
        </w:rPr>
        <w:t>【劳动力市场调控】</w:t>
      </w:r>
    </w:p>
    <w:p w14:paraId="4F6A2512">
      <w:pPr>
        <w:ind w:firstLine="420"/>
        <w:rPr>
          <w:rFonts w:ascii="宋体" w:hAnsi="宋体"/>
          <w:szCs w:val="21"/>
        </w:rPr>
      </w:pPr>
      <w:r>
        <w:rPr>
          <w:rFonts w:hint="eastAsia" w:ascii="宋体" w:hAnsi="宋体"/>
          <w:szCs w:val="21"/>
        </w:rPr>
        <w:t>2011年，实施企业工资最低标准850元/月，引导本市劳动力到本市企业就业3376人，其中农村劳动力2467人，城镇失业人员625人，困难人员就业284人。</w:t>
      </w:r>
    </w:p>
    <w:p w14:paraId="34DC0773">
      <w:pPr>
        <w:pStyle w:val="4"/>
      </w:pPr>
      <w:r>
        <w:rPr>
          <w:rFonts w:hint="eastAsia"/>
        </w:rPr>
        <w:t>【困难群体就业援助】</w:t>
      </w:r>
    </w:p>
    <w:p w14:paraId="7E2AA33A">
      <w:pPr>
        <w:ind w:firstLine="420"/>
        <w:rPr>
          <w:rFonts w:ascii="宋体" w:hAnsi="宋体"/>
          <w:szCs w:val="21"/>
        </w:rPr>
      </w:pPr>
      <w:r>
        <w:rPr>
          <w:rFonts w:hint="eastAsia" w:ascii="宋体" w:hAnsi="宋体"/>
          <w:szCs w:val="21"/>
        </w:rPr>
        <w:t>2011年，落实扶助困难群体就业政策，开展“再就业援助月”、“迎国庆就业援助进家入户专项”活动，举办高校毕业生就业援助，迎国庆就业援助专场招聘会11场，援助大中专技校毕业生、“4050”人员、“零就业家庭”成员473人实现就业。</w:t>
      </w:r>
    </w:p>
    <w:p w14:paraId="1DB3B8F8">
      <w:pPr>
        <w:pStyle w:val="4"/>
      </w:pPr>
      <w:r>
        <w:rPr>
          <w:rFonts w:hint="eastAsia"/>
        </w:rPr>
        <w:t>【农村劳动力技能培训】</w:t>
      </w:r>
    </w:p>
    <w:p w14:paraId="55A3082F">
      <w:pPr>
        <w:ind w:firstLine="420"/>
        <w:rPr>
          <w:rFonts w:ascii="宋体" w:hAnsi="宋体"/>
          <w:szCs w:val="21"/>
        </w:rPr>
      </w:pPr>
      <w:r>
        <w:rPr>
          <w:rFonts w:hint="eastAsia" w:ascii="宋体" w:hAnsi="宋体"/>
          <w:szCs w:val="21"/>
        </w:rPr>
        <w:t>举办15期农村劳动力转移就业培训班，共培训学员2358人，完成目标任务的117.9%，鉴定合格2211人，合格率93.7%，推荐就业1797人，就业率达81.2%。</w:t>
      </w:r>
    </w:p>
    <w:p w14:paraId="7F1471A9">
      <w:pPr>
        <w:pStyle w:val="4"/>
      </w:pPr>
      <w:r>
        <w:rPr>
          <w:rFonts w:hint="eastAsia"/>
        </w:rPr>
        <w:t>【劳动创业培训】</w:t>
      </w:r>
    </w:p>
    <w:p w14:paraId="3E02CF62">
      <w:pPr>
        <w:ind w:firstLine="420"/>
        <w:rPr>
          <w:rFonts w:ascii="宋体" w:hAnsi="宋体"/>
          <w:szCs w:val="21"/>
        </w:rPr>
      </w:pPr>
      <w:r>
        <w:rPr>
          <w:rFonts w:hint="eastAsia" w:ascii="宋体" w:hAnsi="宋体"/>
          <w:szCs w:val="21"/>
        </w:rPr>
        <w:t>举办1期农村劳动力创业1+1培训班，培训学员80人，已全部鉴定发证。</w:t>
      </w:r>
    </w:p>
    <w:p w14:paraId="7B13F6B9">
      <w:pPr>
        <w:pStyle w:val="4"/>
      </w:pPr>
      <w:r>
        <w:rPr>
          <w:rFonts w:hint="eastAsia"/>
        </w:rPr>
        <w:t>【职业技能鉴定】</w:t>
      </w:r>
    </w:p>
    <w:p w14:paraId="0BF8BCDE">
      <w:pPr>
        <w:ind w:firstLine="420"/>
        <w:rPr>
          <w:rFonts w:ascii="宋体" w:hAnsi="宋体"/>
          <w:szCs w:val="21"/>
        </w:rPr>
      </w:pPr>
      <w:r>
        <w:rPr>
          <w:rFonts w:hint="eastAsia" w:ascii="宋体" w:hAnsi="宋体"/>
          <w:szCs w:val="21"/>
        </w:rPr>
        <w:t>2011年，共组织鉴定考试66场次，参加鉴定考生2479人，鉴定合格2332人，合格率为94%。</w:t>
      </w:r>
    </w:p>
    <w:p w14:paraId="739EDF54">
      <w:pPr>
        <w:pStyle w:val="4"/>
      </w:pPr>
      <w:r>
        <w:rPr>
          <w:rFonts w:hint="eastAsia"/>
        </w:rPr>
        <w:t>【劳动普法宣传】</w:t>
      </w:r>
    </w:p>
    <w:p w14:paraId="2F2D965F">
      <w:pPr>
        <w:ind w:firstLine="420"/>
        <w:rPr>
          <w:rFonts w:ascii="宋体" w:hAnsi="宋体"/>
          <w:szCs w:val="21"/>
        </w:rPr>
      </w:pPr>
      <w:r>
        <w:rPr>
          <w:rFonts w:hint="eastAsia" w:ascii="宋体" w:hAnsi="宋体"/>
          <w:szCs w:val="21"/>
        </w:rPr>
        <w:t>2011年，开展劳动法律法规宣传教育，深入企业、市区、镇（街道）巡回宣传《工伤保险条例》40次，《城镇居民医疗保险办法》150次，《社会保险费征缴管理实施办法》、《劳动合同法》共40次、《劳动争议调解仲裁法》和《就业促进法》40次，举办讲座5次，开展现场咨询6次，印发劳动法律法规资料手册17000余册。</w:t>
      </w:r>
    </w:p>
    <w:p w14:paraId="4D00E80B">
      <w:pPr>
        <w:pStyle w:val="4"/>
      </w:pPr>
      <w:r>
        <w:rPr>
          <w:rFonts w:hint="eastAsia"/>
        </w:rPr>
        <w:t>【劳动监察】</w:t>
      </w:r>
    </w:p>
    <w:p w14:paraId="4612563F">
      <w:pPr>
        <w:ind w:firstLine="420"/>
        <w:rPr>
          <w:rFonts w:ascii="宋体" w:hAnsi="宋体"/>
          <w:szCs w:val="21"/>
        </w:rPr>
      </w:pPr>
      <w:r>
        <w:rPr>
          <w:rFonts w:hint="eastAsia" w:ascii="宋体" w:hAnsi="宋体"/>
          <w:szCs w:val="21"/>
        </w:rPr>
        <w:t>2011年，开展以建筑施工企业为重点的打击欠薪，规范人力资源市场秩序、非法组织介绍和使用童工、整治非法用工、打击违法犯罪等多项专项行动，全年下企业210户，涉及劳动者2.35万人。</w:t>
      </w:r>
    </w:p>
    <w:p w14:paraId="17E2173F">
      <w:pPr>
        <w:pStyle w:val="4"/>
      </w:pPr>
      <w:r>
        <w:rPr>
          <w:rFonts w:hint="eastAsia"/>
        </w:rPr>
        <w:t>【劳动信访】</w:t>
      </w:r>
    </w:p>
    <w:p w14:paraId="2400548D">
      <w:pPr>
        <w:ind w:firstLine="420"/>
        <w:rPr>
          <w:rFonts w:ascii="宋体" w:hAnsi="宋体"/>
          <w:szCs w:val="21"/>
        </w:rPr>
      </w:pPr>
      <w:r>
        <w:rPr>
          <w:rFonts w:hint="eastAsia" w:ascii="宋体" w:hAnsi="宋体"/>
          <w:szCs w:val="21"/>
        </w:rPr>
        <w:t>2011年，受理劳动保障举报投诉案件190宗，结案率100%；受理来信、来电和来访128批次，办结率100%；为劳动者追回拖欠、被克扣工资387.6万元。</w:t>
      </w:r>
    </w:p>
    <w:p w14:paraId="480AA83D">
      <w:pPr>
        <w:pStyle w:val="4"/>
      </w:pPr>
      <w:r>
        <w:rPr>
          <w:rFonts w:hint="eastAsia"/>
        </w:rPr>
        <w:t>【劳动关系规范管理】</w:t>
      </w:r>
    </w:p>
    <w:p w14:paraId="44BC7EEF">
      <w:pPr>
        <w:ind w:firstLine="420"/>
        <w:rPr>
          <w:rFonts w:ascii="宋体" w:hAnsi="宋体"/>
          <w:szCs w:val="21"/>
        </w:rPr>
      </w:pPr>
      <w:r>
        <w:rPr>
          <w:rFonts w:hint="eastAsia" w:ascii="宋体" w:hAnsi="宋体"/>
          <w:szCs w:val="21"/>
        </w:rPr>
        <w:t>2011年，办理劳动年审企业125户：办理工伤认定47户，参与5次诉讼，全年共签订集体劳动合同9户，涉及人数1.83万人；签订合同104户，涉及人数3695人。</w:t>
      </w:r>
    </w:p>
    <w:p w14:paraId="4D91058B">
      <w:pPr>
        <w:pStyle w:val="4"/>
      </w:pPr>
      <w:r>
        <w:rPr>
          <w:rFonts w:hint="eastAsia"/>
        </w:rPr>
        <w:t>【劳动争议处理】</w:t>
      </w:r>
    </w:p>
    <w:p w14:paraId="33E8F436">
      <w:pPr>
        <w:ind w:firstLine="420"/>
        <w:rPr>
          <w:rFonts w:ascii="宋体" w:hAnsi="宋体"/>
          <w:szCs w:val="21"/>
        </w:rPr>
      </w:pPr>
      <w:r>
        <w:rPr>
          <w:rFonts w:hint="eastAsia" w:ascii="宋体" w:hAnsi="宋体"/>
          <w:szCs w:val="21"/>
        </w:rPr>
        <w:t>2011年，处理劳动争议案件33宗，已结案33宗。涉及劳动者109人，涉及经济标的96.31万元。</w:t>
      </w:r>
    </w:p>
    <w:p w14:paraId="4C2E98FD">
      <w:pPr>
        <w:pStyle w:val="4"/>
      </w:pPr>
      <w:r>
        <w:rPr>
          <w:rFonts w:hint="eastAsia"/>
        </w:rPr>
        <w:t>【人才服务工作】</w:t>
      </w:r>
    </w:p>
    <w:p w14:paraId="512EC83F">
      <w:pPr>
        <w:ind w:firstLine="420"/>
        <w:rPr>
          <w:rFonts w:ascii="宋体" w:hAnsi="宋体"/>
          <w:szCs w:val="21"/>
        </w:rPr>
      </w:pPr>
      <w:r>
        <w:rPr>
          <w:rFonts w:hint="eastAsia" w:ascii="宋体" w:hAnsi="宋体"/>
          <w:szCs w:val="21"/>
        </w:rPr>
        <w:t>办理人事代理347宗，其中办理转正定级312人，办理年度考核1327人次；调整档案工资1313人次；为人事代理人员办理调档手续有151人次。共培训9004人次，其中公务员2193人次，专业技术人员6811人次，培训内容26项，培训时间为92.5天。</w:t>
      </w:r>
    </w:p>
    <w:p w14:paraId="0C8B2739">
      <w:pPr>
        <w:pStyle w:val="4"/>
      </w:pPr>
      <w:r>
        <w:rPr>
          <w:rFonts w:hint="eastAsia"/>
        </w:rPr>
        <w:t>【高校毕业生就业】</w:t>
      </w:r>
    </w:p>
    <w:p w14:paraId="1E2C9793">
      <w:pPr>
        <w:ind w:firstLine="420"/>
        <w:rPr>
          <w:rFonts w:ascii="宋体" w:hAnsi="宋体"/>
          <w:szCs w:val="21"/>
        </w:rPr>
      </w:pPr>
      <w:r>
        <w:rPr>
          <w:rFonts w:hint="eastAsia" w:ascii="宋体" w:hAnsi="宋体"/>
          <w:szCs w:val="21"/>
        </w:rPr>
        <w:t>为1193名毕业生办理报到手续，其中本科生172名，专科生1014名。为11名2009年参加“三支一扶”大学生办理服务期满考核手续，在2011年事业单位专业技术人员招考中，给予符合招考条件的服务期满“三支一扶”大学生加分10分的优惠，有5名“三支一扶”大学生通过加分考入南雄市事业单位工作。</w:t>
      </w:r>
    </w:p>
    <w:p w14:paraId="07EE9BFD">
      <w:pPr>
        <w:pStyle w:val="4"/>
      </w:pPr>
      <w:r>
        <w:rPr>
          <w:rFonts w:hint="eastAsia"/>
        </w:rPr>
        <w:t>【人才引进】</w:t>
      </w:r>
    </w:p>
    <w:p w14:paraId="7EBC7B62">
      <w:pPr>
        <w:ind w:firstLine="420"/>
        <w:rPr>
          <w:rFonts w:ascii="宋体" w:hAnsi="宋体"/>
          <w:szCs w:val="21"/>
        </w:rPr>
      </w:pPr>
      <w:r>
        <w:rPr>
          <w:rFonts w:hint="eastAsia" w:ascii="宋体" w:hAnsi="宋体"/>
          <w:szCs w:val="21"/>
        </w:rPr>
        <w:t>先后组织教育、卫生等单位多次赴韶关参加毕业生供需见面会，并汇同市委党校、教育局、人民医院等单位远赴东北引进高学历人才，积极拓宽渠道引进人才，有2名硕士研究生已和市委党校达成就业协议。</w:t>
      </w:r>
    </w:p>
    <w:p w14:paraId="20DE42BE">
      <w:pPr>
        <w:pStyle w:val="4"/>
      </w:pPr>
      <w:r>
        <w:rPr>
          <w:rFonts w:hint="eastAsia"/>
        </w:rPr>
        <w:t>【干部管理】</w:t>
      </w:r>
    </w:p>
    <w:p w14:paraId="65EEBEB9">
      <w:pPr>
        <w:ind w:firstLine="420"/>
        <w:rPr>
          <w:rFonts w:ascii="宋体" w:hAnsi="宋体"/>
          <w:szCs w:val="21"/>
        </w:rPr>
      </w:pPr>
      <w:r>
        <w:rPr>
          <w:rFonts w:hint="eastAsia" w:ascii="宋体" w:hAnsi="宋体"/>
          <w:szCs w:val="21"/>
        </w:rPr>
        <w:t>做好公务员招考录用工作。根据省、韶关市的部署，2011年通过网上报名审核、笔试、面试资格复审、面试、体检、组织考察政审合格等环节，全市录用公务员44人（不含选调生），具体分布为镇机关26人（含从优秀工人、农民一线中定向选拔1人），基层国土所2人，基层司法所4人，基层财政所3人，检察院2人，公安局6人，法律援助处1人。</w:t>
      </w:r>
    </w:p>
    <w:p w14:paraId="6658C2F6">
      <w:pPr>
        <w:ind w:firstLine="420"/>
        <w:rPr>
          <w:rFonts w:ascii="宋体" w:hAnsi="宋体"/>
          <w:szCs w:val="21"/>
        </w:rPr>
      </w:pPr>
      <w:r>
        <w:rPr>
          <w:rFonts w:hint="eastAsia" w:ascii="宋体" w:hAnsi="宋体"/>
          <w:szCs w:val="21"/>
        </w:rPr>
        <w:t>做好2011年全市机关、事业单位工作人员年度考核工作。2011年全市机关、事业单位工作人员参加考核总人数为9250人。实际参加考核人数为9218人，占总人数的99.6%；未参加考核人数为32人，占总人数的0.34%。其中：优秀等次1171人，占总人数的12.7%；称职（合格）等次7819人，占总人数84.4%；不称职（不合格）等次8人，占总人数的0.08%；不定等次220人，占总人数的2.3%；未参加考核32人，占总人数的0.34%。</w:t>
      </w:r>
    </w:p>
    <w:p w14:paraId="3DDCD681">
      <w:pPr>
        <w:ind w:firstLine="420"/>
        <w:rPr>
          <w:rFonts w:ascii="宋体" w:hAnsi="宋体"/>
          <w:szCs w:val="21"/>
        </w:rPr>
      </w:pPr>
      <w:r>
        <w:rPr>
          <w:rFonts w:hint="eastAsia" w:ascii="宋体" w:hAnsi="宋体"/>
          <w:szCs w:val="21"/>
        </w:rPr>
        <w:t>2011年，共办理公务员调动46人，其中调离南雄7人，外地调入南雄2人。办理提前退休2人，辞职1人。</w:t>
      </w:r>
    </w:p>
    <w:p w14:paraId="77947531">
      <w:pPr>
        <w:ind w:firstLine="420"/>
        <w:rPr>
          <w:rFonts w:ascii="宋体" w:hAnsi="宋体"/>
          <w:szCs w:val="21"/>
        </w:rPr>
      </w:pPr>
      <w:r>
        <w:rPr>
          <w:rFonts w:hint="eastAsia" w:ascii="宋体" w:hAnsi="宋体"/>
          <w:szCs w:val="21"/>
        </w:rPr>
        <w:t>结合《南雄市科员以下职务公务员交流暂行办法》，在全市镇政机关、政府机关、党群机关及参照公务员法管理事业单位科员以下职务公务员中组织进行了交流工作。共有党政机关（参公）单位35个、38名公务员参与了交流。</w:t>
      </w:r>
    </w:p>
    <w:p w14:paraId="5F87FE51">
      <w:pPr>
        <w:pStyle w:val="4"/>
      </w:pPr>
      <w:r>
        <w:rPr>
          <w:rFonts w:hint="eastAsia"/>
        </w:rPr>
        <w:t>【企业军转干部解困】</w:t>
      </w:r>
    </w:p>
    <w:p w14:paraId="64E04CF8">
      <w:pPr>
        <w:ind w:firstLine="420"/>
        <w:rPr>
          <w:rFonts w:ascii="宋体" w:hAnsi="宋体"/>
          <w:szCs w:val="21"/>
        </w:rPr>
      </w:pPr>
      <w:r>
        <w:rPr>
          <w:rFonts w:hint="eastAsia" w:ascii="宋体" w:hAnsi="宋体"/>
          <w:szCs w:val="21"/>
        </w:rPr>
        <w:t>在社保人均增资145元的基础上，制定调整了企事业军转干部解困待遇标准，标准为每人每月增加15元。坚持做好企业军转干部思想政治工作，通过召开座谈会，在重要节假日开展慰问活动等形式，建立政府与企业军转干部正常交流的平台。</w:t>
      </w:r>
    </w:p>
    <w:p w14:paraId="4E4893D9">
      <w:pPr>
        <w:pStyle w:val="4"/>
      </w:pPr>
      <w:r>
        <w:rPr>
          <w:rFonts w:hint="eastAsia"/>
        </w:rPr>
        <w:t>【职称工作】</w:t>
      </w:r>
    </w:p>
    <w:p w14:paraId="2B1F7E26">
      <w:pPr>
        <w:ind w:firstLine="420"/>
        <w:rPr>
          <w:rFonts w:ascii="宋体" w:hAnsi="宋体"/>
          <w:szCs w:val="21"/>
        </w:rPr>
      </w:pPr>
      <w:r>
        <w:rPr>
          <w:rFonts w:hint="eastAsia" w:ascii="宋体" w:hAnsi="宋体"/>
          <w:szCs w:val="21"/>
        </w:rPr>
        <w:t>严格按规定操作，把职称评聘的有关条件、程序等规定向社会公示，做到不超比例申报、申报材料真实规范。2011年全市新增专业技术人员255人，其中高级56人、中级86人、初级113人。向省推荐124人参加高级职称评审，向韶关推荐145人参加中级职称评审，向本市推荐14人参加初级职称评审。对在企业、事业单位和挂靠的109名大中专毕业生办理了初次职称认定手续。</w:t>
      </w:r>
    </w:p>
    <w:p w14:paraId="3820F963">
      <w:pPr>
        <w:pStyle w:val="4"/>
      </w:pPr>
      <w:r>
        <w:rPr>
          <w:rFonts w:hint="eastAsia"/>
        </w:rPr>
        <w:t>【专技人员管理】</w:t>
      </w:r>
    </w:p>
    <w:p w14:paraId="6A1BC8A1">
      <w:pPr>
        <w:ind w:firstLine="420"/>
        <w:rPr>
          <w:rFonts w:ascii="宋体" w:hAnsi="宋体"/>
          <w:szCs w:val="21"/>
        </w:rPr>
      </w:pPr>
      <w:r>
        <w:rPr>
          <w:rFonts w:hint="eastAsia" w:ascii="宋体" w:hAnsi="宋体"/>
          <w:szCs w:val="21"/>
        </w:rPr>
        <w:t>2011年对已取得职称的523名专技人员，依据资格证、继续教育证进行审批聘任。先后组织外语、经济类的报名考试工作。全市报考职称外语考试116人，其中A级73人、B级26人、C级17人；报考经济类专业65人，其中中级33人、初级32人。对统计、审计等报考人数较少的专业，协助相关单位做好报考工作。</w:t>
      </w:r>
    </w:p>
    <w:p w14:paraId="2573CCF7">
      <w:pPr>
        <w:pStyle w:val="4"/>
      </w:pPr>
      <w:r>
        <w:rPr>
          <w:rFonts w:hint="eastAsia"/>
        </w:rPr>
        <w:t>【人事考试】</w:t>
      </w:r>
    </w:p>
    <w:p w14:paraId="5AC6CD80">
      <w:pPr>
        <w:ind w:firstLine="420"/>
        <w:rPr>
          <w:rFonts w:ascii="宋体" w:hAnsi="宋体"/>
          <w:szCs w:val="21"/>
        </w:rPr>
      </w:pPr>
      <w:r>
        <w:rPr>
          <w:rFonts w:hint="eastAsia" w:ascii="宋体" w:hAnsi="宋体"/>
          <w:szCs w:val="21"/>
        </w:rPr>
        <w:t>2011年1月至2011年12月，根据南雄市事业单位的需求，面向社会公开招聘大中专院校毕业生340人，其中：硕士研究生1人，本科生86人，大专生131人，中专及以下学历者122人。整个招聘过程通过资格政审、笔试、面试、体检、考察等程序，全程由市纪检监察、新闻单位阳光使者实施监督。</w:t>
      </w:r>
    </w:p>
    <w:p w14:paraId="2FEDB65C">
      <w:pPr>
        <w:pStyle w:val="4"/>
      </w:pPr>
      <w:r>
        <w:rPr>
          <w:rFonts w:hint="eastAsia"/>
        </w:rPr>
        <w:t>【工资与福利】</w:t>
      </w:r>
    </w:p>
    <w:p w14:paraId="0096BAF3">
      <w:pPr>
        <w:ind w:firstLine="420"/>
        <w:rPr>
          <w:rFonts w:ascii="宋体" w:hAnsi="宋体"/>
          <w:szCs w:val="21"/>
        </w:rPr>
      </w:pPr>
      <w:r>
        <w:rPr>
          <w:rFonts w:hint="eastAsia" w:ascii="宋体" w:hAnsi="宋体"/>
          <w:szCs w:val="21"/>
        </w:rPr>
        <w:t>全市机关单位工作人员从2011年1月起人均增资250元/月，从12月起人均增资550/月的津补贴新标准；事业单位从2011年1月起增资人均250/月作为奖励性绩效工资，从12月起增资人均550/月列入绩效工资标准。完成审核机关事业单位工作人员及离退休人员113850人次，（月均9487人次）财政统发工资工作，并制作工资发放明细表。做好各种调研、调查工作，及时办理人员退休及批复抚恤金和遗嘱生活困难补助等日常工作。</w:t>
      </w:r>
    </w:p>
    <w:p w14:paraId="5D863EB9">
      <w:pPr>
        <w:pStyle w:val="4"/>
      </w:pPr>
      <w:r>
        <w:rPr>
          <w:rFonts w:hint="eastAsia"/>
        </w:rPr>
        <w:t>【新农保】</w:t>
      </w:r>
    </w:p>
    <w:p w14:paraId="512BA21D">
      <w:pPr>
        <w:ind w:firstLine="420"/>
        <w:rPr>
          <w:rFonts w:ascii="宋体" w:hAnsi="宋体"/>
          <w:szCs w:val="21"/>
        </w:rPr>
      </w:pPr>
      <w:r>
        <w:rPr>
          <w:rFonts w:hint="eastAsia" w:ascii="宋体" w:hAnsi="宋体"/>
          <w:szCs w:val="21"/>
        </w:rPr>
        <w:t>2011年7月正式启动新型农村社会养老保险试点工作。全市当年参保缴费126849人，完成任务数的123.41%，其中60周岁以上参保人数为38169人，完成任务数的125.42%。                    （赖泰宠）</w:t>
      </w:r>
    </w:p>
    <w:p w14:paraId="6E490BCD">
      <w:pPr>
        <w:ind w:firstLine="0" w:firstLineChars="0"/>
        <w:rPr>
          <w:rFonts w:ascii="宋体" w:hAnsi="宋体"/>
          <w:szCs w:val="21"/>
        </w:rPr>
      </w:pPr>
      <w:r>
        <w:rPr>
          <w:rFonts w:hint="eastAsia" w:ascii="宋体" w:hAnsi="宋体"/>
          <w:b/>
          <w:szCs w:val="21"/>
        </w:rPr>
        <w:t>附：2011年市人社局领导班子成员名单</w:t>
      </w:r>
    </w:p>
    <w:p w14:paraId="65E7A6C5">
      <w:pPr>
        <w:ind w:firstLine="0" w:firstLineChars="0"/>
        <w:rPr>
          <w:rFonts w:ascii="宋体" w:hAnsi="宋体"/>
          <w:szCs w:val="21"/>
        </w:rPr>
      </w:pPr>
      <w:r>
        <w:rPr>
          <w:rFonts w:hint="eastAsia" w:ascii="宋体" w:hAnsi="宋体"/>
          <w:szCs w:val="21"/>
        </w:rPr>
        <w:t>局长：董圣国</w:t>
      </w:r>
    </w:p>
    <w:p w14:paraId="1423515D">
      <w:pPr>
        <w:ind w:firstLine="0" w:firstLineChars="0"/>
        <w:rPr>
          <w:rFonts w:ascii="宋体" w:hAnsi="宋体"/>
          <w:szCs w:val="21"/>
        </w:rPr>
      </w:pPr>
      <w:r>
        <w:rPr>
          <w:rFonts w:hint="eastAsia" w:ascii="宋体" w:hAnsi="宋体"/>
          <w:szCs w:val="21"/>
        </w:rPr>
        <w:t>副局长：曾国庆  张荣凤  钟  海</w:t>
      </w:r>
    </w:p>
    <w:p w14:paraId="2991B186">
      <w:pPr>
        <w:ind w:firstLine="840" w:firstLineChars="400"/>
        <w:rPr>
          <w:rFonts w:ascii="宋体" w:hAnsi="宋体"/>
          <w:szCs w:val="21"/>
        </w:rPr>
      </w:pPr>
      <w:r>
        <w:rPr>
          <w:rFonts w:hint="eastAsia" w:ascii="宋体" w:hAnsi="宋体"/>
          <w:szCs w:val="21"/>
        </w:rPr>
        <w:t>丘继成（任至8月）</w:t>
      </w:r>
    </w:p>
    <w:p w14:paraId="1D3C9F3E">
      <w:pPr>
        <w:ind w:firstLine="0" w:firstLineChars="0"/>
        <w:rPr>
          <w:rFonts w:ascii="宋体" w:hAnsi="宋体"/>
          <w:szCs w:val="21"/>
        </w:rPr>
      </w:pPr>
      <w:r>
        <w:rPr>
          <w:rFonts w:hint="eastAsia" w:ascii="宋体" w:hAnsi="宋体"/>
          <w:szCs w:val="21"/>
        </w:rPr>
        <w:t>纪检组长：黄得胜</w:t>
      </w:r>
    </w:p>
    <w:p w14:paraId="52FE2A24">
      <w:pPr>
        <w:pStyle w:val="3"/>
      </w:pPr>
      <w:r>
        <w:rPr>
          <w:rFonts w:hint="eastAsia"/>
        </w:rPr>
        <w:t>社会保险</w:t>
      </w:r>
    </w:p>
    <w:p w14:paraId="71D37354">
      <w:pPr>
        <w:pStyle w:val="4"/>
      </w:pPr>
      <w:r>
        <w:rPr>
          <w:rFonts w:hint="eastAsia"/>
        </w:rPr>
        <w:t>【概况】</w:t>
      </w:r>
    </w:p>
    <w:p w14:paraId="1C7F8CC9">
      <w:pPr>
        <w:ind w:firstLine="420"/>
        <w:rPr>
          <w:rFonts w:ascii="宋体" w:hAnsi="宋体"/>
          <w:szCs w:val="21"/>
        </w:rPr>
      </w:pPr>
      <w:r>
        <w:rPr>
          <w:rFonts w:hint="eastAsia" w:ascii="宋体" w:hAnsi="宋体"/>
          <w:szCs w:val="21"/>
        </w:rPr>
        <w:t>韶关市社会保险南雄办事处是南雄市社会保险经办机构，韶关市社会保险基金管理中心派出机构，参照公务员管理事业单位，正科级。内设5个股室：办公室、社会保险信息关系股、稽核和审查股、养老失业待遇核发股、医疗工伤生育待遇核发股。主要负责企业职工养老保险、医疗保险、工伤保险、失业保险、生育保险、新型农村养老保险和城镇居民养老保险等社会保险的参保登记、缴费、查询、审核和待遇核发等事务。</w:t>
      </w:r>
    </w:p>
    <w:p w14:paraId="079270A4">
      <w:pPr>
        <w:pStyle w:val="4"/>
      </w:pPr>
      <w:r>
        <w:rPr>
          <w:rFonts w:hint="eastAsia"/>
        </w:rPr>
        <w:t>【社会保险基金】</w:t>
      </w:r>
    </w:p>
    <w:p w14:paraId="0EDCBE32">
      <w:pPr>
        <w:ind w:firstLine="420"/>
        <w:rPr>
          <w:rFonts w:ascii="宋体" w:hAnsi="宋体"/>
          <w:szCs w:val="21"/>
        </w:rPr>
      </w:pPr>
      <w:r>
        <w:rPr>
          <w:rFonts w:hint="eastAsia" w:ascii="宋体" w:hAnsi="宋体"/>
          <w:szCs w:val="21"/>
        </w:rPr>
        <w:t>社保基金的管理由三个部门共同负责，地方税务局代收，当地财政局管理、社保办事处支付，做到同步记账和对账，实行社保基金的共同管理，使社保基金得以安全、高效、稳定运行。2011年社会保险五个险种总计征缴22889万元，支出18386万元。</w:t>
      </w:r>
    </w:p>
    <w:p w14:paraId="4D2C4FAB">
      <w:pPr>
        <w:pStyle w:val="4"/>
      </w:pPr>
      <w:r>
        <w:rPr>
          <w:rFonts w:hint="eastAsia"/>
        </w:rPr>
        <w:t>【养老保险】</w:t>
      </w:r>
    </w:p>
    <w:p w14:paraId="688F01E0">
      <w:pPr>
        <w:ind w:firstLine="420"/>
        <w:rPr>
          <w:rFonts w:ascii="宋体" w:hAnsi="宋体"/>
          <w:szCs w:val="21"/>
        </w:rPr>
      </w:pPr>
      <w:r>
        <w:rPr>
          <w:rFonts w:hint="eastAsia" w:ascii="宋体" w:hAnsi="宋体"/>
          <w:szCs w:val="21"/>
        </w:rPr>
        <w:t>2011年，全市养老保险参保人数为30947人，与2010年相比，增长4.86%，实际缴费人数24785人，与上年相比增长6.57%，征缴养老保险基金17083万元，与上年相比增长30.45%，支出13061万元，结余16945万元。全市领取养老金待遇的离退休人员有8325人，月人均工资1178.21元。1月份及时调整社会养老保险退休待遇，人均月增长145元。</w:t>
      </w:r>
    </w:p>
    <w:p w14:paraId="7F7E2D06">
      <w:pPr>
        <w:pStyle w:val="4"/>
      </w:pPr>
      <w:r>
        <w:rPr>
          <w:rFonts w:hint="eastAsia"/>
        </w:rPr>
        <w:t>【医疗保险】</w:t>
      </w:r>
    </w:p>
    <w:p w14:paraId="1CD82582">
      <w:pPr>
        <w:ind w:firstLine="420"/>
        <w:rPr>
          <w:rFonts w:ascii="宋体" w:hAnsi="宋体"/>
          <w:szCs w:val="21"/>
        </w:rPr>
      </w:pPr>
      <w:r>
        <w:rPr>
          <w:rFonts w:hint="eastAsia" w:ascii="宋体" w:hAnsi="宋体"/>
          <w:szCs w:val="21"/>
        </w:rPr>
        <w:t>医疗保险包括职工医疗保险和城镇居民医疗保险。职工医疗保险参保人数26310人，与上年相比增长0.89%，实际缴费人数25547人，与上年相比增长6.36%，征缴医保基金4755万元，与上年相比增长8.27%，支付医疗保险费4800万元，累计结余1400万元。居民医疗保险参保人数23825人，超额完成韶关市下达任务。</w:t>
      </w:r>
    </w:p>
    <w:p w14:paraId="6B06C63A">
      <w:pPr>
        <w:pStyle w:val="4"/>
      </w:pPr>
      <w:r>
        <w:rPr>
          <w:rFonts w:hint="eastAsia"/>
        </w:rPr>
        <w:t>【失业保险】</w:t>
      </w:r>
    </w:p>
    <w:p w14:paraId="39008F79">
      <w:pPr>
        <w:ind w:firstLine="420"/>
        <w:rPr>
          <w:rFonts w:ascii="宋体" w:hAnsi="宋体"/>
          <w:szCs w:val="21"/>
        </w:rPr>
      </w:pPr>
      <w:r>
        <w:rPr>
          <w:rFonts w:hint="eastAsia" w:ascii="宋体" w:hAnsi="宋体"/>
          <w:szCs w:val="21"/>
        </w:rPr>
        <w:t>失业保险参保人数19228人，与上年相比增长1.52%，实际缴费人数11084人，与上年相比下降5.13%，征缴失业保险基金658万元，与上年相比增长28.02%，支出280万元，累计结余570万元。3月1日及时调整失业保险待遇，2011年失业金为680元/月。</w:t>
      </w:r>
    </w:p>
    <w:p w14:paraId="56466A46">
      <w:pPr>
        <w:pStyle w:val="4"/>
      </w:pPr>
      <w:r>
        <w:rPr>
          <w:rFonts w:hint="eastAsia"/>
        </w:rPr>
        <w:t>【生育保险】</w:t>
      </w:r>
    </w:p>
    <w:p w14:paraId="2F62FE2A">
      <w:pPr>
        <w:ind w:firstLine="420"/>
        <w:rPr>
          <w:rFonts w:ascii="宋体" w:hAnsi="宋体"/>
          <w:szCs w:val="21"/>
        </w:rPr>
      </w:pPr>
      <w:r>
        <w:rPr>
          <w:rFonts w:hint="eastAsia" w:ascii="宋体" w:hAnsi="宋体"/>
          <w:szCs w:val="21"/>
        </w:rPr>
        <w:t>生育保险参保人数为8638人，与上年相比增长0.44%，实际缴费人数6619人，征缴生育保险基金93万元，与上年相比增长10.71%，支出15万元，累计结积存82万元。</w:t>
      </w:r>
    </w:p>
    <w:p w14:paraId="194185CB">
      <w:pPr>
        <w:pStyle w:val="4"/>
      </w:pPr>
      <w:r>
        <w:rPr>
          <w:rFonts w:hint="eastAsia"/>
        </w:rPr>
        <w:t>【工伤保险】</w:t>
      </w:r>
    </w:p>
    <w:p w14:paraId="7A95AF66">
      <w:pPr>
        <w:ind w:firstLine="420"/>
        <w:rPr>
          <w:rFonts w:ascii="宋体" w:hAnsi="宋体"/>
          <w:szCs w:val="21"/>
        </w:rPr>
      </w:pPr>
      <w:r>
        <w:rPr>
          <w:rFonts w:hint="eastAsia" w:ascii="宋体" w:hAnsi="宋体"/>
          <w:szCs w:val="21"/>
        </w:rPr>
        <w:t>工伤保险参保人数17712人，与上年相比增长11.53%，实际缴费人数9134人，与上年相比增长7.46%，征缴工伤保险基金216万元，与上年相比增长11.92%，支出230万元，赤字20万元</w:t>
      </w:r>
    </w:p>
    <w:p w14:paraId="1C19C942">
      <w:pPr>
        <w:pStyle w:val="4"/>
      </w:pPr>
      <w:r>
        <w:rPr>
          <w:rFonts w:hint="eastAsia"/>
        </w:rPr>
        <w:t>【新型农村养老保险】</w:t>
      </w:r>
    </w:p>
    <w:p w14:paraId="35FF8E07">
      <w:pPr>
        <w:ind w:firstLine="420"/>
        <w:rPr>
          <w:rFonts w:ascii="宋体" w:hAnsi="宋体"/>
          <w:szCs w:val="21"/>
        </w:rPr>
      </w:pPr>
      <w:r>
        <w:rPr>
          <w:rFonts w:hint="eastAsia" w:ascii="宋体" w:hAnsi="宋体"/>
          <w:szCs w:val="21"/>
        </w:rPr>
        <w:t>南雄市作为广东省第三批新型农村保险试点县市，于2011年8月19日正式启动新农保工作。12月底，全市参保人数118291人，16至59周岁参保人数82772人，60岁领取待遇的人数35519人，异地参保人数30485人，合计148776人，完成总任务数21万人的71%，获得广东省新型农村社会养老保险全覆盖达标单位的称号。2011年征缴养老基金1849万元，政府补贴收入1864万元，支付退休金216万元，结余3506万元。2011年7月1日前已满60周岁的农村居民，无需缴费即可每月领取55元的基础养老金。</w:t>
      </w:r>
    </w:p>
    <w:p w14:paraId="765717CE">
      <w:pPr>
        <w:pStyle w:val="4"/>
      </w:pPr>
      <w:r>
        <w:rPr>
          <w:rFonts w:hint="eastAsia"/>
        </w:rPr>
        <w:t>【社保扩面】</w:t>
      </w:r>
    </w:p>
    <w:p w14:paraId="65221495">
      <w:pPr>
        <w:ind w:firstLine="420"/>
        <w:rPr>
          <w:rFonts w:ascii="宋体" w:hAnsi="宋体"/>
          <w:szCs w:val="21"/>
        </w:rPr>
      </w:pPr>
      <w:r>
        <w:rPr>
          <w:rFonts w:hint="eastAsia" w:ascii="宋体" w:hAnsi="宋体"/>
          <w:szCs w:val="21"/>
        </w:rPr>
        <w:t>2010年，在全市范围内开展一次社保扩面征缴工作。到2011年12月，共有1038人参加老年居民养老保险补缴。</w:t>
      </w:r>
    </w:p>
    <w:p w14:paraId="3ADAE0F0">
      <w:pPr>
        <w:pStyle w:val="4"/>
      </w:pPr>
      <w:r>
        <w:rPr>
          <w:rFonts w:hint="eastAsia"/>
        </w:rPr>
        <w:t>【扶贫双到】</w:t>
      </w:r>
    </w:p>
    <w:p w14:paraId="4E73E5A7">
      <w:pPr>
        <w:ind w:firstLine="420"/>
        <w:rPr>
          <w:rFonts w:ascii="宋体" w:hAnsi="宋体"/>
          <w:szCs w:val="21"/>
        </w:rPr>
      </w:pPr>
      <w:r>
        <w:rPr>
          <w:rFonts w:hint="eastAsia" w:ascii="宋体" w:hAnsi="宋体"/>
          <w:szCs w:val="21"/>
        </w:rPr>
        <w:t>共帮扶33户。主要从资金、智力、就业、申请救助四个方面来帮助他们脱贫致富，通过两年的努力，2010年已经有14户脱贫，2011年实现15户脱贫，顺利通过省“扶贫双到”检查组的检查，帮助湖地村获得25万元省扶贫资金的奖励。                                                          （李渊英）</w:t>
      </w:r>
    </w:p>
    <w:p w14:paraId="609E5B60">
      <w:pPr>
        <w:ind w:firstLine="0" w:firstLineChars="0"/>
        <w:rPr>
          <w:rFonts w:ascii="宋体" w:hAnsi="宋体"/>
          <w:szCs w:val="21"/>
        </w:rPr>
      </w:pPr>
      <w:r>
        <w:rPr>
          <w:rFonts w:hint="eastAsia" w:ascii="宋体" w:hAnsi="宋体"/>
          <w:b/>
          <w:szCs w:val="21"/>
        </w:rPr>
        <w:t>附：2011年市社保中心领导班子成员名单</w:t>
      </w:r>
    </w:p>
    <w:p w14:paraId="5E12172E">
      <w:pPr>
        <w:ind w:firstLine="0" w:firstLineChars="0"/>
        <w:rPr>
          <w:rFonts w:ascii="宋体" w:hAnsi="宋体"/>
          <w:szCs w:val="21"/>
        </w:rPr>
      </w:pPr>
      <w:r>
        <w:rPr>
          <w:rFonts w:hint="eastAsia" w:ascii="宋体" w:hAnsi="宋体"/>
          <w:szCs w:val="21"/>
        </w:rPr>
        <w:t>主任：邱万茹</w:t>
      </w:r>
    </w:p>
    <w:p w14:paraId="167CC19F">
      <w:pPr>
        <w:ind w:firstLine="0" w:firstLineChars="0"/>
        <w:rPr>
          <w:rFonts w:ascii="宋体" w:hAnsi="宋体"/>
          <w:szCs w:val="21"/>
        </w:rPr>
      </w:pPr>
      <w:r>
        <w:rPr>
          <w:rFonts w:hint="eastAsia" w:ascii="宋体" w:hAnsi="宋体"/>
          <w:szCs w:val="21"/>
        </w:rPr>
        <w:t>副主任：孔维伟  曾宪英  王向山  董书长</w:t>
      </w:r>
    </w:p>
    <w:p w14:paraId="68116070">
      <w:pPr>
        <w:pStyle w:val="3"/>
      </w:pPr>
      <w:r>
        <w:rPr>
          <w:rFonts w:hint="eastAsia"/>
        </w:rPr>
        <w:t>民政</w:t>
      </w:r>
    </w:p>
    <w:p w14:paraId="7EE41C36">
      <w:pPr>
        <w:pStyle w:val="4"/>
      </w:pPr>
      <w:r>
        <w:rPr>
          <w:rFonts w:hint="eastAsia"/>
        </w:rPr>
        <w:t>【概况】</w:t>
      </w:r>
    </w:p>
    <w:p w14:paraId="1B41105E">
      <w:pPr>
        <w:ind w:firstLine="420"/>
        <w:rPr>
          <w:rFonts w:ascii="宋体" w:hAnsi="宋体"/>
          <w:szCs w:val="21"/>
        </w:rPr>
      </w:pPr>
      <w:r>
        <w:rPr>
          <w:rFonts w:hint="eastAsia" w:ascii="宋体" w:hAnsi="宋体"/>
          <w:szCs w:val="21"/>
        </w:rPr>
        <w:t>南雄市民政局领导班子5人：局长1人、副局长3人、纪检组长1人；内设机构6个：局办公室、优抚安置股、救灾股、社会事务股、基层政权区划地名股、社会救助股。主要工作职责：一是负责全市社团、民办非企业单位的登记、管理工作；二是负责拥军优属和烈士报批、褒扬工作，退伍军人的接收安置及服务管理工作。三是组织救灾救济工作；四是负责基层政权建设、地名管理和行政区划工作；五是负责婚姻登记、收养登记、老年人特殊权益保护、殡葬管理工作和社会福利工作。</w:t>
      </w:r>
    </w:p>
    <w:p w14:paraId="0584C45B">
      <w:pPr>
        <w:pStyle w:val="4"/>
      </w:pPr>
      <w:r>
        <w:rPr>
          <w:rFonts w:hint="eastAsia"/>
        </w:rPr>
        <w:t>【低保】</w:t>
      </w:r>
    </w:p>
    <w:p w14:paraId="0CC70EF0">
      <w:pPr>
        <w:ind w:firstLine="420"/>
        <w:rPr>
          <w:rFonts w:ascii="宋体" w:hAnsi="宋体"/>
          <w:szCs w:val="21"/>
        </w:rPr>
      </w:pPr>
      <w:r>
        <w:rPr>
          <w:rFonts w:hint="eastAsia" w:ascii="宋体" w:hAnsi="宋体"/>
          <w:szCs w:val="21"/>
        </w:rPr>
        <w:t>2011年，城镇低保线从188元提高到230元，农村低保线从125元提高到150元。全年新增低保对象1877人，退保515人，全市在册低保户7511户16559人，全年支出低保资金1880万元。</w:t>
      </w:r>
    </w:p>
    <w:p w14:paraId="07DFE3B6">
      <w:pPr>
        <w:pStyle w:val="4"/>
      </w:pPr>
      <w:r>
        <w:rPr>
          <w:rFonts w:hint="eastAsia"/>
        </w:rPr>
        <w:t>【五保】</w:t>
      </w:r>
    </w:p>
    <w:p w14:paraId="1ACB41A0">
      <w:pPr>
        <w:ind w:firstLine="420"/>
        <w:rPr>
          <w:rFonts w:ascii="宋体" w:hAnsi="宋体"/>
          <w:szCs w:val="21"/>
        </w:rPr>
      </w:pPr>
      <w:r>
        <w:rPr>
          <w:rFonts w:hint="eastAsia" w:ascii="宋体" w:hAnsi="宋体"/>
          <w:szCs w:val="21"/>
        </w:rPr>
        <w:t>在院老人供养标准从200元提高到人月300元，散居五保老人从150元提高到人月250元，孤儿供养标准提高到人月610元，全市在册五保户1300多，全年支出五保供养经费440万元。</w:t>
      </w:r>
    </w:p>
    <w:p w14:paraId="2FEE7F88">
      <w:pPr>
        <w:pStyle w:val="4"/>
      </w:pPr>
      <w:r>
        <w:rPr>
          <w:rFonts w:hint="eastAsia"/>
        </w:rPr>
        <w:t>【医疗救助】</w:t>
      </w:r>
    </w:p>
    <w:p w14:paraId="261E2C92">
      <w:pPr>
        <w:ind w:firstLine="420"/>
        <w:rPr>
          <w:rFonts w:ascii="宋体" w:hAnsi="宋体"/>
          <w:szCs w:val="21"/>
        </w:rPr>
      </w:pPr>
      <w:r>
        <w:rPr>
          <w:rFonts w:hint="eastAsia" w:ascii="宋体" w:hAnsi="宋体"/>
          <w:szCs w:val="21"/>
        </w:rPr>
        <w:t>救助800多人次，支出医疗救助资金180万元。</w:t>
      </w:r>
    </w:p>
    <w:p w14:paraId="12C78772">
      <w:pPr>
        <w:pStyle w:val="4"/>
      </w:pPr>
      <w:r>
        <w:rPr>
          <w:rFonts w:hint="eastAsia"/>
        </w:rPr>
        <w:t>【救灾救济】</w:t>
      </w:r>
    </w:p>
    <w:p w14:paraId="6A4AA5DC">
      <w:pPr>
        <w:ind w:firstLine="420"/>
        <w:rPr>
          <w:rFonts w:ascii="宋体" w:hAnsi="宋体"/>
          <w:szCs w:val="21"/>
        </w:rPr>
      </w:pPr>
      <w:r>
        <w:rPr>
          <w:rFonts w:hint="eastAsia" w:ascii="宋体" w:hAnsi="宋体"/>
          <w:szCs w:val="21"/>
        </w:rPr>
        <w:t>2011年，南雄市部分地区遭受降雨灾害，灾情发生后，民政局组织救灾工作，开展重建家园，拨付重建家园补助资金149.4万元，全市166户全倒户和重危房户完成重建家园任务。在冬寒救济方面，民政局发放大米150吨，棉被1600床，棉袄900件、棉裤900条。</w:t>
      </w:r>
    </w:p>
    <w:p w14:paraId="5F017C43">
      <w:pPr>
        <w:pStyle w:val="4"/>
      </w:pPr>
      <w:r>
        <w:rPr>
          <w:rFonts w:hint="eastAsia"/>
        </w:rPr>
        <w:t>【敬老院建设】</w:t>
      </w:r>
    </w:p>
    <w:p w14:paraId="1BD30C7F">
      <w:pPr>
        <w:ind w:firstLine="420"/>
        <w:rPr>
          <w:rFonts w:ascii="宋体" w:hAnsi="宋体"/>
          <w:szCs w:val="21"/>
        </w:rPr>
      </w:pPr>
      <w:r>
        <w:rPr>
          <w:rFonts w:hint="eastAsia" w:ascii="宋体" w:hAnsi="宋体"/>
          <w:szCs w:val="21"/>
        </w:rPr>
        <w:t>发动企业捐款和慈善救助30多万元为每所敬老院各安装了二台太阳能热水器、一台51寸大屏幕电视、一台大容量洗衣机和一台冰箱。</w:t>
      </w:r>
    </w:p>
    <w:p w14:paraId="64B870A5">
      <w:pPr>
        <w:pStyle w:val="4"/>
      </w:pPr>
      <w:r>
        <w:rPr>
          <w:rFonts w:hint="eastAsia"/>
        </w:rPr>
        <w:t>【优抚安置】</w:t>
      </w:r>
    </w:p>
    <w:p w14:paraId="0570D166">
      <w:pPr>
        <w:ind w:firstLine="420"/>
        <w:rPr>
          <w:rFonts w:ascii="宋体" w:hAnsi="宋体"/>
          <w:szCs w:val="21"/>
        </w:rPr>
      </w:pPr>
      <w:r>
        <w:rPr>
          <w:rFonts w:hint="eastAsia" w:ascii="宋体" w:hAnsi="宋体"/>
          <w:szCs w:val="21"/>
        </w:rPr>
        <w:t>全年支出定补经费690万元，优待面达到100%，军烈属优待金农村每人5945元，城镇每人8320元。转移安置城镇义务兵25人，支付转移安置经费85万元，人平3.4万元。发放892名60岁以上退伍军人生活补助25万元，推荐154名退役士兵免费到技校读书。</w:t>
      </w:r>
    </w:p>
    <w:p w14:paraId="14E9083A">
      <w:pPr>
        <w:pStyle w:val="4"/>
      </w:pPr>
      <w:r>
        <w:rPr>
          <w:rFonts w:hint="eastAsia"/>
        </w:rPr>
        <w:t>【基层政权建设和地名管理】</w:t>
      </w:r>
    </w:p>
    <w:p w14:paraId="727A9EEE">
      <w:pPr>
        <w:ind w:firstLine="420"/>
        <w:rPr>
          <w:rFonts w:ascii="宋体" w:hAnsi="宋体"/>
          <w:szCs w:val="21"/>
        </w:rPr>
      </w:pPr>
      <w:r>
        <w:rPr>
          <w:rFonts w:hint="eastAsia" w:ascii="宋体" w:hAnsi="宋体"/>
          <w:szCs w:val="21"/>
        </w:rPr>
        <w:t>牵头开展全市村（居）委员会换届选举工作，完成全市208个村委会，24个社区居委会换届选举工作。新命名迎宾大道、凌江大道、体育路等16条街道，电力苑、富华花园、桃园小区、繁荣锦苑、华都广场等24个小区，设置城区路牌路标159块。</w:t>
      </w:r>
    </w:p>
    <w:p w14:paraId="0942BB63">
      <w:pPr>
        <w:pStyle w:val="4"/>
      </w:pPr>
      <w:r>
        <w:rPr>
          <w:rFonts w:hint="eastAsia"/>
        </w:rPr>
        <w:t>【社区建设】</w:t>
      </w:r>
    </w:p>
    <w:p w14:paraId="1AFA1AB8">
      <w:pPr>
        <w:ind w:firstLine="420"/>
        <w:rPr>
          <w:rFonts w:ascii="宋体" w:hAnsi="宋体"/>
          <w:szCs w:val="21"/>
        </w:rPr>
      </w:pPr>
      <w:r>
        <w:rPr>
          <w:rFonts w:hint="eastAsia" w:ascii="宋体" w:hAnsi="宋体"/>
          <w:szCs w:val="21"/>
        </w:rPr>
        <w:t>有4个社区被省评为“六好”和谐社区，市“六好”和谐社区总数19个；创建8个农村实验社区，全市农村实验社区共21个。</w:t>
      </w:r>
    </w:p>
    <w:p w14:paraId="180A34D1">
      <w:pPr>
        <w:pStyle w:val="4"/>
      </w:pPr>
      <w:r>
        <w:rPr>
          <w:rFonts w:hint="eastAsia"/>
        </w:rPr>
        <w:t>【殡葬改革】</w:t>
      </w:r>
    </w:p>
    <w:p w14:paraId="254EE0DF">
      <w:pPr>
        <w:ind w:firstLine="420"/>
        <w:rPr>
          <w:rFonts w:ascii="宋体" w:hAnsi="宋体"/>
          <w:szCs w:val="21"/>
        </w:rPr>
      </w:pPr>
      <w:r>
        <w:rPr>
          <w:rFonts w:hint="eastAsia" w:ascii="宋体" w:hAnsi="宋体"/>
          <w:szCs w:val="21"/>
        </w:rPr>
        <w:t>全年火化遗体2354具，起棺火化23宗，火化率100%。</w:t>
      </w:r>
    </w:p>
    <w:p w14:paraId="528D1403">
      <w:pPr>
        <w:pStyle w:val="4"/>
      </w:pPr>
      <w:r>
        <w:rPr>
          <w:rFonts w:hint="eastAsia"/>
        </w:rPr>
        <w:t>【其他工作】</w:t>
      </w:r>
    </w:p>
    <w:p w14:paraId="4BD6A488">
      <w:pPr>
        <w:ind w:firstLine="420"/>
        <w:rPr>
          <w:rFonts w:ascii="宋体" w:hAnsi="宋体"/>
          <w:szCs w:val="21"/>
        </w:rPr>
      </w:pPr>
      <w:r>
        <w:rPr>
          <w:rFonts w:hint="eastAsia" w:ascii="宋体" w:hAnsi="宋体"/>
          <w:szCs w:val="21"/>
        </w:rPr>
        <w:t>全年办理收养登记20宗，办理婚姻登记5120对，办理老人证200多人，支出近4万元救助流浪乞讨人员260人次，投入大兰村扶贫“双到”资金183万元，完成大兰自然村村容村貌整治、村委会办公场所维修整治、廖地等3个自然村农电改造，兴建4个覆盖各自然村的电信基站，帮助17户贫困户新建住房，发放果苗5千珠、化肥30吨。                                                             （李  根）</w:t>
      </w:r>
    </w:p>
    <w:p w14:paraId="24DD9436">
      <w:pPr>
        <w:ind w:firstLine="0" w:firstLineChars="0"/>
        <w:rPr>
          <w:rFonts w:ascii="宋体" w:hAnsi="宋体"/>
          <w:szCs w:val="21"/>
        </w:rPr>
      </w:pPr>
      <w:r>
        <w:rPr>
          <w:rFonts w:hint="eastAsia" w:ascii="宋体" w:hAnsi="宋体"/>
          <w:b/>
          <w:szCs w:val="21"/>
        </w:rPr>
        <w:t>附：2011年市民政局领导班子成员名单</w:t>
      </w:r>
    </w:p>
    <w:p w14:paraId="749A6D67">
      <w:pPr>
        <w:ind w:firstLine="0" w:firstLineChars="0"/>
        <w:rPr>
          <w:rFonts w:ascii="宋体" w:hAnsi="宋体"/>
          <w:szCs w:val="21"/>
        </w:rPr>
      </w:pPr>
      <w:r>
        <w:rPr>
          <w:rFonts w:hint="eastAsia" w:ascii="宋体" w:hAnsi="宋体"/>
          <w:szCs w:val="21"/>
        </w:rPr>
        <w:t>局长：尹本善</w:t>
      </w:r>
    </w:p>
    <w:p w14:paraId="0E3568BA">
      <w:pPr>
        <w:ind w:firstLine="0" w:firstLineChars="0"/>
        <w:rPr>
          <w:rFonts w:ascii="宋体" w:hAnsi="宋体"/>
          <w:szCs w:val="21"/>
        </w:rPr>
      </w:pPr>
      <w:r>
        <w:rPr>
          <w:rFonts w:hint="eastAsia" w:ascii="宋体" w:hAnsi="宋体"/>
          <w:szCs w:val="21"/>
        </w:rPr>
        <w:t>副局长：刘洪森  林彩虹（任至8月）</w:t>
      </w:r>
    </w:p>
    <w:p w14:paraId="1FEFA1C8">
      <w:pPr>
        <w:ind w:firstLine="840" w:firstLineChars="400"/>
        <w:rPr>
          <w:rFonts w:ascii="宋体" w:hAnsi="宋体"/>
          <w:szCs w:val="21"/>
        </w:rPr>
      </w:pPr>
      <w:r>
        <w:rPr>
          <w:rFonts w:hint="eastAsia" w:ascii="宋体" w:hAnsi="宋体"/>
          <w:szCs w:val="21"/>
        </w:rPr>
        <w:t>刘文秀（8月任）    邓朝东</w:t>
      </w:r>
    </w:p>
    <w:p w14:paraId="2BF8B6E0">
      <w:pPr>
        <w:ind w:firstLine="0" w:firstLineChars="0"/>
        <w:rPr>
          <w:rFonts w:ascii="宋体" w:hAnsi="宋体"/>
          <w:szCs w:val="21"/>
        </w:rPr>
      </w:pPr>
      <w:r>
        <w:rPr>
          <w:rFonts w:hint="eastAsia" w:ascii="宋体" w:hAnsi="宋体"/>
          <w:szCs w:val="21"/>
        </w:rPr>
        <w:t>纪检组长：孙振威</w:t>
      </w:r>
    </w:p>
    <w:p w14:paraId="373D2918">
      <w:pPr>
        <w:pStyle w:val="3"/>
      </w:pPr>
      <w:r>
        <w:t>关心下一代工作</w:t>
      </w:r>
    </w:p>
    <w:p w14:paraId="782304DC">
      <w:pPr>
        <w:pStyle w:val="4"/>
      </w:pPr>
      <w:r>
        <w:rPr>
          <w:rFonts w:hint="eastAsia"/>
        </w:rPr>
        <w:t>【调整班子】</w:t>
      </w:r>
    </w:p>
    <w:p w14:paraId="5E9D1BCF">
      <w:pPr>
        <w:ind w:firstLine="420"/>
        <w:rPr>
          <w:rFonts w:ascii="宋体" w:hAnsi="宋体"/>
          <w:szCs w:val="21"/>
        </w:rPr>
      </w:pPr>
      <w:r>
        <w:rPr>
          <w:rFonts w:hint="eastAsia" w:ascii="宋体" w:hAnsi="宋体"/>
          <w:szCs w:val="21"/>
        </w:rPr>
        <w:t>原市关工委执行主任李仕仁、副主任刘景山，因年龄问题卸任，由衷玉华任执行主任，李光洋任执行副主任。3月15日由中共南雄市委组织部发文，要求全市各镇（街道）、市直副科以上单位及时调整好关工委领导班子，规定由单位党（工）委副书记或分管政工的班子成员任主任，关工组织要有固定办公场所，确保至少3000元的办公经费。至4月底，已有60多个单位调整好了关工委领导班子，并报市关工委备案。聘请原人大常务副主任肖芬先、原人大副主任李总路、朱雄、林树雄、原政协副主席郭淑华为顾问。</w:t>
      </w:r>
    </w:p>
    <w:p w14:paraId="04D85095">
      <w:pPr>
        <w:pStyle w:val="4"/>
      </w:pPr>
      <w:r>
        <w:rPr>
          <w:rFonts w:hint="eastAsia"/>
        </w:rPr>
        <w:t>【及时总结推广关工经验】</w:t>
      </w:r>
    </w:p>
    <w:p w14:paraId="32AE7C92">
      <w:pPr>
        <w:ind w:firstLine="420"/>
        <w:rPr>
          <w:rFonts w:ascii="宋体" w:hAnsi="宋体"/>
          <w:szCs w:val="21"/>
        </w:rPr>
      </w:pPr>
      <w:r>
        <w:rPr>
          <w:rFonts w:hint="eastAsia" w:ascii="宋体" w:hAnsi="宋体"/>
          <w:szCs w:val="21"/>
        </w:rPr>
        <w:t>2012年是关工工作基层工作年的第二年。市关工委深入到各基层单位调研，及时总结经验，刊载于《骄阳》杂志上以推广。如新城王锦辉中学开展学“弟子规”等国学经典的总结：“学国学经典、开文明之花”，河南村委会的“三教”示范点经验：“关爱老妇少，创建文明小区”，澜河陈经伦学校针对中小学校合并后出现的问题如何做好关爱工作经验介绍：《发展前行中的澜河陈经伦学校》，界址中学的《给山区孩子插上奋飞的翅膀》。</w:t>
      </w:r>
    </w:p>
    <w:p w14:paraId="575A4FE5">
      <w:pPr>
        <w:pStyle w:val="4"/>
      </w:pPr>
      <w:r>
        <w:rPr>
          <w:rFonts w:hint="eastAsia"/>
        </w:rPr>
        <w:t>【《骄阳》杂志】</w:t>
      </w:r>
    </w:p>
    <w:p w14:paraId="138AFD2C">
      <w:pPr>
        <w:ind w:firstLine="420"/>
        <w:rPr>
          <w:rFonts w:ascii="宋体" w:hAnsi="宋体"/>
          <w:szCs w:val="21"/>
        </w:rPr>
      </w:pPr>
      <w:r>
        <w:rPr>
          <w:rFonts w:hint="eastAsia" w:ascii="宋体" w:hAnsi="宋体"/>
          <w:szCs w:val="21"/>
        </w:rPr>
        <w:t>季刊，每期的封二、封三为“关工掠影”，内页共12个版面，栏目多样，主要有关工理论、创业佳话、红色教育、基层关工、处世之道、人物春秋、文化传承、健康驿站等。</w:t>
      </w:r>
    </w:p>
    <w:p w14:paraId="0EDE7F95">
      <w:pPr>
        <w:pStyle w:val="4"/>
      </w:pPr>
      <w:r>
        <w:rPr>
          <w:rFonts w:hint="eastAsia"/>
        </w:rPr>
        <w:t>【扶贫助学】</w:t>
      </w:r>
    </w:p>
    <w:p w14:paraId="50C409FB">
      <w:pPr>
        <w:ind w:firstLine="420"/>
        <w:rPr>
          <w:rFonts w:ascii="宋体" w:hAnsi="宋体"/>
          <w:szCs w:val="21"/>
        </w:rPr>
      </w:pPr>
      <w:r>
        <w:rPr>
          <w:rFonts w:hint="eastAsia" w:ascii="宋体" w:hAnsi="宋体"/>
          <w:szCs w:val="21"/>
        </w:rPr>
        <w:t>关工委深得港澳同胞及南雄外出乡贤的信任，成为热心助学人士的联系纽带。2012年共引进助学资金30多万元，其中港澳同胞陈万年二万元，唐可华、杜锐深及许璇珠五万多元，用于资助黄坑中学及浆田小学贫困学生；何湛健向界址中学捐资五万元，董祖文捐赠界址中学价值20多万元图书一万册。</w:t>
      </w:r>
    </w:p>
    <w:p w14:paraId="4F7A0CBF">
      <w:pPr>
        <w:pStyle w:val="4"/>
      </w:pPr>
      <w:r>
        <w:rPr>
          <w:rFonts w:hint="eastAsia"/>
        </w:rPr>
        <w:t>【培训创业青年】</w:t>
      </w:r>
    </w:p>
    <w:p w14:paraId="61596C3D">
      <w:pPr>
        <w:ind w:firstLine="420"/>
        <w:rPr>
          <w:rFonts w:ascii="宋体" w:hAnsi="宋体"/>
          <w:szCs w:val="21"/>
        </w:rPr>
      </w:pPr>
      <w:r>
        <w:rPr>
          <w:rFonts w:hint="eastAsia" w:ascii="宋体" w:hAnsi="宋体"/>
          <w:szCs w:val="21"/>
        </w:rPr>
        <w:t>培训创业青年工作主要有四方面：一是组织农村100名青年参加市初级培训班，主要从思想上予以鼓励，技术上予以支持。二是创业已初具规模者，参加韶关市关工委举办的提高班，着重解决创业者在创业过程中碰到的问题，帮助他们更上一层楼。三是选送创业青年优秀代表参加广东省高级培训班。四是通过调研，树立创业青年十党支部十经济合作社的创业新模式典型——荆岗村主任、支书兼经济合作社主任梁高山，全面推广荆岗经验。                                                             （董诗咏）</w:t>
      </w:r>
    </w:p>
    <w:p w14:paraId="5760669B">
      <w:pPr>
        <w:ind w:firstLine="0" w:firstLineChars="0"/>
        <w:rPr>
          <w:rFonts w:ascii="宋体" w:hAnsi="宋体"/>
          <w:b/>
          <w:szCs w:val="21"/>
        </w:rPr>
      </w:pPr>
      <w:r>
        <w:rPr>
          <w:rFonts w:hint="eastAsia" w:ascii="宋体" w:hAnsi="宋体"/>
          <w:b/>
          <w:szCs w:val="21"/>
        </w:rPr>
        <w:t>附：2012年市关工委领导成员名单</w:t>
      </w:r>
    </w:p>
    <w:p w14:paraId="1C1E3CD4">
      <w:pPr>
        <w:ind w:firstLine="0" w:firstLineChars="0"/>
        <w:rPr>
          <w:rFonts w:ascii="宋体" w:hAnsi="宋体"/>
          <w:szCs w:val="21"/>
        </w:rPr>
      </w:pPr>
      <w:r>
        <w:rPr>
          <w:rFonts w:hint="eastAsia" w:ascii="宋体" w:hAnsi="宋体"/>
          <w:szCs w:val="21"/>
        </w:rPr>
        <w:t>执行主任：衷玉华</w:t>
      </w:r>
    </w:p>
    <w:p w14:paraId="5F04EB84">
      <w:pPr>
        <w:ind w:firstLine="0" w:firstLineChars="0"/>
        <w:rPr>
          <w:rFonts w:ascii="宋体" w:hAnsi="宋体"/>
          <w:szCs w:val="21"/>
        </w:rPr>
      </w:pPr>
      <w:r>
        <w:rPr>
          <w:rFonts w:hint="eastAsia" w:ascii="宋体" w:hAnsi="宋体"/>
          <w:szCs w:val="21"/>
        </w:rPr>
        <w:t>副主任兼办公室主任：李光洋</w:t>
      </w:r>
    </w:p>
    <w:p w14:paraId="72FE13C4">
      <w:pPr>
        <w:ind w:firstLine="0" w:firstLineChars="0"/>
        <w:rPr>
          <w:rFonts w:ascii="宋体" w:hAnsi="宋体"/>
          <w:szCs w:val="21"/>
        </w:rPr>
      </w:pPr>
      <w:r>
        <w:rPr>
          <w:rFonts w:hint="eastAsia" w:ascii="宋体" w:hAnsi="宋体"/>
          <w:szCs w:val="21"/>
        </w:rPr>
        <w:t>办公室副主任：李国龙  叶永乐</w:t>
      </w:r>
    </w:p>
    <w:p w14:paraId="7006403E">
      <w:pPr>
        <w:pStyle w:val="3"/>
      </w:pPr>
      <w:r>
        <w:rPr>
          <w:rFonts w:hint="eastAsia"/>
        </w:rPr>
        <w:t>老区促进工作</w:t>
      </w:r>
    </w:p>
    <w:p w14:paraId="37E1AC99">
      <w:pPr>
        <w:pStyle w:val="4"/>
      </w:pPr>
      <w:r>
        <w:rPr>
          <w:rFonts w:hint="eastAsia"/>
        </w:rPr>
        <w:t>【全国革命老区“大调研”】</w:t>
      </w:r>
    </w:p>
    <w:p w14:paraId="66914492">
      <w:pPr>
        <w:ind w:firstLine="420"/>
        <w:rPr>
          <w:rFonts w:ascii="宋体" w:hAnsi="宋体"/>
          <w:szCs w:val="21"/>
        </w:rPr>
      </w:pPr>
      <w:r>
        <w:rPr>
          <w:rFonts w:hint="eastAsia" w:ascii="宋体" w:hAnsi="宋体"/>
          <w:szCs w:val="21"/>
        </w:rPr>
        <w:t>2011年中国老促会组织发起在全国革命老区开展一次“万人千县百日”大调研活动。从5月10日至5月30日，对南雄市革命老区建设发展情况进行一次全面系统、深入的调研活动。真实反映中央苏区县发展状况，采取“数据反映、典型例证、座谈讨论、问卷调查、实地考察”等形式有机结合、融为一体方法，完成本次调研任务。在调研的基础上，找准南雄市革命老区建设发展中的主要矛盾，存在的突出问题及其原因，提出推进老区建设与国家战略发展相协调、相适应的政策性意见和建议，并写出综合报告报省和全国老促会。</w:t>
      </w:r>
    </w:p>
    <w:p w14:paraId="2F37E74B">
      <w:pPr>
        <w:pStyle w:val="4"/>
      </w:pPr>
      <w:r>
        <w:rPr>
          <w:rFonts w:hint="eastAsia"/>
        </w:rPr>
        <w:t>【全省老促会座谈会各项工作】</w:t>
      </w:r>
    </w:p>
    <w:p w14:paraId="5C9BA71D">
      <w:pPr>
        <w:ind w:firstLine="420"/>
        <w:rPr>
          <w:rFonts w:ascii="宋体" w:hAnsi="宋体"/>
          <w:szCs w:val="21"/>
        </w:rPr>
      </w:pPr>
      <w:r>
        <w:rPr>
          <w:rFonts w:hint="eastAsia" w:ascii="宋体" w:hAnsi="宋体"/>
          <w:szCs w:val="21"/>
        </w:rPr>
        <w:t>2011年省老促会会长座谈会安排在韶关市召开。整理参观简介材料和会议发言材料，制定并落实行程方案和接待，会议于10月12日上午参观南雄市“精细化工工业园区”、“中共广东省委瑶坑旧址”、“珠玑古巷”三个点，自始至终做好各项工作，对宣传南雄“中央苏区县”具有广泛的影响。</w:t>
      </w:r>
    </w:p>
    <w:p w14:paraId="158D5E80">
      <w:pPr>
        <w:pStyle w:val="4"/>
      </w:pPr>
      <w:r>
        <w:rPr>
          <w:rFonts w:hint="eastAsia"/>
        </w:rPr>
        <w:t>【老区发展专项资金项目监管】</w:t>
      </w:r>
    </w:p>
    <w:p w14:paraId="72927BFC">
      <w:pPr>
        <w:ind w:firstLine="420"/>
        <w:rPr>
          <w:rFonts w:ascii="宋体" w:hAnsi="宋体"/>
          <w:szCs w:val="21"/>
        </w:rPr>
      </w:pPr>
      <w:r>
        <w:rPr>
          <w:rFonts w:hint="eastAsia" w:ascii="宋体" w:hAnsi="宋体"/>
          <w:szCs w:val="21"/>
        </w:rPr>
        <w:t>2011年争取资金50多万元，及时检查、核实，将专项资金到位到项目，主要用于老区村道、人行便桥、食水工程等建设，逐步改善老区生产生活条件。</w:t>
      </w:r>
    </w:p>
    <w:p w14:paraId="7A943975">
      <w:pPr>
        <w:pStyle w:val="4"/>
      </w:pPr>
      <w:r>
        <w:rPr>
          <w:rFonts w:hint="eastAsia"/>
        </w:rPr>
        <w:t>【革命烈士后裔在校就读助学金发放】</w:t>
      </w:r>
    </w:p>
    <w:p w14:paraId="5BDCF03D">
      <w:pPr>
        <w:ind w:firstLine="420"/>
        <w:rPr>
          <w:rFonts w:ascii="宋体" w:hAnsi="宋体"/>
          <w:szCs w:val="21"/>
        </w:rPr>
      </w:pPr>
      <w:r>
        <w:rPr>
          <w:rFonts w:hint="eastAsia" w:ascii="宋体" w:hAnsi="宋体"/>
          <w:szCs w:val="21"/>
        </w:rPr>
        <w:t>对革命烈士后裔在校大、中专生的情况进行核查、统计工作，对家庭人均1500元以下的烈士后裔在校大中专生申报至省市老促会，经审核批准的43名，受助者大专以上每位发送1900元、中专每位1300元发到学生家长，于12月15日在湖口镇、乌迳镇、油山镇、邓坊镇和珠玑镇共5个镇采用集中座谈形式进行发放。</w:t>
      </w:r>
    </w:p>
    <w:p w14:paraId="7E86E0FA">
      <w:pPr>
        <w:pStyle w:val="4"/>
      </w:pPr>
      <w:r>
        <w:rPr>
          <w:rFonts w:hint="eastAsia"/>
        </w:rPr>
        <w:t>【老促会换届】</w:t>
      </w:r>
    </w:p>
    <w:p w14:paraId="46D9FAF0">
      <w:pPr>
        <w:ind w:firstLine="420"/>
        <w:rPr>
          <w:rFonts w:ascii="宋体" w:hAnsi="宋体"/>
          <w:szCs w:val="21"/>
        </w:rPr>
      </w:pPr>
      <w:r>
        <w:rPr>
          <w:rFonts w:hint="eastAsia" w:ascii="宋体" w:hAnsi="宋体"/>
          <w:szCs w:val="21"/>
        </w:rPr>
        <w:t>“老促会”是属社会团体，按其章程规定现已期满，鉴于市党政班子换届已完成、各机关部门的领导已调整稳定，老促会换届工作时机已成熟应同步进行。制定出换届工作方案、修改章程、理事人员筹备、上届工作报告、会务准备、理事名单红头文件等，于11月18日圆满完成换届工作。</w:t>
      </w:r>
    </w:p>
    <w:p w14:paraId="15B960F2">
      <w:pPr>
        <w:pStyle w:val="4"/>
      </w:pPr>
      <w:r>
        <w:rPr>
          <w:rFonts w:hint="eastAsia"/>
        </w:rPr>
        <w:t>【老区慰问】</w:t>
      </w:r>
    </w:p>
    <w:p w14:paraId="5CEFDEE2">
      <w:pPr>
        <w:ind w:firstLine="420"/>
        <w:rPr>
          <w:rFonts w:ascii="宋体" w:hAnsi="宋体"/>
          <w:szCs w:val="21"/>
        </w:rPr>
      </w:pPr>
      <w:r>
        <w:rPr>
          <w:rFonts w:hint="eastAsia" w:ascii="宋体" w:hAnsi="宋体"/>
          <w:szCs w:val="21"/>
        </w:rPr>
        <w:t>2011年发放老区慰问金5.2万元、慰问信和迎接韶关市委市政府慰问南雄，处理好慰问工作的各项事宜。                                                                                 （蓝师发）</w:t>
      </w:r>
    </w:p>
    <w:p w14:paraId="1B509954">
      <w:pPr>
        <w:ind w:firstLine="0" w:firstLineChars="0"/>
        <w:rPr>
          <w:rFonts w:ascii="宋体" w:hAnsi="宋体"/>
          <w:szCs w:val="21"/>
        </w:rPr>
      </w:pPr>
      <w:r>
        <w:rPr>
          <w:rFonts w:hint="eastAsia" w:ascii="宋体" w:hAnsi="宋体"/>
          <w:b/>
          <w:szCs w:val="21"/>
        </w:rPr>
        <w:t>附：2011年市老区建设促进会班子成员名单</w:t>
      </w:r>
    </w:p>
    <w:p w14:paraId="26C53ACB">
      <w:pPr>
        <w:ind w:firstLine="0" w:firstLineChars="0"/>
        <w:rPr>
          <w:rFonts w:ascii="宋体" w:hAnsi="宋体"/>
          <w:szCs w:val="21"/>
        </w:rPr>
      </w:pPr>
      <w:r>
        <w:rPr>
          <w:rFonts w:hint="eastAsia" w:ascii="宋体" w:hAnsi="宋体"/>
          <w:szCs w:val="21"/>
        </w:rPr>
        <w:t>会  长：朱  雄</w:t>
      </w:r>
    </w:p>
    <w:p w14:paraId="3D472357">
      <w:pPr>
        <w:ind w:firstLine="0" w:firstLineChars="0"/>
        <w:rPr>
          <w:rFonts w:ascii="宋体" w:hAnsi="宋体"/>
          <w:szCs w:val="21"/>
        </w:rPr>
      </w:pPr>
      <w:r>
        <w:rPr>
          <w:rFonts w:hint="eastAsia" w:ascii="宋体" w:hAnsi="宋体"/>
          <w:szCs w:val="21"/>
        </w:rPr>
        <w:t>常务副会长：林树雄</w:t>
      </w:r>
    </w:p>
    <w:p w14:paraId="7279FF88">
      <w:pPr>
        <w:ind w:firstLine="0" w:firstLineChars="0"/>
        <w:rPr>
          <w:rFonts w:ascii="宋体" w:hAnsi="宋体"/>
          <w:szCs w:val="21"/>
        </w:rPr>
      </w:pPr>
      <w:r>
        <w:rPr>
          <w:rFonts w:hint="eastAsia" w:ascii="宋体" w:hAnsi="宋体"/>
          <w:szCs w:val="21"/>
        </w:rPr>
        <w:t>副会长：陈仁麟</w:t>
      </w:r>
    </w:p>
    <w:p w14:paraId="7248AD4D">
      <w:pPr>
        <w:ind w:firstLine="0" w:firstLineChars="0"/>
        <w:rPr>
          <w:rFonts w:ascii="宋体" w:hAnsi="宋体"/>
          <w:szCs w:val="21"/>
        </w:rPr>
      </w:pPr>
      <w:r>
        <w:rPr>
          <w:rFonts w:hint="eastAsia" w:ascii="宋体" w:hAnsi="宋体"/>
          <w:szCs w:val="21"/>
        </w:rPr>
        <w:t>秘书长：蓝师发</w:t>
      </w:r>
    </w:p>
    <w:tbl>
      <w:tblPr>
        <w:tblStyle w:val="15"/>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4C3B3AA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44901807">
            <w:pPr>
              <w:ind w:firstLine="0" w:firstLineChars="0"/>
              <w:rPr>
                <w:rFonts w:ascii="宋体" w:hAnsi="宋体"/>
                <w:szCs w:val="21"/>
              </w:rPr>
            </w:pPr>
            <w:r>
              <w:rPr>
                <w:rFonts w:ascii="宋体" w:hAnsi="宋体"/>
                <w:szCs w:val="21"/>
              </w:rPr>
              <w:pict>
                <v:shape id="_x0000_i1039" o:spt="75" type="#_x0000_t75" style="height:487.5pt;width:487.5pt;" filled="f" o:preferrelative="t" stroked="f" coordsize="21600,21600">
                  <v:path/>
                  <v:fill on="f" focussize="0,0"/>
                  <v:stroke on="f" joinstyle="miter"/>
                  <v:imagedata r:id="rId110" o:title="南雄年鉴2012-57"/>
                  <o:lock v:ext="edit" aspectratio="t"/>
                  <w10:wrap type="none"/>
                  <w10:anchorlock/>
                </v:shape>
              </w:pict>
            </w:r>
          </w:p>
        </w:tc>
      </w:tr>
    </w:tbl>
    <w:p w14:paraId="7950069A">
      <w:pPr>
        <w:pStyle w:val="2"/>
      </w:pPr>
      <w:r>
        <w:rPr>
          <w:rFonts w:hint="eastAsia"/>
        </w:rPr>
        <w:t>镇（街道）</w:t>
      </w:r>
    </w:p>
    <w:p w14:paraId="0765B7CD">
      <w:pPr>
        <w:pStyle w:val="3"/>
      </w:pPr>
      <w:r>
        <w:rPr>
          <w:rFonts w:hint="eastAsia"/>
        </w:rPr>
        <w:t>邓坊镇</w:t>
      </w:r>
    </w:p>
    <w:p w14:paraId="236E4954">
      <w:pPr>
        <w:pStyle w:val="4"/>
      </w:pPr>
      <w:r>
        <w:rPr>
          <w:rFonts w:hint="eastAsia"/>
        </w:rPr>
        <w:t>【概况】</w:t>
      </w:r>
    </w:p>
    <w:p w14:paraId="0A79E2A3">
      <w:pPr>
        <w:ind w:firstLine="420"/>
        <w:rPr>
          <w:rFonts w:ascii="宋体" w:hAnsi="宋体"/>
          <w:szCs w:val="21"/>
        </w:rPr>
      </w:pPr>
      <w:r>
        <w:rPr>
          <w:rFonts w:hint="eastAsia" w:ascii="宋体" w:hAnsi="宋体"/>
          <w:szCs w:val="21"/>
        </w:rPr>
        <w:t>邓坊镇是革命老区，辖9个村委会和邓坊社区1个居委会，106个村民小组，人口15897人，总户数4656户，其中农业人口14706人，农业户数4258户。</w:t>
      </w:r>
    </w:p>
    <w:p w14:paraId="4B593CB9">
      <w:pPr>
        <w:ind w:firstLine="420"/>
        <w:rPr>
          <w:rFonts w:ascii="宋体" w:hAnsi="宋体"/>
          <w:szCs w:val="21"/>
        </w:rPr>
      </w:pPr>
      <w:r>
        <w:rPr>
          <w:rFonts w:hint="eastAsia" w:ascii="宋体" w:hAnsi="宋体"/>
          <w:szCs w:val="21"/>
        </w:rPr>
        <w:t>地形地貌以半山区为主，平原、丘陵、河流、坡地相互交错，最高海拔850米。</w:t>
      </w:r>
    </w:p>
    <w:p w14:paraId="7669A807">
      <w:pPr>
        <w:ind w:firstLine="420"/>
        <w:rPr>
          <w:rFonts w:ascii="宋体" w:hAnsi="宋体"/>
          <w:szCs w:val="21"/>
        </w:rPr>
      </w:pPr>
      <w:r>
        <w:rPr>
          <w:rFonts w:hint="eastAsia" w:ascii="宋体" w:hAnsi="宋体"/>
          <w:szCs w:val="21"/>
        </w:rPr>
        <w:t>境内气候四季如春，夏无酷暑，冬少严寒，干湿季节分明。一月均温8.7℃，7月均温28.5℃，年平均降水量1554.9毫米。经济作物主要种植黄烟、水稻、玉米、花生、蔬菜、水果，是“甜玉米之乡”，高寒蔬菜、有机米基地。</w:t>
      </w:r>
    </w:p>
    <w:p w14:paraId="6C3BCC09">
      <w:pPr>
        <w:ind w:firstLine="420"/>
        <w:rPr>
          <w:rFonts w:ascii="宋体" w:hAnsi="宋体"/>
          <w:szCs w:val="21"/>
        </w:rPr>
      </w:pPr>
      <w:r>
        <w:rPr>
          <w:rFonts w:hint="eastAsia" w:ascii="宋体" w:hAnsi="宋体"/>
          <w:szCs w:val="21"/>
        </w:rPr>
        <w:t>矿产资源丰富：有钨、铁、铀、稀土、花岗岩等矿藏，其中花岗岩蓄量大、品种多、品位高；</w:t>
      </w:r>
    </w:p>
    <w:p w14:paraId="4F40D9D8">
      <w:pPr>
        <w:ind w:firstLine="420"/>
        <w:rPr>
          <w:rFonts w:ascii="宋体" w:hAnsi="宋体"/>
          <w:szCs w:val="21"/>
        </w:rPr>
      </w:pPr>
      <w:r>
        <w:rPr>
          <w:rFonts w:hint="eastAsia" w:ascii="宋体" w:hAnsi="宋体"/>
          <w:szCs w:val="21"/>
        </w:rPr>
        <w:t>有县道雄邓线、黄邓线、梅邓线、大塘线，政府所在地邓坊墟距城区雄州26公里，国道G323、韶赣高速公路、铁路擦边而过。</w:t>
      </w:r>
    </w:p>
    <w:p w14:paraId="01E44B89">
      <w:pPr>
        <w:ind w:firstLine="420"/>
        <w:rPr>
          <w:rFonts w:ascii="宋体" w:hAnsi="宋体"/>
          <w:szCs w:val="21"/>
        </w:rPr>
      </w:pPr>
      <w:r>
        <w:rPr>
          <w:rFonts w:hint="eastAsia" w:ascii="宋体" w:hAnsi="宋体"/>
          <w:szCs w:val="21"/>
        </w:rPr>
        <w:t>特产：有香菇、木耳、竹笋等土特产；有黄猄、野猪等野生动物。</w:t>
      </w:r>
    </w:p>
    <w:p w14:paraId="0DE87386">
      <w:pPr>
        <w:pStyle w:val="4"/>
      </w:pPr>
      <w:r>
        <w:rPr>
          <w:rFonts w:hint="eastAsia"/>
        </w:rPr>
        <w:t>【经济社会发展】</w:t>
      </w:r>
    </w:p>
    <w:p w14:paraId="74CCE07E">
      <w:pPr>
        <w:ind w:firstLine="420"/>
        <w:rPr>
          <w:rFonts w:ascii="宋体" w:hAnsi="宋体"/>
          <w:szCs w:val="21"/>
        </w:rPr>
      </w:pPr>
      <w:r>
        <w:rPr>
          <w:rFonts w:hint="eastAsia" w:ascii="宋体" w:hAnsi="宋体"/>
          <w:szCs w:val="21"/>
        </w:rPr>
        <w:t>2011年，邓坊农业总产值9731万元，农民人均收入4500元.全镇有11家农民专业合作社，种植黄烟353公顷，发展有机稻128公顷，优质稻398公顷，马铃薯55公顷，朝天椒225公顷，甜玉米118公顷，三华李1100公顷，新造林130公顷，林外业堪界、确权工作完成12000亩山，完成率95%，解决农村“住房难”农户86户。</w:t>
      </w:r>
    </w:p>
    <w:p w14:paraId="5F6FF2CE">
      <w:pPr>
        <w:pStyle w:val="4"/>
      </w:pPr>
      <w:r>
        <w:rPr>
          <w:rFonts w:hint="eastAsia"/>
        </w:rPr>
        <w:t>【新农村建设】</w:t>
      </w:r>
    </w:p>
    <w:p w14:paraId="3DFDB045">
      <w:pPr>
        <w:ind w:firstLine="420"/>
        <w:rPr>
          <w:rFonts w:ascii="宋体" w:hAnsi="宋体"/>
          <w:szCs w:val="21"/>
        </w:rPr>
      </w:pPr>
      <w:r>
        <w:rPr>
          <w:rFonts w:hint="eastAsia" w:ascii="宋体" w:hAnsi="宋体"/>
          <w:szCs w:val="21"/>
        </w:rPr>
        <w:t>2011年，邓坊把赤马竹头坪新村、茶头背水庄岭新村2个旧村改造成新农村示范村，把洋西陈屋改造成市级村庄整治示范点。</w:t>
      </w:r>
    </w:p>
    <w:p w14:paraId="3355695A">
      <w:pPr>
        <w:pStyle w:val="4"/>
      </w:pPr>
      <w:r>
        <w:rPr>
          <w:rFonts w:hint="eastAsia"/>
        </w:rPr>
        <w:t>【教育成果】</w:t>
      </w:r>
    </w:p>
    <w:p w14:paraId="1ACD0BE5">
      <w:pPr>
        <w:ind w:firstLine="420"/>
        <w:rPr>
          <w:rFonts w:ascii="宋体" w:hAnsi="宋体"/>
          <w:szCs w:val="21"/>
        </w:rPr>
      </w:pPr>
      <w:r>
        <w:rPr>
          <w:rFonts w:hint="eastAsia" w:ascii="宋体" w:hAnsi="宋体"/>
          <w:szCs w:val="21"/>
        </w:rPr>
        <w:t>适龄儿童入学率100%，中学升中考7人600分以上（其中3人考入韶关市重点高中），33人500分；</w:t>
      </w:r>
    </w:p>
    <w:p w14:paraId="601A9860">
      <w:pPr>
        <w:pStyle w:val="4"/>
      </w:pPr>
      <w:r>
        <w:rPr>
          <w:rFonts w:hint="eastAsia"/>
        </w:rPr>
        <w:t>【惠民成果】</w:t>
      </w:r>
    </w:p>
    <w:p w14:paraId="20F26FC1">
      <w:pPr>
        <w:ind w:firstLine="420"/>
        <w:rPr>
          <w:rFonts w:ascii="宋体" w:hAnsi="宋体"/>
          <w:szCs w:val="21"/>
        </w:rPr>
      </w:pPr>
      <w:r>
        <w:rPr>
          <w:rFonts w:hint="eastAsia" w:ascii="宋体" w:hAnsi="宋体"/>
          <w:szCs w:val="21"/>
        </w:rPr>
        <w:t>新农合参保人数13827人，参合率95%，共有736人报账，报账金额207万元，新农保参保人数3513人，完成市任务的109%；全年纳入低保救助家庭306户599人；发放种粮补贴4368户，资金97万元；家电下乡补贴985件，发放家电下乡补贴资金34万元；摩托汽车下乡26辆，发放摩托汽车下乡补贴资金24204元。里源、竹山下、邓坊三个自然村的自来水改造工程全面完成。</w:t>
      </w:r>
    </w:p>
    <w:p w14:paraId="485E63A9">
      <w:pPr>
        <w:pStyle w:val="4"/>
      </w:pPr>
      <w:r>
        <w:rPr>
          <w:rFonts w:hint="eastAsia"/>
        </w:rPr>
        <w:t>【计生成果】</w:t>
      </w:r>
    </w:p>
    <w:p w14:paraId="7DACC61D">
      <w:pPr>
        <w:ind w:firstLine="420"/>
        <w:rPr>
          <w:rFonts w:ascii="宋体" w:hAnsi="宋体"/>
          <w:szCs w:val="21"/>
        </w:rPr>
      </w:pPr>
      <w:r>
        <w:rPr>
          <w:rFonts w:hint="eastAsia" w:ascii="宋体" w:hAnsi="宋体"/>
          <w:szCs w:val="21"/>
        </w:rPr>
        <w:t>计划生育率96.21%，人口出生率15.35%，人口自然增长率8.83%3个“无政策外出生村”，镇获市“无政策外多孩出生镇”称号。</w:t>
      </w:r>
    </w:p>
    <w:p w14:paraId="5EE09769">
      <w:pPr>
        <w:pStyle w:val="4"/>
      </w:pPr>
      <w:r>
        <w:rPr>
          <w:rFonts w:hint="eastAsia"/>
        </w:rPr>
        <w:t>【扶贫双到】</w:t>
      </w:r>
    </w:p>
    <w:p w14:paraId="6BD7BEAC">
      <w:pPr>
        <w:ind w:firstLine="420"/>
        <w:rPr>
          <w:rFonts w:ascii="宋体" w:hAnsi="宋体"/>
          <w:szCs w:val="21"/>
        </w:rPr>
      </w:pPr>
      <w:r>
        <w:rPr>
          <w:rFonts w:hint="eastAsia" w:ascii="宋体" w:hAnsi="宋体"/>
          <w:szCs w:val="21"/>
        </w:rPr>
        <w:t>邓坊镇辖区内农村家庭年人均纯收入低于2500元的贫困人口共554户1927人，其中省核定贫困村有4个，分别为里源村、茶头背村、上湖村、兰田村，四个贫困村共有贫困户419户1610人。</w:t>
      </w:r>
    </w:p>
    <w:p w14:paraId="6389FEEF">
      <w:pPr>
        <w:ind w:firstLine="420"/>
        <w:rPr>
          <w:rFonts w:ascii="宋体" w:hAnsi="宋体"/>
          <w:szCs w:val="21"/>
        </w:rPr>
      </w:pPr>
      <w:r>
        <w:rPr>
          <w:rFonts w:hint="eastAsia" w:ascii="宋体" w:hAnsi="宋体"/>
          <w:szCs w:val="21"/>
        </w:rPr>
        <w:t>2011年四个贫困村共筹集落实省低收入住房困难改造专项资金184万元，帮扶单位扶助及农户自筹资金共1040万元：里源村争取扶贫单位支持，成立了里源丛生竹种植专业合作社，以村集体与贫困户合作的模式发展500亩丛生竹扶贫开发基地；茶头背村由帮扶单位注资10万元入股浈江电业公司，每年村集体有8%的年分红（8000元/年）收入；上湖村以合作社为平台，组织全村90户贫困户以土地、劳动力入股参加合作社，建成2000余亩高山果基地，并在3月份成立了南雄市生态养猪互助社，投入6万元建养猪场；兰田村由市水务局出资建设4000亩毛竹生产基地，并筹建毛竹生产合作社，带动全村140户贫困户种竹。同时，市水务局还为村集体注资10万元入股浈江电业，村集体每年可稳定分得红利8000元。</w:t>
      </w:r>
    </w:p>
    <w:p w14:paraId="6B2C0307">
      <w:pPr>
        <w:ind w:firstLine="420"/>
        <w:rPr>
          <w:rFonts w:ascii="宋体" w:hAnsi="宋体"/>
          <w:szCs w:val="21"/>
        </w:rPr>
      </w:pPr>
      <w:r>
        <w:rPr>
          <w:rFonts w:hint="eastAsia" w:ascii="宋体" w:hAnsi="宋体"/>
          <w:szCs w:val="21"/>
        </w:rPr>
        <w:t>2011年四个贫困村人均纯收入在4000元以上，人均纯收入增长率远远高于同村非贫困户人均纯收入增长率。四个贫困村的419户贫困户已全部参加新农合，60岁以上贫困老人也已全部纳入新农保；贫困户子女未发生义务教育辍学现象；村饮水安全率95%；各村兴建完善文化室、卫生室、垃圾池等公共设施。</w:t>
      </w:r>
    </w:p>
    <w:p w14:paraId="5C6E2515">
      <w:pPr>
        <w:pStyle w:val="4"/>
      </w:pPr>
      <w:r>
        <w:rPr>
          <w:rFonts w:hint="eastAsia"/>
        </w:rPr>
        <w:t>【换届选举】</w:t>
      </w:r>
    </w:p>
    <w:p w14:paraId="4CB654E6">
      <w:pPr>
        <w:ind w:firstLine="420"/>
        <w:rPr>
          <w:rFonts w:ascii="宋体" w:hAnsi="宋体"/>
          <w:szCs w:val="21"/>
        </w:rPr>
      </w:pPr>
      <w:r>
        <w:rPr>
          <w:rFonts w:hint="eastAsia" w:ascii="宋体" w:hAnsi="宋体"/>
          <w:szCs w:val="21"/>
        </w:rPr>
        <w:t>2011年5月完成村两委换届；8月邓坊完成党委换届；9月完成政府换届；</w:t>
      </w:r>
    </w:p>
    <w:p w14:paraId="4627DFB8">
      <w:pPr>
        <w:pStyle w:val="4"/>
      </w:pPr>
      <w:r>
        <w:rPr>
          <w:rFonts w:hint="eastAsia"/>
        </w:rPr>
        <w:t>【新农保试点】</w:t>
      </w:r>
    </w:p>
    <w:p w14:paraId="1C087A5F">
      <w:pPr>
        <w:ind w:firstLine="420"/>
        <w:rPr>
          <w:rFonts w:ascii="宋体" w:hAnsi="宋体"/>
          <w:szCs w:val="21"/>
        </w:rPr>
      </w:pPr>
      <w:r>
        <w:rPr>
          <w:rFonts w:hint="eastAsia" w:ascii="宋体" w:hAnsi="宋体"/>
          <w:szCs w:val="21"/>
        </w:rPr>
        <w:t>2011年8月邓坊镇新型农村养老保险工作试点工作启动；</w:t>
      </w:r>
    </w:p>
    <w:p w14:paraId="29540BE2">
      <w:pPr>
        <w:pStyle w:val="4"/>
      </w:pPr>
      <w:r>
        <w:rPr>
          <w:rFonts w:hint="eastAsia"/>
        </w:rPr>
        <w:t>【建立竹片厂】</w:t>
      </w:r>
    </w:p>
    <w:p w14:paraId="06F7EF1C">
      <w:pPr>
        <w:ind w:firstLine="420"/>
        <w:rPr>
          <w:rFonts w:ascii="宋体" w:hAnsi="宋体"/>
          <w:szCs w:val="21"/>
        </w:rPr>
      </w:pPr>
      <w:r>
        <w:rPr>
          <w:rFonts w:hint="eastAsia" w:ascii="宋体" w:hAnsi="宋体"/>
          <w:szCs w:val="21"/>
        </w:rPr>
        <w:t>2011年10月19日里源丛生竹种植专业合作社切片加工厂建成；</w:t>
      </w:r>
    </w:p>
    <w:p w14:paraId="78F87090">
      <w:pPr>
        <w:pStyle w:val="4"/>
      </w:pPr>
      <w:r>
        <w:rPr>
          <w:rFonts w:hint="eastAsia"/>
        </w:rPr>
        <w:t>【林权制度改革】</w:t>
      </w:r>
    </w:p>
    <w:p w14:paraId="679A9481">
      <w:pPr>
        <w:ind w:firstLine="420"/>
        <w:rPr>
          <w:rFonts w:ascii="宋体" w:hAnsi="宋体"/>
          <w:szCs w:val="21"/>
        </w:rPr>
      </w:pPr>
      <w:r>
        <w:rPr>
          <w:rFonts w:hint="eastAsia" w:ascii="宋体" w:hAnsi="宋体"/>
          <w:szCs w:val="21"/>
        </w:rPr>
        <w:t>2011年10月邓坊完成林权换证工作；</w:t>
      </w:r>
    </w:p>
    <w:p w14:paraId="45377EC7">
      <w:pPr>
        <w:pStyle w:val="4"/>
      </w:pPr>
      <w:r>
        <w:rPr>
          <w:rFonts w:hint="eastAsia"/>
        </w:rPr>
        <w:t>【各村基本情况】</w:t>
      </w:r>
    </w:p>
    <w:p w14:paraId="16BC9C47">
      <w:pPr>
        <w:ind w:firstLine="422"/>
        <w:rPr>
          <w:rFonts w:ascii="宋体" w:hAnsi="宋体"/>
          <w:szCs w:val="21"/>
        </w:rPr>
      </w:pPr>
      <w:r>
        <w:rPr>
          <w:rFonts w:hint="eastAsia" w:ascii="宋体" w:hAnsi="宋体"/>
          <w:b/>
          <w:szCs w:val="21"/>
        </w:rPr>
        <w:t>茶头背村</w:t>
      </w:r>
      <w:r>
        <w:rPr>
          <w:rFonts w:hint="eastAsia" w:ascii="宋体" w:hAnsi="宋体"/>
          <w:szCs w:val="21"/>
        </w:rPr>
        <w:t xml:space="preserve">  有10个村民小组，总户数214户746人。在邓坊镇东北部，距政府所在地8公里。全村土地面积735公顷，其中旱地25.2公顷，水田86公顷，林地600公顷，其他25公顷。种有水稻、西瓜、生姜等高寒蔬菜。</w:t>
      </w:r>
    </w:p>
    <w:p w14:paraId="39543FCC">
      <w:pPr>
        <w:ind w:firstLine="422"/>
        <w:rPr>
          <w:rFonts w:ascii="宋体" w:hAnsi="宋体"/>
          <w:szCs w:val="21"/>
        </w:rPr>
      </w:pPr>
      <w:r>
        <w:rPr>
          <w:rFonts w:hint="eastAsia" w:ascii="宋体" w:hAnsi="宋体"/>
          <w:b/>
          <w:szCs w:val="21"/>
        </w:rPr>
        <w:t>兰田村</w:t>
      </w:r>
      <w:r>
        <w:rPr>
          <w:rFonts w:hint="eastAsia" w:ascii="宋体" w:hAnsi="宋体"/>
          <w:szCs w:val="21"/>
        </w:rPr>
        <w:t xml:space="preserve">  有12个村民小组，总户数438户，1677人。位于邓坊镇北部山区，距政府所在地16公里。全村土地面积296公顷，其中耕地90公顷旱地9.9公顷，水田158公顷，林地267.3公顷，其他119.3公顷。特产有黑米、香菇、竹笋。</w:t>
      </w:r>
    </w:p>
    <w:p w14:paraId="37117416">
      <w:pPr>
        <w:ind w:firstLine="422"/>
        <w:rPr>
          <w:rFonts w:ascii="宋体" w:hAnsi="宋体"/>
          <w:szCs w:val="21"/>
        </w:rPr>
      </w:pPr>
      <w:r>
        <w:rPr>
          <w:rFonts w:hint="eastAsia" w:ascii="宋体" w:hAnsi="宋体"/>
          <w:b/>
          <w:szCs w:val="21"/>
        </w:rPr>
        <w:t>上湖村</w:t>
      </w:r>
      <w:r>
        <w:rPr>
          <w:rFonts w:hint="eastAsia" w:ascii="宋体" w:hAnsi="宋体"/>
          <w:szCs w:val="21"/>
        </w:rPr>
        <w:t xml:space="preserve">  有10个村民小组，253户，总人口910人。在邓坊镇东北部，距镇政府所在地14公里，有山林面积1400公顷，耕地面积91公顷，主要特产有茶油、高山果；</w:t>
      </w:r>
    </w:p>
    <w:p w14:paraId="478614A4">
      <w:pPr>
        <w:ind w:firstLine="422"/>
        <w:rPr>
          <w:rFonts w:ascii="宋体" w:hAnsi="宋体"/>
          <w:szCs w:val="21"/>
        </w:rPr>
      </w:pPr>
      <w:r>
        <w:rPr>
          <w:rFonts w:hint="eastAsia" w:ascii="宋体" w:hAnsi="宋体"/>
          <w:b/>
          <w:szCs w:val="21"/>
        </w:rPr>
        <w:t>洋西村</w:t>
      </w:r>
      <w:r>
        <w:rPr>
          <w:rFonts w:hint="eastAsia" w:ascii="宋体" w:hAnsi="宋体"/>
          <w:szCs w:val="21"/>
        </w:rPr>
        <w:t xml:space="preserve">  辖18个村民小组，总户数598户，总人口2190人。位于邓坊镇东南部，距政府所在地3公里，为典型半山区村。全村总面积1163.2公顷，其中耕地面积168.5公顷，林地面积724.4公顷，全村以种植黄烟为主导产业。</w:t>
      </w:r>
    </w:p>
    <w:p w14:paraId="37CDD204">
      <w:pPr>
        <w:ind w:firstLine="422"/>
        <w:rPr>
          <w:rFonts w:ascii="宋体" w:hAnsi="宋体"/>
          <w:szCs w:val="21"/>
        </w:rPr>
      </w:pPr>
      <w:r>
        <w:rPr>
          <w:rFonts w:hint="eastAsia" w:ascii="宋体" w:hAnsi="宋体"/>
          <w:b/>
          <w:szCs w:val="21"/>
        </w:rPr>
        <w:t>邓坊村</w:t>
      </w:r>
      <w:r>
        <w:rPr>
          <w:rFonts w:hint="eastAsia" w:ascii="宋体" w:hAnsi="宋体"/>
          <w:szCs w:val="21"/>
        </w:rPr>
        <w:t xml:space="preserve">  位于邓坊镇中心，是镇政府所在地，为半山区村。全村总面积1051.3公顷，其中耕地面积191.3公顷，林地面积556.2公顷，辖14个村民小组，总户数697户，总人口2518人。全村以种植黄烟、甜玉米为主导产业。</w:t>
      </w:r>
    </w:p>
    <w:p w14:paraId="50725627">
      <w:pPr>
        <w:ind w:firstLine="422"/>
        <w:rPr>
          <w:rFonts w:ascii="宋体" w:hAnsi="宋体"/>
          <w:szCs w:val="21"/>
        </w:rPr>
      </w:pPr>
      <w:r>
        <w:rPr>
          <w:rFonts w:hint="eastAsia" w:ascii="宋体" w:hAnsi="宋体"/>
          <w:b/>
          <w:szCs w:val="21"/>
        </w:rPr>
        <w:t>赤石村</w:t>
      </w:r>
      <w:r>
        <w:rPr>
          <w:rFonts w:hint="eastAsia" w:ascii="宋体" w:hAnsi="宋体"/>
          <w:szCs w:val="21"/>
        </w:rPr>
        <w:t xml:space="preserve">  位于南雄市东北部，邓坊镇和黄坑镇的交界处，全村共有12个村小组，总户数575户，总人口2046人。全村土地面积749.4公顷，其中耕地170.8公顷，林地31.7公顷。全村主要是以种植水稻和黄烟为主导产业。</w:t>
      </w:r>
    </w:p>
    <w:p w14:paraId="27C7435E">
      <w:pPr>
        <w:ind w:firstLine="422"/>
        <w:rPr>
          <w:rFonts w:ascii="宋体" w:hAnsi="宋体"/>
          <w:szCs w:val="21"/>
        </w:rPr>
      </w:pPr>
      <w:r>
        <w:rPr>
          <w:rFonts w:hint="eastAsia" w:ascii="宋体" w:hAnsi="宋体"/>
          <w:b/>
          <w:szCs w:val="21"/>
        </w:rPr>
        <w:t>赤马村</w:t>
      </w:r>
      <w:r>
        <w:rPr>
          <w:rFonts w:hint="eastAsia" w:ascii="宋体" w:hAnsi="宋体"/>
          <w:szCs w:val="21"/>
        </w:rPr>
        <w:t xml:space="preserve">  位于邓坊镇南部，距离镇政府所在地4.5公里，为平原村。全村总面积662.2公顷，其中耕地面积141.3公顷，林地面积222.7公顷，辖8个村民小组，总户数491户，总人口1731人。全村以种植黄烟、水稻为主导产业。</w:t>
      </w:r>
    </w:p>
    <w:p w14:paraId="70A5BD08">
      <w:pPr>
        <w:ind w:firstLine="422"/>
        <w:rPr>
          <w:rFonts w:ascii="宋体" w:hAnsi="宋体"/>
          <w:szCs w:val="21"/>
        </w:rPr>
      </w:pPr>
      <w:r>
        <w:rPr>
          <w:rFonts w:hint="eastAsia" w:ascii="宋体" w:hAnsi="宋体"/>
          <w:b/>
          <w:szCs w:val="21"/>
        </w:rPr>
        <w:t>马战村</w:t>
      </w:r>
      <w:r>
        <w:rPr>
          <w:rFonts w:hint="eastAsia" w:ascii="宋体" w:hAnsi="宋体"/>
          <w:szCs w:val="21"/>
        </w:rPr>
        <w:t xml:space="preserve">  位于邓坊镇西北部，距离镇政府所在地2.5公里，为半山区村。全村总面积259.3公顷，其中耕地面积85.2公顷，林地面积63.6公顷，辖7个村民小组，总户数297户，总人口1114人。全村以种植黄烟、玉米、水稻为主导产业。</w:t>
      </w:r>
    </w:p>
    <w:p w14:paraId="1F01996C">
      <w:pPr>
        <w:ind w:firstLine="422"/>
        <w:rPr>
          <w:rFonts w:ascii="宋体" w:hAnsi="宋体"/>
          <w:szCs w:val="21"/>
        </w:rPr>
      </w:pPr>
      <w:r>
        <w:rPr>
          <w:rFonts w:hint="eastAsia" w:ascii="宋体" w:hAnsi="宋体"/>
          <w:b/>
          <w:szCs w:val="21"/>
        </w:rPr>
        <w:t>里源村</w:t>
      </w:r>
      <w:r>
        <w:rPr>
          <w:rFonts w:hint="eastAsia" w:ascii="宋体" w:hAnsi="宋体"/>
          <w:szCs w:val="21"/>
        </w:rPr>
        <w:t xml:space="preserve">  地处邓坊镇东北部，距离镇政府所在地6公里。有14个村民小组，总户数499户，人口1883人。全村土地面积1385.8公顷，其中旱地34.8公顷，水田138.6公顷，林地1313.3公顷，其它32.3公顷。主要产业：优质水稻、黄烟、甜玉米、竹木。                                         （朱祖福）</w:t>
      </w:r>
    </w:p>
    <w:p w14:paraId="40DB5452">
      <w:pPr>
        <w:ind w:firstLine="0" w:firstLineChars="0"/>
        <w:rPr>
          <w:rFonts w:ascii="宋体" w:hAnsi="宋体"/>
          <w:szCs w:val="21"/>
        </w:rPr>
      </w:pPr>
      <w:r>
        <w:rPr>
          <w:rFonts w:hint="eastAsia" w:ascii="宋体" w:hAnsi="宋体"/>
          <w:b/>
          <w:szCs w:val="21"/>
        </w:rPr>
        <w:t>附：2011年邓坊镇领导班子成员名单</w:t>
      </w:r>
    </w:p>
    <w:p w14:paraId="4B75F3FA">
      <w:pPr>
        <w:ind w:firstLine="0" w:firstLineChars="0"/>
        <w:rPr>
          <w:rFonts w:ascii="宋体" w:hAnsi="宋体"/>
          <w:szCs w:val="21"/>
        </w:rPr>
      </w:pPr>
      <w:r>
        <w:rPr>
          <w:rFonts w:hint="eastAsia" w:ascii="宋体" w:hAnsi="宋体"/>
          <w:szCs w:val="21"/>
        </w:rPr>
        <w:t>党委书记、人大主席：姚远华</w:t>
      </w:r>
    </w:p>
    <w:p w14:paraId="541605FE">
      <w:pPr>
        <w:ind w:firstLine="0" w:firstLineChars="0"/>
        <w:rPr>
          <w:rFonts w:ascii="宋体" w:hAnsi="宋体"/>
          <w:szCs w:val="21"/>
        </w:rPr>
      </w:pPr>
      <w:r>
        <w:rPr>
          <w:rFonts w:hint="eastAsia" w:ascii="宋体" w:hAnsi="宋体"/>
          <w:szCs w:val="21"/>
        </w:rPr>
        <w:t>党委副书记、镇长：刘小弘</w:t>
      </w:r>
    </w:p>
    <w:p w14:paraId="485AD760">
      <w:pPr>
        <w:ind w:firstLine="0" w:firstLineChars="0"/>
        <w:rPr>
          <w:rFonts w:ascii="宋体" w:hAnsi="宋体"/>
          <w:szCs w:val="21"/>
        </w:rPr>
      </w:pPr>
      <w:r>
        <w:rPr>
          <w:rFonts w:hint="eastAsia" w:ascii="宋体" w:hAnsi="宋体"/>
          <w:szCs w:val="21"/>
        </w:rPr>
        <w:t>党委副书记：罗青洋</w:t>
      </w:r>
    </w:p>
    <w:p w14:paraId="1632273C">
      <w:pPr>
        <w:ind w:firstLine="0" w:firstLineChars="0"/>
        <w:rPr>
          <w:rFonts w:ascii="宋体" w:hAnsi="宋体"/>
          <w:szCs w:val="21"/>
        </w:rPr>
      </w:pPr>
      <w:r>
        <w:rPr>
          <w:rFonts w:hint="eastAsia" w:ascii="宋体" w:hAnsi="宋体"/>
          <w:szCs w:val="21"/>
        </w:rPr>
        <w:t>纪委书记：罗清华</w:t>
      </w:r>
    </w:p>
    <w:p w14:paraId="39977EF2">
      <w:pPr>
        <w:ind w:firstLine="0" w:firstLineChars="0"/>
        <w:rPr>
          <w:rFonts w:ascii="宋体" w:hAnsi="宋体"/>
          <w:szCs w:val="21"/>
        </w:rPr>
      </w:pPr>
      <w:r>
        <w:rPr>
          <w:rFonts w:hint="eastAsia" w:ascii="宋体" w:hAnsi="宋体"/>
          <w:szCs w:val="21"/>
        </w:rPr>
        <w:t>组织委员：廖光耀</w:t>
      </w:r>
    </w:p>
    <w:p w14:paraId="767A1AC1">
      <w:pPr>
        <w:ind w:firstLine="0" w:firstLineChars="0"/>
        <w:rPr>
          <w:rFonts w:ascii="宋体" w:hAnsi="宋体"/>
          <w:szCs w:val="21"/>
        </w:rPr>
      </w:pPr>
      <w:r>
        <w:rPr>
          <w:rFonts w:hint="eastAsia" w:ascii="宋体" w:hAnsi="宋体"/>
          <w:szCs w:val="21"/>
        </w:rPr>
        <w:t>宣传委员：梁常荣</w:t>
      </w:r>
    </w:p>
    <w:p w14:paraId="5127B44F">
      <w:pPr>
        <w:ind w:firstLine="0" w:firstLineChars="0"/>
        <w:rPr>
          <w:rFonts w:ascii="宋体" w:hAnsi="宋体"/>
          <w:szCs w:val="21"/>
        </w:rPr>
      </w:pPr>
      <w:r>
        <w:rPr>
          <w:rFonts w:hint="eastAsia" w:ascii="宋体" w:hAnsi="宋体"/>
          <w:szCs w:val="21"/>
        </w:rPr>
        <w:t>党委委员、武装部长：胡锦平</w:t>
      </w:r>
    </w:p>
    <w:p w14:paraId="3018BE84">
      <w:pPr>
        <w:ind w:firstLine="0" w:firstLineChars="0"/>
        <w:rPr>
          <w:rFonts w:ascii="宋体" w:hAnsi="宋体"/>
          <w:szCs w:val="21"/>
        </w:rPr>
      </w:pPr>
      <w:r>
        <w:rPr>
          <w:rFonts w:hint="eastAsia" w:ascii="宋体" w:hAnsi="宋体"/>
          <w:szCs w:val="21"/>
        </w:rPr>
        <w:t>党委委员、人大副主席：钟海英</w:t>
      </w:r>
    </w:p>
    <w:p w14:paraId="609E8F37">
      <w:pPr>
        <w:ind w:firstLine="0" w:firstLineChars="0"/>
        <w:rPr>
          <w:rFonts w:ascii="宋体" w:hAnsi="宋体"/>
          <w:szCs w:val="21"/>
        </w:rPr>
      </w:pPr>
      <w:r>
        <w:rPr>
          <w:rFonts w:hint="eastAsia" w:ascii="宋体" w:hAnsi="宋体"/>
          <w:szCs w:val="21"/>
        </w:rPr>
        <w:t>党委委员、综治办专职副主任：胡健</w:t>
      </w:r>
    </w:p>
    <w:p w14:paraId="28917753">
      <w:pPr>
        <w:ind w:firstLine="0" w:firstLineChars="0"/>
        <w:rPr>
          <w:rFonts w:ascii="宋体" w:hAnsi="宋体"/>
          <w:szCs w:val="21"/>
        </w:rPr>
      </w:pPr>
      <w:r>
        <w:rPr>
          <w:rFonts w:hint="eastAsia" w:ascii="宋体" w:hAnsi="宋体"/>
          <w:szCs w:val="21"/>
        </w:rPr>
        <w:t>副镇长：朱兆协  孙宏澜  肖东海</w:t>
      </w:r>
    </w:p>
    <w:p w14:paraId="0E75CBAB">
      <w:pPr>
        <w:pStyle w:val="3"/>
      </w:pPr>
      <w:r>
        <w:rPr>
          <w:rFonts w:hint="eastAsia"/>
        </w:rPr>
        <w:t>珠玑镇</w:t>
      </w:r>
    </w:p>
    <w:p w14:paraId="1DA076F3">
      <w:pPr>
        <w:pStyle w:val="4"/>
      </w:pPr>
      <w:r>
        <w:rPr>
          <w:rFonts w:hint="eastAsia"/>
        </w:rPr>
        <w:t>【概况】</w:t>
      </w:r>
    </w:p>
    <w:p w14:paraId="79596719">
      <w:pPr>
        <w:ind w:firstLine="420"/>
        <w:rPr>
          <w:rFonts w:ascii="宋体" w:hAnsi="宋体"/>
          <w:szCs w:val="21"/>
        </w:rPr>
      </w:pPr>
      <w:r>
        <w:rPr>
          <w:rFonts w:hint="eastAsia" w:ascii="宋体" w:hAnsi="宋体"/>
          <w:szCs w:val="21"/>
        </w:rPr>
        <w:t>珠玑镇位于南雄市北面，距南雄市城区9公里，地处东经11421，北纬2511，地势西北高、东南低，属亚热带湿润季风型气候。东与邓坊、湖口镇交界，南与雄州街道毗邻，西与全安、帽子峰镇接壤，北与江西省大余县相连。全镇辖区面积222.25平方公里，山林面积11133.3公顷，耕地面积2151.8公顷，辖22个村委会、1个居委会，257个村小组，11213户，总人口44752人。辖区内旅游资源丰富，珠玑古巷、梅关古道、大雄禅寺等旅游景点闻名遐迩。2011年全镇实现生产总值4.4592亿元，镇财政收入1375万元，农村人均纯收入6306元。</w:t>
      </w:r>
    </w:p>
    <w:p w14:paraId="4CEA3918">
      <w:pPr>
        <w:pStyle w:val="4"/>
      </w:pPr>
      <w:r>
        <w:rPr>
          <w:rFonts w:hint="eastAsia"/>
        </w:rPr>
        <w:t>【经济社会发展】</w:t>
      </w:r>
    </w:p>
    <w:p w14:paraId="0D4D1037">
      <w:pPr>
        <w:ind w:firstLine="420"/>
        <w:rPr>
          <w:rFonts w:ascii="宋体" w:hAnsi="宋体"/>
          <w:szCs w:val="21"/>
        </w:rPr>
      </w:pPr>
      <w:r>
        <w:rPr>
          <w:rFonts w:hint="eastAsia" w:ascii="宋体" w:hAnsi="宋体"/>
          <w:szCs w:val="21"/>
        </w:rPr>
        <w:t>2011年末全镇有大米加工企业1家，优质稻推广基地2个，全国万亩粮食高产示范片2个，国际型烤烟基地1个，黄烟种植专业合作社2家，苗圃花卉基地4个，金银花种植基地1个，特色养殖大户40户。保持强劲招商引资势头，加快引进环保型企业落户珠玑。先后吸引省农业龙头企业金友集团在此兴办粮油基地，香港星翔投资有限公司投资1250万元兴建珠玑自来水供水工程，还有彤置富建材有限公司扩建水泥厂工程等。通过招商引资引进劳动密集型企业伟洛仕电子厂和华成鞋厂、年产值超百万的溢香园食品厂、良晨食品厂和大型驾驶学校落户珠玑。竹博园水疗中心。</w:t>
      </w:r>
    </w:p>
    <w:p w14:paraId="0A975B7D">
      <w:pPr>
        <w:pStyle w:val="4"/>
      </w:pPr>
      <w:r>
        <w:rPr>
          <w:rFonts w:hint="eastAsia"/>
        </w:rPr>
        <w:t>【社会事业发展】</w:t>
      </w:r>
    </w:p>
    <w:p w14:paraId="6858102E">
      <w:pPr>
        <w:ind w:firstLine="420"/>
        <w:rPr>
          <w:rFonts w:ascii="宋体" w:hAnsi="宋体"/>
          <w:szCs w:val="21"/>
        </w:rPr>
      </w:pPr>
      <w:r>
        <w:rPr>
          <w:rFonts w:hint="eastAsia" w:ascii="宋体" w:hAnsi="宋体"/>
          <w:szCs w:val="21"/>
        </w:rPr>
        <w:t>2011共有37957人参加新型农村合作医疗，参合率达94.23%；全年共发放五保、低保、优抚、医疗各类救济金256万元，倾心为40名在读贫困高中生申报华恩慈善助学金4万元。大力弘扬珠玑民间艺术文化，积极开展丰富多彩的文体活动。民间文化艺术组织主要有“珠玑巷民间艺术队”、“叟里元采茶剧团”等，每年端午节举办舞龙舞狮、飘色、龙船歌等表演。2011年12月，镇文化站通过省文化厅检查验收评估，荣获省“特级文化站”称号。</w:t>
      </w:r>
    </w:p>
    <w:p w14:paraId="75D71292">
      <w:pPr>
        <w:pStyle w:val="4"/>
      </w:pPr>
      <w:r>
        <w:rPr>
          <w:rFonts w:hint="eastAsia"/>
        </w:rPr>
        <w:t>【扶贫双到】</w:t>
      </w:r>
    </w:p>
    <w:p w14:paraId="77F08D43">
      <w:pPr>
        <w:ind w:firstLine="420"/>
        <w:rPr>
          <w:rFonts w:ascii="宋体" w:hAnsi="宋体"/>
          <w:szCs w:val="21"/>
        </w:rPr>
      </w:pPr>
      <w:r>
        <w:rPr>
          <w:rFonts w:hint="eastAsia" w:ascii="宋体" w:hAnsi="宋体"/>
          <w:szCs w:val="21"/>
        </w:rPr>
        <w:t>2011年，省级贫困村上嵩村落实了帮扶资金、物资共计106.5万元，67户贫困户脱贫，占贫困户的98.5%。其中，将争取帮扶单位扶贫资金43万元用于上嵩贫困村新建4座陂头、更换饮水工程自来水管道和35户贫困户危房改造。此外还注重“知识扶贫”，2011年镇政府组织农技站、畜牧站多名技术人员，到上嵩村举办三期贫困户种养技术培训班，培训达130人次。</w:t>
      </w:r>
    </w:p>
    <w:p w14:paraId="1971CD6D">
      <w:pPr>
        <w:pStyle w:val="4"/>
      </w:pPr>
      <w:r>
        <w:rPr>
          <w:rFonts w:hint="eastAsia"/>
        </w:rPr>
        <w:t>【重点项目建设】</w:t>
      </w:r>
    </w:p>
    <w:p w14:paraId="6A91DE15">
      <w:pPr>
        <w:ind w:firstLine="420"/>
        <w:rPr>
          <w:rFonts w:ascii="宋体" w:hAnsi="宋体"/>
          <w:szCs w:val="21"/>
        </w:rPr>
      </w:pPr>
      <w:r>
        <w:rPr>
          <w:rFonts w:hint="eastAsia" w:ascii="宋体" w:hAnsi="宋体"/>
          <w:szCs w:val="21"/>
        </w:rPr>
        <w:t>2011年，投资880万元完善长迳、新村基本农田改造项目；投资380万元完善祇芫农业综合开发项目；投资80万元完善罗田农田改造项目。完成旧323线长迳村委会三佳村路口至珠玑旅游大道段道路硬底化2.6公里。在水利设施建设方面，完成灵潭村2.1公里水圳三面光工程、梅岭1.2公里水圳维修工程，5300万元的横江水库灌区节水工程已进行了立项。完成了古田、角湾、罗田等村50间密集式烤房设备安装和配电工作，完成下汾村2.0公里的烟水配套工程。在公共卫生方面，兴建珠玑卫生院门诊大楼。在叟里元村安装了18盏太阳能路灯。此外，还极力争取到市农业技术推广服务体系项目建设资金83万元。</w:t>
      </w:r>
    </w:p>
    <w:p w14:paraId="3C7F91AA">
      <w:pPr>
        <w:pStyle w:val="4"/>
      </w:pPr>
      <w:r>
        <w:rPr>
          <w:rFonts w:hint="eastAsia"/>
        </w:rPr>
        <w:t>【基础设施】</w:t>
      </w:r>
    </w:p>
    <w:p w14:paraId="0E0732CB">
      <w:pPr>
        <w:ind w:firstLine="420"/>
        <w:rPr>
          <w:rFonts w:ascii="宋体" w:hAnsi="宋体"/>
          <w:szCs w:val="21"/>
        </w:rPr>
      </w:pPr>
      <w:r>
        <w:rPr>
          <w:rFonts w:hint="eastAsia" w:ascii="宋体" w:hAnsi="宋体"/>
          <w:szCs w:val="21"/>
        </w:rPr>
        <w:t>珠玑镇对外交通便利，国道323线从南至北穿过，韶赣高速公路和正在兴建的韶赣铁路贯穿全境，高速公路有珠玑、梅岭两个进出口。规划中的珠玑客运站坐落在聪辈村，紧邻旅游大道。辖区内有邮政营业厅、电信各1所。基础教育、卫生设施一应俱全，2011年末，全镇共设置1所中学，1所中心小学和12个村级教学点，1所中心幼儿园，适龄儿童入学率100%，小学辍学率为零；镇内有3所卫生院，28个村级卫生站；新型农村合作医疗保险覆盖率达95%以上；23个村（社区）卫星电视接收覆盖面达99%。</w:t>
      </w:r>
    </w:p>
    <w:p w14:paraId="78409F21">
      <w:pPr>
        <w:pStyle w:val="4"/>
      </w:pPr>
      <w:r>
        <w:rPr>
          <w:rFonts w:hint="eastAsia"/>
        </w:rPr>
        <w:t>【农业经济】</w:t>
      </w:r>
    </w:p>
    <w:p w14:paraId="50A630EB">
      <w:pPr>
        <w:ind w:firstLine="420"/>
        <w:rPr>
          <w:rFonts w:ascii="宋体" w:hAnsi="宋体"/>
          <w:szCs w:val="21"/>
        </w:rPr>
      </w:pPr>
      <w:r>
        <w:rPr>
          <w:rFonts w:hint="eastAsia" w:ascii="宋体" w:hAnsi="宋体"/>
          <w:szCs w:val="21"/>
        </w:rPr>
        <w:t>2011年全镇完成黄烟实际种植面积8000亩，收购烟叶19942担，完成收购资金1798万元，同比增长17.5%；以被列为“省粮食创高产整建制推进镇”为契机，把高产创建与良种补贴、科技入户和测土配方施肥等项目密切结合，集约项目资源，合力推进粮食创高产活动深入开展，2011年11月顺利通过了广东省农业厅、广东省农调总队检查验收，其中，长迳、新村“全国万亩粮食高产示范片”实现亩产574公斤，塘东、里仁“优质稻推广基地”实现亩产526公斤，为市财政争取上级粮食资金200万元；推进畜牧规模发展，培育养殖大户，壮大畜牧产业，加大动物防疫力度，全镇没有发生一例重大疫情。2011年全镇养殖大户首超40户，出栏生猪5.5万多头，出栏肉鸡28万多只。</w:t>
      </w:r>
    </w:p>
    <w:p w14:paraId="6C966AEF">
      <w:pPr>
        <w:pStyle w:val="4"/>
      </w:pPr>
      <w:r>
        <w:rPr>
          <w:rFonts w:hint="eastAsia"/>
        </w:rPr>
        <w:t>【旅游业】</w:t>
      </w:r>
    </w:p>
    <w:p w14:paraId="3C575571">
      <w:pPr>
        <w:ind w:firstLine="420"/>
        <w:rPr>
          <w:rFonts w:ascii="宋体" w:hAnsi="宋体"/>
          <w:szCs w:val="21"/>
        </w:rPr>
      </w:pPr>
      <w:r>
        <w:rPr>
          <w:rFonts w:hint="eastAsia" w:ascii="宋体" w:hAnsi="宋体"/>
          <w:szCs w:val="21"/>
        </w:rPr>
        <w:t>为改善珠玑旅游交通状况，2011年1月省公路管理局批准南雄市在韶赣高速公路珠玑岀口至珠玑古巷建设旅游大道。“珠玑旅游大道”是起点为韶赣高速公路珠玑出口与国道323线相交处，终点为珠玑古巷大门的旅游专用大道，全长1.313公里，路宽30米，全路段采用二级公路标准，总造价1438.1万元。争取到省交通厅900多万元资金。2011年，投资74万元对古巷景区周边种植苗木和花卉，斥资60多万元在墟镇安装了62盏新路灯；兴办了一批以旅游配套的农土特产品加工企业。聪辈良晨食品厂和珠玑溢香园食品厂等一批农土特产品加工企业相继投产和扩建，具有本土风味的农副产品正在成为游客们的抢手货。</w:t>
      </w:r>
    </w:p>
    <w:p w14:paraId="400BA48B">
      <w:pPr>
        <w:pStyle w:val="4"/>
      </w:pPr>
      <w:r>
        <w:rPr>
          <w:rFonts w:hint="eastAsia"/>
        </w:rPr>
        <w:t>【换届选举】</w:t>
      </w:r>
    </w:p>
    <w:p w14:paraId="117A74B8">
      <w:pPr>
        <w:ind w:firstLine="420"/>
        <w:rPr>
          <w:rFonts w:ascii="宋体" w:hAnsi="宋体"/>
          <w:szCs w:val="21"/>
        </w:rPr>
      </w:pPr>
      <w:r>
        <w:rPr>
          <w:rFonts w:hint="eastAsia" w:ascii="宋体" w:hAnsi="宋体"/>
          <w:szCs w:val="21"/>
        </w:rPr>
        <w:t>2011年，全镇严格按照市换届选举工作领导小组、市委组织部的要求和布置，强化组织领导，广泛宣传，抓好摸底调查，依法依规依程序完成选举工作。选举出22个行政村1个社区共102名干部，实现支书、主任一肩挑的村（社区）有20个，村级“两委”干部交叉任职达到91.3%。</w:t>
      </w:r>
    </w:p>
    <w:p w14:paraId="356D746F">
      <w:pPr>
        <w:pStyle w:val="4"/>
      </w:pPr>
      <w:r>
        <w:rPr>
          <w:rFonts w:hint="eastAsia"/>
        </w:rPr>
        <w:t>【各村（居）委会基本情况】</w:t>
      </w:r>
    </w:p>
    <w:p w14:paraId="2378CA25">
      <w:pPr>
        <w:ind w:firstLine="422"/>
        <w:rPr>
          <w:rFonts w:ascii="宋体" w:hAnsi="宋体"/>
          <w:szCs w:val="21"/>
        </w:rPr>
      </w:pPr>
      <w:r>
        <w:rPr>
          <w:rFonts w:hint="eastAsia" w:ascii="宋体" w:hAnsi="宋体"/>
          <w:b/>
          <w:szCs w:val="21"/>
        </w:rPr>
        <w:t>长迳村委会</w:t>
      </w:r>
      <w:r>
        <w:rPr>
          <w:rFonts w:hint="eastAsia" w:ascii="宋体" w:hAnsi="宋体"/>
          <w:szCs w:val="21"/>
        </w:rPr>
        <w:t xml:space="preserve">  10个村民小组，622户，2690人，耕地面积2121亩。2011年，集体经济收入11万元，农村人均纯收入6417元。</w:t>
      </w:r>
    </w:p>
    <w:p w14:paraId="392D3AD0">
      <w:pPr>
        <w:ind w:firstLine="422"/>
        <w:rPr>
          <w:rFonts w:ascii="宋体" w:hAnsi="宋体"/>
          <w:szCs w:val="21"/>
        </w:rPr>
      </w:pPr>
      <w:r>
        <w:rPr>
          <w:rFonts w:hint="eastAsia" w:ascii="宋体" w:hAnsi="宋体"/>
          <w:b/>
          <w:szCs w:val="21"/>
        </w:rPr>
        <w:t>新村村委会</w:t>
      </w:r>
      <w:r>
        <w:rPr>
          <w:rFonts w:hint="eastAsia" w:ascii="宋体" w:hAnsi="宋体"/>
          <w:szCs w:val="21"/>
        </w:rPr>
        <w:t xml:space="preserve">  10个村民小组，256户，1096人，耕地面积559亩。2011年，集体经济收入7万元，农村人均纯收入6540元。</w:t>
      </w:r>
    </w:p>
    <w:p w14:paraId="3F5C231E">
      <w:pPr>
        <w:ind w:firstLine="422"/>
        <w:rPr>
          <w:rFonts w:ascii="宋体" w:hAnsi="宋体"/>
          <w:szCs w:val="21"/>
        </w:rPr>
      </w:pPr>
      <w:r>
        <w:rPr>
          <w:rFonts w:hint="eastAsia" w:ascii="宋体" w:hAnsi="宋体"/>
          <w:b/>
          <w:szCs w:val="21"/>
        </w:rPr>
        <w:t>古田村委会</w:t>
      </w:r>
      <w:r>
        <w:rPr>
          <w:rFonts w:hint="eastAsia" w:ascii="宋体" w:hAnsi="宋体"/>
          <w:szCs w:val="21"/>
        </w:rPr>
        <w:t xml:space="preserve">  17个村民小组，663户，2891人，耕地面积2927亩。2011年，集体经济收入10万元，农村人均纯收入6351元。</w:t>
      </w:r>
    </w:p>
    <w:p w14:paraId="79693666">
      <w:pPr>
        <w:ind w:firstLine="422"/>
        <w:rPr>
          <w:rFonts w:ascii="宋体" w:hAnsi="宋体"/>
          <w:szCs w:val="21"/>
        </w:rPr>
      </w:pPr>
      <w:r>
        <w:rPr>
          <w:rFonts w:hint="eastAsia" w:ascii="宋体" w:hAnsi="宋体"/>
          <w:b/>
          <w:szCs w:val="21"/>
        </w:rPr>
        <w:t>聪辈村委会</w:t>
      </w:r>
      <w:r>
        <w:rPr>
          <w:rFonts w:hint="eastAsia" w:ascii="宋体" w:hAnsi="宋体"/>
          <w:szCs w:val="21"/>
        </w:rPr>
        <w:t xml:space="preserve">  10个村民小组，357户，1515人，耕地面积1045亩。2011年，集体经济收入9万元，农村人均纯收入6584元。</w:t>
      </w:r>
    </w:p>
    <w:p w14:paraId="4E693B4E">
      <w:pPr>
        <w:ind w:firstLine="422"/>
        <w:rPr>
          <w:rFonts w:ascii="宋体" w:hAnsi="宋体"/>
          <w:szCs w:val="21"/>
        </w:rPr>
      </w:pPr>
      <w:r>
        <w:rPr>
          <w:rFonts w:hint="eastAsia" w:ascii="宋体" w:hAnsi="宋体"/>
          <w:b/>
          <w:szCs w:val="21"/>
        </w:rPr>
        <w:t xml:space="preserve">珠玑村委会  </w:t>
      </w:r>
      <w:r>
        <w:rPr>
          <w:rFonts w:hint="eastAsia" w:ascii="宋体" w:hAnsi="宋体"/>
          <w:szCs w:val="21"/>
        </w:rPr>
        <w:t>15个村民小组，612户，2419人，耕地面积850亩。2011年，集体经济收入12万元，农村人均纯收入6575元。</w:t>
      </w:r>
    </w:p>
    <w:p w14:paraId="5376B8E6">
      <w:pPr>
        <w:ind w:firstLine="422"/>
        <w:rPr>
          <w:rFonts w:ascii="宋体" w:hAnsi="宋体"/>
          <w:szCs w:val="21"/>
        </w:rPr>
      </w:pPr>
      <w:r>
        <w:rPr>
          <w:rFonts w:hint="eastAsia" w:ascii="宋体" w:hAnsi="宋体"/>
          <w:b/>
          <w:szCs w:val="21"/>
        </w:rPr>
        <w:t xml:space="preserve">洋湖村委会  </w:t>
      </w:r>
      <w:r>
        <w:rPr>
          <w:rFonts w:hint="eastAsia" w:ascii="宋体" w:hAnsi="宋体"/>
          <w:szCs w:val="21"/>
        </w:rPr>
        <w:t>10个村民小组，506户，2164人，耕地面积1159亩。2011年，集体经济收入7万元，农村人均纯收入6139元。</w:t>
      </w:r>
    </w:p>
    <w:p w14:paraId="55E31244">
      <w:pPr>
        <w:ind w:firstLine="422"/>
        <w:rPr>
          <w:rFonts w:ascii="宋体" w:hAnsi="宋体"/>
          <w:szCs w:val="21"/>
        </w:rPr>
      </w:pPr>
      <w:r>
        <w:rPr>
          <w:rFonts w:hint="eastAsia" w:ascii="宋体" w:hAnsi="宋体"/>
          <w:b/>
          <w:szCs w:val="21"/>
        </w:rPr>
        <w:t xml:space="preserve">叟里元村委会  </w:t>
      </w:r>
      <w:r>
        <w:rPr>
          <w:rFonts w:hint="eastAsia" w:ascii="宋体" w:hAnsi="宋体"/>
          <w:szCs w:val="21"/>
        </w:rPr>
        <w:t>29个村民小组，727户，2982人，耕地面积2032亩。2011年，集体经济收入15万元，农村人均纯收入5696元。</w:t>
      </w:r>
    </w:p>
    <w:p w14:paraId="165D9ECB">
      <w:pPr>
        <w:ind w:firstLine="422"/>
        <w:rPr>
          <w:rFonts w:ascii="宋体" w:hAnsi="宋体"/>
          <w:szCs w:val="21"/>
        </w:rPr>
      </w:pPr>
      <w:r>
        <w:rPr>
          <w:rFonts w:hint="eastAsia" w:ascii="宋体" w:hAnsi="宋体"/>
          <w:b/>
          <w:szCs w:val="21"/>
        </w:rPr>
        <w:t>上嵩村委会</w:t>
      </w:r>
      <w:r>
        <w:rPr>
          <w:rFonts w:hint="eastAsia" w:ascii="宋体" w:hAnsi="宋体"/>
          <w:szCs w:val="21"/>
        </w:rPr>
        <w:t xml:space="preserve">  4个村民小组，124户，539人，耕地面积770亩。2011年，集体经济收入4万元，农村人均纯收入5784元。</w:t>
      </w:r>
    </w:p>
    <w:p w14:paraId="13269041">
      <w:pPr>
        <w:ind w:firstLine="422"/>
        <w:rPr>
          <w:rFonts w:ascii="宋体" w:hAnsi="宋体"/>
          <w:szCs w:val="21"/>
        </w:rPr>
      </w:pPr>
      <w:r>
        <w:rPr>
          <w:rFonts w:hint="eastAsia" w:ascii="宋体" w:hAnsi="宋体"/>
          <w:b/>
          <w:szCs w:val="21"/>
        </w:rPr>
        <w:t xml:space="preserve">里仁村委会  </w:t>
      </w:r>
      <w:r>
        <w:rPr>
          <w:rFonts w:hint="eastAsia" w:ascii="宋体" w:hAnsi="宋体"/>
          <w:szCs w:val="21"/>
        </w:rPr>
        <w:t>10个村民小组，360户，1544人，耕地面积1183亩。2011年，集体经济收入8万元，农村人均纯收入6475元。</w:t>
      </w:r>
    </w:p>
    <w:p w14:paraId="7ABB3C0D">
      <w:pPr>
        <w:ind w:firstLine="422"/>
        <w:rPr>
          <w:rFonts w:ascii="宋体" w:hAnsi="宋体"/>
          <w:szCs w:val="21"/>
        </w:rPr>
      </w:pPr>
      <w:r>
        <w:rPr>
          <w:rFonts w:hint="eastAsia" w:ascii="宋体" w:hAnsi="宋体"/>
          <w:b/>
          <w:szCs w:val="21"/>
        </w:rPr>
        <w:t xml:space="preserve">塘东村委会  </w:t>
      </w:r>
      <w:r>
        <w:rPr>
          <w:rFonts w:hint="eastAsia" w:ascii="宋体" w:hAnsi="宋体"/>
          <w:szCs w:val="21"/>
        </w:rPr>
        <w:t>12个村民小组，566户，2349人，耕地面积1530亩。2011年，集体经济收入7万元，农村人均纯收入6591元。</w:t>
      </w:r>
    </w:p>
    <w:p w14:paraId="392EE545">
      <w:pPr>
        <w:ind w:firstLine="422"/>
        <w:rPr>
          <w:rFonts w:ascii="宋体" w:hAnsi="宋体"/>
          <w:szCs w:val="21"/>
        </w:rPr>
      </w:pPr>
      <w:r>
        <w:rPr>
          <w:rFonts w:hint="eastAsia" w:ascii="宋体" w:hAnsi="宋体"/>
          <w:b/>
          <w:szCs w:val="21"/>
        </w:rPr>
        <w:t xml:space="preserve">石塘村委会  </w:t>
      </w:r>
      <w:r>
        <w:rPr>
          <w:rFonts w:hint="eastAsia" w:ascii="宋体" w:hAnsi="宋体"/>
          <w:szCs w:val="21"/>
        </w:rPr>
        <w:t>11个村民小组，418户，1855人，耕地面积1239亩。2011年，集体经济收入6万元，农村人均纯收入6621元。</w:t>
      </w:r>
    </w:p>
    <w:p w14:paraId="2D45D379">
      <w:pPr>
        <w:ind w:firstLine="422"/>
        <w:rPr>
          <w:rFonts w:ascii="宋体" w:hAnsi="宋体"/>
          <w:szCs w:val="21"/>
        </w:rPr>
      </w:pPr>
      <w:r>
        <w:rPr>
          <w:rFonts w:hint="eastAsia" w:ascii="宋体" w:hAnsi="宋体"/>
          <w:b/>
          <w:szCs w:val="21"/>
        </w:rPr>
        <w:t xml:space="preserve">里东村委会  </w:t>
      </w:r>
      <w:r>
        <w:rPr>
          <w:rFonts w:hint="eastAsia" w:ascii="宋体" w:hAnsi="宋体"/>
          <w:szCs w:val="21"/>
        </w:rPr>
        <w:t>17个村民小组，820户，3435人，耕地面积1552亩。2011年，集体经济收入9万元，农村人均纯收入5744元。</w:t>
      </w:r>
    </w:p>
    <w:p w14:paraId="4E04C69B">
      <w:pPr>
        <w:ind w:firstLine="422"/>
        <w:rPr>
          <w:rFonts w:ascii="宋体" w:hAnsi="宋体"/>
          <w:szCs w:val="21"/>
        </w:rPr>
      </w:pPr>
      <w:r>
        <w:rPr>
          <w:rFonts w:hint="eastAsia" w:ascii="宋体" w:hAnsi="宋体"/>
          <w:b/>
          <w:szCs w:val="21"/>
        </w:rPr>
        <w:t xml:space="preserve">灵潭村委会  </w:t>
      </w:r>
      <w:r>
        <w:rPr>
          <w:rFonts w:hint="eastAsia" w:ascii="宋体" w:hAnsi="宋体"/>
          <w:szCs w:val="21"/>
        </w:rPr>
        <w:t>11个村民小组，542户，2289人，耕地面积1234亩。2011年，集体经济收入6万元，农村人均纯收入5961元。</w:t>
      </w:r>
    </w:p>
    <w:p w14:paraId="1D59B8C9">
      <w:pPr>
        <w:ind w:firstLine="422"/>
        <w:rPr>
          <w:rFonts w:ascii="宋体" w:hAnsi="宋体"/>
          <w:szCs w:val="21"/>
        </w:rPr>
      </w:pPr>
      <w:r>
        <w:rPr>
          <w:rFonts w:hint="eastAsia" w:ascii="宋体" w:hAnsi="宋体"/>
          <w:b/>
          <w:szCs w:val="21"/>
        </w:rPr>
        <w:t xml:space="preserve">衹芫村委会  </w:t>
      </w:r>
      <w:r>
        <w:rPr>
          <w:rFonts w:hint="eastAsia" w:ascii="宋体" w:hAnsi="宋体"/>
          <w:szCs w:val="21"/>
        </w:rPr>
        <w:t>11个村民小组，490户，1956人，耕地面积1640亩。2011年，集体经济收入11万元，农村人均纯收入6426元。</w:t>
      </w:r>
    </w:p>
    <w:p w14:paraId="379229DD">
      <w:pPr>
        <w:ind w:firstLine="422"/>
        <w:rPr>
          <w:rFonts w:ascii="宋体" w:hAnsi="宋体"/>
          <w:szCs w:val="21"/>
        </w:rPr>
      </w:pPr>
      <w:r>
        <w:rPr>
          <w:rFonts w:hint="eastAsia" w:ascii="宋体" w:hAnsi="宋体"/>
          <w:b/>
          <w:szCs w:val="21"/>
        </w:rPr>
        <w:t xml:space="preserve">下汾村委会  </w:t>
      </w:r>
      <w:r>
        <w:rPr>
          <w:rFonts w:hint="eastAsia" w:ascii="宋体" w:hAnsi="宋体"/>
          <w:szCs w:val="21"/>
        </w:rPr>
        <w:t>6个村民小组，306户，1246人，耕地面积869亩。2011年，集体经济收入9万元，农村人均纯收入6167元。</w:t>
      </w:r>
    </w:p>
    <w:p w14:paraId="6F2B8D45">
      <w:pPr>
        <w:ind w:firstLine="422"/>
        <w:rPr>
          <w:rFonts w:ascii="宋体" w:hAnsi="宋体"/>
          <w:szCs w:val="21"/>
        </w:rPr>
      </w:pPr>
      <w:r>
        <w:rPr>
          <w:rFonts w:hint="eastAsia" w:ascii="宋体" w:hAnsi="宋体"/>
          <w:b/>
          <w:szCs w:val="21"/>
        </w:rPr>
        <w:t xml:space="preserve">罗田村委会  </w:t>
      </w:r>
      <w:r>
        <w:rPr>
          <w:rFonts w:hint="eastAsia" w:ascii="宋体" w:hAnsi="宋体"/>
          <w:szCs w:val="21"/>
        </w:rPr>
        <w:t>10个村民小组，325户，1354人，耕地面积843亩。2011年，集体经济收入4万元，农村人均纯收入7041元。</w:t>
      </w:r>
    </w:p>
    <w:p w14:paraId="5E4E198F">
      <w:pPr>
        <w:ind w:firstLine="422"/>
        <w:rPr>
          <w:rFonts w:ascii="宋体" w:hAnsi="宋体"/>
          <w:szCs w:val="21"/>
        </w:rPr>
      </w:pPr>
      <w:r>
        <w:rPr>
          <w:rFonts w:hint="eastAsia" w:ascii="宋体" w:hAnsi="宋体"/>
          <w:b/>
          <w:szCs w:val="21"/>
        </w:rPr>
        <w:t xml:space="preserve">南山村委会  </w:t>
      </w:r>
      <w:r>
        <w:rPr>
          <w:rFonts w:hint="eastAsia" w:ascii="宋体" w:hAnsi="宋体"/>
          <w:szCs w:val="21"/>
        </w:rPr>
        <w:t>6个村民小组，217户，847人，耕地面积693亩。2011年，集体经济收入4万元，农村人均纯收入6448元。</w:t>
      </w:r>
    </w:p>
    <w:p w14:paraId="11FE3A02">
      <w:pPr>
        <w:ind w:firstLine="422"/>
        <w:rPr>
          <w:rFonts w:ascii="宋体" w:hAnsi="宋体"/>
          <w:szCs w:val="21"/>
        </w:rPr>
      </w:pPr>
      <w:r>
        <w:rPr>
          <w:rFonts w:hint="eastAsia" w:ascii="宋体" w:hAnsi="宋体"/>
          <w:b/>
          <w:szCs w:val="21"/>
        </w:rPr>
        <w:t xml:space="preserve">角湾村委会  </w:t>
      </w:r>
      <w:r>
        <w:rPr>
          <w:rFonts w:hint="eastAsia" w:ascii="宋体" w:hAnsi="宋体"/>
          <w:szCs w:val="21"/>
        </w:rPr>
        <w:t>9个村民小组，371户，1498人，耕地面积860亩。2011年，集体经济收入6万元，农村人均纯收入6184元。</w:t>
      </w:r>
    </w:p>
    <w:p w14:paraId="5ECF5BCD">
      <w:pPr>
        <w:ind w:firstLine="422"/>
        <w:rPr>
          <w:rFonts w:ascii="宋体" w:hAnsi="宋体"/>
          <w:szCs w:val="21"/>
        </w:rPr>
      </w:pPr>
      <w:r>
        <w:rPr>
          <w:rFonts w:hint="eastAsia" w:ascii="宋体" w:hAnsi="宋体"/>
          <w:b/>
          <w:szCs w:val="21"/>
        </w:rPr>
        <w:t xml:space="preserve">中站村委会  </w:t>
      </w:r>
      <w:r>
        <w:rPr>
          <w:rFonts w:hint="eastAsia" w:ascii="宋体" w:hAnsi="宋体"/>
          <w:szCs w:val="21"/>
        </w:rPr>
        <w:t>9个村民小组，275户，1129人，耕地面积600亩。2011年，集体经济收入15万元，农村人均纯收入6840元。</w:t>
      </w:r>
    </w:p>
    <w:p w14:paraId="7E4240BF">
      <w:pPr>
        <w:ind w:firstLine="422"/>
        <w:rPr>
          <w:rFonts w:ascii="宋体" w:hAnsi="宋体"/>
          <w:szCs w:val="21"/>
        </w:rPr>
      </w:pPr>
      <w:r>
        <w:rPr>
          <w:rFonts w:hint="eastAsia" w:ascii="宋体" w:hAnsi="宋体"/>
          <w:b/>
          <w:szCs w:val="21"/>
        </w:rPr>
        <w:t xml:space="preserve">泰源村委会  </w:t>
      </w:r>
      <w:r>
        <w:rPr>
          <w:rFonts w:hint="eastAsia" w:ascii="宋体" w:hAnsi="宋体"/>
          <w:szCs w:val="21"/>
        </w:rPr>
        <w:t>15个村民小组，465户，1657人，耕地面积811亩。2011年，集体经济收入7万元，农村人均纯收入6385元。</w:t>
      </w:r>
    </w:p>
    <w:p w14:paraId="63A7130F">
      <w:pPr>
        <w:ind w:firstLine="422"/>
        <w:rPr>
          <w:rFonts w:ascii="宋体" w:hAnsi="宋体"/>
          <w:szCs w:val="21"/>
        </w:rPr>
      </w:pPr>
      <w:r>
        <w:rPr>
          <w:rFonts w:hint="eastAsia" w:ascii="宋体" w:hAnsi="宋体"/>
          <w:b/>
          <w:szCs w:val="21"/>
        </w:rPr>
        <w:t xml:space="preserve">梅岭村委会  </w:t>
      </w:r>
      <w:r>
        <w:rPr>
          <w:rFonts w:hint="eastAsia" w:ascii="宋体" w:hAnsi="宋体"/>
          <w:szCs w:val="21"/>
        </w:rPr>
        <w:t>14个村民小组，498户，2079人，耕地面积1237亩。2011年，集体经济收入8万元，农村人均纯收入5645元。</w:t>
      </w:r>
    </w:p>
    <w:p w14:paraId="76DD6C6F">
      <w:pPr>
        <w:ind w:firstLine="422"/>
        <w:rPr>
          <w:rFonts w:ascii="宋体" w:hAnsi="宋体"/>
          <w:szCs w:val="21"/>
        </w:rPr>
      </w:pPr>
      <w:r>
        <w:rPr>
          <w:rFonts w:hint="eastAsia" w:ascii="宋体" w:hAnsi="宋体"/>
          <w:b/>
          <w:szCs w:val="21"/>
        </w:rPr>
        <w:t>梅关村委会</w:t>
      </w:r>
      <w:r>
        <w:rPr>
          <w:rFonts w:hint="eastAsia" w:ascii="宋体" w:hAnsi="宋体"/>
          <w:szCs w:val="21"/>
        </w:rPr>
        <w:t xml:space="preserve">  10个村民小组，385户，1488人，耕地面积900亩。2011年，集体经济收入7万元，农村人均纯收入6422。</w:t>
      </w:r>
    </w:p>
    <w:p w14:paraId="40F7F4DE">
      <w:pPr>
        <w:ind w:firstLine="422"/>
        <w:rPr>
          <w:rFonts w:ascii="宋体" w:hAnsi="宋体"/>
          <w:szCs w:val="21"/>
        </w:rPr>
      </w:pPr>
      <w:r>
        <w:rPr>
          <w:rFonts w:hint="eastAsia" w:ascii="宋体" w:hAnsi="宋体"/>
          <w:b/>
          <w:szCs w:val="21"/>
        </w:rPr>
        <w:t>元社区居委会</w:t>
      </w:r>
      <w:r>
        <w:rPr>
          <w:rFonts w:hint="eastAsia" w:ascii="宋体" w:hAnsi="宋体"/>
          <w:szCs w:val="21"/>
        </w:rPr>
        <w:t xml:space="preserve">  1个村民小组，1308户，3730人，地处珠玑镇中心，紧靠新323国道和韶赣高速公路，地理位置非常优越。社区内有珠玑新旧城区、仿宋一条街、文化商业广场，中心圩镇菜市场、珠玑中心小学、珠玑中学及珠玑古巷、大雄禅寺旅游景区，是一个集商贸、居住、旅游的混合型社区。        （邬  丹）</w:t>
      </w:r>
    </w:p>
    <w:p w14:paraId="2A68C1F9">
      <w:pPr>
        <w:ind w:firstLine="0" w:firstLineChars="0"/>
        <w:rPr>
          <w:rFonts w:ascii="宋体" w:hAnsi="宋体"/>
          <w:b/>
          <w:szCs w:val="21"/>
        </w:rPr>
      </w:pPr>
      <w:r>
        <w:rPr>
          <w:rFonts w:hint="eastAsia" w:ascii="宋体" w:hAnsi="宋体"/>
          <w:b/>
          <w:szCs w:val="21"/>
        </w:rPr>
        <w:t>附：2011年珠玑镇领导班子名单</w:t>
      </w:r>
    </w:p>
    <w:p w14:paraId="3851AFB5">
      <w:pPr>
        <w:ind w:firstLine="0" w:firstLineChars="0"/>
        <w:rPr>
          <w:rFonts w:ascii="宋体" w:hAnsi="宋体"/>
          <w:szCs w:val="21"/>
        </w:rPr>
      </w:pPr>
      <w:r>
        <w:rPr>
          <w:rFonts w:hint="eastAsia" w:ascii="宋体" w:hAnsi="宋体"/>
          <w:szCs w:val="21"/>
        </w:rPr>
        <w:t>党委书记、人大主席：吴良彬</w:t>
      </w:r>
    </w:p>
    <w:p w14:paraId="570A227E">
      <w:pPr>
        <w:ind w:firstLine="0" w:firstLineChars="0"/>
        <w:rPr>
          <w:rFonts w:ascii="宋体" w:hAnsi="宋体"/>
          <w:szCs w:val="21"/>
        </w:rPr>
      </w:pPr>
      <w:r>
        <w:rPr>
          <w:rFonts w:hint="eastAsia" w:ascii="宋体" w:hAnsi="宋体"/>
          <w:szCs w:val="21"/>
        </w:rPr>
        <w:t>党委副书记、镇长：陈志光</w:t>
      </w:r>
    </w:p>
    <w:p w14:paraId="4111B1C3">
      <w:pPr>
        <w:ind w:firstLine="0" w:firstLineChars="0"/>
        <w:rPr>
          <w:rFonts w:ascii="宋体" w:hAnsi="宋体"/>
          <w:szCs w:val="21"/>
        </w:rPr>
      </w:pPr>
      <w:r>
        <w:rPr>
          <w:rFonts w:hint="eastAsia" w:ascii="宋体" w:hAnsi="宋体"/>
          <w:szCs w:val="21"/>
        </w:rPr>
        <w:t>党委副书记：巫钟晟</w:t>
      </w:r>
    </w:p>
    <w:p w14:paraId="5FA62B7F">
      <w:pPr>
        <w:ind w:firstLine="0" w:firstLineChars="0"/>
        <w:rPr>
          <w:rFonts w:ascii="宋体" w:hAnsi="宋体"/>
          <w:szCs w:val="21"/>
        </w:rPr>
      </w:pPr>
      <w:r>
        <w:rPr>
          <w:rFonts w:hint="eastAsia" w:ascii="宋体" w:hAnsi="宋体"/>
          <w:szCs w:val="21"/>
        </w:rPr>
        <w:t>党委委员、副镇长：陈文英</w:t>
      </w:r>
    </w:p>
    <w:p w14:paraId="2FDE16F4">
      <w:pPr>
        <w:ind w:firstLine="0" w:firstLineChars="0"/>
        <w:rPr>
          <w:rFonts w:ascii="宋体" w:hAnsi="宋体"/>
          <w:szCs w:val="21"/>
        </w:rPr>
      </w:pPr>
      <w:r>
        <w:rPr>
          <w:rFonts w:hint="eastAsia" w:ascii="宋体" w:hAnsi="宋体"/>
          <w:szCs w:val="21"/>
        </w:rPr>
        <w:t>副镇长：赖建志  刘景文  高  铭</w:t>
      </w:r>
    </w:p>
    <w:p w14:paraId="6923CFF1">
      <w:pPr>
        <w:ind w:firstLine="0" w:firstLineChars="0"/>
        <w:rPr>
          <w:rFonts w:ascii="宋体" w:hAnsi="宋体"/>
          <w:szCs w:val="21"/>
        </w:rPr>
      </w:pPr>
      <w:r>
        <w:rPr>
          <w:rFonts w:hint="eastAsia" w:ascii="宋体" w:hAnsi="宋体"/>
          <w:szCs w:val="21"/>
        </w:rPr>
        <w:t>纪委书记：邱建平</w:t>
      </w:r>
    </w:p>
    <w:p w14:paraId="588590B8">
      <w:pPr>
        <w:ind w:firstLine="0" w:firstLineChars="0"/>
        <w:rPr>
          <w:rFonts w:ascii="宋体" w:hAnsi="宋体"/>
          <w:szCs w:val="21"/>
        </w:rPr>
      </w:pPr>
      <w:r>
        <w:rPr>
          <w:rFonts w:hint="eastAsia" w:ascii="宋体" w:hAnsi="宋体"/>
          <w:szCs w:val="21"/>
        </w:rPr>
        <w:t>人大副主席：叶东明</w:t>
      </w:r>
    </w:p>
    <w:p w14:paraId="1A55F85E">
      <w:pPr>
        <w:ind w:firstLine="0" w:firstLineChars="0"/>
        <w:rPr>
          <w:rFonts w:ascii="宋体" w:hAnsi="宋体"/>
          <w:szCs w:val="21"/>
        </w:rPr>
      </w:pPr>
      <w:r>
        <w:rPr>
          <w:rFonts w:hint="eastAsia" w:ascii="宋体" w:hAnsi="宋体"/>
          <w:szCs w:val="21"/>
        </w:rPr>
        <w:t>武装部长：杜香桥</w:t>
      </w:r>
    </w:p>
    <w:p w14:paraId="08CAF841">
      <w:pPr>
        <w:ind w:firstLine="0" w:firstLineChars="0"/>
        <w:rPr>
          <w:rFonts w:ascii="宋体" w:hAnsi="宋体"/>
          <w:szCs w:val="21"/>
        </w:rPr>
      </w:pPr>
      <w:r>
        <w:rPr>
          <w:rFonts w:hint="eastAsia" w:ascii="宋体" w:hAnsi="宋体"/>
          <w:szCs w:val="21"/>
        </w:rPr>
        <w:t>组织委员：刘志鹏</w:t>
      </w:r>
    </w:p>
    <w:p w14:paraId="3188F87C">
      <w:pPr>
        <w:ind w:firstLine="0" w:firstLineChars="0"/>
        <w:rPr>
          <w:rFonts w:ascii="宋体" w:hAnsi="宋体"/>
          <w:szCs w:val="21"/>
        </w:rPr>
      </w:pPr>
      <w:r>
        <w:rPr>
          <w:rFonts w:hint="eastAsia" w:ascii="宋体" w:hAnsi="宋体"/>
          <w:szCs w:val="21"/>
        </w:rPr>
        <w:t>宣传委员：赖宝平</w:t>
      </w:r>
    </w:p>
    <w:p w14:paraId="05F38E3B">
      <w:pPr>
        <w:ind w:firstLine="0" w:firstLineChars="0"/>
        <w:rPr>
          <w:rFonts w:ascii="宋体" w:hAnsi="宋体"/>
          <w:szCs w:val="21"/>
        </w:rPr>
      </w:pPr>
      <w:r>
        <w:rPr>
          <w:rFonts w:hint="eastAsia" w:ascii="宋体" w:hAnsi="宋体"/>
          <w:szCs w:val="21"/>
        </w:rPr>
        <w:t>党委委员：张朝林</w:t>
      </w:r>
    </w:p>
    <w:p w14:paraId="29B5D096">
      <w:pPr>
        <w:ind w:firstLine="0" w:firstLineChars="0"/>
        <w:rPr>
          <w:rFonts w:ascii="宋体" w:hAnsi="宋体"/>
          <w:szCs w:val="21"/>
        </w:rPr>
      </w:pPr>
      <w:r>
        <w:rPr>
          <w:rFonts w:hint="eastAsia" w:ascii="宋体" w:hAnsi="宋体"/>
          <w:szCs w:val="21"/>
        </w:rPr>
        <w:t>党委委员：张东林</w:t>
      </w:r>
    </w:p>
    <w:p w14:paraId="5F585244">
      <w:pPr>
        <w:pStyle w:val="3"/>
      </w:pPr>
      <w:r>
        <w:rPr>
          <w:rFonts w:hint="eastAsia"/>
        </w:rPr>
        <w:t>帽子峰镇</w:t>
      </w:r>
    </w:p>
    <w:p w14:paraId="0F29EE8C">
      <w:pPr>
        <w:pStyle w:val="4"/>
      </w:pPr>
      <w:r>
        <w:rPr>
          <w:rFonts w:hint="eastAsia"/>
        </w:rPr>
        <w:t>【概况】</w:t>
      </w:r>
    </w:p>
    <w:p w14:paraId="295F5770">
      <w:pPr>
        <w:ind w:firstLine="420"/>
        <w:rPr>
          <w:rFonts w:ascii="宋体" w:hAnsi="宋体"/>
          <w:szCs w:val="21"/>
        </w:rPr>
      </w:pPr>
      <w:r>
        <w:rPr>
          <w:rFonts w:hint="eastAsia" w:ascii="宋体" w:hAnsi="宋体"/>
          <w:szCs w:val="21"/>
        </w:rPr>
        <w:t>帽子峰镇位于南雄市西北部，距市区24公里，辖5个村委会和1个社区居委会，共56个村小组。2011年共有2019户9681人，其中农业人口8287人。该镇总面积101.25平方公里，其中山林面积8353公顷。帽子峰镇地处大庚岭西段山区，属亚热带季风湿润气候区，其特点是冬短夏长，四季分明，多年年均气温19℃，无霜期260天，年均降雨量1550毫米。地质属燕山期花岗岩体及寒武纪、震旦纪变质岩体。云母花岗岩、二长花岗岩遍布全境。主要土壤类型是花岗岩风化发育而成的黄壤和红壤。森林覆盖率76%，树种以松、杉、毛竹为主。境内主要河流年均流量9.26立方米/秒，水能蕴藏量0.54万千瓦。矿场有花岗石、稀土、黄金等。</w:t>
      </w:r>
    </w:p>
    <w:p w14:paraId="0C75990A">
      <w:pPr>
        <w:pStyle w:val="4"/>
      </w:pPr>
      <w:r>
        <w:rPr>
          <w:rFonts w:hint="eastAsia"/>
        </w:rPr>
        <w:t>【农业】</w:t>
      </w:r>
    </w:p>
    <w:p w14:paraId="658F4DCB">
      <w:pPr>
        <w:ind w:firstLine="420"/>
        <w:rPr>
          <w:rFonts w:ascii="宋体" w:hAnsi="宋体"/>
          <w:szCs w:val="21"/>
        </w:rPr>
      </w:pPr>
      <w:r>
        <w:rPr>
          <w:rFonts w:hint="eastAsia" w:ascii="宋体" w:hAnsi="宋体"/>
          <w:szCs w:val="21"/>
        </w:rPr>
        <w:t>帽子峰镇耕地面积1.29万亩，人均1.56亩。2011年粮食播种面积9925.6亩，总产达5000吨，黄烟种植面积1700亩，收购总量4256担，收购价9.25元/斤（不含产后补贴），收购金额3940万元；“一村一品”的特色产业初具规模，如富竹村种植甜玉米，洞头村水稻制种，梨树村种植辣椒，坪山村培育杉苗，上龙村种植芋头。全镇全年共种植小辣椒2320亩，育山苗10多万株，引进制种306亩，种植甜玉米400亩，芋头150亩。主要经济作物有黄烟、花生、小辣椒。畜牧业以猪、鸡、鸭、牛为主，2011年生猪饲养量2.5万头，家禽饲养量37万羽，2011年生产肉类2426吨，其中猪肉1835吨，牛肉45吨，禽蛋169吨。2011年，全镇实现工农业总产值13175万元，人均纯收入6290元。</w:t>
      </w:r>
    </w:p>
    <w:p w14:paraId="5B285457">
      <w:pPr>
        <w:pStyle w:val="4"/>
      </w:pPr>
      <w:r>
        <w:rPr>
          <w:rFonts w:hint="eastAsia"/>
        </w:rPr>
        <w:t>【惠农政策】</w:t>
      </w:r>
    </w:p>
    <w:p w14:paraId="6EA753A2">
      <w:pPr>
        <w:ind w:firstLine="420"/>
        <w:rPr>
          <w:rFonts w:ascii="宋体" w:hAnsi="宋体"/>
          <w:szCs w:val="21"/>
        </w:rPr>
      </w:pPr>
      <w:r>
        <w:rPr>
          <w:rFonts w:hint="eastAsia" w:ascii="宋体" w:hAnsi="宋体"/>
          <w:szCs w:val="21"/>
        </w:rPr>
        <w:t>2011年，全镇水稻补贴面积达到9633亩，玉米补贴203亩。2011年新农合任务数为7717人，共有7791人参保，新农合覆盖率达95.79%。2011年镇新农保参保人员达3200多人。</w:t>
      </w:r>
    </w:p>
    <w:p w14:paraId="74E89509">
      <w:pPr>
        <w:pStyle w:val="4"/>
      </w:pPr>
      <w:r>
        <w:rPr>
          <w:rFonts w:hint="eastAsia"/>
        </w:rPr>
        <w:t>【林业】</w:t>
      </w:r>
    </w:p>
    <w:p w14:paraId="53F13A3B">
      <w:pPr>
        <w:ind w:firstLine="420"/>
        <w:rPr>
          <w:rFonts w:ascii="宋体" w:hAnsi="宋体"/>
          <w:szCs w:val="21"/>
        </w:rPr>
      </w:pPr>
      <w:r>
        <w:rPr>
          <w:rFonts w:hint="eastAsia" w:ascii="宋体" w:hAnsi="宋体"/>
          <w:szCs w:val="21"/>
        </w:rPr>
        <w:t>截至2011年末，累计造林7万亩，其中防护林19952亩，经济林1.7万亩，竹林1.5万亩，活立木蓄积量484951立方米，2011年造林1700亩。镇严厉打击无证采伐、异地采伐、走私木材的行为，全年处理林业违法案件5宗，处罚金额24000元。基本完成全镇的林改任务，基本上达到了“明晰产权，放活经营权，落实处置权，保证收益权”的林改目的，并顺利通过省林改办的验收。</w:t>
      </w:r>
    </w:p>
    <w:p w14:paraId="6A79DE78">
      <w:pPr>
        <w:pStyle w:val="4"/>
      </w:pPr>
      <w:r>
        <w:rPr>
          <w:rFonts w:hint="eastAsia"/>
        </w:rPr>
        <w:t>【人口计生】</w:t>
      </w:r>
    </w:p>
    <w:p w14:paraId="2AB88BCF">
      <w:pPr>
        <w:ind w:firstLine="420"/>
        <w:rPr>
          <w:rFonts w:ascii="宋体" w:hAnsi="宋体"/>
          <w:szCs w:val="21"/>
        </w:rPr>
      </w:pPr>
      <w:r>
        <w:rPr>
          <w:rFonts w:hint="eastAsia" w:ascii="宋体" w:hAnsi="宋体"/>
          <w:szCs w:val="21"/>
        </w:rPr>
        <w:t>有计生服务所1间。全镇5个村委会都建有计生服务室，配备计生专干5人。2011年，全镇出生102人，人口出生率10.34%，其中一孩出生71人，一孩率为69.61%；二孩出生31人，二孩率为30.39‰，政策生育率96.08%。人口死亡55人，人口死亡率为5.58‰，自然增长47人，自然增长率为4.76‰。</w:t>
      </w:r>
    </w:p>
    <w:p w14:paraId="6F25B958">
      <w:pPr>
        <w:pStyle w:val="4"/>
      </w:pPr>
      <w:r>
        <w:rPr>
          <w:rFonts w:hint="eastAsia"/>
        </w:rPr>
        <w:t>【镇、村换届】</w:t>
      </w:r>
    </w:p>
    <w:p w14:paraId="3385B831">
      <w:pPr>
        <w:ind w:firstLine="420"/>
        <w:rPr>
          <w:rFonts w:ascii="宋体" w:hAnsi="宋体"/>
          <w:szCs w:val="21"/>
        </w:rPr>
      </w:pPr>
      <w:r>
        <w:rPr>
          <w:rFonts w:hint="eastAsia" w:ascii="宋体" w:hAnsi="宋体"/>
          <w:szCs w:val="21"/>
        </w:rPr>
        <w:t>3人组成的村（居）党支部委员会，已换届的6个村（居）党支部均选足了支委职数。村（居）党支部书记3人连任当选，新一届村（居）“两委”成员24人，交叉任职的18人，其中村（居）总支书记和主任“一肩挑”的6人。8月22日，选举产生中共帽子峰镇第十三届委员会、中共帽子峰镇纪律检查委员会和出席南雄市第十二次党代会代表。</w:t>
      </w:r>
    </w:p>
    <w:p w14:paraId="5FDBA727">
      <w:pPr>
        <w:pStyle w:val="4"/>
      </w:pPr>
      <w:r>
        <w:rPr>
          <w:rFonts w:hint="eastAsia"/>
        </w:rPr>
        <w:t>【党的建设】</w:t>
      </w:r>
    </w:p>
    <w:p w14:paraId="2B1575D5">
      <w:pPr>
        <w:ind w:firstLine="420"/>
        <w:rPr>
          <w:rFonts w:ascii="宋体" w:hAnsi="宋体"/>
          <w:szCs w:val="21"/>
        </w:rPr>
      </w:pPr>
      <w:r>
        <w:rPr>
          <w:rFonts w:hint="eastAsia" w:ascii="宋体" w:hAnsi="宋体"/>
          <w:szCs w:val="21"/>
        </w:rPr>
        <w:t>镇党委在农村党员干部“暖心”工程中主要做了5方面工作：一组织村支部书记和村干部参加乡镇领导班子和公务员竞争选拔，让村干部有更好的发展平台；二抓好困难党员每月生活补贴以及困难党员一次性困难补助发放工作，清退了1名党员每月生活补贴，做到了应补尽补、应退尽退，同时为2名困难党员发放了一次性困难补助计6000元；三做好“三老”暖心项目，镇党委精心组织，认真调查摸底，去年春节前共为36名“三老”人员发放生活补贴，符合条件的30名“三老”人员名单已上报市委组织部，16名经常有病的党员领取党内关爱药箱；四抓好党内捐赠党员互助金活动。全镇共有129名党员参加了捐赠，捐赠金额达5300元；五抓好“七一”、春节慰问困难党员老党员活动，2011年七一前夕，镇党委慰问困难党员、老党员35人，慰问金额达3500多元。2011年春节，镇党委共慰问了困难党员、老党员20人，慰问金额达2000多元。2011年发展新党员17名。</w:t>
      </w:r>
    </w:p>
    <w:p w14:paraId="67BC1CFE">
      <w:pPr>
        <w:pStyle w:val="4"/>
      </w:pPr>
      <w:r>
        <w:rPr>
          <w:rFonts w:hint="eastAsia"/>
        </w:rPr>
        <w:t>【科教文体卫】</w:t>
      </w:r>
    </w:p>
    <w:p w14:paraId="320FAC67">
      <w:pPr>
        <w:ind w:firstLine="420"/>
        <w:rPr>
          <w:rFonts w:ascii="宋体" w:hAnsi="宋体"/>
          <w:szCs w:val="21"/>
        </w:rPr>
      </w:pPr>
      <w:r>
        <w:rPr>
          <w:rFonts w:hint="eastAsia" w:ascii="宋体" w:hAnsi="宋体"/>
          <w:szCs w:val="21"/>
        </w:rPr>
        <w:t>积极推进农村精神文明建设，以农家书屋为平台，发展农村文化事业，丰富农民精神生活；以创建“教育强镇”为契机，加大教育投入，以创建“九年一贯制”教学方式为平台，提升了教学和管理水平，2011年取得了中考、小学水平测试综合平均分在全市农村中学名列前茅的优秀成绩，2011年12月，顺利通过广东省教育创强督导专家组验收，成为南雄市2011年第一个通过广东省教育创强督导验收的乡镇；2011年建立起“户收、村集、镇运、镇处置”的生活垃圾收运处置体系和环境卫生责任体系，“脏、乱、差”问题得到根本性的改善，经过韶关市生态文明办2011年度四个季度的暗访明察，通过了韶关市生态文明办的验收（见韶生态办[2012]1号文件）。</w:t>
      </w:r>
    </w:p>
    <w:p w14:paraId="17F73EAA">
      <w:pPr>
        <w:pStyle w:val="4"/>
      </w:pPr>
      <w:r>
        <w:rPr>
          <w:rFonts w:hint="eastAsia"/>
        </w:rPr>
        <w:t>【基础设施】</w:t>
      </w:r>
    </w:p>
    <w:p w14:paraId="767DD87E">
      <w:pPr>
        <w:ind w:firstLine="420"/>
        <w:rPr>
          <w:rFonts w:ascii="宋体" w:hAnsi="宋体"/>
          <w:szCs w:val="21"/>
        </w:rPr>
      </w:pPr>
      <w:r>
        <w:rPr>
          <w:rFonts w:hint="eastAsia" w:ascii="宋体" w:hAnsi="宋体"/>
          <w:szCs w:val="21"/>
        </w:rPr>
        <w:t>2011年帽子峰镇符合通班车条件的行政村班车通达率达到100%。目前，帽子峰镇拥有2辆客运汽车。日均发送10辆客车，日客运量200人次。省道342线穿过该镇，公路总长49公里，其中省道7公里，市道9公里，乡道33公里。</w:t>
      </w:r>
    </w:p>
    <w:p w14:paraId="1A6EAF53">
      <w:pPr>
        <w:ind w:firstLine="420"/>
        <w:rPr>
          <w:rFonts w:ascii="宋体" w:hAnsi="宋体"/>
          <w:szCs w:val="21"/>
        </w:rPr>
      </w:pPr>
      <w:r>
        <w:rPr>
          <w:rFonts w:hint="eastAsia" w:ascii="宋体" w:hAnsi="宋体"/>
          <w:szCs w:val="21"/>
        </w:rPr>
        <w:t>邮政网点1个，电信企业1家，固定电话装机856部，移动电话拥有2410部。</w:t>
      </w:r>
    </w:p>
    <w:p w14:paraId="5A55C411">
      <w:pPr>
        <w:ind w:firstLine="420"/>
        <w:rPr>
          <w:rFonts w:ascii="宋体" w:hAnsi="宋体"/>
          <w:szCs w:val="21"/>
        </w:rPr>
      </w:pPr>
      <w:r>
        <w:rPr>
          <w:rFonts w:hint="eastAsia" w:ascii="宋体" w:hAnsi="宋体"/>
          <w:szCs w:val="21"/>
        </w:rPr>
        <w:t>投入资金28150元，完成梨树村进村道路桥梁的维修，解决梨树村通车安全问题；积极筹备道路硬化专项资金39.1万元，完成村道上龙村至午坑村长1.7公里、上龙至竹山下2.5公里共4.2公里的水泥路硬化。</w:t>
      </w:r>
    </w:p>
    <w:p w14:paraId="7864D4A4">
      <w:pPr>
        <w:ind w:firstLine="420"/>
        <w:rPr>
          <w:rFonts w:ascii="宋体" w:hAnsi="宋体"/>
          <w:szCs w:val="21"/>
        </w:rPr>
      </w:pPr>
      <w:r>
        <w:rPr>
          <w:rFonts w:hint="eastAsia" w:ascii="宋体" w:hAnsi="宋体"/>
          <w:szCs w:val="21"/>
        </w:rPr>
        <w:t>2011年投入资金4.8万元在洞头村伴源村小组做300米（0.4*0.4）水渠三面光工程，完成土方石等1303亩工程，工程完成可解决农作物灌溉面积800多亩，900多人受益。</w:t>
      </w:r>
    </w:p>
    <w:p w14:paraId="45FF7A2D">
      <w:pPr>
        <w:pStyle w:val="4"/>
      </w:pPr>
      <w:r>
        <w:rPr>
          <w:rFonts w:hint="eastAsia"/>
        </w:rPr>
        <w:t>【扶贫双到】</w:t>
      </w:r>
    </w:p>
    <w:p w14:paraId="08A7E4D3">
      <w:pPr>
        <w:ind w:firstLine="420"/>
        <w:rPr>
          <w:rFonts w:ascii="宋体" w:hAnsi="宋体"/>
          <w:szCs w:val="21"/>
        </w:rPr>
      </w:pPr>
      <w:r>
        <w:rPr>
          <w:rFonts w:hint="eastAsia" w:ascii="宋体" w:hAnsi="宋体"/>
          <w:szCs w:val="21"/>
        </w:rPr>
        <w:t>2010年已实现帮扶40户贫困户162人）完成脱贫任务，占47%。2011年完成剩余45户中有劳动能力的37户贫困农户脱贫任务，占48.1%；脱贫人口143人，占85户贫困人口44%。完成7户低收入住房困难户农房改造任务。2010年梨树村集体经济收入为13500元，2011年8月11日扶贫项目梨树村榨油厂开工榨油，为村集体经济增收11300元，黄烟分成17850元，另外浈江电力入股分红2000元。2011年梨树村集体经济收入31150元。</w:t>
      </w:r>
    </w:p>
    <w:p w14:paraId="73B42E6F">
      <w:pPr>
        <w:pStyle w:val="4"/>
      </w:pPr>
      <w:r>
        <w:rPr>
          <w:rFonts w:hint="eastAsia"/>
        </w:rPr>
        <w:t>【各村委会基本情况】</w:t>
      </w:r>
    </w:p>
    <w:p w14:paraId="62F40BB4">
      <w:pPr>
        <w:ind w:firstLine="422"/>
        <w:rPr>
          <w:rFonts w:ascii="宋体" w:hAnsi="宋体"/>
          <w:szCs w:val="21"/>
        </w:rPr>
      </w:pPr>
      <w:r>
        <w:rPr>
          <w:rFonts w:hint="eastAsia" w:ascii="宋体" w:hAnsi="宋体"/>
          <w:b/>
          <w:szCs w:val="21"/>
        </w:rPr>
        <w:t>富竹村委会</w:t>
      </w:r>
      <w:r>
        <w:rPr>
          <w:rFonts w:hint="eastAsia" w:ascii="宋体" w:hAnsi="宋体"/>
          <w:szCs w:val="21"/>
        </w:rPr>
        <w:t xml:space="preserve">  该村委会含15个村小组513户，共2117人。其中汉族487户2007人，畲族26户110人。2011年争取了交通局及其他单位资金支持完善了洋地、水南坝、外溪和坑尾村小组村道公路水泥硬底化，搞好了富俚、水南坝、富竹坑、新屋四村小组的三面光圳道。该村现有2个私人集资的榨油厂。</w:t>
      </w:r>
    </w:p>
    <w:p w14:paraId="4687D895">
      <w:pPr>
        <w:ind w:firstLine="422"/>
        <w:rPr>
          <w:rFonts w:ascii="宋体" w:hAnsi="宋体"/>
          <w:szCs w:val="21"/>
        </w:rPr>
      </w:pPr>
      <w:r>
        <w:rPr>
          <w:rFonts w:hint="eastAsia" w:ascii="宋体" w:hAnsi="宋体"/>
          <w:b/>
          <w:szCs w:val="21"/>
        </w:rPr>
        <w:t>洞头村委会</w:t>
      </w:r>
      <w:r>
        <w:rPr>
          <w:rFonts w:hint="eastAsia" w:ascii="宋体" w:hAnsi="宋体"/>
          <w:szCs w:val="21"/>
        </w:rPr>
        <w:t xml:space="preserve">  该村委会含11个村小组，420户，共1820人，其中少数民族一个，为畲族，人口有14人。该村经济发展以农业种植为主，主要种植水稻、黄烟、育杉苗、小辣椒及果树栽种。该村交通便利，有两条主干硬化公路，一条通往帽子峰国营林场，另一条通往镇新跃林场，2011年中共向社会筹集资金22万元，其中14万元完成了河背桥至张屋坪村的公路硬化，8万元用于完善村小学内操场和篮球场设施。</w:t>
      </w:r>
    </w:p>
    <w:p w14:paraId="0AB985B6">
      <w:pPr>
        <w:ind w:firstLine="422"/>
        <w:rPr>
          <w:rFonts w:ascii="宋体" w:hAnsi="宋体"/>
          <w:szCs w:val="21"/>
        </w:rPr>
      </w:pPr>
      <w:r>
        <w:rPr>
          <w:rFonts w:hint="eastAsia" w:ascii="宋体" w:hAnsi="宋体"/>
          <w:b/>
          <w:szCs w:val="21"/>
        </w:rPr>
        <w:t>坪山村委会</w:t>
      </w:r>
      <w:r>
        <w:rPr>
          <w:rFonts w:hint="eastAsia" w:ascii="宋体" w:hAnsi="宋体"/>
          <w:szCs w:val="21"/>
        </w:rPr>
        <w:t xml:space="preserve">  该村委会有11个村小组，350户，共1500人。土地资源丰富，耕地面积2700亩，山林面积11000亩，水面面积200多亩。通过招商引资，开发了乾村革命老区红色根据地为旅游胜地，成为教育青少年的爱国主义教育基地。</w:t>
      </w:r>
    </w:p>
    <w:p w14:paraId="6DF893BA">
      <w:pPr>
        <w:ind w:firstLine="422"/>
        <w:rPr>
          <w:rFonts w:ascii="宋体" w:hAnsi="宋体"/>
          <w:szCs w:val="21"/>
        </w:rPr>
      </w:pPr>
      <w:r>
        <w:rPr>
          <w:rFonts w:hint="eastAsia" w:ascii="宋体" w:hAnsi="宋体"/>
          <w:b/>
          <w:szCs w:val="21"/>
        </w:rPr>
        <w:t>上龙村委会</w:t>
      </w:r>
      <w:r>
        <w:rPr>
          <w:rFonts w:hint="eastAsia" w:ascii="宋体" w:hAnsi="宋体"/>
          <w:szCs w:val="21"/>
        </w:rPr>
        <w:t xml:space="preserve">  该村有8个村小组，2011年共有345户1422人，2011年完成收购黄烟544担，完成了上龙到竹山下村小组村道1.8公里水泥硬底化，完成了上龙至新坪自然村村道1.1公里路基基础。完成了8个村小组安全饮水自来水工程改造，和重建帽子峰学校上龙分教点的工程。</w:t>
      </w:r>
    </w:p>
    <w:p w14:paraId="21A9CD60">
      <w:pPr>
        <w:ind w:firstLine="422"/>
        <w:rPr>
          <w:rFonts w:ascii="宋体" w:hAnsi="宋体"/>
          <w:szCs w:val="21"/>
        </w:rPr>
      </w:pPr>
      <w:r>
        <w:rPr>
          <w:rFonts w:hint="eastAsia" w:ascii="宋体" w:hAnsi="宋体"/>
          <w:b/>
          <w:szCs w:val="21"/>
        </w:rPr>
        <w:t>梨树村委会</w:t>
      </w:r>
      <w:r>
        <w:rPr>
          <w:rFonts w:hint="eastAsia" w:ascii="宋体" w:hAnsi="宋体"/>
          <w:szCs w:val="21"/>
        </w:rPr>
        <w:t xml:space="preserve">  梨树村总人口1505人，360户，耕地面积1818亩，林地面积22502.5亩，其中荒山（芒杆山）约2000亩，还没有开发，河里有金砂资源，有一个古龙并有特色的村庄（如同围屋），建于明朝中期“成化年”间，整个村庄，用围墙环包，里面路道全部用石头埔好，村民只能通过两个葆仓才能进出。</w:t>
      </w:r>
    </w:p>
    <w:p w14:paraId="2744FDFD">
      <w:pPr>
        <w:ind w:firstLine="420"/>
        <w:rPr>
          <w:rFonts w:ascii="宋体" w:hAnsi="宋体"/>
          <w:szCs w:val="21"/>
        </w:rPr>
      </w:pPr>
      <w:r>
        <w:rPr>
          <w:rFonts w:hint="eastAsia" w:ascii="宋体" w:hAnsi="宋体"/>
          <w:szCs w:val="21"/>
        </w:rPr>
        <w:t>经帮扶单位的大力协助争取上级资金，维修了黄土坋村水圳“三面光”确保200亩水稻增产增收，并积极争取扶贫资金，兴办村榨油厂，变压器、增加村集体经济收入，同时解决了村民长期用电困难。在饮水安全方面建设清洁干净的饮用池5保证了村民饮水安全。                                 （邱金红）</w:t>
      </w:r>
    </w:p>
    <w:p w14:paraId="5B901C81">
      <w:pPr>
        <w:ind w:firstLine="0" w:firstLineChars="0"/>
        <w:rPr>
          <w:rFonts w:ascii="宋体" w:hAnsi="宋体"/>
          <w:szCs w:val="21"/>
        </w:rPr>
      </w:pPr>
      <w:r>
        <w:rPr>
          <w:rFonts w:hint="eastAsia" w:ascii="宋体" w:hAnsi="宋体"/>
          <w:b/>
          <w:szCs w:val="21"/>
        </w:rPr>
        <w:t>附：2011年帽子峰镇领导班子成员名单</w:t>
      </w:r>
    </w:p>
    <w:p w14:paraId="087FBE8C">
      <w:pPr>
        <w:ind w:firstLine="0" w:firstLineChars="0"/>
        <w:rPr>
          <w:rFonts w:ascii="宋体" w:hAnsi="宋体"/>
          <w:szCs w:val="21"/>
        </w:rPr>
      </w:pPr>
      <w:r>
        <w:rPr>
          <w:rFonts w:hint="eastAsia" w:ascii="宋体" w:hAnsi="宋体"/>
          <w:szCs w:val="21"/>
        </w:rPr>
        <w:t>党委书记、人大主席：朱运通</w:t>
      </w:r>
    </w:p>
    <w:p w14:paraId="005007FA">
      <w:pPr>
        <w:ind w:firstLine="0" w:firstLineChars="0"/>
        <w:rPr>
          <w:rFonts w:ascii="宋体" w:hAnsi="宋体"/>
          <w:szCs w:val="21"/>
        </w:rPr>
      </w:pPr>
      <w:r>
        <w:rPr>
          <w:rFonts w:hint="eastAsia" w:ascii="宋体" w:hAnsi="宋体"/>
          <w:szCs w:val="21"/>
        </w:rPr>
        <w:t>党委副书记、镇长：沈学安</w:t>
      </w:r>
    </w:p>
    <w:p w14:paraId="090F8F97">
      <w:pPr>
        <w:ind w:firstLine="0" w:firstLineChars="0"/>
        <w:rPr>
          <w:rFonts w:ascii="宋体" w:hAnsi="宋体"/>
          <w:szCs w:val="21"/>
        </w:rPr>
      </w:pPr>
      <w:r>
        <w:rPr>
          <w:rFonts w:hint="eastAsia" w:ascii="宋体" w:hAnsi="宋体"/>
          <w:szCs w:val="21"/>
        </w:rPr>
        <w:t>党委副书记：罗青山</w:t>
      </w:r>
    </w:p>
    <w:p w14:paraId="5E46613F">
      <w:pPr>
        <w:ind w:firstLine="0" w:firstLineChars="0"/>
        <w:rPr>
          <w:rFonts w:ascii="宋体" w:hAnsi="宋体"/>
          <w:szCs w:val="21"/>
        </w:rPr>
      </w:pPr>
      <w:r>
        <w:rPr>
          <w:rFonts w:hint="eastAsia" w:ascii="宋体" w:hAnsi="宋体"/>
          <w:szCs w:val="21"/>
        </w:rPr>
        <w:t>纪委书记：林金山</w:t>
      </w:r>
    </w:p>
    <w:p w14:paraId="1926F591">
      <w:pPr>
        <w:ind w:firstLine="0" w:firstLineChars="0"/>
        <w:rPr>
          <w:rFonts w:ascii="宋体" w:hAnsi="宋体"/>
          <w:szCs w:val="21"/>
        </w:rPr>
      </w:pPr>
      <w:r>
        <w:rPr>
          <w:rFonts w:hint="eastAsia" w:ascii="宋体" w:hAnsi="宋体"/>
          <w:szCs w:val="21"/>
        </w:rPr>
        <w:t>副镇长：李海辉  叶永明</w:t>
      </w:r>
    </w:p>
    <w:p w14:paraId="583CF56A">
      <w:pPr>
        <w:ind w:firstLine="840" w:firstLineChars="400"/>
        <w:rPr>
          <w:rFonts w:ascii="宋体" w:hAnsi="宋体"/>
          <w:szCs w:val="21"/>
        </w:rPr>
      </w:pPr>
      <w:r>
        <w:rPr>
          <w:rFonts w:hint="eastAsia" w:ascii="宋体" w:hAnsi="宋体"/>
          <w:szCs w:val="21"/>
        </w:rPr>
        <w:t>邱  洪</w:t>
      </w:r>
    </w:p>
    <w:p w14:paraId="47F25225">
      <w:pPr>
        <w:ind w:firstLine="0" w:firstLineChars="0"/>
        <w:rPr>
          <w:rFonts w:ascii="宋体" w:hAnsi="宋体"/>
          <w:szCs w:val="21"/>
        </w:rPr>
      </w:pPr>
      <w:r>
        <w:rPr>
          <w:rFonts w:hint="eastAsia" w:ascii="宋体" w:hAnsi="宋体"/>
          <w:szCs w:val="21"/>
        </w:rPr>
        <w:t>人大副主席：沈琼连</w:t>
      </w:r>
    </w:p>
    <w:p w14:paraId="023FEC1F">
      <w:pPr>
        <w:ind w:firstLine="0" w:firstLineChars="0"/>
        <w:rPr>
          <w:rFonts w:ascii="宋体" w:hAnsi="宋体"/>
          <w:szCs w:val="21"/>
        </w:rPr>
      </w:pPr>
      <w:r>
        <w:rPr>
          <w:rFonts w:hint="eastAsia" w:ascii="宋体" w:hAnsi="宋体"/>
          <w:szCs w:val="21"/>
        </w:rPr>
        <w:t>武装部长：钟全华</w:t>
      </w:r>
    </w:p>
    <w:p w14:paraId="1A5C1788">
      <w:pPr>
        <w:ind w:firstLine="0" w:firstLineChars="0"/>
        <w:rPr>
          <w:rFonts w:ascii="宋体" w:hAnsi="宋体"/>
          <w:szCs w:val="21"/>
        </w:rPr>
      </w:pPr>
      <w:r>
        <w:rPr>
          <w:rFonts w:hint="eastAsia" w:ascii="宋体" w:hAnsi="宋体"/>
          <w:szCs w:val="21"/>
        </w:rPr>
        <w:t>组织委员：冯志霞</w:t>
      </w:r>
    </w:p>
    <w:p w14:paraId="3BC509B9">
      <w:pPr>
        <w:ind w:firstLine="0" w:firstLineChars="0"/>
        <w:rPr>
          <w:rFonts w:ascii="宋体" w:hAnsi="宋体"/>
          <w:szCs w:val="21"/>
        </w:rPr>
      </w:pPr>
      <w:r>
        <w:rPr>
          <w:rFonts w:hint="eastAsia" w:ascii="宋体" w:hAnsi="宋体"/>
          <w:szCs w:val="21"/>
        </w:rPr>
        <w:t>宣传委员：戴君文</w:t>
      </w:r>
    </w:p>
    <w:p w14:paraId="0D4A27B0">
      <w:pPr>
        <w:ind w:firstLine="0" w:firstLineChars="0"/>
        <w:rPr>
          <w:rFonts w:ascii="宋体" w:hAnsi="宋体"/>
          <w:szCs w:val="21"/>
        </w:rPr>
      </w:pPr>
      <w:r>
        <w:rPr>
          <w:rFonts w:hint="eastAsia" w:ascii="宋体" w:hAnsi="宋体"/>
          <w:szCs w:val="21"/>
        </w:rPr>
        <w:t>党委委员、综治办专职副主任：黄祖胜</w:t>
      </w:r>
    </w:p>
    <w:p w14:paraId="616B44DE">
      <w:pPr>
        <w:pStyle w:val="3"/>
      </w:pPr>
      <w:r>
        <w:rPr>
          <w:rFonts w:hint="eastAsia"/>
        </w:rPr>
        <w:t>乌迳镇</w:t>
      </w:r>
    </w:p>
    <w:p w14:paraId="47BAE444">
      <w:pPr>
        <w:pStyle w:val="4"/>
      </w:pPr>
      <w:r>
        <w:rPr>
          <w:rFonts w:hint="eastAsia"/>
        </w:rPr>
        <w:t>【概况】</w:t>
      </w:r>
    </w:p>
    <w:p w14:paraId="4CB0184B">
      <w:pPr>
        <w:ind w:firstLine="420"/>
        <w:rPr>
          <w:rFonts w:ascii="宋体" w:hAnsi="宋体"/>
          <w:szCs w:val="21"/>
        </w:rPr>
      </w:pPr>
      <w:r>
        <w:rPr>
          <w:rFonts w:hint="eastAsia" w:ascii="宋体" w:hAnsi="宋体"/>
          <w:szCs w:val="21"/>
        </w:rPr>
        <w:t>乌迳镇地处广东省南雄市东北部，东邻界址，南邻坪田、南亩，西邻黄坑，北邻油山镇和江西省信丰县。镇政府所在的乌迳圩位于北纬25。14′48"，东经114°35′35"，距市区31公里，邮编512435。</w:t>
      </w:r>
    </w:p>
    <w:p w14:paraId="67E45C94">
      <w:pPr>
        <w:ind w:firstLine="420"/>
        <w:rPr>
          <w:rFonts w:ascii="宋体" w:hAnsi="宋体"/>
          <w:szCs w:val="21"/>
        </w:rPr>
      </w:pPr>
      <w:r>
        <w:rPr>
          <w:rFonts w:hint="eastAsia" w:ascii="宋体" w:hAnsi="宋体"/>
          <w:szCs w:val="21"/>
        </w:rPr>
        <w:t>辖区面积157.5平方公里，其中耕地4.8万亩，水面08万亩。户籍人口4.3万人，其中男性有2.2万人，女性有2.1万人，绝大多数为汉族。有畬族人口698人，主要分布在鱼塘村和坪塘村两个聚居点。还有10个少数民族的77人分布在各村，以婚迁进来的女性为主。乌迳镇现辖21个行政村和迳新社区（居委会），村小组共215个。</w:t>
      </w:r>
    </w:p>
    <w:p w14:paraId="64655D9D">
      <w:pPr>
        <w:ind w:firstLine="420"/>
        <w:rPr>
          <w:rFonts w:ascii="宋体" w:hAnsi="宋体"/>
          <w:szCs w:val="21"/>
        </w:rPr>
      </w:pPr>
      <w:r>
        <w:rPr>
          <w:rFonts w:hint="eastAsia" w:ascii="宋体" w:hAnsi="宋体"/>
          <w:szCs w:val="21"/>
        </w:rPr>
        <w:t>乌迳镇地处粤北山区，地势以丘陵为主。有3个行政村属山区，18个行政村为丘陵。地质属砂砾岩，自然土壤属侵蚀红壤、砂页岩红壤、黄壤、紫色土等。浈江河自东向西贯流全境，还有白胜河、拦口坝河汇入浈江。属于亚热带季风湿润气候，年平均气温20℃。年降雨量1555毫米，无霜期283天。有孔江、中坪两大水库灌区。</w:t>
      </w:r>
    </w:p>
    <w:p w14:paraId="484A1F59">
      <w:pPr>
        <w:pStyle w:val="4"/>
      </w:pPr>
      <w:r>
        <w:rPr>
          <w:rFonts w:hint="eastAsia"/>
        </w:rPr>
        <w:t>【经济】</w:t>
      </w:r>
    </w:p>
    <w:p w14:paraId="144C04F6">
      <w:pPr>
        <w:ind w:firstLine="420"/>
        <w:rPr>
          <w:rFonts w:ascii="宋体" w:hAnsi="宋体"/>
          <w:szCs w:val="21"/>
        </w:rPr>
      </w:pPr>
      <w:r>
        <w:rPr>
          <w:rFonts w:hint="eastAsia" w:ascii="宋体" w:hAnsi="宋体"/>
          <w:szCs w:val="21"/>
        </w:rPr>
        <w:t>耕地面积4.8万亩，人均1.1亩（总人口数4.3万），其中水田3.2万亩，旱地1.5万亩。乌迳镇种植业主要以水稻、黄烟、花生、朝天椒为主，2011年种植水稻5.1万亩，总产2.2万吨；黄烟种植面积1.3万亩，总产量2144吨，收购量2000吨；花生种植面积1.4万亩，总产量3113吨；朝天椒种植面积9012亩，总产量为1.1万吨。2011年生猪饲养量7.1万头，出栏量6.2万头，水产养殖1045吨。</w:t>
      </w:r>
    </w:p>
    <w:p w14:paraId="33891676">
      <w:pPr>
        <w:ind w:firstLine="420"/>
        <w:rPr>
          <w:rFonts w:ascii="宋体" w:hAnsi="宋体"/>
          <w:szCs w:val="21"/>
        </w:rPr>
      </w:pPr>
      <w:r>
        <w:rPr>
          <w:rFonts w:hint="eastAsia" w:ascii="宋体" w:hAnsi="宋体"/>
          <w:szCs w:val="21"/>
        </w:rPr>
        <w:t>截止2011年末，林地面积12.1万亩，累计造林1003亩，其中防护林8.7万亩，经济林3.4万亩，林木覆盖率68%。乌迳镇有林木资源11万亩，毛竹资源1万多亩，花岗石总储存量超过800万立方米。</w:t>
      </w:r>
    </w:p>
    <w:p w14:paraId="7A2DA026">
      <w:pPr>
        <w:ind w:firstLine="420"/>
        <w:rPr>
          <w:rFonts w:ascii="宋体" w:hAnsi="宋体"/>
          <w:szCs w:val="21"/>
        </w:rPr>
      </w:pPr>
      <w:r>
        <w:rPr>
          <w:rFonts w:hint="eastAsia" w:ascii="宋体" w:hAnsi="宋体"/>
          <w:szCs w:val="21"/>
        </w:rPr>
        <w:t>2011年完成工农业生产总值4.15亿元，同比增长9.2%，财政总收入460万元，同比增长9.1%，农民人均纯收入6126元，同比增长9%。</w:t>
      </w:r>
    </w:p>
    <w:p w14:paraId="7880F980">
      <w:pPr>
        <w:pStyle w:val="4"/>
      </w:pPr>
      <w:r>
        <w:rPr>
          <w:rFonts w:hint="eastAsia"/>
        </w:rPr>
        <w:t>【社会事业】</w:t>
      </w:r>
    </w:p>
    <w:p w14:paraId="004453E9">
      <w:pPr>
        <w:ind w:firstLine="420"/>
        <w:rPr>
          <w:rFonts w:ascii="宋体" w:hAnsi="宋体"/>
          <w:szCs w:val="21"/>
        </w:rPr>
      </w:pPr>
      <w:r>
        <w:rPr>
          <w:rFonts w:hint="eastAsia" w:ascii="宋体" w:hAnsi="宋体"/>
          <w:szCs w:val="21"/>
        </w:rPr>
        <w:t>2011年末乌迳镇有邮政网点1个，投递网络遍布乌迳镇各个角落，实现了村村通邮，储蓄所2个，邮政储蓄所和农村信用社储蓄所。2011年固定电话装机总数3048部，移动电话拥有量6440部。北距江西省信丰县及105国道，京九铁路42公里，省道S342线贯穿全镇，符合通班车条件的行政村班车通达率保持100%。乌迳镇水力资源丰富，可开发电力3000多千瓦，现已开发电站6座，装机容量1000瓦，车站3个，供气站1个。</w:t>
      </w:r>
    </w:p>
    <w:p w14:paraId="56B306A3">
      <w:pPr>
        <w:ind w:firstLine="420"/>
        <w:rPr>
          <w:rFonts w:ascii="宋体" w:hAnsi="宋体"/>
          <w:szCs w:val="21"/>
        </w:rPr>
      </w:pPr>
      <w:r>
        <w:rPr>
          <w:rFonts w:hint="eastAsia" w:ascii="宋体" w:hAnsi="宋体"/>
          <w:szCs w:val="21"/>
        </w:rPr>
        <w:t>乌迳中心镇规划面积3.8平方公里，现已建成2.8平方公里。分为新、旧两个区，新区以省道S342线为轴，旧区以人民路为轴，有至贵路、繁荣路、园丁路三条横街贯通，形成两纵三横的城市格局。主街道有人民路、繁荣路、城皇路等。街道水泥硬底化4.23公里。新建了商贸城、文化广场、自来水厂、液化气站等设施。</w:t>
      </w:r>
    </w:p>
    <w:p w14:paraId="1DB654F2">
      <w:pPr>
        <w:ind w:firstLine="420"/>
        <w:rPr>
          <w:rFonts w:ascii="宋体" w:hAnsi="宋体"/>
          <w:szCs w:val="21"/>
        </w:rPr>
      </w:pPr>
      <w:r>
        <w:rPr>
          <w:rFonts w:hint="eastAsia" w:ascii="宋体" w:hAnsi="宋体"/>
          <w:szCs w:val="21"/>
        </w:rPr>
        <w:t>有镇中心卫生院1所、22个村（居）委会均设有1个卫生站。新型农村合作医疗保险覆盖率达95%以上。</w:t>
      </w:r>
    </w:p>
    <w:p w14:paraId="06E9C848">
      <w:pPr>
        <w:ind w:firstLine="420"/>
        <w:rPr>
          <w:rFonts w:ascii="宋体" w:hAnsi="宋体"/>
          <w:szCs w:val="21"/>
        </w:rPr>
      </w:pPr>
      <w:r>
        <w:rPr>
          <w:rFonts w:hint="eastAsia" w:ascii="宋体" w:hAnsi="宋体"/>
          <w:szCs w:val="21"/>
        </w:rPr>
        <w:t>全镇有初级中学1所，小学15所，其中韶关市一级学校有3所，在校学生4700多人，幼儿园4所，有900多人。</w:t>
      </w:r>
    </w:p>
    <w:p w14:paraId="5C2406A7">
      <w:pPr>
        <w:pStyle w:val="4"/>
      </w:pPr>
      <w:r>
        <w:rPr>
          <w:rFonts w:hint="eastAsia"/>
        </w:rPr>
        <w:t>【扶贫双到】</w:t>
      </w:r>
    </w:p>
    <w:p w14:paraId="47985786">
      <w:pPr>
        <w:ind w:firstLine="420"/>
        <w:rPr>
          <w:rFonts w:ascii="宋体" w:hAnsi="宋体"/>
          <w:szCs w:val="21"/>
        </w:rPr>
      </w:pPr>
      <w:r>
        <w:rPr>
          <w:rFonts w:hint="eastAsia" w:ascii="宋体" w:hAnsi="宋体"/>
          <w:szCs w:val="21"/>
        </w:rPr>
        <w:t>2010年全镇共核实确定贫困户560户，其中省级贫困村孔江、兰坵、水松共有贫困户427户（其中孔江163户、兰坵70户、水松194户）。根据省、市及南雄市的统一安排，孔江、水松两个省级贫困村由东莞常平镇政府负责帮扶，兰坵村由韶关市卫生局、韶关市食品药品监督管理局负责帮扶。山下、白龙、黄洞、鱼塘、大竹、田心、新田、响联等八个村的贫困户分别由南雄市环保局、行政服务中心、疾控中心、联通公司、信息中心、工商局、移动公司、雄州中学等单位负责帮扶，其他村的贫困户则由镇政府负责。</w:t>
      </w:r>
    </w:p>
    <w:p w14:paraId="21305766">
      <w:pPr>
        <w:ind w:firstLine="420"/>
        <w:rPr>
          <w:rFonts w:ascii="宋体" w:hAnsi="宋体"/>
          <w:szCs w:val="21"/>
        </w:rPr>
      </w:pPr>
      <w:r>
        <w:rPr>
          <w:rFonts w:hint="eastAsia" w:ascii="宋体" w:hAnsi="宋体"/>
          <w:szCs w:val="21"/>
        </w:rPr>
        <w:t>2011年筹资90万元帮助三个贫困村入股南雄市浈江电业公司，每年为贫困村集体经济增加收入2.4万元。投入50多万元完成孔江的金钩湾-船塘背灌溉水渠和水松大坝水库灌溉水渠等一批农田水利设施；筹集102.3多万元，完成道路硬底化14.3公里。贫困村100%实现饮用水安全达标，贫困村也建有卫生站、农家书屋、篮球场、垃圾收集池和公共卫生间。</w:t>
      </w:r>
    </w:p>
    <w:p w14:paraId="5B6F6AD9">
      <w:pPr>
        <w:ind w:firstLine="420"/>
        <w:rPr>
          <w:rFonts w:ascii="宋体" w:hAnsi="宋体"/>
          <w:szCs w:val="21"/>
        </w:rPr>
      </w:pPr>
      <w:r>
        <w:rPr>
          <w:rFonts w:hint="eastAsia" w:ascii="宋体" w:hAnsi="宋体"/>
          <w:szCs w:val="21"/>
        </w:rPr>
        <w:t>2011年贫困户人均纯收入达6300元以上，427户贫困户中有劳动能力的388户（其中孔江160户、兰坵63户、水松165户）全部实现稳定脱贫，有劳动能力的贫困户脱贫率达100%，村集体经济年收入达到4万元以上。</w:t>
      </w:r>
    </w:p>
    <w:p w14:paraId="7F2C79E6">
      <w:pPr>
        <w:pStyle w:val="4"/>
      </w:pPr>
      <w:r>
        <w:rPr>
          <w:rFonts w:hint="eastAsia"/>
        </w:rPr>
        <w:t>【名胜旅游】</w:t>
      </w:r>
    </w:p>
    <w:p w14:paraId="2F19222F">
      <w:pPr>
        <w:ind w:firstLine="420"/>
        <w:rPr>
          <w:rFonts w:ascii="宋体" w:hAnsi="宋体"/>
          <w:szCs w:val="21"/>
        </w:rPr>
      </w:pPr>
      <w:r>
        <w:rPr>
          <w:rFonts w:hint="eastAsia" w:ascii="宋体" w:hAnsi="宋体"/>
          <w:szCs w:val="21"/>
        </w:rPr>
        <w:t>乌迳镇，具有明显的地方特色，乡土气息十分浓厚，人们热情好客，尤以过“姓氏节”为一大特色。镇内有孔江湿地公园、新田古村落、观音山等景点。</w:t>
      </w:r>
    </w:p>
    <w:p w14:paraId="6E165E6B">
      <w:pPr>
        <w:ind w:firstLine="420"/>
        <w:rPr>
          <w:rFonts w:ascii="宋体" w:hAnsi="宋体"/>
          <w:szCs w:val="21"/>
        </w:rPr>
      </w:pPr>
      <w:r>
        <w:rPr>
          <w:rFonts w:hint="eastAsia" w:ascii="宋体" w:hAnsi="宋体"/>
          <w:szCs w:val="21"/>
        </w:rPr>
        <w:t>孔江湿地公园，2011年3月30日被国家林业局批准为国家湿地公园。主要包括孔江水库、孔江水库上下游段及周边区域。湿地公园由入库溪流、水库、沼泽、洪泛湿地、洲滩与环库森林，生怂系统结构完整，自然景观独特，物种丰富，珍稀物种众多，有国家重点保护动物34种，中国红皮书确定濒危动物22种，国家保护植物13科12属14种。孔江水库中点缀着众多的岛屿，有“百岛湖”和粤北第一库之称。</w:t>
      </w:r>
    </w:p>
    <w:p w14:paraId="1DF3DE2C">
      <w:pPr>
        <w:pStyle w:val="4"/>
      </w:pPr>
      <w:r>
        <w:rPr>
          <w:rFonts w:hint="eastAsia"/>
        </w:rPr>
        <w:t>【新田古村落】</w:t>
      </w:r>
    </w:p>
    <w:p w14:paraId="774F4DD9">
      <w:pPr>
        <w:ind w:firstLine="420"/>
        <w:rPr>
          <w:rFonts w:ascii="宋体" w:hAnsi="宋体"/>
          <w:szCs w:val="21"/>
        </w:rPr>
      </w:pPr>
      <w:r>
        <w:rPr>
          <w:rFonts w:hint="eastAsia" w:ascii="宋体" w:hAnsi="宋体"/>
          <w:szCs w:val="21"/>
        </w:rPr>
        <w:t>新田村建村于公元315年（西晋建兴三年），其中大部分是客家建筑，但又有中原建筑的风格，有各色古老庭院、楼阁、祠堂、书院、古井、里巷等，至今已有1690多年历史。新田村素有“迁徙南雄第一村”之称，2009年，被评为广东省古村落和历史文化名村。新田村现存古村落部分占地约5万平方米，近代以前建筑面积约18000平方米，以明清建筑居多。从2010年8月到2011年9月底对其进行首期维修。</w:t>
      </w:r>
    </w:p>
    <w:p w14:paraId="44D31C99">
      <w:pPr>
        <w:pStyle w:val="4"/>
      </w:pPr>
      <w:r>
        <w:rPr>
          <w:rFonts w:hint="eastAsia"/>
        </w:rPr>
        <w:t>【温泉酒店】</w:t>
      </w:r>
    </w:p>
    <w:p w14:paraId="6AFAAC98">
      <w:pPr>
        <w:ind w:firstLine="420"/>
        <w:rPr>
          <w:rFonts w:ascii="宋体" w:hAnsi="宋体"/>
          <w:szCs w:val="21"/>
        </w:rPr>
      </w:pPr>
      <w:r>
        <w:rPr>
          <w:rFonts w:hint="eastAsia" w:ascii="宋体" w:hAnsi="宋体"/>
          <w:szCs w:val="21"/>
        </w:rPr>
        <w:t>2010年9月，投资1000多万元，建设总面积1200多平方米的南雄市金源温泉酒店，表302011年鸟迳镇各到201l年年底已建到第八层，第九层楼面已浇完，完成了年度投资任务，预计2012年11月份竣工并投入使用。</w:t>
      </w:r>
    </w:p>
    <w:p w14:paraId="1702E003">
      <w:pPr>
        <w:pStyle w:val="4"/>
      </w:pPr>
      <w:r>
        <w:rPr>
          <w:rFonts w:hint="eastAsia"/>
        </w:rPr>
        <w:t>【各村（居）蚕会基本情况】</w:t>
      </w:r>
    </w:p>
    <w:p w14:paraId="65319297">
      <w:pPr>
        <w:ind w:firstLine="422"/>
        <w:jc w:val="center"/>
        <w:rPr>
          <w:rFonts w:ascii="宋体" w:hAnsi="宋体"/>
          <w:b/>
          <w:szCs w:val="21"/>
        </w:rPr>
      </w:pPr>
      <w:r>
        <w:rPr>
          <w:rFonts w:hint="eastAsia" w:ascii="宋体" w:hAnsi="宋体"/>
          <w:b/>
        </w:rPr>
        <w:t>表30 2011</w:t>
      </w:r>
      <w:r>
        <w:rPr>
          <w:rFonts w:hint="eastAsia"/>
          <w:b/>
        </w:rPr>
        <w:t>年</w:t>
      </w:r>
      <w:r>
        <w:rPr>
          <w:rFonts w:hint="eastAsia" w:ascii="宋体" w:hAnsi="宋体"/>
          <w:b/>
          <w:szCs w:val="21"/>
        </w:rPr>
        <w:t>乌迳镇各村（居）委会基本情况</w:t>
      </w:r>
    </w:p>
    <w:tbl>
      <w:tblPr>
        <w:tblStyle w:val="14"/>
        <w:tblW w:w="9600" w:type="dxa"/>
        <w:tblInd w:w="95"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60"/>
        <w:gridCol w:w="960"/>
        <w:gridCol w:w="960"/>
        <w:gridCol w:w="960"/>
        <w:gridCol w:w="960"/>
        <w:gridCol w:w="960"/>
        <w:gridCol w:w="960"/>
        <w:gridCol w:w="960"/>
        <w:gridCol w:w="960"/>
        <w:gridCol w:w="960"/>
      </w:tblGrid>
      <w:tr w14:paraId="494FE60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960" w:type="dxa"/>
            <w:vMerge w:val="restart"/>
            <w:shd w:val="clear" w:color="auto" w:fill="auto"/>
            <w:noWrap/>
            <w:vAlign w:val="center"/>
          </w:tcPr>
          <w:p w14:paraId="0A9FE55C">
            <w:pPr>
              <w:pStyle w:val="23"/>
              <w:jc w:val="center"/>
              <w:rPr>
                <w:rFonts w:ascii="宋体" w:hAnsi="宋体"/>
                <w:b/>
                <w:kern w:val="0"/>
                <w:szCs w:val="21"/>
              </w:rPr>
            </w:pPr>
            <w:r>
              <w:rPr>
                <w:rFonts w:ascii="宋体" w:hAnsi="宋体"/>
                <w:b/>
                <w:kern w:val="0"/>
                <w:szCs w:val="21"/>
              </w:rPr>
              <w:t>村名</w:t>
            </w:r>
          </w:p>
        </w:tc>
        <w:tc>
          <w:tcPr>
            <w:tcW w:w="960" w:type="dxa"/>
            <w:vMerge w:val="restart"/>
            <w:shd w:val="clear" w:color="auto" w:fill="auto"/>
            <w:noWrap/>
            <w:vAlign w:val="center"/>
          </w:tcPr>
          <w:p w14:paraId="00738796">
            <w:pPr>
              <w:pStyle w:val="23"/>
              <w:jc w:val="center"/>
              <w:rPr>
                <w:rFonts w:ascii="宋体" w:hAnsi="宋体"/>
                <w:b/>
                <w:kern w:val="0"/>
                <w:szCs w:val="21"/>
              </w:rPr>
            </w:pPr>
            <w:r>
              <w:rPr>
                <w:rFonts w:ascii="宋体" w:hAnsi="宋体"/>
                <w:b/>
                <w:kern w:val="0"/>
                <w:szCs w:val="21"/>
              </w:rPr>
              <w:t>区域面积(平方公里)</w:t>
            </w:r>
          </w:p>
        </w:tc>
        <w:tc>
          <w:tcPr>
            <w:tcW w:w="960" w:type="dxa"/>
            <w:vMerge w:val="restart"/>
            <w:shd w:val="clear" w:color="auto" w:fill="auto"/>
            <w:noWrap/>
            <w:vAlign w:val="center"/>
          </w:tcPr>
          <w:p w14:paraId="53565AAE">
            <w:pPr>
              <w:pStyle w:val="23"/>
              <w:jc w:val="center"/>
              <w:rPr>
                <w:rFonts w:ascii="宋体" w:hAnsi="宋体"/>
                <w:b/>
                <w:kern w:val="0"/>
                <w:szCs w:val="21"/>
              </w:rPr>
            </w:pPr>
            <w:r>
              <w:rPr>
                <w:rFonts w:ascii="宋体" w:hAnsi="宋体"/>
                <w:b/>
                <w:kern w:val="0"/>
                <w:szCs w:val="21"/>
              </w:rPr>
              <w:t>村小组数(个)</w:t>
            </w:r>
          </w:p>
        </w:tc>
        <w:tc>
          <w:tcPr>
            <w:tcW w:w="960" w:type="dxa"/>
            <w:vMerge w:val="restart"/>
            <w:shd w:val="clear" w:color="auto" w:fill="auto"/>
            <w:noWrap/>
            <w:vAlign w:val="center"/>
          </w:tcPr>
          <w:p w14:paraId="2A9BAE19">
            <w:pPr>
              <w:pStyle w:val="23"/>
              <w:jc w:val="center"/>
              <w:rPr>
                <w:rFonts w:ascii="宋体" w:hAnsi="宋体"/>
                <w:b/>
                <w:kern w:val="0"/>
                <w:szCs w:val="21"/>
              </w:rPr>
            </w:pPr>
            <w:r>
              <w:rPr>
                <w:rFonts w:ascii="宋体" w:hAnsi="宋体"/>
                <w:b/>
                <w:kern w:val="0"/>
                <w:szCs w:val="21"/>
              </w:rPr>
              <w:t>户数</w:t>
            </w:r>
          </w:p>
        </w:tc>
        <w:tc>
          <w:tcPr>
            <w:tcW w:w="960" w:type="dxa"/>
            <w:vMerge w:val="restart"/>
            <w:shd w:val="clear" w:color="auto" w:fill="auto"/>
            <w:noWrap/>
            <w:vAlign w:val="center"/>
          </w:tcPr>
          <w:p w14:paraId="298B70F2">
            <w:pPr>
              <w:pStyle w:val="23"/>
              <w:jc w:val="center"/>
              <w:rPr>
                <w:rFonts w:ascii="宋体" w:hAnsi="宋体"/>
                <w:b/>
                <w:kern w:val="0"/>
                <w:szCs w:val="21"/>
              </w:rPr>
            </w:pPr>
            <w:r>
              <w:rPr>
                <w:rFonts w:ascii="宋体" w:hAnsi="宋体"/>
                <w:b/>
                <w:kern w:val="0"/>
                <w:szCs w:val="21"/>
              </w:rPr>
              <w:t>人口</w:t>
            </w:r>
          </w:p>
        </w:tc>
        <w:tc>
          <w:tcPr>
            <w:tcW w:w="960" w:type="dxa"/>
            <w:vMerge w:val="restart"/>
            <w:shd w:val="clear" w:color="auto" w:fill="auto"/>
            <w:noWrap/>
            <w:vAlign w:val="center"/>
          </w:tcPr>
          <w:p w14:paraId="2C7A6DAD">
            <w:pPr>
              <w:pStyle w:val="23"/>
              <w:jc w:val="center"/>
              <w:rPr>
                <w:rFonts w:ascii="宋体" w:hAnsi="宋体"/>
                <w:b/>
                <w:kern w:val="0"/>
                <w:szCs w:val="21"/>
              </w:rPr>
            </w:pPr>
            <w:r>
              <w:rPr>
                <w:rFonts w:ascii="宋体" w:hAnsi="宋体"/>
                <w:b/>
                <w:kern w:val="0"/>
                <w:szCs w:val="21"/>
              </w:rPr>
              <w:t>耕地面积(亩)</w:t>
            </w:r>
          </w:p>
        </w:tc>
        <w:tc>
          <w:tcPr>
            <w:tcW w:w="1920" w:type="dxa"/>
            <w:gridSpan w:val="2"/>
            <w:shd w:val="clear" w:color="auto" w:fill="auto"/>
            <w:noWrap/>
            <w:vAlign w:val="center"/>
          </w:tcPr>
          <w:p w14:paraId="69BEE47A">
            <w:pPr>
              <w:pStyle w:val="23"/>
              <w:jc w:val="center"/>
              <w:rPr>
                <w:rFonts w:ascii="宋体" w:hAnsi="宋体"/>
                <w:b/>
                <w:kern w:val="0"/>
                <w:szCs w:val="21"/>
              </w:rPr>
            </w:pPr>
            <w:r>
              <w:rPr>
                <w:rFonts w:ascii="宋体" w:hAnsi="宋体"/>
                <w:b/>
                <w:kern w:val="0"/>
                <w:szCs w:val="21"/>
              </w:rPr>
              <w:t>其中</w:t>
            </w:r>
          </w:p>
        </w:tc>
        <w:tc>
          <w:tcPr>
            <w:tcW w:w="960" w:type="dxa"/>
            <w:vMerge w:val="restart"/>
            <w:shd w:val="clear" w:color="auto" w:fill="auto"/>
            <w:noWrap/>
            <w:vAlign w:val="center"/>
          </w:tcPr>
          <w:p w14:paraId="55E5568D">
            <w:pPr>
              <w:pStyle w:val="23"/>
              <w:jc w:val="center"/>
              <w:rPr>
                <w:rFonts w:ascii="宋体" w:hAnsi="宋体"/>
                <w:b/>
                <w:kern w:val="0"/>
                <w:szCs w:val="21"/>
              </w:rPr>
            </w:pPr>
            <w:r>
              <w:rPr>
                <w:rFonts w:ascii="宋体" w:hAnsi="宋体"/>
                <w:b/>
                <w:kern w:val="0"/>
                <w:szCs w:val="21"/>
              </w:rPr>
              <w:t>经济总收入(万元)</w:t>
            </w:r>
          </w:p>
        </w:tc>
        <w:tc>
          <w:tcPr>
            <w:tcW w:w="960" w:type="dxa"/>
            <w:vMerge w:val="restart"/>
            <w:shd w:val="clear" w:color="auto" w:fill="auto"/>
            <w:noWrap/>
            <w:vAlign w:val="center"/>
          </w:tcPr>
          <w:p w14:paraId="0D2BD1DA">
            <w:pPr>
              <w:pStyle w:val="23"/>
              <w:jc w:val="center"/>
              <w:rPr>
                <w:rFonts w:ascii="宋体" w:hAnsi="宋体"/>
                <w:b/>
                <w:kern w:val="0"/>
                <w:szCs w:val="21"/>
              </w:rPr>
            </w:pPr>
            <w:r>
              <w:rPr>
                <w:rFonts w:ascii="宋体" w:hAnsi="宋体"/>
                <w:b/>
                <w:kern w:val="0"/>
                <w:szCs w:val="21"/>
              </w:rPr>
              <w:t>人均纯收入(元)</w:t>
            </w:r>
          </w:p>
        </w:tc>
      </w:tr>
      <w:tr w14:paraId="480E5D8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960" w:type="dxa"/>
            <w:vMerge w:val="continue"/>
            <w:vAlign w:val="center"/>
          </w:tcPr>
          <w:p w14:paraId="116FF949">
            <w:pPr>
              <w:pStyle w:val="23"/>
              <w:jc w:val="center"/>
              <w:rPr>
                <w:rFonts w:ascii="宋体" w:hAnsi="宋体"/>
                <w:kern w:val="0"/>
                <w:szCs w:val="21"/>
              </w:rPr>
            </w:pPr>
          </w:p>
        </w:tc>
        <w:tc>
          <w:tcPr>
            <w:tcW w:w="960" w:type="dxa"/>
            <w:vMerge w:val="continue"/>
            <w:vAlign w:val="center"/>
          </w:tcPr>
          <w:p w14:paraId="33852201">
            <w:pPr>
              <w:pStyle w:val="23"/>
              <w:jc w:val="center"/>
              <w:rPr>
                <w:rFonts w:ascii="宋体" w:hAnsi="宋体"/>
                <w:kern w:val="0"/>
                <w:szCs w:val="21"/>
              </w:rPr>
            </w:pPr>
          </w:p>
        </w:tc>
        <w:tc>
          <w:tcPr>
            <w:tcW w:w="960" w:type="dxa"/>
            <w:vMerge w:val="continue"/>
            <w:vAlign w:val="center"/>
          </w:tcPr>
          <w:p w14:paraId="11097A01">
            <w:pPr>
              <w:pStyle w:val="23"/>
              <w:jc w:val="center"/>
              <w:rPr>
                <w:rFonts w:ascii="宋体" w:hAnsi="宋体"/>
                <w:kern w:val="0"/>
                <w:szCs w:val="21"/>
              </w:rPr>
            </w:pPr>
          </w:p>
        </w:tc>
        <w:tc>
          <w:tcPr>
            <w:tcW w:w="960" w:type="dxa"/>
            <w:vMerge w:val="continue"/>
            <w:vAlign w:val="center"/>
          </w:tcPr>
          <w:p w14:paraId="314296B9">
            <w:pPr>
              <w:pStyle w:val="23"/>
              <w:jc w:val="center"/>
              <w:rPr>
                <w:rFonts w:ascii="宋体" w:hAnsi="宋体"/>
                <w:kern w:val="0"/>
                <w:szCs w:val="21"/>
              </w:rPr>
            </w:pPr>
          </w:p>
        </w:tc>
        <w:tc>
          <w:tcPr>
            <w:tcW w:w="960" w:type="dxa"/>
            <w:vMerge w:val="continue"/>
            <w:vAlign w:val="center"/>
          </w:tcPr>
          <w:p w14:paraId="2737F510">
            <w:pPr>
              <w:pStyle w:val="23"/>
              <w:jc w:val="center"/>
              <w:rPr>
                <w:rFonts w:ascii="宋体" w:hAnsi="宋体"/>
                <w:kern w:val="0"/>
                <w:szCs w:val="21"/>
              </w:rPr>
            </w:pPr>
          </w:p>
        </w:tc>
        <w:tc>
          <w:tcPr>
            <w:tcW w:w="960" w:type="dxa"/>
            <w:vMerge w:val="continue"/>
            <w:vAlign w:val="center"/>
          </w:tcPr>
          <w:p w14:paraId="3FD47607">
            <w:pPr>
              <w:pStyle w:val="23"/>
              <w:jc w:val="center"/>
              <w:rPr>
                <w:rFonts w:ascii="宋体" w:hAnsi="宋体"/>
                <w:kern w:val="0"/>
                <w:szCs w:val="21"/>
              </w:rPr>
            </w:pPr>
          </w:p>
        </w:tc>
        <w:tc>
          <w:tcPr>
            <w:tcW w:w="960" w:type="dxa"/>
            <w:shd w:val="clear" w:color="auto" w:fill="auto"/>
            <w:noWrap/>
            <w:vAlign w:val="center"/>
          </w:tcPr>
          <w:p w14:paraId="5865BC42">
            <w:pPr>
              <w:pStyle w:val="23"/>
              <w:jc w:val="center"/>
              <w:rPr>
                <w:rFonts w:ascii="宋体" w:hAnsi="宋体"/>
                <w:b/>
                <w:kern w:val="0"/>
                <w:szCs w:val="21"/>
              </w:rPr>
            </w:pPr>
            <w:r>
              <w:rPr>
                <w:rFonts w:ascii="宋体" w:hAnsi="宋体"/>
                <w:b/>
                <w:kern w:val="0"/>
                <w:szCs w:val="21"/>
              </w:rPr>
              <w:t>水田</w:t>
            </w:r>
          </w:p>
        </w:tc>
        <w:tc>
          <w:tcPr>
            <w:tcW w:w="960" w:type="dxa"/>
            <w:shd w:val="clear" w:color="auto" w:fill="auto"/>
            <w:noWrap/>
            <w:vAlign w:val="center"/>
          </w:tcPr>
          <w:p w14:paraId="02AD948E">
            <w:pPr>
              <w:pStyle w:val="23"/>
              <w:jc w:val="center"/>
              <w:rPr>
                <w:rFonts w:ascii="宋体" w:hAnsi="宋体"/>
                <w:b/>
                <w:kern w:val="0"/>
                <w:szCs w:val="21"/>
              </w:rPr>
            </w:pPr>
            <w:r>
              <w:rPr>
                <w:rFonts w:ascii="宋体" w:hAnsi="宋体"/>
                <w:b/>
                <w:kern w:val="0"/>
                <w:szCs w:val="21"/>
              </w:rPr>
              <w:t>旱地</w:t>
            </w:r>
          </w:p>
        </w:tc>
        <w:tc>
          <w:tcPr>
            <w:tcW w:w="960" w:type="dxa"/>
            <w:vMerge w:val="continue"/>
            <w:vAlign w:val="center"/>
          </w:tcPr>
          <w:p w14:paraId="271B69D1">
            <w:pPr>
              <w:pStyle w:val="23"/>
              <w:jc w:val="center"/>
              <w:rPr>
                <w:rFonts w:ascii="宋体" w:hAnsi="宋体"/>
                <w:kern w:val="0"/>
                <w:szCs w:val="21"/>
              </w:rPr>
            </w:pPr>
          </w:p>
        </w:tc>
        <w:tc>
          <w:tcPr>
            <w:tcW w:w="960" w:type="dxa"/>
            <w:vMerge w:val="continue"/>
            <w:vAlign w:val="center"/>
          </w:tcPr>
          <w:p w14:paraId="4F721CC2">
            <w:pPr>
              <w:pStyle w:val="23"/>
              <w:jc w:val="center"/>
              <w:rPr>
                <w:rFonts w:ascii="宋体" w:hAnsi="宋体"/>
                <w:kern w:val="0"/>
                <w:szCs w:val="21"/>
              </w:rPr>
            </w:pPr>
          </w:p>
        </w:tc>
      </w:tr>
      <w:tr w14:paraId="6092EDC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960" w:type="dxa"/>
            <w:shd w:val="clear" w:color="auto" w:fill="auto"/>
            <w:noWrap/>
            <w:vAlign w:val="center"/>
          </w:tcPr>
          <w:p w14:paraId="6B664CB7">
            <w:pPr>
              <w:pStyle w:val="23"/>
              <w:jc w:val="center"/>
              <w:rPr>
                <w:rFonts w:ascii="宋体" w:hAnsi="宋体"/>
                <w:kern w:val="0"/>
                <w:szCs w:val="21"/>
              </w:rPr>
            </w:pPr>
            <w:r>
              <w:rPr>
                <w:rFonts w:ascii="宋体" w:hAnsi="宋体"/>
                <w:kern w:val="0"/>
                <w:szCs w:val="21"/>
              </w:rPr>
              <w:t>居委会</w:t>
            </w:r>
          </w:p>
        </w:tc>
        <w:tc>
          <w:tcPr>
            <w:tcW w:w="960" w:type="dxa"/>
            <w:shd w:val="clear" w:color="auto" w:fill="auto"/>
            <w:noWrap/>
            <w:vAlign w:val="center"/>
          </w:tcPr>
          <w:p w14:paraId="460939B2">
            <w:pPr>
              <w:pStyle w:val="23"/>
              <w:jc w:val="center"/>
              <w:rPr>
                <w:rFonts w:ascii="宋体" w:hAnsi="宋体"/>
                <w:kern w:val="0"/>
                <w:szCs w:val="21"/>
              </w:rPr>
            </w:pPr>
            <w:r>
              <w:rPr>
                <w:rFonts w:ascii="宋体" w:hAnsi="宋体"/>
                <w:kern w:val="0"/>
                <w:szCs w:val="21"/>
              </w:rPr>
              <w:t>4046</w:t>
            </w:r>
          </w:p>
        </w:tc>
        <w:tc>
          <w:tcPr>
            <w:tcW w:w="960" w:type="dxa"/>
            <w:shd w:val="clear" w:color="auto" w:fill="auto"/>
            <w:noWrap/>
            <w:vAlign w:val="center"/>
          </w:tcPr>
          <w:p w14:paraId="34AECDC0">
            <w:pPr>
              <w:pStyle w:val="23"/>
              <w:jc w:val="center"/>
              <w:rPr>
                <w:rFonts w:ascii="宋体" w:hAnsi="宋体"/>
                <w:kern w:val="0"/>
                <w:szCs w:val="21"/>
              </w:rPr>
            </w:pPr>
          </w:p>
        </w:tc>
        <w:tc>
          <w:tcPr>
            <w:tcW w:w="960" w:type="dxa"/>
            <w:shd w:val="clear" w:color="auto" w:fill="auto"/>
            <w:noWrap/>
            <w:vAlign w:val="center"/>
          </w:tcPr>
          <w:p w14:paraId="5B29C304">
            <w:pPr>
              <w:pStyle w:val="23"/>
              <w:jc w:val="center"/>
              <w:rPr>
                <w:rFonts w:ascii="宋体" w:hAnsi="宋体"/>
                <w:kern w:val="0"/>
                <w:szCs w:val="21"/>
              </w:rPr>
            </w:pPr>
            <w:r>
              <w:rPr>
                <w:rFonts w:ascii="宋体" w:hAnsi="宋体"/>
                <w:kern w:val="0"/>
                <w:szCs w:val="21"/>
              </w:rPr>
              <w:t>1747</w:t>
            </w:r>
          </w:p>
        </w:tc>
        <w:tc>
          <w:tcPr>
            <w:tcW w:w="960" w:type="dxa"/>
            <w:shd w:val="clear" w:color="auto" w:fill="auto"/>
            <w:noWrap/>
            <w:vAlign w:val="center"/>
          </w:tcPr>
          <w:p w14:paraId="41A1E6DE">
            <w:pPr>
              <w:pStyle w:val="23"/>
              <w:jc w:val="center"/>
              <w:rPr>
                <w:rFonts w:ascii="宋体" w:hAnsi="宋体"/>
                <w:kern w:val="0"/>
                <w:szCs w:val="21"/>
              </w:rPr>
            </w:pPr>
            <w:r>
              <w:rPr>
                <w:rFonts w:ascii="宋体" w:hAnsi="宋体"/>
                <w:kern w:val="0"/>
                <w:szCs w:val="21"/>
              </w:rPr>
              <w:t>3479</w:t>
            </w:r>
          </w:p>
        </w:tc>
        <w:tc>
          <w:tcPr>
            <w:tcW w:w="960" w:type="dxa"/>
            <w:shd w:val="clear" w:color="auto" w:fill="auto"/>
            <w:noWrap/>
            <w:vAlign w:val="center"/>
          </w:tcPr>
          <w:p w14:paraId="284700CB">
            <w:pPr>
              <w:pStyle w:val="23"/>
              <w:jc w:val="center"/>
              <w:rPr>
                <w:rFonts w:ascii="宋体" w:hAnsi="宋体"/>
                <w:kern w:val="0"/>
                <w:szCs w:val="21"/>
              </w:rPr>
            </w:pPr>
          </w:p>
        </w:tc>
        <w:tc>
          <w:tcPr>
            <w:tcW w:w="960" w:type="dxa"/>
            <w:shd w:val="clear" w:color="auto" w:fill="auto"/>
            <w:noWrap/>
            <w:vAlign w:val="center"/>
          </w:tcPr>
          <w:p w14:paraId="2E56A911">
            <w:pPr>
              <w:pStyle w:val="23"/>
              <w:jc w:val="center"/>
              <w:rPr>
                <w:rFonts w:ascii="宋体" w:hAnsi="宋体"/>
                <w:kern w:val="0"/>
                <w:szCs w:val="21"/>
              </w:rPr>
            </w:pPr>
          </w:p>
        </w:tc>
        <w:tc>
          <w:tcPr>
            <w:tcW w:w="960" w:type="dxa"/>
            <w:shd w:val="clear" w:color="auto" w:fill="auto"/>
            <w:noWrap/>
            <w:vAlign w:val="center"/>
          </w:tcPr>
          <w:p w14:paraId="752136C8">
            <w:pPr>
              <w:pStyle w:val="23"/>
              <w:jc w:val="center"/>
              <w:rPr>
                <w:rFonts w:ascii="宋体" w:hAnsi="宋体"/>
                <w:kern w:val="0"/>
                <w:szCs w:val="21"/>
              </w:rPr>
            </w:pPr>
          </w:p>
        </w:tc>
        <w:tc>
          <w:tcPr>
            <w:tcW w:w="960" w:type="dxa"/>
            <w:shd w:val="clear" w:color="auto" w:fill="auto"/>
            <w:noWrap/>
            <w:vAlign w:val="center"/>
          </w:tcPr>
          <w:p w14:paraId="01C5B8BB">
            <w:pPr>
              <w:pStyle w:val="23"/>
              <w:jc w:val="center"/>
              <w:rPr>
                <w:rFonts w:ascii="宋体" w:hAnsi="宋体"/>
                <w:kern w:val="0"/>
                <w:szCs w:val="21"/>
              </w:rPr>
            </w:pPr>
            <w:r>
              <w:rPr>
                <w:rFonts w:ascii="宋体" w:hAnsi="宋体"/>
                <w:kern w:val="0"/>
                <w:szCs w:val="21"/>
              </w:rPr>
              <w:t>50830</w:t>
            </w:r>
          </w:p>
        </w:tc>
        <w:tc>
          <w:tcPr>
            <w:tcW w:w="960" w:type="dxa"/>
            <w:shd w:val="clear" w:color="auto" w:fill="auto"/>
            <w:noWrap/>
            <w:vAlign w:val="center"/>
          </w:tcPr>
          <w:p w14:paraId="12804D8D">
            <w:pPr>
              <w:pStyle w:val="23"/>
              <w:jc w:val="center"/>
              <w:rPr>
                <w:rFonts w:ascii="宋体" w:hAnsi="宋体"/>
                <w:kern w:val="0"/>
                <w:szCs w:val="21"/>
              </w:rPr>
            </w:pPr>
            <w:r>
              <w:rPr>
                <w:rFonts w:ascii="宋体" w:hAnsi="宋体"/>
                <w:kern w:val="0"/>
                <w:szCs w:val="21"/>
              </w:rPr>
              <w:t>6126</w:t>
            </w:r>
          </w:p>
        </w:tc>
      </w:tr>
      <w:tr w14:paraId="2C32FCD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960" w:type="dxa"/>
            <w:shd w:val="clear" w:color="auto" w:fill="auto"/>
            <w:noWrap/>
            <w:vAlign w:val="center"/>
          </w:tcPr>
          <w:p w14:paraId="43AEA067">
            <w:pPr>
              <w:pStyle w:val="23"/>
              <w:jc w:val="center"/>
              <w:rPr>
                <w:rFonts w:ascii="宋体" w:hAnsi="宋体"/>
                <w:kern w:val="0"/>
                <w:szCs w:val="21"/>
              </w:rPr>
            </w:pPr>
            <w:r>
              <w:rPr>
                <w:rFonts w:ascii="宋体" w:hAnsi="宋体"/>
                <w:kern w:val="0"/>
                <w:szCs w:val="21"/>
              </w:rPr>
              <w:t>乌迳</w:t>
            </w:r>
          </w:p>
        </w:tc>
        <w:tc>
          <w:tcPr>
            <w:tcW w:w="960" w:type="dxa"/>
            <w:shd w:val="clear" w:color="auto" w:fill="auto"/>
            <w:noWrap/>
            <w:vAlign w:val="center"/>
          </w:tcPr>
          <w:p w14:paraId="19D5E6B4">
            <w:pPr>
              <w:pStyle w:val="23"/>
              <w:jc w:val="center"/>
              <w:rPr>
                <w:rFonts w:ascii="宋体" w:hAnsi="宋体"/>
                <w:kern w:val="0"/>
                <w:szCs w:val="21"/>
              </w:rPr>
            </w:pPr>
            <w:r>
              <w:rPr>
                <w:rFonts w:ascii="宋体" w:hAnsi="宋体"/>
                <w:kern w:val="0"/>
                <w:szCs w:val="21"/>
              </w:rPr>
              <w:t>3.16</w:t>
            </w:r>
          </w:p>
        </w:tc>
        <w:tc>
          <w:tcPr>
            <w:tcW w:w="960" w:type="dxa"/>
            <w:shd w:val="clear" w:color="auto" w:fill="auto"/>
            <w:noWrap/>
            <w:vAlign w:val="center"/>
          </w:tcPr>
          <w:p w14:paraId="01FC8D22">
            <w:pPr>
              <w:pStyle w:val="23"/>
              <w:jc w:val="center"/>
              <w:rPr>
                <w:rFonts w:ascii="宋体" w:hAnsi="宋体"/>
                <w:kern w:val="0"/>
                <w:szCs w:val="21"/>
              </w:rPr>
            </w:pPr>
            <w:r>
              <w:rPr>
                <w:rFonts w:ascii="宋体" w:hAnsi="宋体"/>
                <w:kern w:val="0"/>
                <w:szCs w:val="21"/>
              </w:rPr>
              <w:t>5</w:t>
            </w:r>
          </w:p>
        </w:tc>
        <w:tc>
          <w:tcPr>
            <w:tcW w:w="960" w:type="dxa"/>
            <w:shd w:val="clear" w:color="auto" w:fill="auto"/>
            <w:noWrap/>
            <w:vAlign w:val="center"/>
          </w:tcPr>
          <w:p w14:paraId="22EA1560">
            <w:pPr>
              <w:pStyle w:val="23"/>
              <w:jc w:val="center"/>
              <w:rPr>
                <w:rFonts w:ascii="宋体" w:hAnsi="宋体"/>
                <w:kern w:val="0"/>
                <w:szCs w:val="21"/>
              </w:rPr>
            </w:pPr>
            <w:r>
              <w:rPr>
                <w:rFonts w:ascii="宋体" w:hAnsi="宋体"/>
                <w:kern w:val="0"/>
                <w:szCs w:val="21"/>
              </w:rPr>
              <w:t>458</w:t>
            </w:r>
          </w:p>
        </w:tc>
        <w:tc>
          <w:tcPr>
            <w:tcW w:w="960" w:type="dxa"/>
            <w:shd w:val="clear" w:color="auto" w:fill="auto"/>
            <w:noWrap/>
            <w:vAlign w:val="center"/>
          </w:tcPr>
          <w:p w14:paraId="745DC2A9">
            <w:pPr>
              <w:pStyle w:val="23"/>
              <w:jc w:val="center"/>
              <w:rPr>
                <w:rFonts w:ascii="宋体" w:hAnsi="宋体"/>
                <w:kern w:val="0"/>
                <w:szCs w:val="21"/>
              </w:rPr>
            </w:pPr>
            <w:r>
              <w:rPr>
                <w:rFonts w:ascii="宋体" w:hAnsi="宋体"/>
                <w:kern w:val="0"/>
                <w:szCs w:val="21"/>
              </w:rPr>
              <w:t>2245</w:t>
            </w:r>
          </w:p>
        </w:tc>
        <w:tc>
          <w:tcPr>
            <w:tcW w:w="960" w:type="dxa"/>
            <w:shd w:val="clear" w:color="auto" w:fill="auto"/>
            <w:noWrap/>
            <w:vAlign w:val="center"/>
          </w:tcPr>
          <w:p w14:paraId="500FEE2E">
            <w:pPr>
              <w:pStyle w:val="23"/>
              <w:jc w:val="center"/>
              <w:rPr>
                <w:rFonts w:ascii="宋体" w:hAnsi="宋体"/>
                <w:kern w:val="0"/>
                <w:szCs w:val="21"/>
              </w:rPr>
            </w:pPr>
            <w:r>
              <w:rPr>
                <w:rFonts w:ascii="宋体" w:hAnsi="宋体"/>
                <w:kern w:val="0"/>
                <w:szCs w:val="21"/>
              </w:rPr>
              <w:t>1825</w:t>
            </w:r>
          </w:p>
        </w:tc>
        <w:tc>
          <w:tcPr>
            <w:tcW w:w="960" w:type="dxa"/>
            <w:shd w:val="clear" w:color="auto" w:fill="auto"/>
            <w:noWrap/>
            <w:vAlign w:val="center"/>
          </w:tcPr>
          <w:p w14:paraId="75FF4FFC">
            <w:pPr>
              <w:pStyle w:val="23"/>
              <w:jc w:val="center"/>
              <w:rPr>
                <w:rFonts w:ascii="宋体" w:hAnsi="宋体"/>
                <w:kern w:val="0"/>
                <w:szCs w:val="21"/>
              </w:rPr>
            </w:pPr>
            <w:r>
              <w:rPr>
                <w:rFonts w:ascii="宋体" w:hAnsi="宋体"/>
                <w:kern w:val="0"/>
                <w:szCs w:val="21"/>
              </w:rPr>
              <w:t>1118</w:t>
            </w:r>
          </w:p>
        </w:tc>
        <w:tc>
          <w:tcPr>
            <w:tcW w:w="960" w:type="dxa"/>
            <w:shd w:val="clear" w:color="auto" w:fill="auto"/>
            <w:noWrap/>
            <w:vAlign w:val="center"/>
          </w:tcPr>
          <w:p w14:paraId="3A78D9F4">
            <w:pPr>
              <w:pStyle w:val="23"/>
              <w:jc w:val="center"/>
              <w:rPr>
                <w:rFonts w:ascii="宋体" w:hAnsi="宋体"/>
                <w:kern w:val="0"/>
                <w:szCs w:val="21"/>
              </w:rPr>
            </w:pPr>
            <w:r>
              <w:rPr>
                <w:rFonts w:ascii="宋体" w:hAnsi="宋体"/>
                <w:kern w:val="0"/>
                <w:szCs w:val="21"/>
              </w:rPr>
              <w:t>707</w:t>
            </w:r>
          </w:p>
        </w:tc>
        <w:tc>
          <w:tcPr>
            <w:tcW w:w="960" w:type="dxa"/>
            <w:shd w:val="clear" w:color="auto" w:fill="auto"/>
            <w:noWrap/>
            <w:vAlign w:val="center"/>
          </w:tcPr>
          <w:p w14:paraId="1D2BC61D">
            <w:pPr>
              <w:pStyle w:val="23"/>
              <w:jc w:val="center"/>
              <w:rPr>
                <w:rFonts w:ascii="宋体" w:hAnsi="宋体"/>
                <w:kern w:val="0"/>
                <w:szCs w:val="21"/>
              </w:rPr>
            </w:pPr>
            <w:r>
              <w:rPr>
                <w:rFonts w:ascii="宋体" w:hAnsi="宋体"/>
                <w:kern w:val="0"/>
                <w:szCs w:val="21"/>
              </w:rPr>
              <w:t>2826</w:t>
            </w:r>
          </w:p>
        </w:tc>
        <w:tc>
          <w:tcPr>
            <w:tcW w:w="960" w:type="dxa"/>
            <w:shd w:val="clear" w:color="auto" w:fill="auto"/>
            <w:noWrap/>
            <w:vAlign w:val="center"/>
          </w:tcPr>
          <w:p w14:paraId="31EA5C50">
            <w:pPr>
              <w:pStyle w:val="23"/>
              <w:jc w:val="center"/>
              <w:rPr>
                <w:rFonts w:ascii="宋体" w:hAnsi="宋体"/>
                <w:kern w:val="0"/>
                <w:szCs w:val="21"/>
              </w:rPr>
            </w:pPr>
            <w:r>
              <w:rPr>
                <w:rFonts w:ascii="宋体" w:hAnsi="宋体"/>
                <w:kern w:val="0"/>
                <w:szCs w:val="21"/>
              </w:rPr>
              <w:t>6308</w:t>
            </w:r>
          </w:p>
        </w:tc>
      </w:tr>
      <w:tr w14:paraId="532B13F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960" w:type="dxa"/>
            <w:shd w:val="clear" w:color="auto" w:fill="auto"/>
            <w:noWrap/>
            <w:vAlign w:val="center"/>
          </w:tcPr>
          <w:p w14:paraId="6CB90354">
            <w:pPr>
              <w:pStyle w:val="23"/>
              <w:jc w:val="center"/>
              <w:rPr>
                <w:rFonts w:ascii="宋体" w:hAnsi="宋体"/>
                <w:kern w:val="0"/>
                <w:szCs w:val="21"/>
              </w:rPr>
            </w:pPr>
            <w:r>
              <w:rPr>
                <w:rFonts w:ascii="宋体" w:hAnsi="宋体"/>
                <w:kern w:val="0"/>
                <w:szCs w:val="21"/>
              </w:rPr>
              <w:t>山下</w:t>
            </w:r>
          </w:p>
        </w:tc>
        <w:tc>
          <w:tcPr>
            <w:tcW w:w="960" w:type="dxa"/>
            <w:shd w:val="clear" w:color="auto" w:fill="auto"/>
            <w:noWrap/>
            <w:vAlign w:val="center"/>
          </w:tcPr>
          <w:p w14:paraId="726E5B5A">
            <w:pPr>
              <w:pStyle w:val="23"/>
              <w:jc w:val="center"/>
              <w:rPr>
                <w:rFonts w:ascii="宋体" w:hAnsi="宋体"/>
                <w:kern w:val="0"/>
                <w:szCs w:val="21"/>
              </w:rPr>
            </w:pPr>
            <w:r>
              <w:rPr>
                <w:rFonts w:ascii="宋体" w:hAnsi="宋体"/>
                <w:kern w:val="0"/>
                <w:szCs w:val="21"/>
              </w:rPr>
              <w:t>3.8</w:t>
            </w:r>
          </w:p>
        </w:tc>
        <w:tc>
          <w:tcPr>
            <w:tcW w:w="960" w:type="dxa"/>
            <w:shd w:val="clear" w:color="auto" w:fill="auto"/>
            <w:noWrap/>
            <w:vAlign w:val="center"/>
          </w:tcPr>
          <w:p w14:paraId="0CCFDE16">
            <w:pPr>
              <w:pStyle w:val="23"/>
              <w:jc w:val="center"/>
              <w:rPr>
                <w:rFonts w:ascii="宋体" w:hAnsi="宋体"/>
                <w:kern w:val="0"/>
                <w:szCs w:val="21"/>
              </w:rPr>
            </w:pPr>
            <w:r>
              <w:rPr>
                <w:rFonts w:ascii="宋体" w:hAnsi="宋体"/>
                <w:kern w:val="0"/>
                <w:szCs w:val="21"/>
              </w:rPr>
              <w:t>4</w:t>
            </w:r>
          </w:p>
        </w:tc>
        <w:tc>
          <w:tcPr>
            <w:tcW w:w="960" w:type="dxa"/>
            <w:shd w:val="clear" w:color="auto" w:fill="auto"/>
            <w:noWrap/>
            <w:vAlign w:val="center"/>
          </w:tcPr>
          <w:p w14:paraId="05564F7C">
            <w:pPr>
              <w:pStyle w:val="23"/>
              <w:jc w:val="center"/>
              <w:rPr>
                <w:rFonts w:ascii="宋体" w:hAnsi="宋体"/>
                <w:kern w:val="0"/>
                <w:szCs w:val="21"/>
              </w:rPr>
            </w:pPr>
            <w:r>
              <w:rPr>
                <w:rFonts w:ascii="宋体" w:hAnsi="宋体"/>
                <w:kern w:val="0"/>
                <w:szCs w:val="21"/>
              </w:rPr>
              <w:t>516</w:t>
            </w:r>
          </w:p>
        </w:tc>
        <w:tc>
          <w:tcPr>
            <w:tcW w:w="960" w:type="dxa"/>
            <w:shd w:val="clear" w:color="auto" w:fill="auto"/>
            <w:noWrap/>
            <w:vAlign w:val="center"/>
          </w:tcPr>
          <w:p w14:paraId="4C26DC28">
            <w:pPr>
              <w:pStyle w:val="23"/>
              <w:jc w:val="center"/>
              <w:rPr>
                <w:rFonts w:ascii="宋体" w:hAnsi="宋体"/>
                <w:kern w:val="0"/>
                <w:szCs w:val="21"/>
              </w:rPr>
            </w:pPr>
            <w:r>
              <w:rPr>
                <w:rFonts w:ascii="宋体" w:hAnsi="宋体"/>
                <w:kern w:val="0"/>
                <w:szCs w:val="21"/>
              </w:rPr>
              <w:t>2091</w:t>
            </w:r>
          </w:p>
        </w:tc>
        <w:tc>
          <w:tcPr>
            <w:tcW w:w="960" w:type="dxa"/>
            <w:shd w:val="clear" w:color="auto" w:fill="auto"/>
            <w:noWrap/>
            <w:vAlign w:val="center"/>
          </w:tcPr>
          <w:p w14:paraId="0B743F8A">
            <w:pPr>
              <w:pStyle w:val="23"/>
              <w:jc w:val="center"/>
              <w:rPr>
                <w:rFonts w:ascii="宋体" w:hAnsi="宋体"/>
                <w:kern w:val="0"/>
                <w:szCs w:val="21"/>
              </w:rPr>
            </w:pPr>
            <w:r>
              <w:rPr>
                <w:rFonts w:ascii="宋体" w:hAnsi="宋体"/>
                <w:kern w:val="0"/>
                <w:szCs w:val="21"/>
              </w:rPr>
              <w:t>2263</w:t>
            </w:r>
          </w:p>
        </w:tc>
        <w:tc>
          <w:tcPr>
            <w:tcW w:w="960" w:type="dxa"/>
            <w:shd w:val="clear" w:color="auto" w:fill="auto"/>
            <w:noWrap/>
            <w:vAlign w:val="center"/>
          </w:tcPr>
          <w:p w14:paraId="39FC681E">
            <w:pPr>
              <w:pStyle w:val="23"/>
              <w:jc w:val="center"/>
              <w:rPr>
                <w:rFonts w:ascii="宋体" w:hAnsi="宋体"/>
                <w:kern w:val="0"/>
                <w:szCs w:val="21"/>
              </w:rPr>
            </w:pPr>
            <w:r>
              <w:rPr>
                <w:rFonts w:ascii="宋体" w:hAnsi="宋体"/>
                <w:kern w:val="0"/>
                <w:szCs w:val="21"/>
              </w:rPr>
              <w:t>1266</w:t>
            </w:r>
          </w:p>
        </w:tc>
        <w:tc>
          <w:tcPr>
            <w:tcW w:w="960" w:type="dxa"/>
            <w:shd w:val="clear" w:color="auto" w:fill="auto"/>
            <w:noWrap/>
            <w:vAlign w:val="center"/>
          </w:tcPr>
          <w:p w14:paraId="117B1333">
            <w:pPr>
              <w:pStyle w:val="23"/>
              <w:jc w:val="center"/>
              <w:rPr>
                <w:rFonts w:ascii="宋体" w:hAnsi="宋体"/>
                <w:kern w:val="0"/>
                <w:szCs w:val="21"/>
              </w:rPr>
            </w:pPr>
            <w:r>
              <w:rPr>
                <w:rFonts w:ascii="宋体" w:hAnsi="宋体"/>
                <w:kern w:val="0"/>
                <w:szCs w:val="21"/>
              </w:rPr>
              <w:t>997</w:t>
            </w:r>
          </w:p>
        </w:tc>
        <w:tc>
          <w:tcPr>
            <w:tcW w:w="960" w:type="dxa"/>
            <w:shd w:val="clear" w:color="auto" w:fill="auto"/>
            <w:noWrap/>
            <w:vAlign w:val="center"/>
          </w:tcPr>
          <w:p w14:paraId="74013868">
            <w:pPr>
              <w:pStyle w:val="23"/>
              <w:jc w:val="center"/>
              <w:rPr>
                <w:rFonts w:ascii="宋体" w:hAnsi="宋体"/>
                <w:kern w:val="0"/>
                <w:szCs w:val="21"/>
              </w:rPr>
            </w:pPr>
            <w:r>
              <w:rPr>
                <w:rFonts w:ascii="宋体" w:hAnsi="宋体"/>
                <w:kern w:val="0"/>
                <w:szCs w:val="21"/>
              </w:rPr>
              <w:t>2654</w:t>
            </w:r>
          </w:p>
        </w:tc>
        <w:tc>
          <w:tcPr>
            <w:tcW w:w="960" w:type="dxa"/>
            <w:shd w:val="clear" w:color="auto" w:fill="auto"/>
            <w:noWrap/>
            <w:vAlign w:val="center"/>
          </w:tcPr>
          <w:p w14:paraId="06189724">
            <w:pPr>
              <w:pStyle w:val="23"/>
              <w:jc w:val="center"/>
              <w:rPr>
                <w:rFonts w:ascii="宋体" w:hAnsi="宋体"/>
                <w:kern w:val="0"/>
                <w:szCs w:val="21"/>
              </w:rPr>
            </w:pPr>
            <w:r>
              <w:rPr>
                <w:rFonts w:ascii="宋体" w:hAnsi="宋体"/>
                <w:kern w:val="0"/>
                <w:szCs w:val="21"/>
              </w:rPr>
              <w:t>6360.1</w:t>
            </w:r>
          </w:p>
        </w:tc>
      </w:tr>
      <w:tr w14:paraId="3AB985B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960" w:type="dxa"/>
            <w:shd w:val="clear" w:color="auto" w:fill="auto"/>
            <w:noWrap/>
            <w:vAlign w:val="center"/>
          </w:tcPr>
          <w:p w14:paraId="4B353C47">
            <w:pPr>
              <w:pStyle w:val="23"/>
              <w:jc w:val="center"/>
              <w:rPr>
                <w:rFonts w:ascii="宋体" w:hAnsi="宋体"/>
                <w:kern w:val="0"/>
                <w:szCs w:val="21"/>
              </w:rPr>
            </w:pPr>
            <w:r>
              <w:rPr>
                <w:rFonts w:ascii="宋体" w:hAnsi="宋体"/>
                <w:kern w:val="0"/>
                <w:szCs w:val="21"/>
              </w:rPr>
              <w:t>鱼塘</w:t>
            </w:r>
          </w:p>
        </w:tc>
        <w:tc>
          <w:tcPr>
            <w:tcW w:w="960" w:type="dxa"/>
            <w:shd w:val="clear" w:color="auto" w:fill="auto"/>
            <w:noWrap/>
            <w:vAlign w:val="center"/>
          </w:tcPr>
          <w:p w14:paraId="7C5F8F29">
            <w:pPr>
              <w:pStyle w:val="23"/>
              <w:jc w:val="center"/>
              <w:rPr>
                <w:rFonts w:ascii="宋体" w:hAnsi="宋体"/>
                <w:kern w:val="0"/>
                <w:szCs w:val="21"/>
              </w:rPr>
            </w:pPr>
            <w:r>
              <w:rPr>
                <w:rFonts w:ascii="宋体" w:hAnsi="宋体"/>
                <w:kern w:val="0"/>
                <w:szCs w:val="21"/>
              </w:rPr>
              <w:t>9</w:t>
            </w:r>
          </w:p>
        </w:tc>
        <w:tc>
          <w:tcPr>
            <w:tcW w:w="960" w:type="dxa"/>
            <w:shd w:val="clear" w:color="auto" w:fill="auto"/>
            <w:noWrap/>
            <w:vAlign w:val="center"/>
          </w:tcPr>
          <w:p w14:paraId="2255A817">
            <w:pPr>
              <w:pStyle w:val="23"/>
              <w:jc w:val="center"/>
              <w:rPr>
                <w:rFonts w:ascii="宋体" w:hAnsi="宋体"/>
                <w:kern w:val="0"/>
                <w:szCs w:val="21"/>
              </w:rPr>
            </w:pPr>
            <w:r>
              <w:rPr>
                <w:rFonts w:ascii="宋体" w:hAnsi="宋体"/>
                <w:kern w:val="0"/>
                <w:szCs w:val="21"/>
              </w:rPr>
              <w:t>16</w:t>
            </w:r>
          </w:p>
        </w:tc>
        <w:tc>
          <w:tcPr>
            <w:tcW w:w="960" w:type="dxa"/>
            <w:shd w:val="clear" w:color="auto" w:fill="auto"/>
            <w:noWrap/>
            <w:vAlign w:val="center"/>
          </w:tcPr>
          <w:p w14:paraId="7D7F4F36">
            <w:pPr>
              <w:pStyle w:val="23"/>
              <w:jc w:val="center"/>
              <w:rPr>
                <w:rFonts w:ascii="宋体" w:hAnsi="宋体"/>
                <w:kern w:val="0"/>
                <w:szCs w:val="21"/>
              </w:rPr>
            </w:pPr>
            <w:r>
              <w:rPr>
                <w:rFonts w:ascii="宋体" w:hAnsi="宋体"/>
                <w:kern w:val="0"/>
                <w:szCs w:val="21"/>
              </w:rPr>
              <w:t>543</w:t>
            </w:r>
          </w:p>
        </w:tc>
        <w:tc>
          <w:tcPr>
            <w:tcW w:w="960" w:type="dxa"/>
            <w:shd w:val="clear" w:color="auto" w:fill="auto"/>
            <w:noWrap/>
            <w:vAlign w:val="center"/>
          </w:tcPr>
          <w:p w14:paraId="3EE3318B">
            <w:pPr>
              <w:pStyle w:val="23"/>
              <w:jc w:val="center"/>
              <w:rPr>
                <w:rFonts w:ascii="宋体" w:hAnsi="宋体"/>
                <w:kern w:val="0"/>
                <w:szCs w:val="21"/>
              </w:rPr>
            </w:pPr>
            <w:r>
              <w:rPr>
                <w:rFonts w:ascii="宋体" w:hAnsi="宋体"/>
                <w:kern w:val="0"/>
                <w:szCs w:val="21"/>
              </w:rPr>
              <w:t>2270</w:t>
            </w:r>
          </w:p>
        </w:tc>
        <w:tc>
          <w:tcPr>
            <w:tcW w:w="960" w:type="dxa"/>
            <w:shd w:val="clear" w:color="auto" w:fill="auto"/>
            <w:noWrap/>
            <w:vAlign w:val="center"/>
          </w:tcPr>
          <w:p w14:paraId="0B5F362D">
            <w:pPr>
              <w:pStyle w:val="23"/>
              <w:jc w:val="center"/>
              <w:rPr>
                <w:rFonts w:ascii="宋体" w:hAnsi="宋体"/>
                <w:kern w:val="0"/>
                <w:szCs w:val="21"/>
              </w:rPr>
            </w:pPr>
            <w:r>
              <w:rPr>
                <w:rFonts w:ascii="宋体" w:hAnsi="宋体"/>
                <w:kern w:val="0"/>
                <w:szCs w:val="21"/>
              </w:rPr>
              <w:t>2697</w:t>
            </w:r>
          </w:p>
        </w:tc>
        <w:tc>
          <w:tcPr>
            <w:tcW w:w="960" w:type="dxa"/>
            <w:shd w:val="clear" w:color="auto" w:fill="auto"/>
            <w:noWrap/>
            <w:vAlign w:val="center"/>
          </w:tcPr>
          <w:p w14:paraId="167F8F48">
            <w:pPr>
              <w:pStyle w:val="23"/>
              <w:jc w:val="center"/>
              <w:rPr>
                <w:rFonts w:ascii="宋体" w:hAnsi="宋体"/>
                <w:kern w:val="0"/>
                <w:szCs w:val="21"/>
              </w:rPr>
            </w:pPr>
            <w:r>
              <w:rPr>
                <w:rFonts w:ascii="宋体" w:hAnsi="宋体"/>
                <w:kern w:val="0"/>
                <w:szCs w:val="21"/>
              </w:rPr>
              <w:t>2244</w:t>
            </w:r>
          </w:p>
        </w:tc>
        <w:tc>
          <w:tcPr>
            <w:tcW w:w="960" w:type="dxa"/>
            <w:shd w:val="clear" w:color="auto" w:fill="auto"/>
            <w:noWrap/>
            <w:vAlign w:val="center"/>
          </w:tcPr>
          <w:p w14:paraId="3FB2666A">
            <w:pPr>
              <w:pStyle w:val="23"/>
              <w:jc w:val="center"/>
              <w:rPr>
                <w:rFonts w:ascii="宋体" w:hAnsi="宋体"/>
                <w:kern w:val="0"/>
                <w:szCs w:val="21"/>
              </w:rPr>
            </w:pPr>
            <w:r>
              <w:rPr>
                <w:rFonts w:ascii="宋体" w:hAnsi="宋体"/>
                <w:kern w:val="0"/>
                <w:szCs w:val="21"/>
              </w:rPr>
              <w:t>453</w:t>
            </w:r>
          </w:p>
        </w:tc>
        <w:tc>
          <w:tcPr>
            <w:tcW w:w="960" w:type="dxa"/>
            <w:shd w:val="clear" w:color="auto" w:fill="auto"/>
            <w:noWrap/>
            <w:vAlign w:val="center"/>
          </w:tcPr>
          <w:p w14:paraId="33883793">
            <w:pPr>
              <w:pStyle w:val="23"/>
              <w:jc w:val="center"/>
              <w:rPr>
                <w:rFonts w:ascii="宋体" w:hAnsi="宋体"/>
                <w:kern w:val="0"/>
                <w:szCs w:val="21"/>
              </w:rPr>
            </w:pPr>
            <w:r>
              <w:rPr>
                <w:rFonts w:ascii="宋体" w:hAnsi="宋体"/>
                <w:kern w:val="0"/>
                <w:szCs w:val="21"/>
              </w:rPr>
              <w:t>2876</w:t>
            </w:r>
          </w:p>
        </w:tc>
        <w:tc>
          <w:tcPr>
            <w:tcW w:w="960" w:type="dxa"/>
            <w:shd w:val="clear" w:color="auto" w:fill="auto"/>
            <w:noWrap/>
            <w:vAlign w:val="center"/>
          </w:tcPr>
          <w:p w14:paraId="7A5ABF0D">
            <w:pPr>
              <w:pStyle w:val="23"/>
              <w:jc w:val="center"/>
              <w:rPr>
                <w:rFonts w:ascii="宋体" w:hAnsi="宋体"/>
                <w:kern w:val="0"/>
                <w:szCs w:val="21"/>
              </w:rPr>
            </w:pPr>
            <w:r>
              <w:rPr>
                <w:rFonts w:ascii="宋体" w:hAnsi="宋体"/>
                <w:kern w:val="0"/>
                <w:szCs w:val="21"/>
              </w:rPr>
              <w:t>6127.2</w:t>
            </w:r>
          </w:p>
        </w:tc>
      </w:tr>
      <w:tr w14:paraId="640DCAD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960" w:type="dxa"/>
            <w:shd w:val="clear" w:color="auto" w:fill="auto"/>
            <w:noWrap/>
            <w:vAlign w:val="center"/>
          </w:tcPr>
          <w:p w14:paraId="2D61E333">
            <w:pPr>
              <w:pStyle w:val="23"/>
              <w:jc w:val="center"/>
              <w:rPr>
                <w:rFonts w:ascii="宋体" w:hAnsi="宋体"/>
                <w:kern w:val="0"/>
                <w:szCs w:val="21"/>
              </w:rPr>
            </w:pPr>
            <w:r>
              <w:rPr>
                <w:rFonts w:ascii="宋体" w:hAnsi="宋体"/>
                <w:kern w:val="0"/>
                <w:szCs w:val="21"/>
              </w:rPr>
              <w:t>新田</w:t>
            </w:r>
          </w:p>
        </w:tc>
        <w:tc>
          <w:tcPr>
            <w:tcW w:w="960" w:type="dxa"/>
            <w:shd w:val="clear" w:color="auto" w:fill="auto"/>
            <w:noWrap/>
            <w:vAlign w:val="center"/>
          </w:tcPr>
          <w:p w14:paraId="17CFC922">
            <w:pPr>
              <w:pStyle w:val="23"/>
              <w:jc w:val="center"/>
              <w:rPr>
                <w:rFonts w:ascii="宋体" w:hAnsi="宋体"/>
                <w:kern w:val="0"/>
                <w:szCs w:val="21"/>
              </w:rPr>
            </w:pPr>
            <w:r>
              <w:rPr>
                <w:rFonts w:ascii="宋体" w:hAnsi="宋体"/>
                <w:kern w:val="0"/>
                <w:szCs w:val="21"/>
              </w:rPr>
              <w:t>6.68</w:t>
            </w:r>
          </w:p>
        </w:tc>
        <w:tc>
          <w:tcPr>
            <w:tcW w:w="960" w:type="dxa"/>
            <w:shd w:val="clear" w:color="auto" w:fill="auto"/>
            <w:noWrap/>
            <w:vAlign w:val="center"/>
          </w:tcPr>
          <w:p w14:paraId="4838866A">
            <w:pPr>
              <w:pStyle w:val="23"/>
              <w:jc w:val="center"/>
              <w:rPr>
                <w:rFonts w:ascii="宋体" w:hAnsi="宋体"/>
                <w:kern w:val="0"/>
                <w:szCs w:val="21"/>
              </w:rPr>
            </w:pPr>
            <w:r>
              <w:rPr>
                <w:rFonts w:ascii="宋体" w:hAnsi="宋体"/>
                <w:kern w:val="0"/>
                <w:szCs w:val="21"/>
              </w:rPr>
              <w:t>10</w:t>
            </w:r>
          </w:p>
        </w:tc>
        <w:tc>
          <w:tcPr>
            <w:tcW w:w="960" w:type="dxa"/>
            <w:shd w:val="clear" w:color="auto" w:fill="auto"/>
            <w:noWrap/>
            <w:vAlign w:val="center"/>
          </w:tcPr>
          <w:p w14:paraId="63C0B71C">
            <w:pPr>
              <w:pStyle w:val="23"/>
              <w:jc w:val="center"/>
              <w:rPr>
                <w:rFonts w:ascii="宋体" w:hAnsi="宋体"/>
                <w:kern w:val="0"/>
                <w:szCs w:val="21"/>
              </w:rPr>
            </w:pPr>
            <w:r>
              <w:rPr>
                <w:rFonts w:ascii="宋体" w:hAnsi="宋体"/>
                <w:kern w:val="0"/>
                <w:szCs w:val="21"/>
              </w:rPr>
              <w:t>563</w:t>
            </w:r>
          </w:p>
        </w:tc>
        <w:tc>
          <w:tcPr>
            <w:tcW w:w="960" w:type="dxa"/>
            <w:shd w:val="clear" w:color="auto" w:fill="auto"/>
            <w:noWrap/>
            <w:vAlign w:val="center"/>
          </w:tcPr>
          <w:p w14:paraId="3EFBF630">
            <w:pPr>
              <w:pStyle w:val="23"/>
              <w:jc w:val="center"/>
              <w:rPr>
                <w:rFonts w:ascii="宋体" w:hAnsi="宋体"/>
                <w:kern w:val="0"/>
                <w:szCs w:val="21"/>
              </w:rPr>
            </w:pPr>
            <w:r>
              <w:rPr>
                <w:rFonts w:ascii="宋体" w:hAnsi="宋体"/>
                <w:kern w:val="0"/>
                <w:szCs w:val="21"/>
              </w:rPr>
              <w:t>2344</w:t>
            </w:r>
          </w:p>
        </w:tc>
        <w:tc>
          <w:tcPr>
            <w:tcW w:w="960" w:type="dxa"/>
            <w:shd w:val="clear" w:color="auto" w:fill="auto"/>
            <w:noWrap/>
            <w:vAlign w:val="center"/>
          </w:tcPr>
          <w:p w14:paraId="13103492">
            <w:pPr>
              <w:pStyle w:val="23"/>
              <w:jc w:val="center"/>
              <w:rPr>
                <w:rFonts w:ascii="宋体" w:hAnsi="宋体"/>
                <w:kern w:val="0"/>
                <w:szCs w:val="21"/>
              </w:rPr>
            </w:pPr>
            <w:r>
              <w:rPr>
                <w:rFonts w:ascii="宋体" w:hAnsi="宋体"/>
                <w:kern w:val="0"/>
                <w:szCs w:val="21"/>
              </w:rPr>
              <w:t>2970</w:t>
            </w:r>
          </w:p>
        </w:tc>
        <w:tc>
          <w:tcPr>
            <w:tcW w:w="960" w:type="dxa"/>
            <w:shd w:val="clear" w:color="auto" w:fill="auto"/>
            <w:noWrap/>
            <w:vAlign w:val="center"/>
          </w:tcPr>
          <w:p w14:paraId="35AD2BF3">
            <w:pPr>
              <w:pStyle w:val="23"/>
              <w:jc w:val="center"/>
              <w:rPr>
                <w:rFonts w:ascii="宋体" w:hAnsi="宋体"/>
                <w:kern w:val="0"/>
                <w:szCs w:val="21"/>
              </w:rPr>
            </w:pPr>
            <w:r>
              <w:rPr>
                <w:rFonts w:ascii="宋体" w:hAnsi="宋体"/>
                <w:kern w:val="0"/>
                <w:szCs w:val="21"/>
              </w:rPr>
              <w:t>1601</w:t>
            </w:r>
          </w:p>
        </w:tc>
        <w:tc>
          <w:tcPr>
            <w:tcW w:w="960" w:type="dxa"/>
            <w:shd w:val="clear" w:color="auto" w:fill="auto"/>
            <w:noWrap/>
            <w:vAlign w:val="center"/>
          </w:tcPr>
          <w:p w14:paraId="46911A99">
            <w:pPr>
              <w:pStyle w:val="23"/>
              <w:jc w:val="center"/>
              <w:rPr>
                <w:rFonts w:ascii="宋体" w:hAnsi="宋体"/>
                <w:kern w:val="0"/>
                <w:szCs w:val="21"/>
              </w:rPr>
            </w:pPr>
            <w:r>
              <w:rPr>
                <w:rFonts w:ascii="宋体" w:hAnsi="宋体"/>
                <w:kern w:val="0"/>
                <w:szCs w:val="21"/>
              </w:rPr>
              <w:t>1369</w:t>
            </w:r>
          </w:p>
        </w:tc>
        <w:tc>
          <w:tcPr>
            <w:tcW w:w="960" w:type="dxa"/>
            <w:shd w:val="clear" w:color="auto" w:fill="auto"/>
            <w:noWrap/>
            <w:vAlign w:val="center"/>
          </w:tcPr>
          <w:p w14:paraId="193F49DA">
            <w:pPr>
              <w:pStyle w:val="23"/>
              <w:jc w:val="center"/>
              <w:rPr>
                <w:rFonts w:ascii="宋体" w:hAnsi="宋体"/>
                <w:kern w:val="0"/>
                <w:szCs w:val="21"/>
              </w:rPr>
            </w:pPr>
            <w:r>
              <w:rPr>
                <w:rFonts w:ascii="宋体" w:hAnsi="宋体"/>
                <w:kern w:val="0"/>
                <w:szCs w:val="21"/>
              </w:rPr>
              <w:t>2974</w:t>
            </w:r>
          </w:p>
        </w:tc>
        <w:tc>
          <w:tcPr>
            <w:tcW w:w="960" w:type="dxa"/>
            <w:shd w:val="clear" w:color="auto" w:fill="auto"/>
            <w:noWrap/>
            <w:vAlign w:val="center"/>
          </w:tcPr>
          <w:p w14:paraId="5A9477DA">
            <w:pPr>
              <w:pStyle w:val="23"/>
              <w:jc w:val="center"/>
              <w:rPr>
                <w:rFonts w:ascii="宋体" w:hAnsi="宋体"/>
                <w:kern w:val="0"/>
                <w:szCs w:val="21"/>
              </w:rPr>
            </w:pPr>
            <w:r>
              <w:rPr>
                <w:rFonts w:ascii="宋体" w:hAnsi="宋体"/>
                <w:kern w:val="0"/>
                <w:szCs w:val="21"/>
              </w:rPr>
              <w:t>6128.3</w:t>
            </w:r>
          </w:p>
        </w:tc>
      </w:tr>
      <w:tr w14:paraId="2BF7D09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960" w:type="dxa"/>
            <w:shd w:val="clear" w:color="auto" w:fill="auto"/>
            <w:noWrap/>
            <w:vAlign w:val="center"/>
          </w:tcPr>
          <w:p w14:paraId="51D1BCF4">
            <w:pPr>
              <w:pStyle w:val="23"/>
              <w:jc w:val="center"/>
              <w:rPr>
                <w:rFonts w:ascii="宋体" w:hAnsi="宋体"/>
                <w:kern w:val="0"/>
                <w:szCs w:val="21"/>
              </w:rPr>
            </w:pPr>
            <w:r>
              <w:rPr>
                <w:rFonts w:ascii="宋体" w:hAnsi="宋体"/>
                <w:kern w:val="0"/>
                <w:szCs w:val="21"/>
              </w:rPr>
              <w:t>高溯</w:t>
            </w:r>
          </w:p>
        </w:tc>
        <w:tc>
          <w:tcPr>
            <w:tcW w:w="960" w:type="dxa"/>
            <w:shd w:val="clear" w:color="auto" w:fill="auto"/>
            <w:noWrap/>
            <w:vAlign w:val="center"/>
          </w:tcPr>
          <w:p w14:paraId="665A1013">
            <w:pPr>
              <w:pStyle w:val="23"/>
              <w:jc w:val="center"/>
              <w:rPr>
                <w:rFonts w:ascii="宋体" w:hAnsi="宋体"/>
                <w:kern w:val="0"/>
                <w:szCs w:val="21"/>
              </w:rPr>
            </w:pPr>
            <w:r>
              <w:rPr>
                <w:rFonts w:ascii="宋体" w:hAnsi="宋体"/>
                <w:kern w:val="0"/>
                <w:szCs w:val="21"/>
              </w:rPr>
              <w:t>4.41</w:t>
            </w:r>
          </w:p>
        </w:tc>
        <w:tc>
          <w:tcPr>
            <w:tcW w:w="960" w:type="dxa"/>
            <w:shd w:val="clear" w:color="auto" w:fill="auto"/>
            <w:noWrap/>
            <w:vAlign w:val="center"/>
          </w:tcPr>
          <w:p w14:paraId="06E0CBFB">
            <w:pPr>
              <w:pStyle w:val="23"/>
              <w:jc w:val="center"/>
              <w:rPr>
                <w:rFonts w:ascii="宋体" w:hAnsi="宋体"/>
                <w:kern w:val="0"/>
                <w:szCs w:val="21"/>
              </w:rPr>
            </w:pPr>
            <w:r>
              <w:rPr>
                <w:rFonts w:ascii="宋体" w:hAnsi="宋体"/>
                <w:kern w:val="0"/>
                <w:szCs w:val="21"/>
              </w:rPr>
              <w:t>7</w:t>
            </w:r>
          </w:p>
        </w:tc>
        <w:tc>
          <w:tcPr>
            <w:tcW w:w="960" w:type="dxa"/>
            <w:shd w:val="clear" w:color="auto" w:fill="auto"/>
            <w:noWrap/>
            <w:vAlign w:val="center"/>
          </w:tcPr>
          <w:p w14:paraId="736A0A1C">
            <w:pPr>
              <w:pStyle w:val="23"/>
              <w:jc w:val="center"/>
              <w:rPr>
                <w:rFonts w:ascii="宋体" w:hAnsi="宋体"/>
                <w:kern w:val="0"/>
                <w:szCs w:val="21"/>
              </w:rPr>
            </w:pPr>
            <w:r>
              <w:rPr>
                <w:rFonts w:ascii="宋体" w:hAnsi="宋体"/>
                <w:kern w:val="0"/>
                <w:szCs w:val="21"/>
              </w:rPr>
              <w:t>620</w:t>
            </w:r>
          </w:p>
        </w:tc>
        <w:tc>
          <w:tcPr>
            <w:tcW w:w="960" w:type="dxa"/>
            <w:shd w:val="clear" w:color="auto" w:fill="auto"/>
            <w:noWrap/>
            <w:vAlign w:val="center"/>
          </w:tcPr>
          <w:p w14:paraId="67386D87">
            <w:pPr>
              <w:pStyle w:val="23"/>
              <w:jc w:val="center"/>
              <w:rPr>
                <w:rFonts w:ascii="宋体" w:hAnsi="宋体"/>
                <w:kern w:val="0"/>
                <w:szCs w:val="21"/>
              </w:rPr>
            </w:pPr>
            <w:r>
              <w:rPr>
                <w:rFonts w:ascii="宋体" w:hAnsi="宋体"/>
                <w:kern w:val="0"/>
                <w:szCs w:val="21"/>
              </w:rPr>
              <w:t>2667</w:t>
            </w:r>
          </w:p>
        </w:tc>
        <w:tc>
          <w:tcPr>
            <w:tcW w:w="960" w:type="dxa"/>
            <w:shd w:val="clear" w:color="auto" w:fill="auto"/>
            <w:noWrap/>
            <w:vAlign w:val="center"/>
          </w:tcPr>
          <w:p w14:paraId="5DFBACB3">
            <w:pPr>
              <w:pStyle w:val="23"/>
              <w:jc w:val="center"/>
              <w:rPr>
                <w:rFonts w:ascii="宋体" w:hAnsi="宋体"/>
                <w:kern w:val="0"/>
                <w:szCs w:val="21"/>
              </w:rPr>
            </w:pPr>
            <w:r>
              <w:rPr>
                <w:rFonts w:ascii="宋体" w:hAnsi="宋体"/>
                <w:kern w:val="0"/>
                <w:szCs w:val="21"/>
              </w:rPr>
              <w:t>2650</w:t>
            </w:r>
          </w:p>
        </w:tc>
        <w:tc>
          <w:tcPr>
            <w:tcW w:w="960" w:type="dxa"/>
            <w:shd w:val="clear" w:color="auto" w:fill="auto"/>
            <w:noWrap/>
            <w:vAlign w:val="center"/>
          </w:tcPr>
          <w:p w14:paraId="49F08EB2">
            <w:pPr>
              <w:pStyle w:val="23"/>
              <w:jc w:val="center"/>
              <w:rPr>
                <w:rFonts w:ascii="宋体" w:hAnsi="宋体"/>
                <w:kern w:val="0"/>
                <w:szCs w:val="21"/>
              </w:rPr>
            </w:pPr>
            <w:r>
              <w:rPr>
                <w:rFonts w:ascii="宋体" w:hAnsi="宋体"/>
                <w:kern w:val="0"/>
                <w:szCs w:val="21"/>
              </w:rPr>
              <w:t>1696</w:t>
            </w:r>
          </w:p>
        </w:tc>
        <w:tc>
          <w:tcPr>
            <w:tcW w:w="960" w:type="dxa"/>
            <w:shd w:val="clear" w:color="auto" w:fill="auto"/>
            <w:noWrap/>
            <w:vAlign w:val="center"/>
          </w:tcPr>
          <w:p w14:paraId="5A8BCA66">
            <w:pPr>
              <w:pStyle w:val="23"/>
              <w:jc w:val="center"/>
              <w:rPr>
                <w:rFonts w:ascii="宋体" w:hAnsi="宋体"/>
                <w:kern w:val="0"/>
                <w:szCs w:val="21"/>
              </w:rPr>
            </w:pPr>
            <w:r>
              <w:rPr>
                <w:rFonts w:ascii="宋体" w:hAnsi="宋体"/>
                <w:kern w:val="0"/>
                <w:szCs w:val="21"/>
              </w:rPr>
              <w:t>954</w:t>
            </w:r>
          </w:p>
        </w:tc>
        <w:tc>
          <w:tcPr>
            <w:tcW w:w="960" w:type="dxa"/>
            <w:shd w:val="clear" w:color="auto" w:fill="auto"/>
            <w:noWrap/>
            <w:vAlign w:val="center"/>
          </w:tcPr>
          <w:p w14:paraId="56B6674C">
            <w:pPr>
              <w:pStyle w:val="23"/>
              <w:jc w:val="center"/>
              <w:rPr>
                <w:rFonts w:ascii="宋体" w:hAnsi="宋体"/>
                <w:kern w:val="0"/>
                <w:szCs w:val="21"/>
              </w:rPr>
            </w:pPr>
            <w:r>
              <w:rPr>
                <w:rFonts w:ascii="宋体" w:hAnsi="宋体"/>
                <w:kern w:val="0"/>
                <w:szCs w:val="21"/>
              </w:rPr>
              <w:t>3350</w:t>
            </w:r>
          </w:p>
        </w:tc>
        <w:tc>
          <w:tcPr>
            <w:tcW w:w="960" w:type="dxa"/>
            <w:shd w:val="clear" w:color="auto" w:fill="auto"/>
            <w:noWrap/>
            <w:vAlign w:val="center"/>
          </w:tcPr>
          <w:p w14:paraId="715F5AAE">
            <w:pPr>
              <w:pStyle w:val="23"/>
              <w:jc w:val="center"/>
              <w:rPr>
                <w:rFonts w:ascii="宋体" w:hAnsi="宋体"/>
                <w:kern w:val="0"/>
                <w:szCs w:val="21"/>
              </w:rPr>
            </w:pPr>
            <w:r>
              <w:rPr>
                <w:rFonts w:ascii="宋体" w:hAnsi="宋体"/>
                <w:kern w:val="0"/>
                <w:szCs w:val="21"/>
              </w:rPr>
              <w:t>6406.6</w:t>
            </w:r>
          </w:p>
        </w:tc>
      </w:tr>
      <w:tr w14:paraId="6E9AD29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960" w:type="dxa"/>
            <w:shd w:val="clear" w:color="auto" w:fill="auto"/>
            <w:noWrap/>
            <w:vAlign w:val="center"/>
          </w:tcPr>
          <w:p w14:paraId="3CCBB95B">
            <w:pPr>
              <w:pStyle w:val="23"/>
              <w:jc w:val="center"/>
              <w:rPr>
                <w:rFonts w:ascii="宋体" w:hAnsi="宋体"/>
                <w:kern w:val="0"/>
                <w:szCs w:val="21"/>
              </w:rPr>
            </w:pPr>
            <w:r>
              <w:rPr>
                <w:rFonts w:ascii="宋体" w:hAnsi="宋体"/>
                <w:kern w:val="0"/>
                <w:szCs w:val="21"/>
              </w:rPr>
              <w:t>长龙</w:t>
            </w:r>
          </w:p>
        </w:tc>
        <w:tc>
          <w:tcPr>
            <w:tcW w:w="960" w:type="dxa"/>
            <w:shd w:val="clear" w:color="auto" w:fill="auto"/>
            <w:noWrap/>
            <w:vAlign w:val="center"/>
          </w:tcPr>
          <w:p w14:paraId="26B3FA87">
            <w:pPr>
              <w:pStyle w:val="23"/>
              <w:jc w:val="center"/>
              <w:rPr>
                <w:rFonts w:ascii="宋体" w:hAnsi="宋体"/>
                <w:kern w:val="0"/>
                <w:szCs w:val="21"/>
              </w:rPr>
            </w:pPr>
            <w:r>
              <w:rPr>
                <w:rFonts w:ascii="宋体" w:hAnsi="宋体"/>
                <w:kern w:val="0"/>
                <w:szCs w:val="21"/>
              </w:rPr>
              <w:t>5.82</w:t>
            </w:r>
          </w:p>
        </w:tc>
        <w:tc>
          <w:tcPr>
            <w:tcW w:w="960" w:type="dxa"/>
            <w:shd w:val="clear" w:color="auto" w:fill="auto"/>
            <w:noWrap/>
            <w:vAlign w:val="center"/>
          </w:tcPr>
          <w:p w14:paraId="37A7183B">
            <w:pPr>
              <w:pStyle w:val="23"/>
              <w:jc w:val="center"/>
              <w:rPr>
                <w:rFonts w:ascii="宋体" w:hAnsi="宋体"/>
                <w:kern w:val="0"/>
                <w:szCs w:val="21"/>
              </w:rPr>
            </w:pPr>
            <w:r>
              <w:rPr>
                <w:rFonts w:ascii="宋体" w:hAnsi="宋体"/>
                <w:kern w:val="0"/>
                <w:szCs w:val="21"/>
              </w:rPr>
              <w:t>10</w:t>
            </w:r>
          </w:p>
        </w:tc>
        <w:tc>
          <w:tcPr>
            <w:tcW w:w="960" w:type="dxa"/>
            <w:shd w:val="clear" w:color="auto" w:fill="auto"/>
            <w:noWrap/>
            <w:vAlign w:val="center"/>
          </w:tcPr>
          <w:p w14:paraId="788E42BD">
            <w:pPr>
              <w:pStyle w:val="23"/>
              <w:jc w:val="center"/>
              <w:rPr>
                <w:rFonts w:ascii="宋体" w:hAnsi="宋体"/>
                <w:kern w:val="0"/>
                <w:szCs w:val="21"/>
              </w:rPr>
            </w:pPr>
            <w:r>
              <w:rPr>
                <w:rFonts w:ascii="宋体" w:hAnsi="宋体"/>
                <w:kern w:val="0"/>
                <w:szCs w:val="21"/>
              </w:rPr>
              <w:t>570</w:t>
            </w:r>
          </w:p>
        </w:tc>
        <w:tc>
          <w:tcPr>
            <w:tcW w:w="960" w:type="dxa"/>
            <w:shd w:val="clear" w:color="auto" w:fill="auto"/>
            <w:noWrap/>
            <w:vAlign w:val="center"/>
          </w:tcPr>
          <w:p w14:paraId="28A13C77">
            <w:pPr>
              <w:pStyle w:val="23"/>
              <w:jc w:val="center"/>
              <w:rPr>
                <w:rFonts w:ascii="宋体" w:hAnsi="宋体"/>
                <w:kern w:val="0"/>
                <w:szCs w:val="21"/>
              </w:rPr>
            </w:pPr>
            <w:r>
              <w:rPr>
                <w:rFonts w:ascii="宋体" w:hAnsi="宋体"/>
                <w:kern w:val="0"/>
                <w:szCs w:val="21"/>
              </w:rPr>
              <w:t>2219</w:t>
            </w:r>
          </w:p>
        </w:tc>
        <w:tc>
          <w:tcPr>
            <w:tcW w:w="960" w:type="dxa"/>
            <w:shd w:val="clear" w:color="auto" w:fill="auto"/>
            <w:noWrap/>
            <w:vAlign w:val="center"/>
          </w:tcPr>
          <w:p w14:paraId="19D5B7A5">
            <w:pPr>
              <w:pStyle w:val="23"/>
              <w:jc w:val="center"/>
              <w:rPr>
                <w:rFonts w:ascii="宋体" w:hAnsi="宋体"/>
                <w:kern w:val="0"/>
                <w:szCs w:val="21"/>
              </w:rPr>
            </w:pPr>
            <w:r>
              <w:rPr>
                <w:rFonts w:ascii="宋体" w:hAnsi="宋体"/>
                <w:kern w:val="0"/>
                <w:szCs w:val="21"/>
              </w:rPr>
              <w:t>3130</w:t>
            </w:r>
          </w:p>
        </w:tc>
        <w:tc>
          <w:tcPr>
            <w:tcW w:w="960" w:type="dxa"/>
            <w:shd w:val="clear" w:color="auto" w:fill="auto"/>
            <w:noWrap/>
            <w:vAlign w:val="center"/>
          </w:tcPr>
          <w:p w14:paraId="16D163F2">
            <w:pPr>
              <w:pStyle w:val="23"/>
              <w:jc w:val="center"/>
              <w:rPr>
                <w:rFonts w:ascii="宋体" w:hAnsi="宋体"/>
                <w:kern w:val="0"/>
                <w:szCs w:val="21"/>
              </w:rPr>
            </w:pPr>
            <w:r>
              <w:rPr>
                <w:rFonts w:ascii="宋体" w:hAnsi="宋体"/>
                <w:kern w:val="0"/>
                <w:szCs w:val="21"/>
              </w:rPr>
              <w:t>1887</w:t>
            </w:r>
          </w:p>
        </w:tc>
        <w:tc>
          <w:tcPr>
            <w:tcW w:w="960" w:type="dxa"/>
            <w:shd w:val="clear" w:color="auto" w:fill="auto"/>
            <w:noWrap/>
            <w:vAlign w:val="center"/>
          </w:tcPr>
          <w:p w14:paraId="1781BBDA">
            <w:pPr>
              <w:pStyle w:val="23"/>
              <w:jc w:val="center"/>
              <w:rPr>
                <w:rFonts w:ascii="宋体" w:hAnsi="宋体"/>
                <w:kern w:val="0"/>
                <w:szCs w:val="21"/>
              </w:rPr>
            </w:pPr>
            <w:r>
              <w:rPr>
                <w:rFonts w:ascii="宋体" w:hAnsi="宋体"/>
                <w:kern w:val="0"/>
                <w:szCs w:val="21"/>
              </w:rPr>
              <w:t>1243</w:t>
            </w:r>
          </w:p>
        </w:tc>
        <w:tc>
          <w:tcPr>
            <w:tcW w:w="960" w:type="dxa"/>
            <w:shd w:val="clear" w:color="auto" w:fill="auto"/>
            <w:noWrap/>
            <w:vAlign w:val="center"/>
          </w:tcPr>
          <w:p w14:paraId="6DDFEE8F">
            <w:pPr>
              <w:pStyle w:val="23"/>
              <w:jc w:val="center"/>
              <w:rPr>
                <w:rFonts w:ascii="宋体" w:hAnsi="宋体"/>
                <w:kern w:val="0"/>
                <w:szCs w:val="21"/>
              </w:rPr>
            </w:pPr>
            <w:r>
              <w:rPr>
                <w:rFonts w:ascii="宋体" w:hAnsi="宋体"/>
                <w:kern w:val="0"/>
                <w:szCs w:val="21"/>
              </w:rPr>
              <w:t>2824</w:t>
            </w:r>
          </w:p>
        </w:tc>
        <w:tc>
          <w:tcPr>
            <w:tcW w:w="960" w:type="dxa"/>
            <w:shd w:val="clear" w:color="auto" w:fill="auto"/>
            <w:noWrap/>
            <w:vAlign w:val="center"/>
          </w:tcPr>
          <w:p w14:paraId="4D8DDC43">
            <w:pPr>
              <w:pStyle w:val="23"/>
              <w:jc w:val="center"/>
              <w:rPr>
                <w:rFonts w:ascii="宋体" w:hAnsi="宋体"/>
                <w:kern w:val="0"/>
                <w:szCs w:val="21"/>
              </w:rPr>
            </w:pPr>
            <w:r>
              <w:rPr>
                <w:rFonts w:ascii="宋体" w:hAnsi="宋体"/>
                <w:kern w:val="0"/>
                <w:szCs w:val="21"/>
              </w:rPr>
              <w:t>6129.6</w:t>
            </w:r>
          </w:p>
        </w:tc>
      </w:tr>
      <w:tr w14:paraId="4F506FC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960" w:type="dxa"/>
            <w:shd w:val="clear" w:color="auto" w:fill="auto"/>
            <w:noWrap/>
            <w:vAlign w:val="center"/>
          </w:tcPr>
          <w:p w14:paraId="4FD83878">
            <w:pPr>
              <w:pStyle w:val="23"/>
              <w:jc w:val="center"/>
              <w:rPr>
                <w:rFonts w:ascii="宋体" w:hAnsi="宋体"/>
                <w:kern w:val="0"/>
                <w:szCs w:val="21"/>
              </w:rPr>
            </w:pPr>
            <w:r>
              <w:rPr>
                <w:rFonts w:ascii="宋体" w:hAnsi="宋体"/>
                <w:kern w:val="0"/>
                <w:szCs w:val="21"/>
              </w:rPr>
              <w:t>白龙</w:t>
            </w:r>
          </w:p>
        </w:tc>
        <w:tc>
          <w:tcPr>
            <w:tcW w:w="960" w:type="dxa"/>
            <w:shd w:val="clear" w:color="auto" w:fill="auto"/>
            <w:noWrap/>
            <w:vAlign w:val="center"/>
          </w:tcPr>
          <w:p w14:paraId="73921D08">
            <w:pPr>
              <w:pStyle w:val="23"/>
              <w:jc w:val="center"/>
              <w:rPr>
                <w:rFonts w:ascii="宋体" w:hAnsi="宋体"/>
                <w:kern w:val="0"/>
                <w:szCs w:val="21"/>
              </w:rPr>
            </w:pPr>
            <w:r>
              <w:rPr>
                <w:rFonts w:ascii="宋体" w:hAnsi="宋体"/>
                <w:kern w:val="0"/>
                <w:szCs w:val="21"/>
              </w:rPr>
              <w:t>6.11</w:t>
            </w:r>
          </w:p>
        </w:tc>
        <w:tc>
          <w:tcPr>
            <w:tcW w:w="960" w:type="dxa"/>
            <w:shd w:val="clear" w:color="auto" w:fill="auto"/>
            <w:noWrap/>
            <w:vAlign w:val="center"/>
          </w:tcPr>
          <w:p w14:paraId="5EDA2B31">
            <w:pPr>
              <w:pStyle w:val="23"/>
              <w:jc w:val="center"/>
              <w:rPr>
                <w:rFonts w:ascii="宋体" w:hAnsi="宋体"/>
                <w:kern w:val="0"/>
                <w:szCs w:val="21"/>
              </w:rPr>
            </w:pPr>
            <w:r>
              <w:rPr>
                <w:rFonts w:ascii="宋体" w:hAnsi="宋体"/>
                <w:kern w:val="0"/>
                <w:szCs w:val="21"/>
              </w:rPr>
              <w:t>9</w:t>
            </w:r>
          </w:p>
        </w:tc>
        <w:tc>
          <w:tcPr>
            <w:tcW w:w="960" w:type="dxa"/>
            <w:shd w:val="clear" w:color="auto" w:fill="auto"/>
            <w:noWrap/>
            <w:vAlign w:val="center"/>
          </w:tcPr>
          <w:p w14:paraId="402BE7DE">
            <w:pPr>
              <w:pStyle w:val="23"/>
              <w:jc w:val="center"/>
              <w:rPr>
                <w:rFonts w:ascii="宋体" w:hAnsi="宋体"/>
                <w:kern w:val="0"/>
                <w:szCs w:val="21"/>
              </w:rPr>
            </w:pPr>
            <w:r>
              <w:rPr>
                <w:rFonts w:ascii="宋体" w:hAnsi="宋体"/>
                <w:kern w:val="0"/>
                <w:szCs w:val="21"/>
              </w:rPr>
              <w:t>292</w:t>
            </w:r>
          </w:p>
        </w:tc>
        <w:tc>
          <w:tcPr>
            <w:tcW w:w="960" w:type="dxa"/>
            <w:shd w:val="clear" w:color="auto" w:fill="auto"/>
            <w:noWrap/>
            <w:vAlign w:val="center"/>
          </w:tcPr>
          <w:p w14:paraId="2BC90DF8">
            <w:pPr>
              <w:pStyle w:val="23"/>
              <w:jc w:val="center"/>
              <w:rPr>
                <w:rFonts w:ascii="宋体" w:hAnsi="宋体"/>
                <w:kern w:val="0"/>
                <w:szCs w:val="21"/>
              </w:rPr>
            </w:pPr>
            <w:r>
              <w:rPr>
                <w:rFonts w:ascii="宋体" w:hAnsi="宋体"/>
                <w:kern w:val="0"/>
                <w:szCs w:val="21"/>
              </w:rPr>
              <w:t>1149</w:t>
            </w:r>
          </w:p>
        </w:tc>
        <w:tc>
          <w:tcPr>
            <w:tcW w:w="960" w:type="dxa"/>
            <w:shd w:val="clear" w:color="auto" w:fill="auto"/>
            <w:noWrap/>
            <w:vAlign w:val="center"/>
          </w:tcPr>
          <w:p w14:paraId="6AF1B718">
            <w:pPr>
              <w:pStyle w:val="23"/>
              <w:jc w:val="center"/>
              <w:rPr>
                <w:rFonts w:ascii="宋体" w:hAnsi="宋体"/>
                <w:kern w:val="0"/>
                <w:szCs w:val="21"/>
              </w:rPr>
            </w:pPr>
            <w:r>
              <w:rPr>
                <w:rFonts w:ascii="宋体" w:hAnsi="宋体"/>
                <w:kern w:val="0"/>
                <w:szCs w:val="21"/>
              </w:rPr>
              <w:t>1933</w:t>
            </w:r>
          </w:p>
        </w:tc>
        <w:tc>
          <w:tcPr>
            <w:tcW w:w="960" w:type="dxa"/>
            <w:shd w:val="clear" w:color="auto" w:fill="auto"/>
            <w:noWrap/>
            <w:vAlign w:val="center"/>
          </w:tcPr>
          <w:p w14:paraId="5510128F">
            <w:pPr>
              <w:pStyle w:val="23"/>
              <w:jc w:val="center"/>
              <w:rPr>
                <w:rFonts w:ascii="宋体" w:hAnsi="宋体"/>
                <w:kern w:val="0"/>
                <w:szCs w:val="21"/>
              </w:rPr>
            </w:pPr>
            <w:r>
              <w:rPr>
                <w:rFonts w:ascii="宋体" w:hAnsi="宋体"/>
                <w:kern w:val="0"/>
                <w:szCs w:val="21"/>
              </w:rPr>
              <w:t>1096</w:t>
            </w:r>
          </w:p>
        </w:tc>
        <w:tc>
          <w:tcPr>
            <w:tcW w:w="960" w:type="dxa"/>
            <w:shd w:val="clear" w:color="auto" w:fill="auto"/>
            <w:noWrap/>
            <w:vAlign w:val="center"/>
          </w:tcPr>
          <w:p w14:paraId="62A6CF01">
            <w:pPr>
              <w:pStyle w:val="23"/>
              <w:jc w:val="center"/>
              <w:rPr>
                <w:rFonts w:ascii="宋体" w:hAnsi="宋体"/>
                <w:kern w:val="0"/>
                <w:szCs w:val="21"/>
              </w:rPr>
            </w:pPr>
            <w:r>
              <w:rPr>
                <w:rFonts w:ascii="宋体" w:hAnsi="宋体"/>
                <w:kern w:val="0"/>
                <w:szCs w:val="21"/>
              </w:rPr>
              <w:t>837</w:t>
            </w:r>
          </w:p>
        </w:tc>
        <w:tc>
          <w:tcPr>
            <w:tcW w:w="960" w:type="dxa"/>
            <w:shd w:val="clear" w:color="auto" w:fill="auto"/>
            <w:noWrap/>
            <w:vAlign w:val="center"/>
          </w:tcPr>
          <w:p w14:paraId="06B7C1C4">
            <w:pPr>
              <w:pStyle w:val="23"/>
              <w:jc w:val="center"/>
              <w:rPr>
                <w:rFonts w:ascii="宋体" w:hAnsi="宋体"/>
                <w:kern w:val="0"/>
                <w:szCs w:val="21"/>
              </w:rPr>
            </w:pPr>
            <w:r>
              <w:rPr>
                <w:rFonts w:ascii="宋体" w:hAnsi="宋体"/>
                <w:kern w:val="0"/>
                <w:szCs w:val="21"/>
              </w:rPr>
              <w:t>1469</w:t>
            </w:r>
          </w:p>
        </w:tc>
        <w:tc>
          <w:tcPr>
            <w:tcW w:w="960" w:type="dxa"/>
            <w:shd w:val="clear" w:color="auto" w:fill="auto"/>
            <w:noWrap/>
            <w:vAlign w:val="center"/>
          </w:tcPr>
          <w:p w14:paraId="5CC8A714">
            <w:pPr>
              <w:pStyle w:val="23"/>
              <w:jc w:val="center"/>
              <w:rPr>
                <w:rFonts w:ascii="宋体" w:hAnsi="宋体"/>
                <w:kern w:val="0"/>
                <w:szCs w:val="21"/>
              </w:rPr>
            </w:pPr>
            <w:r>
              <w:rPr>
                <w:rFonts w:ascii="宋体" w:hAnsi="宋体"/>
                <w:kern w:val="0"/>
                <w:szCs w:val="21"/>
              </w:rPr>
              <w:t>6130.3</w:t>
            </w:r>
          </w:p>
        </w:tc>
      </w:tr>
      <w:tr w14:paraId="7F06BCD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960" w:type="dxa"/>
            <w:shd w:val="clear" w:color="auto" w:fill="auto"/>
            <w:noWrap/>
            <w:vAlign w:val="center"/>
          </w:tcPr>
          <w:p w14:paraId="4D22BA66">
            <w:pPr>
              <w:pStyle w:val="23"/>
              <w:jc w:val="center"/>
              <w:rPr>
                <w:rFonts w:ascii="宋体" w:hAnsi="宋体"/>
                <w:kern w:val="0"/>
                <w:szCs w:val="21"/>
              </w:rPr>
            </w:pPr>
            <w:r>
              <w:rPr>
                <w:rFonts w:ascii="宋体" w:hAnsi="宋体"/>
                <w:kern w:val="0"/>
                <w:szCs w:val="21"/>
              </w:rPr>
              <w:t>坪塘</w:t>
            </w:r>
          </w:p>
        </w:tc>
        <w:tc>
          <w:tcPr>
            <w:tcW w:w="960" w:type="dxa"/>
            <w:shd w:val="clear" w:color="auto" w:fill="auto"/>
            <w:noWrap/>
            <w:vAlign w:val="center"/>
          </w:tcPr>
          <w:p w14:paraId="0B12D253">
            <w:pPr>
              <w:pStyle w:val="23"/>
              <w:jc w:val="center"/>
              <w:rPr>
                <w:rFonts w:ascii="宋体" w:hAnsi="宋体"/>
                <w:kern w:val="0"/>
                <w:szCs w:val="21"/>
              </w:rPr>
            </w:pPr>
            <w:r>
              <w:rPr>
                <w:rFonts w:ascii="宋体" w:hAnsi="宋体"/>
                <w:kern w:val="0"/>
                <w:szCs w:val="21"/>
              </w:rPr>
              <w:t>5.07</w:t>
            </w:r>
          </w:p>
        </w:tc>
        <w:tc>
          <w:tcPr>
            <w:tcW w:w="960" w:type="dxa"/>
            <w:shd w:val="clear" w:color="auto" w:fill="auto"/>
            <w:noWrap/>
            <w:vAlign w:val="center"/>
          </w:tcPr>
          <w:p w14:paraId="26FC849A">
            <w:pPr>
              <w:pStyle w:val="23"/>
              <w:jc w:val="center"/>
              <w:rPr>
                <w:rFonts w:ascii="宋体" w:hAnsi="宋体"/>
                <w:kern w:val="0"/>
                <w:szCs w:val="21"/>
              </w:rPr>
            </w:pPr>
            <w:r>
              <w:rPr>
                <w:rFonts w:ascii="宋体" w:hAnsi="宋体"/>
                <w:kern w:val="0"/>
                <w:szCs w:val="21"/>
              </w:rPr>
              <w:t>15</w:t>
            </w:r>
          </w:p>
        </w:tc>
        <w:tc>
          <w:tcPr>
            <w:tcW w:w="960" w:type="dxa"/>
            <w:shd w:val="clear" w:color="auto" w:fill="auto"/>
            <w:noWrap/>
            <w:vAlign w:val="center"/>
          </w:tcPr>
          <w:p w14:paraId="55ACB7FE">
            <w:pPr>
              <w:pStyle w:val="23"/>
              <w:jc w:val="center"/>
              <w:rPr>
                <w:rFonts w:ascii="宋体" w:hAnsi="宋体"/>
                <w:kern w:val="0"/>
                <w:szCs w:val="21"/>
              </w:rPr>
            </w:pPr>
            <w:r>
              <w:rPr>
                <w:rFonts w:ascii="宋体" w:hAnsi="宋体"/>
                <w:kern w:val="0"/>
                <w:szCs w:val="21"/>
              </w:rPr>
              <w:t>565</w:t>
            </w:r>
          </w:p>
        </w:tc>
        <w:tc>
          <w:tcPr>
            <w:tcW w:w="960" w:type="dxa"/>
            <w:shd w:val="clear" w:color="auto" w:fill="auto"/>
            <w:noWrap/>
            <w:vAlign w:val="center"/>
          </w:tcPr>
          <w:p w14:paraId="5BB52152">
            <w:pPr>
              <w:pStyle w:val="23"/>
              <w:jc w:val="center"/>
              <w:rPr>
                <w:rFonts w:ascii="宋体" w:hAnsi="宋体"/>
                <w:kern w:val="0"/>
                <w:szCs w:val="21"/>
              </w:rPr>
            </w:pPr>
            <w:r>
              <w:rPr>
                <w:rFonts w:ascii="宋体" w:hAnsi="宋体"/>
                <w:kern w:val="0"/>
                <w:szCs w:val="21"/>
              </w:rPr>
              <w:t>2394</w:t>
            </w:r>
          </w:p>
        </w:tc>
        <w:tc>
          <w:tcPr>
            <w:tcW w:w="960" w:type="dxa"/>
            <w:shd w:val="clear" w:color="auto" w:fill="auto"/>
            <w:noWrap/>
            <w:vAlign w:val="center"/>
          </w:tcPr>
          <w:p w14:paraId="291064C1">
            <w:pPr>
              <w:pStyle w:val="23"/>
              <w:jc w:val="center"/>
              <w:rPr>
                <w:rFonts w:ascii="宋体" w:hAnsi="宋体"/>
                <w:kern w:val="0"/>
                <w:szCs w:val="21"/>
              </w:rPr>
            </w:pPr>
            <w:r>
              <w:rPr>
                <w:rFonts w:ascii="宋体" w:hAnsi="宋体"/>
                <w:kern w:val="0"/>
                <w:szCs w:val="21"/>
              </w:rPr>
              <w:t>2866</w:t>
            </w:r>
          </w:p>
        </w:tc>
        <w:tc>
          <w:tcPr>
            <w:tcW w:w="960" w:type="dxa"/>
            <w:shd w:val="clear" w:color="auto" w:fill="auto"/>
            <w:noWrap/>
            <w:vAlign w:val="center"/>
          </w:tcPr>
          <w:p w14:paraId="76F98978">
            <w:pPr>
              <w:pStyle w:val="23"/>
              <w:jc w:val="center"/>
              <w:rPr>
                <w:rFonts w:ascii="宋体" w:hAnsi="宋体"/>
                <w:kern w:val="0"/>
                <w:szCs w:val="21"/>
              </w:rPr>
            </w:pPr>
            <w:r>
              <w:rPr>
                <w:rFonts w:ascii="宋体" w:hAnsi="宋体"/>
                <w:kern w:val="0"/>
                <w:szCs w:val="21"/>
              </w:rPr>
              <w:t>1560</w:t>
            </w:r>
          </w:p>
        </w:tc>
        <w:tc>
          <w:tcPr>
            <w:tcW w:w="960" w:type="dxa"/>
            <w:shd w:val="clear" w:color="auto" w:fill="auto"/>
            <w:noWrap/>
            <w:vAlign w:val="center"/>
          </w:tcPr>
          <w:p w14:paraId="419351A2">
            <w:pPr>
              <w:pStyle w:val="23"/>
              <w:jc w:val="center"/>
              <w:rPr>
                <w:rFonts w:ascii="宋体" w:hAnsi="宋体"/>
                <w:kern w:val="0"/>
                <w:szCs w:val="21"/>
              </w:rPr>
            </w:pPr>
            <w:r>
              <w:rPr>
                <w:rFonts w:ascii="宋体" w:hAnsi="宋体"/>
                <w:kern w:val="0"/>
                <w:szCs w:val="21"/>
              </w:rPr>
              <w:t>1306</w:t>
            </w:r>
          </w:p>
        </w:tc>
        <w:tc>
          <w:tcPr>
            <w:tcW w:w="960" w:type="dxa"/>
            <w:shd w:val="clear" w:color="auto" w:fill="auto"/>
            <w:noWrap/>
            <w:vAlign w:val="center"/>
          </w:tcPr>
          <w:p w14:paraId="07E58101">
            <w:pPr>
              <w:pStyle w:val="23"/>
              <w:jc w:val="center"/>
              <w:rPr>
                <w:rFonts w:ascii="宋体" w:hAnsi="宋体"/>
                <w:kern w:val="0"/>
                <w:szCs w:val="21"/>
              </w:rPr>
            </w:pPr>
            <w:r>
              <w:rPr>
                <w:rFonts w:ascii="宋体" w:hAnsi="宋体"/>
                <w:kern w:val="0"/>
                <w:szCs w:val="21"/>
              </w:rPr>
              <w:t>3053</w:t>
            </w:r>
          </w:p>
        </w:tc>
        <w:tc>
          <w:tcPr>
            <w:tcW w:w="960" w:type="dxa"/>
            <w:shd w:val="clear" w:color="auto" w:fill="auto"/>
            <w:noWrap/>
            <w:vAlign w:val="center"/>
          </w:tcPr>
          <w:p w14:paraId="4ED05CAF">
            <w:pPr>
              <w:pStyle w:val="23"/>
              <w:jc w:val="center"/>
              <w:rPr>
                <w:rFonts w:ascii="宋体" w:hAnsi="宋体"/>
                <w:kern w:val="0"/>
                <w:szCs w:val="21"/>
              </w:rPr>
            </w:pPr>
            <w:r>
              <w:rPr>
                <w:rFonts w:ascii="宋体" w:hAnsi="宋体"/>
                <w:kern w:val="0"/>
                <w:szCs w:val="21"/>
              </w:rPr>
              <w:t>6076.</w:t>
            </w:r>
          </w:p>
        </w:tc>
      </w:tr>
      <w:tr w14:paraId="15400A2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960" w:type="dxa"/>
            <w:shd w:val="clear" w:color="auto" w:fill="auto"/>
            <w:noWrap/>
            <w:vAlign w:val="center"/>
          </w:tcPr>
          <w:p w14:paraId="4E57273A">
            <w:pPr>
              <w:pStyle w:val="23"/>
              <w:jc w:val="center"/>
              <w:rPr>
                <w:rFonts w:ascii="宋体" w:hAnsi="宋体"/>
                <w:kern w:val="0"/>
                <w:szCs w:val="21"/>
              </w:rPr>
            </w:pPr>
            <w:r>
              <w:rPr>
                <w:rFonts w:ascii="宋体" w:hAnsi="宋体"/>
                <w:kern w:val="0"/>
                <w:szCs w:val="21"/>
              </w:rPr>
              <w:t>响联</w:t>
            </w:r>
          </w:p>
        </w:tc>
        <w:tc>
          <w:tcPr>
            <w:tcW w:w="960" w:type="dxa"/>
            <w:shd w:val="clear" w:color="auto" w:fill="auto"/>
            <w:noWrap/>
            <w:vAlign w:val="center"/>
          </w:tcPr>
          <w:p w14:paraId="0F0EB0F1">
            <w:pPr>
              <w:pStyle w:val="23"/>
              <w:jc w:val="center"/>
              <w:rPr>
                <w:rFonts w:ascii="宋体" w:hAnsi="宋体"/>
                <w:kern w:val="0"/>
                <w:szCs w:val="21"/>
              </w:rPr>
            </w:pPr>
            <w:r>
              <w:rPr>
                <w:rFonts w:ascii="宋体" w:hAnsi="宋体"/>
                <w:kern w:val="0"/>
                <w:szCs w:val="21"/>
              </w:rPr>
              <w:t>3.91</w:t>
            </w:r>
          </w:p>
        </w:tc>
        <w:tc>
          <w:tcPr>
            <w:tcW w:w="960" w:type="dxa"/>
            <w:shd w:val="clear" w:color="auto" w:fill="auto"/>
            <w:noWrap/>
            <w:vAlign w:val="center"/>
          </w:tcPr>
          <w:p w14:paraId="77D252DC">
            <w:pPr>
              <w:pStyle w:val="23"/>
              <w:jc w:val="center"/>
              <w:rPr>
                <w:rFonts w:ascii="宋体" w:hAnsi="宋体"/>
                <w:kern w:val="0"/>
                <w:szCs w:val="21"/>
              </w:rPr>
            </w:pPr>
            <w:r>
              <w:rPr>
                <w:rFonts w:ascii="宋体" w:hAnsi="宋体"/>
                <w:kern w:val="0"/>
                <w:szCs w:val="21"/>
              </w:rPr>
              <w:t>8</w:t>
            </w:r>
          </w:p>
        </w:tc>
        <w:tc>
          <w:tcPr>
            <w:tcW w:w="960" w:type="dxa"/>
            <w:shd w:val="clear" w:color="auto" w:fill="auto"/>
            <w:noWrap/>
            <w:vAlign w:val="center"/>
          </w:tcPr>
          <w:p w14:paraId="20EFD13E">
            <w:pPr>
              <w:pStyle w:val="23"/>
              <w:jc w:val="center"/>
              <w:rPr>
                <w:rFonts w:ascii="宋体" w:hAnsi="宋体"/>
                <w:kern w:val="0"/>
                <w:szCs w:val="21"/>
              </w:rPr>
            </w:pPr>
            <w:r>
              <w:rPr>
                <w:rFonts w:ascii="宋体" w:hAnsi="宋体"/>
                <w:kern w:val="0"/>
                <w:szCs w:val="21"/>
              </w:rPr>
              <w:t>301</w:t>
            </w:r>
          </w:p>
        </w:tc>
        <w:tc>
          <w:tcPr>
            <w:tcW w:w="960" w:type="dxa"/>
            <w:shd w:val="clear" w:color="auto" w:fill="auto"/>
            <w:noWrap/>
            <w:vAlign w:val="center"/>
          </w:tcPr>
          <w:p w14:paraId="3911DD52">
            <w:pPr>
              <w:pStyle w:val="23"/>
              <w:jc w:val="center"/>
              <w:rPr>
                <w:rFonts w:ascii="宋体" w:hAnsi="宋体"/>
                <w:kern w:val="0"/>
                <w:szCs w:val="21"/>
              </w:rPr>
            </w:pPr>
            <w:r>
              <w:rPr>
                <w:rFonts w:ascii="宋体" w:hAnsi="宋体"/>
                <w:kern w:val="0"/>
                <w:szCs w:val="21"/>
              </w:rPr>
              <w:t>1227</w:t>
            </w:r>
          </w:p>
        </w:tc>
        <w:tc>
          <w:tcPr>
            <w:tcW w:w="960" w:type="dxa"/>
            <w:shd w:val="clear" w:color="auto" w:fill="auto"/>
            <w:noWrap/>
            <w:vAlign w:val="center"/>
          </w:tcPr>
          <w:p w14:paraId="03E19ABF">
            <w:pPr>
              <w:pStyle w:val="23"/>
              <w:jc w:val="center"/>
              <w:rPr>
                <w:rFonts w:ascii="宋体" w:hAnsi="宋体"/>
                <w:kern w:val="0"/>
                <w:szCs w:val="21"/>
              </w:rPr>
            </w:pPr>
            <w:r>
              <w:rPr>
                <w:rFonts w:ascii="宋体" w:hAnsi="宋体"/>
                <w:kern w:val="0"/>
                <w:szCs w:val="21"/>
              </w:rPr>
              <w:t>1785</w:t>
            </w:r>
          </w:p>
        </w:tc>
        <w:tc>
          <w:tcPr>
            <w:tcW w:w="960" w:type="dxa"/>
            <w:shd w:val="clear" w:color="auto" w:fill="auto"/>
            <w:noWrap/>
            <w:vAlign w:val="center"/>
          </w:tcPr>
          <w:p w14:paraId="58666B1A">
            <w:pPr>
              <w:pStyle w:val="23"/>
              <w:jc w:val="center"/>
              <w:rPr>
                <w:rFonts w:ascii="宋体" w:hAnsi="宋体"/>
                <w:kern w:val="0"/>
                <w:szCs w:val="21"/>
              </w:rPr>
            </w:pPr>
            <w:r>
              <w:rPr>
                <w:rFonts w:ascii="宋体" w:hAnsi="宋体"/>
                <w:kern w:val="0"/>
                <w:szCs w:val="21"/>
              </w:rPr>
              <w:t>853</w:t>
            </w:r>
          </w:p>
        </w:tc>
        <w:tc>
          <w:tcPr>
            <w:tcW w:w="960" w:type="dxa"/>
            <w:shd w:val="clear" w:color="auto" w:fill="auto"/>
            <w:noWrap/>
            <w:vAlign w:val="center"/>
          </w:tcPr>
          <w:p w14:paraId="7E41CC2E">
            <w:pPr>
              <w:pStyle w:val="23"/>
              <w:jc w:val="center"/>
              <w:rPr>
                <w:rFonts w:ascii="宋体" w:hAnsi="宋体"/>
                <w:kern w:val="0"/>
                <w:szCs w:val="21"/>
              </w:rPr>
            </w:pPr>
            <w:r>
              <w:rPr>
                <w:rFonts w:ascii="宋体" w:hAnsi="宋体"/>
                <w:kern w:val="0"/>
                <w:szCs w:val="21"/>
              </w:rPr>
              <w:t>932</w:t>
            </w:r>
          </w:p>
        </w:tc>
        <w:tc>
          <w:tcPr>
            <w:tcW w:w="960" w:type="dxa"/>
            <w:shd w:val="clear" w:color="auto" w:fill="auto"/>
            <w:noWrap/>
            <w:vAlign w:val="center"/>
          </w:tcPr>
          <w:p w14:paraId="2F5BE0D5">
            <w:pPr>
              <w:pStyle w:val="23"/>
              <w:jc w:val="center"/>
              <w:rPr>
                <w:rFonts w:ascii="宋体" w:hAnsi="宋体"/>
                <w:kern w:val="0"/>
                <w:szCs w:val="21"/>
              </w:rPr>
            </w:pPr>
            <w:r>
              <w:rPr>
                <w:rFonts w:ascii="宋体" w:hAnsi="宋体"/>
                <w:kern w:val="0"/>
                <w:szCs w:val="21"/>
              </w:rPr>
              <w:t>1538</w:t>
            </w:r>
          </w:p>
        </w:tc>
        <w:tc>
          <w:tcPr>
            <w:tcW w:w="960" w:type="dxa"/>
            <w:shd w:val="clear" w:color="auto" w:fill="auto"/>
            <w:noWrap/>
            <w:vAlign w:val="center"/>
          </w:tcPr>
          <w:p w14:paraId="7C255171">
            <w:pPr>
              <w:pStyle w:val="23"/>
              <w:jc w:val="center"/>
              <w:rPr>
                <w:rFonts w:ascii="宋体" w:hAnsi="宋体"/>
                <w:kern w:val="0"/>
                <w:szCs w:val="21"/>
              </w:rPr>
            </w:pPr>
            <w:r>
              <w:rPr>
                <w:rFonts w:ascii="宋体" w:hAnsi="宋体"/>
                <w:kern w:val="0"/>
                <w:szCs w:val="21"/>
              </w:rPr>
              <w:t>6028.6</w:t>
            </w:r>
          </w:p>
        </w:tc>
      </w:tr>
      <w:tr w14:paraId="1399992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960" w:type="dxa"/>
            <w:shd w:val="clear" w:color="auto" w:fill="auto"/>
            <w:noWrap/>
            <w:vAlign w:val="center"/>
          </w:tcPr>
          <w:p w14:paraId="25A87B82">
            <w:pPr>
              <w:pStyle w:val="23"/>
              <w:jc w:val="center"/>
              <w:rPr>
                <w:rFonts w:ascii="宋体" w:hAnsi="宋体"/>
                <w:kern w:val="0"/>
                <w:szCs w:val="21"/>
              </w:rPr>
            </w:pPr>
            <w:r>
              <w:rPr>
                <w:rFonts w:ascii="宋体" w:hAnsi="宋体"/>
                <w:kern w:val="0"/>
                <w:szCs w:val="21"/>
              </w:rPr>
              <w:t>龙迳</w:t>
            </w:r>
          </w:p>
        </w:tc>
        <w:tc>
          <w:tcPr>
            <w:tcW w:w="960" w:type="dxa"/>
            <w:shd w:val="clear" w:color="auto" w:fill="auto"/>
            <w:noWrap/>
            <w:vAlign w:val="center"/>
          </w:tcPr>
          <w:p w14:paraId="63589835">
            <w:pPr>
              <w:pStyle w:val="23"/>
              <w:jc w:val="center"/>
              <w:rPr>
                <w:rFonts w:ascii="宋体" w:hAnsi="宋体"/>
                <w:kern w:val="0"/>
                <w:szCs w:val="21"/>
              </w:rPr>
            </w:pPr>
            <w:r>
              <w:rPr>
                <w:rFonts w:ascii="宋体" w:hAnsi="宋体"/>
                <w:kern w:val="0"/>
                <w:szCs w:val="21"/>
              </w:rPr>
              <w:t>3.8</w:t>
            </w:r>
          </w:p>
        </w:tc>
        <w:tc>
          <w:tcPr>
            <w:tcW w:w="960" w:type="dxa"/>
            <w:shd w:val="clear" w:color="auto" w:fill="auto"/>
            <w:noWrap/>
            <w:vAlign w:val="center"/>
          </w:tcPr>
          <w:p w14:paraId="0E28326F">
            <w:pPr>
              <w:pStyle w:val="23"/>
              <w:jc w:val="center"/>
              <w:rPr>
                <w:rFonts w:ascii="宋体" w:hAnsi="宋体"/>
                <w:kern w:val="0"/>
                <w:szCs w:val="21"/>
              </w:rPr>
            </w:pPr>
            <w:r>
              <w:rPr>
                <w:rFonts w:ascii="宋体" w:hAnsi="宋体"/>
                <w:kern w:val="0"/>
                <w:szCs w:val="21"/>
              </w:rPr>
              <w:t>5</w:t>
            </w:r>
          </w:p>
        </w:tc>
        <w:tc>
          <w:tcPr>
            <w:tcW w:w="960" w:type="dxa"/>
            <w:shd w:val="clear" w:color="auto" w:fill="auto"/>
            <w:noWrap/>
            <w:vAlign w:val="center"/>
          </w:tcPr>
          <w:p w14:paraId="1B5EECAA">
            <w:pPr>
              <w:pStyle w:val="23"/>
              <w:jc w:val="center"/>
              <w:rPr>
                <w:rFonts w:ascii="宋体" w:hAnsi="宋体"/>
                <w:kern w:val="0"/>
                <w:szCs w:val="21"/>
              </w:rPr>
            </w:pPr>
            <w:r>
              <w:rPr>
                <w:rFonts w:ascii="宋体" w:hAnsi="宋体"/>
                <w:kern w:val="0"/>
                <w:szCs w:val="21"/>
              </w:rPr>
              <w:t>322</w:t>
            </w:r>
          </w:p>
        </w:tc>
        <w:tc>
          <w:tcPr>
            <w:tcW w:w="960" w:type="dxa"/>
            <w:shd w:val="clear" w:color="auto" w:fill="auto"/>
            <w:noWrap/>
            <w:vAlign w:val="center"/>
          </w:tcPr>
          <w:p w14:paraId="6C78CB59">
            <w:pPr>
              <w:pStyle w:val="23"/>
              <w:jc w:val="center"/>
              <w:rPr>
                <w:rFonts w:ascii="宋体" w:hAnsi="宋体"/>
                <w:kern w:val="0"/>
                <w:szCs w:val="21"/>
              </w:rPr>
            </w:pPr>
            <w:r>
              <w:rPr>
                <w:rFonts w:ascii="宋体" w:hAnsi="宋体"/>
                <w:kern w:val="0"/>
                <w:szCs w:val="21"/>
              </w:rPr>
              <w:t>1303</w:t>
            </w:r>
          </w:p>
        </w:tc>
        <w:tc>
          <w:tcPr>
            <w:tcW w:w="960" w:type="dxa"/>
            <w:shd w:val="clear" w:color="auto" w:fill="auto"/>
            <w:noWrap/>
            <w:vAlign w:val="center"/>
          </w:tcPr>
          <w:p w14:paraId="634D2BAB">
            <w:pPr>
              <w:pStyle w:val="23"/>
              <w:jc w:val="center"/>
              <w:rPr>
                <w:rFonts w:ascii="宋体" w:hAnsi="宋体"/>
                <w:kern w:val="0"/>
                <w:szCs w:val="21"/>
              </w:rPr>
            </w:pPr>
            <w:r>
              <w:rPr>
                <w:rFonts w:ascii="宋体" w:hAnsi="宋体"/>
                <w:kern w:val="0"/>
                <w:szCs w:val="21"/>
              </w:rPr>
              <w:t>1991</w:t>
            </w:r>
          </w:p>
        </w:tc>
        <w:tc>
          <w:tcPr>
            <w:tcW w:w="960" w:type="dxa"/>
            <w:shd w:val="clear" w:color="auto" w:fill="auto"/>
            <w:noWrap/>
            <w:vAlign w:val="center"/>
          </w:tcPr>
          <w:p w14:paraId="56DE4007">
            <w:pPr>
              <w:pStyle w:val="23"/>
              <w:jc w:val="center"/>
              <w:rPr>
                <w:rFonts w:ascii="宋体" w:hAnsi="宋体"/>
                <w:kern w:val="0"/>
                <w:szCs w:val="21"/>
              </w:rPr>
            </w:pPr>
            <w:r>
              <w:rPr>
                <w:rFonts w:ascii="宋体" w:hAnsi="宋体"/>
                <w:kern w:val="0"/>
                <w:szCs w:val="21"/>
              </w:rPr>
              <w:t>957</w:t>
            </w:r>
          </w:p>
        </w:tc>
        <w:tc>
          <w:tcPr>
            <w:tcW w:w="960" w:type="dxa"/>
            <w:shd w:val="clear" w:color="auto" w:fill="auto"/>
            <w:noWrap/>
            <w:vAlign w:val="center"/>
          </w:tcPr>
          <w:p w14:paraId="653752E5">
            <w:pPr>
              <w:pStyle w:val="23"/>
              <w:jc w:val="center"/>
              <w:rPr>
                <w:rFonts w:ascii="宋体" w:hAnsi="宋体"/>
                <w:kern w:val="0"/>
                <w:szCs w:val="21"/>
              </w:rPr>
            </w:pPr>
            <w:r>
              <w:rPr>
                <w:rFonts w:ascii="宋体" w:hAnsi="宋体"/>
                <w:kern w:val="0"/>
                <w:szCs w:val="21"/>
              </w:rPr>
              <w:t>1034</w:t>
            </w:r>
          </w:p>
        </w:tc>
        <w:tc>
          <w:tcPr>
            <w:tcW w:w="960" w:type="dxa"/>
            <w:shd w:val="clear" w:color="auto" w:fill="auto"/>
            <w:noWrap/>
            <w:vAlign w:val="center"/>
          </w:tcPr>
          <w:p w14:paraId="29E38E78">
            <w:pPr>
              <w:pStyle w:val="23"/>
              <w:jc w:val="center"/>
              <w:rPr>
                <w:rFonts w:ascii="宋体" w:hAnsi="宋体"/>
                <w:kern w:val="0"/>
                <w:szCs w:val="21"/>
              </w:rPr>
            </w:pPr>
            <w:r>
              <w:rPr>
                <w:rFonts w:ascii="宋体" w:hAnsi="宋体"/>
                <w:kern w:val="0"/>
                <w:szCs w:val="21"/>
              </w:rPr>
              <w:t>1635</w:t>
            </w:r>
          </w:p>
        </w:tc>
        <w:tc>
          <w:tcPr>
            <w:tcW w:w="960" w:type="dxa"/>
            <w:shd w:val="clear" w:color="auto" w:fill="auto"/>
            <w:noWrap/>
            <w:vAlign w:val="center"/>
          </w:tcPr>
          <w:p w14:paraId="673B5383">
            <w:pPr>
              <w:pStyle w:val="23"/>
              <w:jc w:val="center"/>
              <w:rPr>
                <w:rFonts w:ascii="宋体" w:hAnsi="宋体"/>
                <w:kern w:val="0"/>
                <w:szCs w:val="21"/>
              </w:rPr>
            </w:pPr>
            <w:r>
              <w:rPr>
                <w:rFonts w:ascii="宋体" w:hAnsi="宋体"/>
                <w:kern w:val="0"/>
                <w:szCs w:val="21"/>
              </w:rPr>
              <w:t>6126.6</w:t>
            </w:r>
          </w:p>
        </w:tc>
      </w:tr>
      <w:tr w14:paraId="26767BD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960" w:type="dxa"/>
            <w:shd w:val="clear" w:color="auto" w:fill="auto"/>
            <w:noWrap/>
            <w:vAlign w:val="center"/>
          </w:tcPr>
          <w:p w14:paraId="3FCEDE53">
            <w:pPr>
              <w:pStyle w:val="23"/>
              <w:jc w:val="center"/>
              <w:rPr>
                <w:rFonts w:ascii="宋体" w:hAnsi="宋体"/>
                <w:kern w:val="0"/>
                <w:szCs w:val="21"/>
              </w:rPr>
            </w:pPr>
            <w:r>
              <w:rPr>
                <w:rFonts w:ascii="宋体" w:hAnsi="宋体"/>
                <w:kern w:val="0"/>
                <w:szCs w:val="21"/>
              </w:rPr>
              <w:t>黄塘</w:t>
            </w:r>
          </w:p>
        </w:tc>
        <w:tc>
          <w:tcPr>
            <w:tcW w:w="960" w:type="dxa"/>
            <w:shd w:val="clear" w:color="auto" w:fill="auto"/>
            <w:noWrap/>
            <w:vAlign w:val="center"/>
          </w:tcPr>
          <w:p w14:paraId="637EDA63">
            <w:pPr>
              <w:pStyle w:val="23"/>
              <w:jc w:val="center"/>
              <w:rPr>
                <w:rFonts w:ascii="宋体" w:hAnsi="宋体"/>
                <w:kern w:val="0"/>
                <w:szCs w:val="21"/>
              </w:rPr>
            </w:pPr>
            <w:r>
              <w:rPr>
                <w:rFonts w:ascii="宋体" w:hAnsi="宋体"/>
                <w:kern w:val="0"/>
                <w:szCs w:val="21"/>
              </w:rPr>
              <w:t>4.96</w:t>
            </w:r>
          </w:p>
        </w:tc>
        <w:tc>
          <w:tcPr>
            <w:tcW w:w="960" w:type="dxa"/>
            <w:shd w:val="clear" w:color="auto" w:fill="auto"/>
            <w:noWrap/>
            <w:vAlign w:val="center"/>
          </w:tcPr>
          <w:p w14:paraId="0C3870DE">
            <w:pPr>
              <w:pStyle w:val="23"/>
              <w:jc w:val="center"/>
              <w:rPr>
                <w:rFonts w:ascii="宋体" w:hAnsi="宋体"/>
                <w:kern w:val="0"/>
                <w:szCs w:val="21"/>
              </w:rPr>
            </w:pPr>
            <w:r>
              <w:rPr>
                <w:rFonts w:ascii="宋体" w:hAnsi="宋体"/>
                <w:kern w:val="0"/>
                <w:szCs w:val="21"/>
              </w:rPr>
              <w:t>10</w:t>
            </w:r>
          </w:p>
        </w:tc>
        <w:tc>
          <w:tcPr>
            <w:tcW w:w="960" w:type="dxa"/>
            <w:shd w:val="clear" w:color="auto" w:fill="auto"/>
            <w:noWrap/>
            <w:vAlign w:val="center"/>
          </w:tcPr>
          <w:p w14:paraId="3DF3BF37">
            <w:pPr>
              <w:pStyle w:val="23"/>
              <w:jc w:val="center"/>
              <w:rPr>
                <w:rFonts w:ascii="宋体" w:hAnsi="宋体"/>
                <w:kern w:val="0"/>
                <w:szCs w:val="21"/>
              </w:rPr>
            </w:pPr>
            <w:r>
              <w:rPr>
                <w:rFonts w:ascii="宋体" w:hAnsi="宋体"/>
                <w:kern w:val="0"/>
                <w:szCs w:val="21"/>
              </w:rPr>
              <w:t>582</w:t>
            </w:r>
          </w:p>
        </w:tc>
        <w:tc>
          <w:tcPr>
            <w:tcW w:w="960" w:type="dxa"/>
            <w:shd w:val="clear" w:color="auto" w:fill="auto"/>
            <w:noWrap/>
            <w:vAlign w:val="center"/>
          </w:tcPr>
          <w:p w14:paraId="123AD949">
            <w:pPr>
              <w:pStyle w:val="23"/>
              <w:jc w:val="center"/>
              <w:rPr>
                <w:rFonts w:ascii="宋体" w:hAnsi="宋体"/>
                <w:kern w:val="0"/>
                <w:szCs w:val="21"/>
              </w:rPr>
            </w:pPr>
            <w:r>
              <w:rPr>
                <w:rFonts w:ascii="宋体" w:hAnsi="宋体"/>
                <w:kern w:val="0"/>
                <w:szCs w:val="21"/>
              </w:rPr>
              <w:t>2523</w:t>
            </w:r>
          </w:p>
        </w:tc>
        <w:tc>
          <w:tcPr>
            <w:tcW w:w="960" w:type="dxa"/>
            <w:shd w:val="clear" w:color="auto" w:fill="auto"/>
            <w:noWrap/>
            <w:vAlign w:val="center"/>
          </w:tcPr>
          <w:p w14:paraId="6DCF76EC">
            <w:pPr>
              <w:pStyle w:val="23"/>
              <w:jc w:val="center"/>
              <w:rPr>
                <w:rFonts w:ascii="宋体" w:hAnsi="宋体"/>
                <w:kern w:val="0"/>
                <w:szCs w:val="21"/>
              </w:rPr>
            </w:pPr>
            <w:r>
              <w:rPr>
                <w:rFonts w:ascii="宋体" w:hAnsi="宋体"/>
                <w:kern w:val="0"/>
                <w:szCs w:val="21"/>
              </w:rPr>
              <w:t>3396</w:t>
            </w:r>
          </w:p>
        </w:tc>
        <w:tc>
          <w:tcPr>
            <w:tcW w:w="960" w:type="dxa"/>
            <w:shd w:val="clear" w:color="auto" w:fill="auto"/>
            <w:noWrap/>
            <w:vAlign w:val="center"/>
          </w:tcPr>
          <w:p w14:paraId="511145C5">
            <w:pPr>
              <w:pStyle w:val="23"/>
              <w:jc w:val="center"/>
              <w:rPr>
                <w:rFonts w:ascii="宋体" w:hAnsi="宋体"/>
                <w:kern w:val="0"/>
                <w:szCs w:val="21"/>
              </w:rPr>
            </w:pPr>
            <w:r>
              <w:rPr>
                <w:rFonts w:ascii="宋体" w:hAnsi="宋体"/>
                <w:kern w:val="0"/>
                <w:szCs w:val="21"/>
              </w:rPr>
              <w:t>1140</w:t>
            </w:r>
          </w:p>
        </w:tc>
        <w:tc>
          <w:tcPr>
            <w:tcW w:w="960" w:type="dxa"/>
            <w:shd w:val="clear" w:color="auto" w:fill="auto"/>
            <w:noWrap/>
            <w:vAlign w:val="center"/>
          </w:tcPr>
          <w:p w14:paraId="45198CDD">
            <w:pPr>
              <w:pStyle w:val="23"/>
              <w:jc w:val="center"/>
              <w:rPr>
                <w:rFonts w:ascii="宋体" w:hAnsi="宋体"/>
                <w:kern w:val="0"/>
                <w:szCs w:val="21"/>
              </w:rPr>
            </w:pPr>
            <w:r>
              <w:rPr>
                <w:rFonts w:ascii="宋体" w:hAnsi="宋体"/>
                <w:kern w:val="0"/>
                <w:szCs w:val="21"/>
              </w:rPr>
              <w:t>2256</w:t>
            </w:r>
          </w:p>
        </w:tc>
        <w:tc>
          <w:tcPr>
            <w:tcW w:w="960" w:type="dxa"/>
            <w:shd w:val="clear" w:color="auto" w:fill="auto"/>
            <w:noWrap/>
            <w:vAlign w:val="center"/>
          </w:tcPr>
          <w:p w14:paraId="5D37C001">
            <w:pPr>
              <w:pStyle w:val="23"/>
              <w:jc w:val="center"/>
              <w:rPr>
                <w:rFonts w:ascii="宋体" w:hAnsi="宋体"/>
                <w:kern w:val="0"/>
                <w:szCs w:val="21"/>
              </w:rPr>
            </w:pPr>
            <w:r>
              <w:rPr>
                <w:rFonts w:ascii="宋体" w:hAnsi="宋体"/>
                <w:kern w:val="0"/>
                <w:szCs w:val="21"/>
              </w:rPr>
              <w:t>3201</w:t>
            </w:r>
          </w:p>
        </w:tc>
        <w:tc>
          <w:tcPr>
            <w:tcW w:w="960" w:type="dxa"/>
            <w:shd w:val="clear" w:color="auto" w:fill="auto"/>
            <w:noWrap/>
            <w:vAlign w:val="center"/>
          </w:tcPr>
          <w:p w14:paraId="7802C0D4">
            <w:pPr>
              <w:pStyle w:val="23"/>
              <w:jc w:val="center"/>
              <w:rPr>
                <w:rFonts w:ascii="宋体" w:hAnsi="宋体"/>
                <w:kern w:val="0"/>
                <w:szCs w:val="21"/>
              </w:rPr>
            </w:pPr>
            <w:r>
              <w:rPr>
                <w:rFonts w:ascii="宋体" w:hAnsi="宋体"/>
                <w:kern w:val="0"/>
                <w:szCs w:val="21"/>
              </w:rPr>
              <w:t>6126.9</w:t>
            </w:r>
          </w:p>
        </w:tc>
      </w:tr>
      <w:tr w14:paraId="0827A0F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960" w:type="dxa"/>
            <w:shd w:val="clear" w:color="auto" w:fill="auto"/>
            <w:noWrap/>
            <w:vAlign w:val="center"/>
          </w:tcPr>
          <w:p w14:paraId="316306FB">
            <w:pPr>
              <w:pStyle w:val="23"/>
              <w:jc w:val="center"/>
              <w:rPr>
                <w:rFonts w:ascii="宋体" w:hAnsi="宋体"/>
                <w:kern w:val="0"/>
                <w:szCs w:val="21"/>
              </w:rPr>
            </w:pPr>
            <w:r>
              <w:rPr>
                <w:rFonts w:ascii="宋体" w:hAnsi="宋体"/>
                <w:kern w:val="0"/>
                <w:szCs w:val="21"/>
              </w:rPr>
              <w:t>官门楼</w:t>
            </w:r>
          </w:p>
        </w:tc>
        <w:tc>
          <w:tcPr>
            <w:tcW w:w="960" w:type="dxa"/>
            <w:shd w:val="clear" w:color="auto" w:fill="auto"/>
            <w:noWrap/>
            <w:vAlign w:val="center"/>
          </w:tcPr>
          <w:p w14:paraId="77E1BA9F">
            <w:pPr>
              <w:pStyle w:val="23"/>
              <w:jc w:val="center"/>
              <w:rPr>
                <w:rFonts w:ascii="宋体" w:hAnsi="宋体"/>
                <w:kern w:val="0"/>
                <w:szCs w:val="21"/>
              </w:rPr>
            </w:pPr>
            <w:r>
              <w:rPr>
                <w:rFonts w:ascii="宋体" w:hAnsi="宋体"/>
                <w:kern w:val="0"/>
                <w:szCs w:val="21"/>
              </w:rPr>
              <w:t>3.1</w:t>
            </w:r>
          </w:p>
        </w:tc>
        <w:tc>
          <w:tcPr>
            <w:tcW w:w="960" w:type="dxa"/>
            <w:shd w:val="clear" w:color="auto" w:fill="auto"/>
            <w:noWrap/>
            <w:vAlign w:val="center"/>
          </w:tcPr>
          <w:p w14:paraId="113566D4">
            <w:pPr>
              <w:pStyle w:val="23"/>
              <w:jc w:val="center"/>
              <w:rPr>
                <w:rFonts w:ascii="宋体" w:hAnsi="宋体"/>
                <w:kern w:val="0"/>
                <w:szCs w:val="21"/>
              </w:rPr>
            </w:pPr>
            <w:r>
              <w:rPr>
                <w:rFonts w:ascii="宋体" w:hAnsi="宋体"/>
                <w:kern w:val="0"/>
                <w:szCs w:val="21"/>
              </w:rPr>
              <w:t>7</w:t>
            </w:r>
          </w:p>
        </w:tc>
        <w:tc>
          <w:tcPr>
            <w:tcW w:w="960" w:type="dxa"/>
            <w:shd w:val="clear" w:color="auto" w:fill="auto"/>
            <w:noWrap/>
            <w:vAlign w:val="center"/>
          </w:tcPr>
          <w:p w14:paraId="062EDF23">
            <w:pPr>
              <w:pStyle w:val="23"/>
              <w:jc w:val="center"/>
              <w:rPr>
                <w:rFonts w:ascii="宋体" w:hAnsi="宋体"/>
                <w:kern w:val="0"/>
                <w:szCs w:val="21"/>
              </w:rPr>
            </w:pPr>
            <w:r>
              <w:rPr>
                <w:rFonts w:ascii="宋体" w:hAnsi="宋体"/>
                <w:kern w:val="0"/>
                <w:szCs w:val="21"/>
              </w:rPr>
              <w:t>368</w:t>
            </w:r>
          </w:p>
        </w:tc>
        <w:tc>
          <w:tcPr>
            <w:tcW w:w="960" w:type="dxa"/>
            <w:shd w:val="clear" w:color="auto" w:fill="auto"/>
            <w:noWrap/>
            <w:vAlign w:val="center"/>
          </w:tcPr>
          <w:p w14:paraId="5D3671C1">
            <w:pPr>
              <w:pStyle w:val="23"/>
              <w:jc w:val="center"/>
              <w:rPr>
                <w:rFonts w:ascii="宋体" w:hAnsi="宋体"/>
                <w:kern w:val="0"/>
                <w:szCs w:val="21"/>
              </w:rPr>
            </w:pPr>
            <w:r>
              <w:rPr>
                <w:rFonts w:ascii="宋体" w:hAnsi="宋体"/>
                <w:kern w:val="0"/>
                <w:szCs w:val="21"/>
              </w:rPr>
              <w:t>1483</w:t>
            </w:r>
          </w:p>
        </w:tc>
        <w:tc>
          <w:tcPr>
            <w:tcW w:w="960" w:type="dxa"/>
            <w:shd w:val="clear" w:color="auto" w:fill="auto"/>
            <w:noWrap/>
            <w:vAlign w:val="center"/>
          </w:tcPr>
          <w:p w14:paraId="1B3C47F5">
            <w:pPr>
              <w:pStyle w:val="23"/>
              <w:jc w:val="center"/>
              <w:rPr>
                <w:rFonts w:ascii="宋体" w:hAnsi="宋体"/>
                <w:kern w:val="0"/>
                <w:szCs w:val="21"/>
              </w:rPr>
            </w:pPr>
            <w:r>
              <w:rPr>
                <w:rFonts w:ascii="宋体" w:hAnsi="宋体"/>
                <w:kern w:val="0"/>
                <w:szCs w:val="21"/>
              </w:rPr>
              <w:t>1943</w:t>
            </w:r>
          </w:p>
        </w:tc>
        <w:tc>
          <w:tcPr>
            <w:tcW w:w="960" w:type="dxa"/>
            <w:shd w:val="clear" w:color="auto" w:fill="auto"/>
            <w:noWrap/>
            <w:vAlign w:val="center"/>
          </w:tcPr>
          <w:p w14:paraId="78FAF19C">
            <w:pPr>
              <w:pStyle w:val="23"/>
              <w:jc w:val="center"/>
              <w:rPr>
                <w:rFonts w:ascii="宋体" w:hAnsi="宋体"/>
                <w:kern w:val="0"/>
                <w:szCs w:val="21"/>
              </w:rPr>
            </w:pPr>
            <w:r>
              <w:rPr>
                <w:rFonts w:ascii="宋体" w:hAnsi="宋体"/>
                <w:kern w:val="0"/>
                <w:szCs w:val="21"/>
              </w:rPr>
              <w:t>1101</w:t>
            </w:r>
          </w:p>
        </w:tc>
        <w:tc>
          <w:tcPr>
            <w:tcW w:w="960" w:type="dxa"/>
            <w:shd w:val="clear" w:color="auto" w:fill="auto"/>
            <w:noWrap/>
            <w:vAlign w:val="center"/>
          </w:tcPr>
          <w:p w14:paraId="4E1A1EDD">
            <w:pPr>
              <w:pStyle w:val="23"/>
              <w:jc w:val="center"/>
              <w:rPr>
                <w:rFonts w:ascii="宋体" w:hAnsi="宋体"/>
                <w:kern w:val="0"/>
                <w:szCs w:val="21"/>
              </w:rPr>
            </w:pPr>
            <w:r>
              <w:rPr>
                <w:rFonts w:ascii="宋体" w:hAnsi="宋体"/>
                <w:kern w:val="0"/>
                <w:szCs w:val="21"/>
              </w:rPr>
              <w:t>842</w:t>
            </w:r>
          </w:p>
        </w:tc>
        <w:tc>
          <w:tcPr>
            <w:tcW w:w="960" w:type="dxa"/>
            <w:shd w:val="clear" w:color="auto" w:fill="auto"/>
            <w:noWrap/>
            <w:vAlign w:val="center"/>
          </w:tcPr>
          <w:p w14:paraId="490ABB8F">
            <w:pPr>
              <w:pStyle w:val="23"/>
              <w:jc w:val="center"/>
              <w:rPr>
                <w:rFonts w:ascii="宋体" w:hAnsi="宋体"/>
                <w:kern w:val="0"/>
                <w:szCs w:val="21"/>
              </w:rPr>
            </w:pPr>
            <w:r>
              <w:rPr>
                <w:rFonts w:ascii="宋体" w:hAnsi="宋体"/>
                <w:kern w:val="0"/>
                <w:szCs w:val="21"/>
              </w:rPr>
              <w:t>1882</w:t>
            </w:r>
          </w:p>
        </w:tc>
        <w:tc>
          <w:tcPr>
            <w:tcW w:w="960" w:type="dxa"/>
            <w:shd w:val="clear" w:color="auto" w:fill="auto"/>
            <w:noWrap/>
            <w:vAlign w:val="center"/>
          </w:tcPr>
          <w:p w14:paraId="46BA4A47">
            <w:pPr>
              <w:pStyle w:val="23"/>
              <w:jc w:val="center"/>
              <w:rPr>
                <w:rFonts w:ascii="宋体" w:hAnsi="宋体"/>
                <w:kern w:val="0"/>
                <w:szCs w:val="21"/>
              </w:rPr>
            </w:pPr>
            <w:r>
              <w:rPr>
                <w:rFonts w:ascii="宋体" w:hAnsi="宋体"/>
                <w:kern w:val="0"/>
                <w:szCs w:val="21"/>
              </w:rPr>
              <w:t>6131.3</w:t>
            </w:r>
          </w:p>
        </w:tc>
      </w:tr>
      <w:tr w14:paraId="5E3C14B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960" w:type="dxa"/>
            <w:shd w:val="clear" w:color="auto" w:fill="auto"/>
            <w:noWrap/>
            <w:vAlign w:val="center"/>
          </w:tcPr>
          <w:p w14:paraId="72AD6FBF">
            <w:pPr>
              <w:pStyle w:val="23"/>
              <w:jc w:val="center"/>
              <w:rPr>
                <w:rFonts w:ascii="宋体" w:hAnsi="宋体"/>
                <w:kern w:val="0"/>
                <w:szCs w:val="21"/>
              </w:rPr>
            </w:pPr>
            <w:r>
              <w:rPr>
                <w:rFonts w:ascii="宋体" w:hAnsi="宋体"/>
                <w:kern w:val="0"/>
                <w:szCs w:val="21"/>
              </w:rPr>
              <w:t>孔塘</w:t>
            </w:r>
          </w:p>
        </w:tc>
        <w:tc>
          <w:tcPr>
            <w:tcW w:w="960" w:type="dxa"/>
            <w:shd w:val="clear" w:color="auto" w:fill="auto"/>
            <w:noWrap/>
            <w:vAlign w:val="center"/>
          </w:tcPr>
          <w:p w14:paraId="4643729A">
            <w:pPr>
              <w:pStyle w:val="23"/>
              <w:jc w:val="center"/>
              <w:rPr>
                <w:rFonts w:ascii="宋体" w:hAnsi="宋体"/>
                <w:kern w:val="0"/>
                <w:szCs w:val="21"/>
              </w:rPr>
            </w:pPr>
            <w:r>
              <w:rPr>
                <w:rFonts w:ascii="宋体" w:hAnsi="宋体"/>
                <w:kern w:val="0"/>
                <w:szCs w:val="21"/>
              </w:rPr>
              <w:t>10.26</w:t>
            </w:r>
          </w:p>
        </w:tc>
        <w:tc>
          <w:tcPr>
            <w:tcW w:w="960" w:type="dxa"/>
            <w:shd w:val="clear" w:color="auto" w:fill="auto"/>
            <w:noWrap/>
            <w:vAlign w:val="center"/>
          </w:tcPr>
          <w:p w14:paraId="6F6976B5">
            <w:pPr>
              <w:pStyle w:val="23"/>
              <w:jc w:val="center"/>
              <w:rPr>
                <w:rFonts w:ascii="宋体" w:hAnsi="宋体"/>
                <w:kern w:val="0"/>
                <w:szCs w:val="21"/>
              </w:rPr>
            </w:pPr>
            <w:r>
              <w:rPr>
                <w:rFonts w:ascii="宋体" w:hAnsi="宋体"/>
                <w:kern w:val="0"/>
                <w:szCs w:val="21"/>
              </w:rPr>
              <w:t>12</w:t>
            </w:r>
          </w:p>
        </w:tc>
        <w:tc>
          <w:tcPr>
            <w:tcW w:w="960" w:type="dxa"/>
            <w:shd w:val="clear" w:color="auto" w:fill="auto"/>
            <w:noWrap/>
            <w:vAlign w:val="center"/>
          </w:tcPr>
          <w:p w14:paraId="22159F5C">
            <w:pPr>
              <w:pStyle w:val="23"/>
              <w:jc w:val="center"/>
              <w:rPr>
                <w:rFonts w:ascii="宋体" w:hAnsi="宋体"/>
                <w:kern w:val="0"/>
                <w:szCs w:val="21"/>
              </w:rPr>
            </w:pPr>
            <w:r>
              <w:rPr>
                <w:rFonts w:ascii="宋体" w:hAnsi="宋体"/>
                <w:kern w:val="0"/>
                <w:szCs w:val="21"/>
              </w:rPr>
              <w:t>460</w:t>
            </w:r>
          </w:p>
        </w:tc>
        <w:tc>
          <w:tcPr>
            <w:tcW w:w="960" w:type="dxa"/>
            <w:shd w:val="clear" w:color="auto" w:fill="auto"/>
            <w:noWrap/>
            <w:vAlign w:val="center"/>
          </w:tcPr>
          <w:p w14:paraId="36CC8DBF">
            <w:pPr>
              <w:pStyle w:val="23"/>
              <w:jc w:val="center"/>
              <w:rPr>
                <w:rFonts w:ascii="宋体" w:hAnsi="宋体"/>
                <w:kern w:val="0"/>
                <w:szCs w:val="21"/>
              </w:rPr>
            </w:pPr>
            <w:r>
              <w:rPr>
                <w:rFonts w:ascii="宋体" w:hAnsi="宋体"/>
                <w:kern w:val="0"/>
                <w:szCs w:val="21"/>
              </w:rPr>
              <w:t>2243</w:t>
            </w:r>
          </w:p>
        </w:tc>
        <w:tc>
          <w:tcPr>
            <w:tcW w:w="960" w:type="dxa"/>
            <w:shd w:val="clear" w:color="auto" w:fill="auto"/>
            <w:noWrap/>
            <w:vAlign w:val="center"/>
          </w:tcPr>
          <w:p w14:paraId="0915C0C2">
            <w:pPr>
              <w:pStyle w:val="23"/>
              <w:jc w:val="center"/>
              <w:rPr>
                <w:rFonts w:ascii="宋体" w:hAnsi="宋体"/>
                <w:kern w:val="0"/>
                <w:szCs w:val="21"/>
              </w:rPr>
            </w:pPr>
            <w:r>
              <w:rPr>
                <w:rFonts w:ascii="宋体" w:hAnsi="宋体"/>
                <w:kern w:val="0"/>
                <w:szCs w:val="21"/>
              </w:rPr>
              <w:t>2197</w:t>
            </w:r>
          </w:p>
        </w:tc>
        <w:tc>
          <w:tcPr>
            <w:tcW w:w="960" w:type="dxa"/>
            <w:shd w:val="clear" w:color="auto" w:fill="auto"/>
            <w:noWrap/>
            <w:vAlign w:val="center"/>
          </w:tcPr>
          <w:p w14:paraId="38939E68">
            <w:pPr>
              <w:pStyle w:val="23"/>
              <w:jc w:val="center"/>
              <w:rPr>
                <w:rFonts w:ascii="宋体" w:hAnsi="宋体"/>
                <w:kern w:val="0"/>
                <w:szCs w:val="21"/>
              </w:rPr>
            </w:pPr>
            <w:r>
              <w:rPr>
                <w:rFonts w:ascii="宋体" w:hAnsi="宋体"/>
                <w:kern w:val="0"/>
                <w:szCs w:val="21"/>
              </w:rPr>
              <w:t>1933</w:t>
            </w:r>
          </w:p>
        </w:tc>
        <w:tc>
          <w:tcPr>
            <w:tcW w:w="960" w:type="dxa"/>
            <w:shd w:val="clear" w:color="auto" w:fill="auto"/>
            <w:noWrap/>
            <w:vAlign w:val="center"/>
          </w:tcPr>
          <w:p w14:paraId="26386042">
            <w:pPr>
              <w:pStyle w:val="23"/>
              <w:jc w:val="center"/>
              <w:rPr>
                <w:rFonts w:ascii="宋体" w:hAnsi="宋体"/>
                <w:kern w:val="0"/>
                <w:szCs w:val="21"/>
              </w:rPr>
            </w:pPr>
            <w:r>
              <w:rPr>
                <w:rFonts w:ascii="宋体" w:hAnsi="宋体"/>
                <w:kern w:val="0"/>
                <w:szCs w:val="21"/>
              </w:rPr>
              <w:t>264</w:t>
            </w:r>
          </w:p>
        </w:tc>
        <w:tc>
          <w:tcPr>
            <w:tcW w:w="960" w:type="dxa"/>
            <w:shd w:val="clear" w:color="auto" w:fill="auto"/>
            <w:noWrap/>
            <w:vAlign w:val="center"/>
          </w:tcPr>
          <w:p w14:paraId="23D4EA04">
            <w:pPr>
              <w:pStyle w:val="23"/>
              <w:jc w:val="center"/>
              <w:rPr>
                <w:rFonts w:ascii="宋体" w:hAnsi="宋体"/>
                <w:kern w:val="0"/>
                <w:szCs w:val="21"/>
              </w:rPr>
            </w:pPr>
            <w:r>
              <w:rPr>
                <w:rFonts w:ascii="宋体" w:hAnsi="宋体"/>
                <w:kern w:val="0"/>
                <w:szCs w:val="21"/>
              </w:rPr>
              <w:t>2874</w:t>
            </w:r>
          </w:p>
        </w:tc>
        <w:tc>
          <w:tcPr>
            <w:tcW w:w="960" w:type="dxa"/>
            <w:shd w:val="clear" w:color="auto" w:fill="auto"/>
            <w:noWrap/>
            <w:vAlign w:val="center"/>
          </w:tcPr>
          <w:p w14:paraId="60294375">
            <w:pPr>
              <w:pStyle w:val="23"/>
              <w:jc w:val="center"/>
              <w:rPr>
                <w:rFonts w:ascii="宋体" w:hAnsi="宋体"/>
                <w:kern w:val="0"/>
                <w:szCs w:val="21"/>
              </w:rPr>
            </w:pPr>
            <w:r>
              <w:rPr>
                <w:rFonts w:ascii="宋体" w:hAnsi="宋体"/>
                <w:kern w:val="0"/>
                <w:szCs w:val="21"/>
              </w:rPr>
              <w:t>6022.5</w:t>
            </w:r>
          </w:p>
        </w:tc>
      </w:tr>
      <w:tr w14:paraId="0DC620B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960" w:type="dxa"/>
            <w:shd w:val="clear" w:color="auto" w:fill="auto"/>
            <w:noWrap/>
            <w:vAlign w:val="center"/>
          </w:tcPr>
          <w:p w14:paraId="1C900BF3">
            <w:pPr>
              <w:pStyle w:val="23"/>
              <w:jc w:val="center"/>
              <w:rPr>
                <w:rFonts w:ascii="宋体" w:hAnsi="宋体"/>
                <w:kern w:val="0"/>
                <w:szCs w:val="21"/>
              </w:rPr>
            </w:pPr>
            <w:r>
              <w:rPr>
                <w:rFonts w:ascii="宋体" w:hAnsi="宋体"/>
                <w:kern w:val="0"/>
                <w:szCs w:val="21"/>
              </w:rPr>
              <w:t>庙前</w:t>
            </w:r>
          </w:p>
        </w:tc>
        <w:tc>
          <w:tcPr>
            <w:tcW w:w="960" w:type="dxa"/>
            <w:shd w:val="clear" w:color="auto" w:fill="auto"/>
            <w:noWrap/>
            <w:vAlign w:val="center"/>
          </w:tcPr>
          <w:p w14:paraId="5E83DA77">
            <w:pPr>
              <w:pStyle w:val="23"/>
              <w:jc w:val="center"/>
              <w:rPr>
                <w:rFonts w:ascii="宋体" w:hAnsi="宋体"/>
                <w:kern w:val="0"/>
                <w:szCs w:val="21"/>
              </w:rPr>
            </w:pPr>
            <w:r>
              <w:rPr>
                <w:rFonts w:ascii="宋体" w:hAnsi="宋体"/>
                <w:kern w:val="0"/>
                <w:szCs w:val="21"/>
              </w:rPr>
              <w:t>8.44</w:t>
            </w:r>
          </w:p>
        </w:tc>
        <w:tc>
          <w:tcPr>
            <w:tcW w:w="960" w:type="dxa"/>
            <w:shd w:val="clear" w:color="auto" w:fill="auto"/>
            <w:noWrap/>
            <w:vAlign w:val="center"/>
          </w:tcPr>
          <w:p w14:paraId="2A04C5BC">
            <w:pPr>
              <w:pStyle w:val="23"/>
              <w:jc w:val="center"/>
              <w:rPr>
                <w:rFonts w:ascii="宋体" w:hAnsi="宋体"/>
                <w:kern w:val="0"/>
                <w:szCs w:val="21"/>
              </w:rPr>
            </w:pPr>
            <w:r>
              <w:rPr>
                <w:rFonts w:ascii="宋体" w:hAnsi="宋体"/>
                <w:kern w:val="0"/>
                <w:szCs w:val="21"/>
              </w:rPr>
              <w:t>9</w:t>
            </w:r>
          </w:p>
        </w:tc>
        <w:tc>
          <w:tcPr>
            <w:tcW w:w="960" w:type="dxa"/>
            <w:shd w:val="clear" w:color="auto" w:fill="auto"/>
            <w:noWrap/>
            <w:vAlign w:val="center"/>
          </w:tcPr>
          <w:p w14:paraId="03BE477C">
            <w:pPr>
              <w:pStyle w:val="23"/>
              <w:jc w:val="center"/>
              <w:rPr>
                <w:rFonts w:ascii="宋体" w:hAnsi="宋体"/>
                <w:kern w:val="0"/>
                <w:szCs w:val="21"/>
              </w:rPr>
            </w:pPr>
            <w:r>
              <w:rPr>
                <w:rFonts w:ascii="宋体" w:hAnsi="宋体"/>
                <w:kern w:val="0"/>
                <w:szCs w:val="21"/>
              </w:rPr>
              <w:t>348</w:t>
            </w:r>
          </w:p>
        </w:tc>
        <w:tc>
          <w:tcPr>
            <w:tcW w:w="960" w:type="dxa"/>
            <w:shd w:val="clear" w:color="auto" w:fill="auto"/>
            <w:noWrap/>
            <w:vAlign w:val="center"/>
          </w:tcPr>
          <w:p w14:paraId="2D9B4C9B">
            <w:pPr>
              <w:pStyle w:val="23"/>
              <w:jc w:val="center"/>
              <w:rPr>
                <w:rFonts w:ascii="宋体" w:hAnsi="宋体"/>
                <w:kern w:val="0"/>
                <w:szCs w:val="21"/>
              </w:rPr>
            </w:pPr>
            <w:r>
              <w:rPr>
                <w:rFonts w:ascii="宋体" w:hAnsi="宋体"/>
                <w:kern w:val="0"/>
                <w:szCs w:val="21"/>
              </w:rPr>
              <w:t>1636</w:t>
            </w:r>
          </w:p>
        </w:tc>
        <w:tc>
          <w:tcPr>
            <w:tcW w:w="960" w:type="dxa"/>
            <w:shd w:val="clear" w:color="auto" w:fill="auto"/>
            <w:noWrap/>
            <w:vAlign w:val="center"/>
          </w:tcPr>
          <w:p w14:paraId="0D357212">
            <w:pPr>
              <w:pStyle w:val="23"/>
              <w:jc w:val="center"/>
              <w:rPr>
                <w:rFonts w:ascii="宋体" w:hAnsi="宋体"/>
                <w:kern w:val="0"/>
                <w:szCs w:val="21"/>
              </w:rPr>
            </w:pPr>
            <w:r>
              <w:rPr>
                <w:rFonts w:ascii="宋体" w:hAnsi="宋体"/>
                <w:kern w:val="0"/>
                <w:szCs w:val="21"/>
              </w:rPr>
              <w:t>1895</w:t>
            </w:r>
          </w:p>
        </w:tc>
        <w:tc>
          <w:tcPr>
            <w:tcW w:w="960" w:type="dxa"/>
            <w:shd w:val="clear" w:color="auto" w:fill="auto"/>
            <w:noWrap/>
            <w:vAlign w:val="center"/>
          </w:tcPr>
          <w:p w14:paraId="1EB96040">
            <w:pPr>
              <w:pStyle w:val="23"/>
              <w:jc w:val="center"/>
              <w:rPr>
                <w:rFonts w:ascii="宋体" w:hAnsi="宋体"/>
                <w:kern w:val="0"/>
                <w:szCs w:val="21"/>
              </w:rPr>
            </w:pPr>
            <w:r>
              <w:rPr>
                <w:rFonts w:ascii="宋体" w:hAnsi="宋体"/>
                <w:kern w:val="0"/>
                <w:szCs w:val="21"/>
              </w:rPr>
              <w:t>1574</w:t>
            </w:r>
          </w:p>
        </w:tc>
        <w:tc>
          <w:tcPr>
            <w:tcW w:w="960" w:type="dxa"/>
            <w:shd w:val="clear" w:color="auto" w:fill="auto"/>
            <w:noWrap/>
            <w:vAlign w:val="center"/>
          </w:tcPr>
          <w:p w14:paraId="623DD687">
            <w:pPr>
              <w:pStyle w:val="23"/>
              <w:jc w:val="center"/>
              <w:rPr>
                <w:rFonts w:ascii="宋体" w:hAnsi="宋体"/>
                <w:kern w:val="0"/>
                <w:szCs w:val="21"/>
              </w:rPr>
            </w:pPr>
            <w:r>
              <w:rPr>
                <w:rFonts w:ascii="宋体" w:hAnsi="宋体"/>
                <w:kern w:val="0"/>
                <w:szCs w:val="21"/>
              </w:rPr>
              <w:t>321</w:t>
            </w:r>
          </w:p>
        </w:tc>
        <w:tc>
          <w:tcPr>
            <w:tcW w:w="960" w:type="dxa"/>
            <w:shd w:val="clear" w:color="auto" w:fill="auto"/>
            <w:noWrap/>
            <w:vAlign w:val="center"/>
          </w:tcPr>
          <w:p w14:paraId="49686FD8">
            <w:pPr>
              <w:pStyle w:val="23"/>
              <w:jc w:val="center"/>
              <w:rPr>
                <w:rFonts w:ascii="宋体" w:hAnsi="宋体"/>
                <w:kern w:val="0"/>
                <w:szCs w:val="21"/>
              </w:rPr>
            </w:pPr>
            <w:r>
              <w:rPr>
                <w:rFonts w:ascii="宋体" w:hAnsi="宋体"/>
                <w:kern w:val="0"/>
                <w:szCs w:val="21"/>
              </w:rPr>
              <w:t>2050</w:t>
            </w:r>
          </w:p>
        </w:tc>
        <w:tc>
          <w:tcPr>
            <w:tcW w:w="960" w:type="dxa"/>
            <w:shd w:val="clear" w:color="auto" w:fill="auto"/>
            <w:noWrap/>
            <w:vAlign w:val="center"/>
          </w:tcPr>
          <w:p w14:paraId="023A3595">
            <w:pPr>
              <w:pStyle w:val="23"/>
              <w:jc w:val="center"/>
              <w:rPr>
                <w:rFonts w:ascii="宋体" w:hAnsi="宋体"/>
                <w:kern w:val="0"/>
                <w:szCs w:val="21"/>
              </w:rPr>
            </w:pPr>
            <w:r>
              <w:rPr>
                <w:rFonts w:ascii="宋体" w:hAnsi="宋体"/>
                <w:kern w:val="0"/>
                <w:szCs w:val="21"/>
              </w:rPr>
              <w:t>6128.1</w:t>
            </w:r>
          </w:p>
        </w:tc>
      </w:tr>
      <w:tr w14:paraId="5652772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960" w:type="dxa"/>
            <w:shd w:val="clear" w:color="auto" w:fill="auto"/>
            <w:noWrap/>
            <w:vAlign w:val="center"/>
          </w:tcPr>
          <w:p w14:paraId="2952D0DC">
            <w:pPr>
              <w:pStyle w:val="23"/>
              <w:jc w:val="center"/>
              <w:rPr>
                <w:rFonts w:ascii="宋体" w:hAnsi="宋体"/>
                <w:kern w:val="0"/>
                <w:szCs w:val="21"/>
              </w:rPr>
            </w:pPr>
            <w:r>
              <w:rPr>
                <w:rFonts w:ascii="宋体" w:hAnsi="宋体"/>
                <w:kern w:val="0"/>
                <w:szCs w:val="21"/>
              </w:rPr>
              <w:t>水松</w:t>
            </w:r>
          </w:p>
        </w:tc>
        <w:tc>
          <w:tcPr>
            <w:tcW w:w="960" w:type="dxa"/>
            <w:shd w:val="clear" w:color="auto" w:fill="auto"/>
            <w:noWrap/>
            <w:vAlign w:val="center"/>
          </w:tcPr>
          <w:p w14:paraId="125B5A64">
            <w:pPr>
              <w:pStyle w:val="23"/>
              <w:jc w:val="center"/>
              <w:rPr>
                <w:rFonts w:ascii="宋体" w:hAnsi="宋体"/>
                <w:kern w:val="0"/>
                <w:szCs w:val="21"/>
              </w:rPr>
            </w:pPr>
            <w:r>
              <w:rPr>
                <w:rFonts w:ascii="宋体" w:hAnsi="宋体"/>
                <w:kern w:val="0"/>
                <w:szCs w:val="21"/>
              </w:rPr>
              <w:t>7.27</w:t>
            </w:r>
          </w:p>
        </w:tc>
        <w:tc>
          <w:tcPr>
            <w:tcW w:w="960" w:type="dxa"/>
            <w:shd w:val="clear" w:color="auto" w:fill="auto"/>
            <w:noWrap/>
            <w:vAlign w:val="center"/>
          </w:tcPr>
          <w:p w14:paraId="0EE135B8">
            <w:pPr>
              <w:pStyle w:val="23"/>
              <w:jc w:val="center"/>
              <w:rPr>
                <w:rFonts w:ascii="宋体" w:hAnsi="宋体"/>
                <w:kern w:val="0"/>
                <w:szCs w:val="21"/>
              </w:rPr>
            </w:pPr>
            <w:r>
              <w:rPr>
                <w:rFonts w:ascii="宋体" w:hAnsi="宋体"/>
                <w:kern w:val="0"/>
                <w:szCs w:val="21"/>
              </w:rPr>
              <w:t>13</w:t>
            </w:r>
          </w:p>
        </w:tc>
        <w:tc>
          <w:tcPr>
            <w:tcW w:w="960" w:type="dxa"/>
            <w:shd w:val="clear" w:color="auto" w:fill="auto"/>
            <w:noWrap/>
            <w:vAlign w:val="center"/>
          </w:tcPr>
          <w:p w14:paraId="23DA5593">
            <w:pPr>
              <w:pStyle w:val="23"/>
              <w:jc w:val="center"/>
              <w:rPr>
                <w:rFonts w:ascii="宋体" w:hAnsi="宋体"/>
                <w:kern w:val="0"/>
                <w:szCs w:val="21"/>
              </w:rPr>
            </w:pPr>
            <w:r>
              <w:rPr>
                <w:rFonts w:ascii="宋体" w:hAnsi="宋体"/>
                <w:kern w:val="0"/>
                <w:szCs w:val="21"/>
              </w:rPr>
              <w:t>558</w:t>
            </w:r>
          </w:p>
        </w:tc>
        <w:tc>
          <w:tcPr>
            <w:tcW w:w="960" w:type="dxa"/>
            <w:shd w:val="clear" w:color="auto" w:fill="auto"/>
            <w:noWrap/>
            <w:vAlign w:val="center"/>
          </w:tcPr>
          <w:p w14:paraId="110A7281">
            <w:pPr>
              <w:pStyle w:val="23"/>
              <w:jc w:val="center"/>
              <w:rPr>
                <w:rFonts w:ascii="宋体" w:hAnsi="宋体"/>
                <w:kern w:val="0"/>
                <w:szCs w:val="21"/>
              </w:rPr>
            </w:pPr>
            <w:r>
              <w:rPr>
                <w:rFonts w:ascii="宋体" w:hAnsi="宋体"/>
                <w:kern w:val="0"/>
                <w:szCs w:val="21"/>
              </w:rPr>
              <w:t>2465</w:t>
            </w:r>
          </w:p>
        </w:tc>
        <w:tc>
          <w:tcPr>
            <w:tcW w:w="960" w:type="dxa"/>
            <w:shd w:val="clear" w:color="auto" w:fill="auto"/>
            <w:noWrap/>
            <w:vAlign w:val="center"/>
          </w:tcPr>
          <w:p w14:paraId="6D45C88D">
            <w:pPr>
              <w:pStyle w:val="23"/>
              <w:jc w:val="center"/>
              <w:rPr>
                <w:rFonts w:ascii="宋体" w:hAnsi="宋体"/>
                <w:kern w:val="0"/>
                <w:szCs w:val="21"/>
              </w:rPr>
            </w:pPr>
            <w:r>
              <w:rPr>
                <w:rFonts w:ascii="宋体" w:hAnsi="宋体"/>
                <w:kern w:val="0"/>
                <w:szCs w:val="21"/>
              </w:rPr>
              <w:t>2963</w:t>
            </w:r>
          </w:p>
        </w:tc>
        <w:tc>
          <w:tcPr>
            <w:tcW w:w="960" w:type="dxa"/>
            <w:shd w:val="clear" w:color="auto" w:fill="auto"/>
            <w:noWrap/>
            <w:vAlign w:val="center"/>
          </w:tcPr>
          <w:p w14:paraId="0E07D169">
            <w:pPr>
              <w:pStyle w:val="23"/>
              <w:jc w:val="center"/>
              <w:rPr>
                <w:rFonts w:ascii="宋体" w:hAnsi="宋体"/>
                <w:kern w:val="0"/>
                <w:szCs w:val="21"/>
              </w:rPr>
            </w:pPr>
            <w:r>
              <w:rPr>
                <w:rFonts w:ascii="宋体" w:hAnsi="宋体"/>
                <w:kern w:val="0"/>
                <w:szCs w:val="21"/>
              </w:rPr>
              <w:t>1920</w:t>
            </w:r>
          </w:p>
        </w:tc>
        <w:tc>
          <w:tcPr>
            <w:tcW w:w="960" w:type="dxa"/>
            <w:shd w:val="clear" w:color="auto" w:fill="auto"/>
            <w:noWrap/>
            <w:vAlign w:val="center"/>
          </w:tcPr>
          <w:p w14:paraId="2D86E005">
            <w:pPr>
              <w:pStyle w:val="23"/>
              <w:jc w:val="center"/>
              <w:rPr>
                <w:rFonts w:ascii="宋体" w:hAnsi="宋体"/>
                <w:kern w:val="0"/>
                <w:szCs w:val="21"/>
              </w:rPr>
            </w:pPr>
            <w:r>
              <w:rPr>
                <w:rFonts w:ascii="宋体" w:hAnsi="宋体"/>
                <w:kern w:val="0"/>
                <w:szCs w:val="21"/>
              </w:rPr>
              <w:t>1043</w:t>
            </w:r>
          </w:p>
        </w:tc>
        <w:tc>
          <w:tcPr>
            <w:tcW w:w="960" w:type="dxa"/>
            <w:shd w:val="clear" w:color="auto" w:fill="auto"/>
            <w:noWrap/>
            <w:vAlign w:val="center"/>
          </w:tcPr>
          <w:p w14:paraId="76BC4EAD">
            <w:pPr>
              <w:pStyle w:val="23"/>
              <w:jc w:val="center"/>
              <w:rPr>
                <w:rFonts w:ascii="宋体" w:hAnsi="宋体"/>
                <w:kern w:val="0"/>
                <w:szCs w:val="21"/>
              </w:rPr>
            </w:pPr>
            <w:r>
              <w:rPr>
                <w:rFonts w:ascii="宋体" w:hAnsi="宋体"/>
                <w:kern w:val="0"/>
                <w:szCs w:val="21"/>
              </w:rPr>
              <w:t>3104</w:t>
            </w:r>
          </w:p>
        </w:tc>
        <w:tc>
          <w:tcPr>
            <w:tcW w:w="960" w:type="dxa"/>
            <w:shd w:val="clear" w:color="auto" w:fill="auto"/>
            <w:noWrap/>
            <w:vAlign w:val="center"/>
          </w:tcPr>
          <w:p w14:paraId="5610969D">
            <w:pPr>
              <w:pStyle w:val="23"/>
              <w:jc w:val="center"/>
              <w:rPr>
                <w:rFonts w:ascii="宋体" w:hAnsi="宋体"/>
                <w:kern w:val="0"/>
                <w:szCs w:val="21"/>
              </w:rPr>
            </w:pPr>
            <w:r>
              <w:rPr>
                <w:rFonts w:ascii="宋体" w:hAnsi="宋体"/>
                <w:kern w:val="0"/>
                <w:szCs w:val="21"/>
              </w:rPr>
              <w:t>5777.9</w:t>
            </w:r>
          </w:p>
        </w:tc>
      </w:tr>
      <w:tr w14:paraId="4F3E6C8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960" w:type="dxa"/>
            <w:shd w:val="clear" w:color="auto" w:fill="auto"/>
            <w:noWrap/>
            <w:vAlign w:val="center"/>
          </w:tcPr>
          <w:p w14:paraId="6EE9A200">
            <w:pPr>
              <w:pStyle w:val="23"/>
              <w:jc w:val="center"/>
              <w:rPr>
                <w:rFonts w:ascii="宋体" w:hAnsi="宋体"/>
                <w:kern w:val="0"/>
                <w:szCs w:val="21"/>
              </w:rPr>
            </w:pPr>
            <w:r>
              <w:rPr>
                <w:rFonts w:ascii="宋体" w:hAnsi="宋体"/>
                <w:kern w:val="0"/>
                <w:szCs w:val="21"/>
              </w:rPr>
              <w:t>黄洞</w:t>
            </w:r>
          </w:p>
        </w:tc>
        <w:tc>
          <w:tcPr>
            <w:tcW w:w="960" w:type="dxa"/>
            <w:shd w:val="clear" w:color="auto" w:fill="auto"/>
            <w:noWrap/>
            <w:vAlign w:val="center"/>
          </w:tcPr>
          <w:p w14:paraId="7B727659">
            <w:pPr>
              <w:pStyle w:val="23"/>
              <w:jc w:val="center"/>
              <w:rPr>
                <w:rFonts w:ascii="宋体" w:hAnsi="宋体"/>
                <w:kern w:val="0"/>
                <w:szCs w:val="21"/>
              </w:rPr>
            </w:pPr>
            <w:r>
              <w:rPr>
                <w:rFonts w:ascii="宋体" w:hAnsi="宋体"/>
                <w:kern w:val="0"/>
                <w:szCs w:val="21"/>
              </w:rPr>
              <w:t>4.41</w:t>
            </w:r>
          </w:p>
        </w:tc>
        <w:tc>
          <w:tcPr>
            <w:tcW w:w="960" w:type="dxa"/>
            <w:shd w:val="clear" w:color="auto" w:fill="auto"/>
            <w:noWrap/>
            <w:vAlign w:val="center"/>
          </w:tcPr>
          <w:p w14:paraId="2A3EB7F5">
            <w:pPr>
              <w:pStyle w:val="23"/>
              <w:jc w:val="center"/>
              <w:rPr>
                <w:rFonts w:ascii="宋体" w:hAnsi="宋体"/>
                <w:kern w:val="0"/>
                <w:szCs w:val="21"/>
              </w:rPr>
            </w:pPr>
            <w:r>
              <w:rPr>
                <w:rFonts w:ascii="宋体" w:hAnsi="宋体"/>
                <w:kern w:val="0"/>
                <w:szCs w:val="21"/>
              </w:rPr>
              <w:t>8</w:t>
            </w:r>
          </w:p>
        </w:tc>
        <w:tc>
          <w:tcPr>
            <w:tcW w:w="960" w:type="dxa"/>
            <w:shd w:val="clear" w:color="auto" w:fill="auto"/>
            <w:noWrap/>
            <w:vAlign w:val="center"/>
          </w:tcPr>
          <w:p w14:paraId="54394C85">
            <w:pPr>
              <w:pStyle w:val="23"/>
              <w:jc w:val="center"/>
              <w:rPr>
                <w:rFonts w:ascii="宋体" w:hAnsi="宋体"/>
                <w:kern w:val="0"/>
                <w:szCs w:val="21"/>
              </w:rPr>
            </w:pPr>
            <w:r>
              <w:rPr>
                <w:rFonts w:ascii="宋体" w:hAnsi="宋体"/>
                <w:kern w:val="0"/>
                <w:szCs w:val="21"/>
              </w:rPr>
              <w:t>261</w:t>
            </w:r>
          </w:p>
        </w:tc>
        <w:tc>
          <w:tcPr>
            <w:tcW w:w="960" w:type="dxa"/>
            <w:shd w:val="clear" w:color="auto" w:fill="auto"/>
            <w:noWrap/>
            <w:vAlign w:val="center"/>
          </w:tcPr>
          <w:p w14:paraId="067C6ADA">
            <w:pPr>
              <w:pStyle w:val="23"/>
              <w:jc w:val="center"/>
              <w:rPr>
                <w:rFonts w:ascii="宋体" w:hAnsi="宋体"/>
                <w:kern w:val="0"/>
                <w:szCs w:val="21"/>
              </w:rPr>
            </w:pPr>
            <w:r>
              <w:rPr>
                <w:rFonts w:ascii="宋体" w:hAnsi="宋体"/>
                <w:kern w:val="0"/>
                <w:szCs w:val="21"/>
              </w:rPr>
              <w:t>1070</w:t>
            </w:r>
          </w:p>
        </w:tc>
        <w:tc>
          <w:tcPr>
            <w:tcW w:w="960" w:type="dxa"/>
            <w:shd w:val="clear" w:color="auto" w:fill="auto"/>
            <w:noWrap/>
            <w:vAlign w:val="center"/>
          </w:tcPr>
          <w:p w14:paraId="6AFA2B80">
            <w:pPr>
              <w:pStyle w:val="23"/>
              <w:jc w:val="center"/>
              <w:rPr>
                <w:rFonts w:ascii="宋体" w:hAnsi="宋体"/>
                <w:kern w:val="0"/>
                <w:szCs w:val="21"/>
              </w:rPr>
            </w:pPr>
            <w:r>
              <w:rPr>
                <w:rFonts w:ascii="宋体" w:hAnsi="宋体"/>
                <w:kern w:val="0"/>
                <w:szCs w:val="21"/>
              </w:rPr>
              <w:t>1597</w:t>
            </w:r>
          </w:p>
        </w:tc>
        <w:tc>
          <w:tcPr>
            <w:tcW w:w="960" w:type="dxa"/>
            <w:shd w:val="clear" w:color="auto" w:fill="auto"/>
            <w:noWrap/>
            <w:vAlign w:val="center"/>
          </w:tcPr>
          <w:p w14:paraId="35E49D7D">
            <w:pPr>
              <w:pStyle w:val="23"/>
              <w:jc w:val="center"/>
              <w:rPr>
                <w:rFonts w:ascii="宋体" w:hAnsi="宋体"/>
                <w:kern w:val="0"/>
                <w:szCs w:val="21"/>
              </w:rPr>
            </w:pPr>
            <w:r>
              <w:rPr>
                <w:rFonts w:ascii="宋体" w:hAnsi="宋体"/>
                <w:kern w:val="0"/>
                <w:szCs w:val="21"/>
              </w:rPr>
              <w:t>1312</w:t>
            </w:r>
          </w:p>
        </w:tc>
        <w:tc>
          <w:tcPr>
            <w:tcW w:w="960" w:type="dxa"/>
            <w:shd w:val="clear" w:color="auto" w:fill="auto"/>
            <w:noWrap/>
            <w:vAlign w:val="center"/>
          </w:tcPr>
          <w:p w14:paraId="0616754F">
            <w:pPr>
              <w:pStyle w:val="23"/>
              <w:jc w:val="center"/>
              <w:rPr>
                <w:rFonts w:ascii="宋体" w:hAnsi="宋体"/>
                <w:kern w:val="0"/>
                <w:szCs w:val="21"/>
              </w:rPr>
            </w:pPr>
            <w:r>
              <w:rPr>
                <w:rFonts w:ascii="宋体" w:hAnsi="宋体"/>
                <w:kern w:val="0"/>
                <w:szCs w:val="21"/>
              </w:rPr>
              <w:t>285</w:t>
            </w:r>
          </w:p>
        </w:tc>
        <w:tc>
          <w:tcPr>
            <w:tcW w:w="960" w:type="dxa"/>
            <w:shd w:val="clear" w:color="auto" w:fill="auto"/>
            <w:noWrap/>
            <w:vAlign w:val="center"/>
          </w:tcPr>
          <w:p w14:paraId="1D97C4DA">
            <w:pPr>
              <w:pStyle w:val="23"/>
              <w:jc w:val="center"/>
              <w:rPr>
                <w:rFonts w:ascii="宋体" w:hAnsi="宋体"/>
                <w:kern w:val="0"/>
                <w:szCs w:val="21"/>
              </w:rPr>
            </w:pPr>
            <w:r>
              <w:rPr>
                <w:rFonts w:ascii="宋体" w:hAnsi="宋体"/>
                <w:kern w:val="0"/>
                <w:szCs w:val="21"/>
              </w:rPr>
              <w:t>1364</w:t>
            </w:r>
          </w:p>
        </w:tc>
        <w:tc>
          <w:tcPr>
            <w:tcW w:w="960" w:type="dxa"/>
            <w:shd w:val="clear" w:color="auto" w:fill="auto"/>
            <w:noWrap/>
            <w:vAlign w:val="center"/>
          </w:tcPr>
          <w:p w14:paraId="03510801">
            <w:pPr>
              <w:pStyle w:val="23"/>
              <w:jc w:val="center"/>
              <w:rPr>
                <w:rFonts w:ascii="宋体" w:hAnsi="宋体"/>
                <w:kern w:val="0"/>
                <w:szCs w:val="21"/>
              </w:rPr>
            </w:pPr>
            <w:r>
              <w:rPr>
                <w:rFonts w:ascii="宋体" w:hAnsi="宋体"/>
                <w:kern w:val="0"/>
                <w:szCs w:val="21"/>
              </w:rPr>
              <w:t>6008.5</w:t>
            </w:r>
          </w:p>
        </w:tc>
      </w:tr>
      <w:tr w14:paraId="2324526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960" w:type="dxa"/>
            <w:shd w:val="clear" w:color="auto" w:fill="auto"/>
            <w:noWrap/>
            <w:vAlign w:val="center"/>
          </w:tcPr>
          <w:p w14:paraId="654E9861">
            <w:pPr>
              <w:pStyle w:val="23"/>
              <w:jc w:val="center"/>
              <w:rPr>
                <w:rFonts w:ascii="宋体" w:hAnsi="宋体"/>
                <w:kern w:val="0"/>
                <w:szCs w:val="21"/>
              </w:rPr>
            </w:pPr>
            <w:r>
              <w:rPr>
                <w:rFonts w:ascii="宋体" w:hAnsi="宋体"/>
                <w:kern w:val="0"/>
                <w:szCs w:val="21"/>
              </w:rPr>
              <w:t>白胜</w:t>
            </w:r>
          </w:p>
        </w:tc>
        <w:tc>
          <w:tcPr>
            <w:tcW w:w="960" w:type="dxa"/>
            <w:shd w:val="clear" w:color="auto" w:fill="auto"/>
            <w:noWrap/>
            <w:vAlign w:val="center"/>
          </w:tcPr>
          <w:p w14:paraId="28A13E4C">
            <w:pPr>
              <w:pStyle w:val="23"/>
              <w:jc w:val="center"/>
              <w:rPr>
                <w:rFonts w:ascii="宋体" w:hAnsi="宋体"/>
                <w:kern w:val="0"/>
                <w:szCs w:val="21"/>
              </w:rPr>
            </w:pPr>
            <w:r>
              <w:rPr>
                <w:rFonts w:ascii="宋体" w:hAnsi="宋体"/>
                <w:kern w:val="0"/>
                <w:szCs w:val="21"/>
              </w:rPr>
              <w:t>13.79</w:t>
            </w:r>
          </w:p>
        </w:tc>
        <w:tc>
          <w:tcPr>
            <w:tcW w:w="960" w:type="dxa"/>
            <w:shd w:val="clear" w:color="auto" w:fill="auto"/>
            <w:noWrap/>
            <w:vAlign w:val="center"/>
          </w:tcPr>
          <w:p w14:paraId="2F0B0348">
            <w:pPr>
              <w:pStyle w:val="23"/>
              <w:jc w:val="center"/>
              <w:rPr>
                <w:rFonts w:ascii="宋体" w:hAnsi="宋体"/>
                <w:kern w:val="0"/>
                <w:szCs w:val="21"/>
              </w:rPr>
            </w:pPr>
            <w:r>
              <w:rPr>
                <w:rFonts w:ascii="宋体" w:hAnsi="宋体"/>
                <w:kern w:val="0"/>
                <w:szCs w:val="21"/>
              </w:rPr>
              <w:t>17</w:t>
            </w:r>
          </w:p>
        </w:tc>
        <w:tc>
          <w:tcPr>
            <w:tcW w:w="960" w:type="dxa"/>
            <w:shd w:val="clear" w:color="auto" w:fill="auto"/>
            <w:noWrap/>
            <w:vAlign w:val="center"/>
          </w:tcPr>
          <w:p w14:paraId="00FD7BBE">
            <w:pPr>
              <w:pStyle w:val="23"/>
              <w:jc w:val="center"/>
              <w:rPr>
                <w:rFonts w:ascii="宋体" w:hAnsi="宋体"/>
                <w:kern w:val="0"/>
                <w:szCs w:val="21"/>
              </w:rPr>
            </w:pPr>
            <w:r>
              <w:rPr>
                <w:rFonts w:ascii="宋体" w:hAnsi="宋体"/>
                <w:kern w:val="0"/>
                <w:szCs w:val="21"/>
              </w:rPr>
              <w:t>668</w:t>
            </w:r>
          </w:p>
        </w:tc>
        <w:tc>
          <w:tcPr>
            <w:tcW w:w="960" w:type="dxa"/>
            <w:shd w:val="clear" w:color="auto" w:fill="auto"/>
            <w:noWrap/>
            <w:vAlign w:val="center"/>
          </w:tcPr>
          <w:p w14:paraId="53092D67">
            <w:pPr>
              <w:pStyle w:val="23"/>
              <w:jc w:val="center"/>
              <w:rPr>
                <w:rFonts w:ascii="宋体" w:hAnsi="宋体"/>
                <w:kern w:val="0"/>
                <w:szCs w:val="21"/>
              </w:rPr>
            </w:pPr>
            <w:r>
              <w:rPr>
                <w:rFonts w:ascii="宋体" w:hAnsi="宋体"/>
                <w:kern w:val="0"/>
                <w:szCs w:val="21"/>
              </w:rPr>
              <w:t>2744</w:t>
            </w:r>
          </w:p>
        </w:tc>
        <w:tc>
          <w:tcPr>
            <w:tcW w:w="960" w:type="dxa"/>
            <w:shd w:val="clear" w:color="auto" w:fill="auto"/>
            <w:noWrap/>
            <w:vAlign w:val="center"/>
          </w:tcPr>
          <w:p w14:paraId="0DEE1DAE">
            <w:pPr>
              <w:pStyle w:val="23"/>
              <w:jc w:val="center"/>
              <w:rPr>
                <w:rFonts w:ascii="宋体" w:hAnsi="宋体"/>
                <w:kern w:val="0"/>
                <w:szCs w:val="21"/>
              </w:rPr>
            </w:pPr>
            <w:r>
              <w:rPr>
                <w:rFonts w:ascii="宋体" w:hAnsi="宋体"/>
                <w:kern w:val="0"/>
                <w:szCs w:val="21"/>
              </w:rPr>
              <w:t>3385</w:t>
            </w:r>
          </w:p>
        </w:tc>
        <w:tc>
          <w:tcPr>
            <w:tcW w:w="960" w:type="dxa"/>
            <w:shd w:val="clear" w:color="auto" w:fill="auto"/>
            <w:noWrap/>
            <w:vAlign w:val="center"/>
          </w:tcPr>
          <w:p w14:paraId="45F4C993">
            <w:pPr>
              <w:pStyle w:val="23"/>
              <w:jc w:val="center"/>
              <w:rPr>
                <w:rFonts w:ascii="宋体" w:hAnsi="宋体"/>
                <w:kern w:val="0"/>
                <w:szCs w:val="21"/>
              </w:rPr>
            </w:pPr>
            <w:r>
              <w:rPr>
                <w:rFonts w:ascii="宋体" w:hAnsi="宋体"/>
                <w:kern w:val="0"/>
                <w:szCs w:val="21"/>
              </w:rPr>
              <w:t>3341</w:t>
            </w:r>
          </w:p>
        </w:tc>
        <w:tc>
          <w:tcPr>
            <w:tcW w:w="960" w:type="dxa"/>
            <w:shd w:val="clear" w:color="auto" w:fill="auto"/>
            <w:noWrap/>
            <w:vAlign w:val="center"/>
          </w:tcPr>
          <w:p w14:paraId="17DD22CE">
            <w:pPr>
              <w:pStyle w:val="23"/>
              <w:jc w:val="center"/>
              <w:rPr>
                <w:rFonts w:ascii="宋体" w:hAnsi="宋体"/>
                <w:kern w:val="0"/>
                <w:szCs w:val="21"/>
              </w:rPr>
            </w:pPr>
            <w:r>
              <w:rPr>
                <w:rFonts w:ascii="宋体" w:hAnsi="宋体"/>
                <w:kern w:val="0"/>
                <w:szCs w:val="21"/>
              </w:rPr>
              <w:t>44</w:t>
            </w:r>
          </w:p>
        </w:tc>
        <w:tc>
          <w:tcPr>
            <w:tcW w:w="960" w:type="dxa"/>
            <w:shd w:val="clear" w:color="auto" w:fill="auto"/>
            <w:noWrap/>
            <w:vAlign w:val="center"/>
          </w:tcPr>
          <w:p w14:paraId="192F6B4E">
            <w:pPr>
              <w:pStyle w:val="23"/>
              <w:jc w:val="center"/>
              <w:rPr>
                <w:rFonts w:ascii="宋体" w:hAnsi="宋体"/>
                <w:kern w:val="0"/>
                <w:szCs w:val="21"/>
              </w:rPr>
            </w:pPr>
            <w:r>
              <w:rPr>
                <w:rFonts w:ascii="宋体" w:hAnsi="宋体"/>
                <w:kern w:val="0"/>
                <w:szCs w:val="21"/>
              </w:rPr>
              <w:t>3485</w:t>
            </w:r>
          </w:p>
        </w:tc>
        <w:tc>
          <w:tcPr>
            <w:tcW w:w="960" w:type="dxa"/>
            <w:shd w:val="clear" w:color="auto" w:fill="auto"/>
            <w:noWrap/>
            <w:vAlign w:val="center"/>
          </w:tcPr>
          <w:p w14:paraId="34BE655D">
            <w:pPr>
              <w:pStyle w:val="23"/>
              <w:jc w:val="center"/>
              <w:rPr>
                <w:rFonts w:ascii="宋体" w:hAnsi="宋体"/>
                <w:kern w:val="0"/>
                <w:szCs w:val="21"/>
              </w:rPr>
            </w:pPr>
            <w:r>
              <w:rPr>
                <w:rFonts w:ascii="宋体" w:hAnsi="宋体"/>
                <w:kern w:val="0"/>
                <w:szCs w:val="21"/>
              </w:rPr>
              <w:t>6397.4</w:t>
            </w:r>
          </w:p>
        </w:tc>
      </w:tr>
      <w:tr w14:paraId="5B41FC2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960" w:type="dxa"/>
            <w:shd w:val="clear" w:color="auto" w:fill="auto"/>
            <w:noWrap/>
            <w:vAlign w:val="center"/>
          </w:tcPr>
          <w:p w14:paraId="428E841F">
            <w:pPr>
              <w:pStyle w:val="23"/>
              <w:jc w:val="center"/>
              <w:rPr>
                <w:rFonts w:ascii="宋体" w:hAnsi="宋体"/>
                <w:kern w:val="0"/>
                <w:szCs w:val="21"/>
              </w:rPr>
            </w:pPr>
            <w:r>
              <w:rPr>
                <w:rFonts w:ascii="宋体" w:hAnsi="宋体"/>
                <w:kern w:val="0"/>
                <w:szCs w:val="21"/>
              </w:rPr>
              <w:t>田心</w:t>
            </w:r>
          </w:p>
        </w:tc>
        <w:tc>
          <w:tcPr>
            <w:tcW w:w="960" w:type="dxa"/>
            <w:shd w:val="clear" w:color="auto" w:fill="auto"/>
            <w:noWrap/>
            <w:vAlign w:val="center"/>
          </w:tcPr>
          <w:p w14:paraId="7FE4D5C9">
            <w:pPr>
              <w:pStyle w:val="23"/>
              <w:jc w:val="center"/>
              <w:rPr>
                <w:rFonts w:ascii="宋体" w:hAnsi="宋体"/>
                <w:kern w:val="0"/>
                <w:szCs w:val="21"/>
              </w:rPr>
            </w:pPr>
            <w:r>
              <w:rPr>
                <w:rFonts w:ascii="宋体" w:hAnsi="宋体"/>
                <w:kern w:val="0"/>
                <w:szCs w:val="21"/>
              </w:rPr>
              <w:t>7.47</w:t>
            </w:r>
          </w:p>
        </w:tc>
        <w:tc>
          <w:tcPr>
            <w:tcW w:w="960" w:type="dxa"/>
            <w:shd w:val="clear" w:color="auto" w:fill="auto"/>
            <w:noWrap/>
            <w:vAlign w:val="center"/>
          </w:tcPr>
          <w:p w14:paraId="1C589AF2">
            <w:pPr>
              <w:pStyle w:val="23"/>
              <w:jc w:val="center"/>
              <w:rPr>
                <w:rFonts w:ascii="宋体" w:hAnsi="宋体"/>
                <w:kern w:val="0"/>
                <w:szCs w:val="21"/>
              </w:rPr>
            </w:pPr>
            <w:r>
              <w:rPr>
                <w:rFonts w:ascii="宋体" w:hAnsi="宋体"/>
                <w:kern w:val="0"/>
                <w:szCs w:val="21"/>
              </w:rPr>
              <w:t>11</w:t>
            </w:r>
          </w:p>
        </w:tc>
        <w:tc>
          <w:tcPr>
            <w:tcW w:w="960" w:type="dxa"/>
            <w:shd w:val="clear" w:color="auto" w:fill="auto"/>
            <w:noWrap/>
            <w:vAlign w:val="center"/>
          </w:tcPr>
          <w:p w14:paraId="10F3E0CA">
            <w:pPr>
              <w:pStyle w:val="23"/>
              <w:jc w:val="center"/>
              <w:rPr>
                <w:rFonts w:ascii="宋体" w:hAnsi="宋体"/>
                <w:kern w:val="0"/>
                <w:szCs w:val="21"/>
              </w:rPr>
            </w:pPr>
            <w:r>
              <w:rPr>
                <w:rFonts w:ascii="宋体" w:hAnsi="宋体"/>
                <w:kern w:val="0"/>
                <w:szCs w:val="21"/>
              </w:rPr>
              <w:t>422</w:t>
            </w:r>
          </w:p>
        </w:tc>
        <w:tc>
          <w:tcPr>
            <w:tcW w:w="960" w:type="dxa"/>
            <w:shd w:val="clear" w:color="auto" w:fill="auto"/>
            <w:noWrap/>
            <w:vAlign w:val="center"/>
          </w:tcPr>
          <w:p w14:paraId="206FD50B">
            <w:pPr>
              <w:pStyle w:val="23"/>
              <w:jc w:val="center"/>
              <w:rPr>
                <w:rFonts w:ascii="宋体" w:hAnsi="宋体"/>
                <w:kern w:val="0"/>
                <w:szCs w:val="21"/>
              </w:rPr>
            </w:pPr>
            <w:r>
              <w:rPr>
                <w:rFonts w:ascii="宋体" w:hAnsi="宋体"/>
                <w:kern w:val="0"/>
                <w:szCs w:val="21"/>
              </w:rPr>
              <w:t>1927</w:t>
            </w:r>
          </w:p>
        </w:tc>
        <w:tc>
          <w:tcPr>
            <w:tcW w:w="960" w:type="dxa"/>
            <w:shd w:val="clear" w:color="auto" w:fill="auto"/>
            <w:noWrap/>
            <w:vAlign w:val="center"/>
          </w:tcPr>
          <w:p w14:paraId="26EA6053">
            <w:pPr>
              <w:pStyle w:val="23"/>
              <w:jc w:val="center"/>
              <w:rPr>
                <w:rFonts w:ascii="宋体" w:hAnsi="宋体"/>
                <w:kern w:val="0"/>
                <w:szCs w:val="21"/>
              </w:rPr>
            </w:pPr>
            <w:r>
              <w:rPr>
                <w:rFonts w:ascii="宋体" w:hAnsi="宋体"/>
                <w:kern w:val="0"/>
                <w:szCs w:val="21"/>
              </w:rPr>
              <w:t>1860</w:t>
            </w:r>
          </w:p>
        </w:tc>
        <w:tc>
          <w:tcPr>
            <w:tcW w:w="960" w:type="dxa"/>
            <w:shd w:val="clear" w:color="auto" w:fill="auto"/>
            <w:noWrap/>
            <w:vAlign w:val="center"/>
          </w:tcPr>
          <w:p w14:paraId="5D38DA04">
            <w:pPr>
              <w:pStyle w:val="23"/>
              <w:jc w:val="center"/>
              <w:rPr>
                <w:rFonts w:ascii="宋体" w:hAnsi="宋体"/>
                <w:kern w:val="0"/>
                <w:szCs w:val="21"/>
              </w:rPr>
            </w:pPr>
            <w:r>
              <w:rPr>
                <w:rFonts w:ascii="宋体" w:hAnsi="宋体"/>
                <w:kern w:val="0"/>
                <w:szCs w:val="21"/>
              </w:rPr>
              <w:t>1435</w:t>
            </w:r>
          </w:p>
        </w:tc>
        <w:tc>
          <w:tcPr>
            <w:tcW w:w="960" w:type="dxa"/>
            <w:shd w:val="clear" w:color="auto" w:fill="auto"/>
            <w:noWrap/>
            <w:vAlign w:val="center"/>
          </w:tcPr>
          <w:p w14:paraId="37C9DD0E">
            <w:pPr>
              <w:pStyle w:val="23"/>
              <w:jc w:val="center"/>
              <w:rPr>
                <w:rFonts w:ascii="宋体" w:hAnsi="宋体"/>
                <w:kern w:val="0"/>
                <w:szCs w:val="21"/>
              </w:rPr>
            </w:pPr>
            <w:r>
              <w:rPr>
                <w:rFonts w:ascii="宋体" w:hAnsi="宋体"/>
                <w:kern w:val="0"/>
                <w:szCs w:val="21"/>
              </w:rPr>
              <w:t>425</w:t>
            </w:r>
          </w:p>
        </w:tc>
        <w:tc>
          <w:tcPr>
            <w:tcW w:w="960" w:type="dxa"/>
            <w:shd w:val="clear" w:color="auto" w:fill="auto"/>
            <w:noWrap/>
            <w:vAlign w:val="center"/>
          </w:tcPr>
          <w:p w14:paraId="412FF323">
            <w:pPr>
              <w:pStyle w:val="23"/>
              <w:jc w:val="center"/>
              <w:rPr>
                <w:rFonts w:ascii="宋体" w:hAnsi="宋体"/>
                <w:kern w:val="0"/>
                <w:szCs w:val="21"/>
              </w:rPr>
            </w:pPr>
            <w:r>
              <w:rPr>
                <w:rFonts w:ascii="宋体" w:hAnsi="宋体"/>
                <w:kern w:val="0"/>
                <w:szCs w:val="21"/>
              </w:rPr>
              <w:t>2387</w:t>
            </w:r>
          </w:p>
        </w:tc>
        <w:tc>
          <w:tcPr>
            <w:tcW w:w="960" w:type="dxa"/>
            <w:shd w:val="clear" w:color="auto" w:fill="auto"/>
            <w:noWrap/>
            <w:vAlign w:val="center"/>
          </w:tcPr>
          <w:p w14:paraId="5E26D651">
            <w:pPr>
              <w:pStyle w:val="23"/>
              <w:jc w:val="center"/>
              <w:rPr>
                <w:rFonts w:ascii="宋体" w:hAnsi="宋体"/>
                <w:kern w:val="0"/>
                <w:szCs w:val="21"/>
              </w:rPr>
            </w:pPr>
            <w:r>
              <w:rPr>
                <w:rFonts w:ascii="宋体" w:hAnsi="宋体"/>
                <w:kern w:val="0"/>
                <w:szCs w:val="21"/>
              </w:rPr>
              <w:t>6126.8</w:t>
            </w:r>
          </w:p>
        </w:tc>
      </w:tr>
      <w:tr w14:paraId="49561CF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960" w:type="dxa"/>
            <w:shd w:val="clear" w:color="auto" w:fill="auto"/>
            <w:noWrap/>
            <w:vAlign w:val="center"/>
          </w:tcPr>
          <w:p w14:paraId="790DCAFA">
            <w:pPr>
              <w:pStyle w:val="23"/>
              <w:jc w:val="center"/>
              <w:rPr>
                <w:rFonts w:ascii="宋体" w:hAnsi="宋体"/>
                <w:kern w:val="0"/>
                <w:szCs w:val="21"/>
              </w:rPr>
            </w:pPr>
            <w:r>
              <w:rPr>
                <w:rFonts w:ascii="宋体" w:hAnsi="宋体"/>
                <w:kern w:val="0"/>
                <w:szCs w:val="21"/>
              </w:rPr>
              <w:t>大竹</w:t>
            </w:r>
          </w:p>
        </w:tc>
        <w:tc>
          <w:tcPr>
            <w:tcW w:w="960" w:type="dxa"/>
            <w:shd w:val="clear" w:color="auto" w:fill="auto"/>
            <w:noWrap/>
            <w:vAlign w:val="center"/>
          </w:tcPr>
          <w:p w14:paraId="7AE937A3">
            <w:pPr>
              <w:pStyle w:val="23"/>
              <w:jc w:val="center"/>
              <w:rPr>
                <w:rFonts w:ascii="宋体" w:hAnsi="宋体"/>
                <w:kern w:val="0"/>
                <w:szCs w:val="21"/>
              </w:rPr>
            </w:pPr>
            <w:r>
              <w:rPr>
                <w:rFonts w:ascii="宋体" w:hAnsi="宋体"/>
                <w:kern w:val="0"/>
                <w:szCs w:val="21"/>
              </w:rPr>
              <w:t>14.79</w:t>
            </w:r>
          </w:p>
        </w:tc>
        <w:tc>
          <w:tcPr>
            <w:tcW w:w="960" w:type="dxa"/>
            <w:shd w:val="clear" w:color="auto" w:fill="auto"/>
            <w:noWrap/>
            <w:vAlign w:val="center"/>
          </w:tcPr>
          <w:p w14:paraId="366242C9">
            <w:pPr>
              <w:pStyle w:val="23"/>
              <w:jc w:val="center"/>
              <w:rPr>
                <w:rFonts w:ascii="宋体" w:hAnsi="宋体"/>
                <w:kern w:val="0"/>
                <w:szCs w:val="21"/>
              </w:rPr>
            </w:pPr>
            <w:r>
              <w:rPr>
                <w:rFonts w:ascii="宋体" w:hAnsi="宋体"/>
                <w:kern w:val="0"/>
                <w:szCs w:val="21"/>
              </w:rPr>
              <w:t>14</w:t>
            </w:r>
          </w:p>
        </w:tc>
        <w:tc>
          <w:tcPr>
            <w:tcW w:w="960" w:type="dxa"/>
            <w:shd w:val="clear" w:color="auto" w:fill="auto"/>
            <w:noWrap/>
            <w:vAlign w:val="center"/>
          </w:tcPr>
          <w:p w14:paraId="7E992252">
            <w:pPr>
              <w:pStyle w:val="23"/>
              <w:jc w:val="center"/>
              <w:rPr>
                <w:rFonts w:ascii="宋体" w:hAnsi="宋体"/>
                <w:kern w:val="0"/>
                <w:szCs w:val="21"/>
              </w:rPr>
            </w:pPr>
            <w:r>
              <w:rPr>
                <w:rFonts w:ascii="宋体" w:hAnsi="宋体"/>
                <w:kern w:val="0"/>
                <w:szCs w:val="21"/>
              </w:rPr>
              <w:t>358</w:t>
            </w:r>
          </w:p>
        </w:tc>
        <w:tc>
          <w:tcPr>
            <w:tcW w:w="960" w:type="dxa"/>
            <w:shd w:val="clear" w:color="auto" w:fill="auto"/>
            <w:noWrap/>
            <w:vAlign w:val="center"/>
          </w:tcPr>
          <w:p w14:paraId="3F85F1C8">
            <w:pPr>
              <w:pStyle w:val="23"/>
              <w:jc w:val="center"/>
              <w:rPr>
                <w:rFonts w:ascii="宋体" w:hAnsi="宋体"/>
                <w:kern w:val="0"/>
                <w:szCs w:val="21"/>
              </w:rPr>
            </w:pPr>
            <w:r>
              <w:rPr>
                <w:rFonts w:ascii="宋体" w:hAnsi="宋体"/>
                <w:kern w:val="0"/>
                <w:szCs w:val="21"/>
              </w:rPr>
              <w:t>1592</w:t>
            </w:r>
          </w:p>
        </w:tc>
        <w:tc>
          <w:tcPr>
            <w:tcW w:w="960" w:type="dxa"/>
            <w:shd w:val="clear" w:color="auto" w:fill="auto"/>
            <w:noWrap/>
            <w:vAlign w:val="center"/>
          </w:tcPr>
          <w:p w14:paraId="1E374D04">
            <w:pPr>
              <w:pStyle w:val="23"/>
              <w:jc w:val="center"/>
              <w:rPr>
                <w:rFonts w:ascii="宋体" w:hAnsi="宋体"/>
                <w:kern w:val="0"/>
                <w:szCs w:val="21"/>
              </w:rPr>
            </w:pPr>
            <w:r>
              <w:rPr>
                <w:rFonts w:ascii="宋体" w:hAnsi="宋体"/>
                <w:kern w:val="0"/>
                <w:szCs w:val="21"/>
              </w:rPr>
              <w:t>1791</w:t>
            </w:r>
          </w:p>
        </w:tc>
        <w:tc>
          <w:tcPr>
            <w:tcW w:w="960" w:type="dxa"/>
            <w:shd w:val="clear" w:color="auto" w:fill="auto"/>
            <w:noWrap/>
            <w:vAlign w:val="center"/>
          </w:tcPr>
          <w:p w14:paraId="36ABC474">
            <w:pPr>
              <w:pStyle w:val="23"/>
              <w:jc w:val="center"/>
              <w:rPr>
                <w:rFonts w:ascii="宋体" w:hAnsi="宋体"/>
                <w:kern w:val="0"/>
                <w:szCs w:val="21"/>
              </w:rPr>
            </w:pPr>
            <w:r>
              <w:rPr>
                <w:rFonts w:ascii="宋体" w:hAnsi="宋体"/>
                <w:kern w:val="0"/>
                <w:szCs w:val="21"/>
              </w:rPr>
              <w:t>1763</w:t>
            </w:r>
          </w:p>
        </w:tc>
        <w:tc>
          <w:tcPr>
            <w:tcW w:w="960" w:type="dxa"/>
            <w:shd w:val="clear" w:color="auto" w:fill="auto"/>
            <w:noWrap/>
            <w:vAlign w:val="center"/>
          </w:tcPr>
          <w:p w14:paraId="3B44EC0E">
            <w:pPr>
              <w:pStyle w:val="23"/>
              <w:jc w:val="center"/>
              <w:rPr>
                <w:rFonts w:ascii="宋体" w:hAnsi="宋体"/>
                <w:kern w:val="0"/>
                <w:szCs w:val="21"/>
              </w:rPr>
            </w:pPr>
            <w:r>
              <w:rPr>
                <w:rFonts w:ascii="宋体" w:hAnsi="宋体"/>
                <w:kern w:val="0"/>
                <w:szCs w:val="21"/>
              </w:rPr>
              <w:t>28</w:t>
            </w:r>
          </w:p>
        </w:tc>
        <w:tc>
          <w:tcPr>
            <w:tcW w:w="960" w:type="dxa"/>
            <w:shd w:val="clear" w:color="auto" w:fill="auto"/>
            <w:noWrap/>
            <w:vAlign w:val="center"/>
          </w:tcPr>
          <w:p w14:paraId="2C748097">
            <w:pPr>
              <w:pStyle w:val="23"/>
              <w:jc w:val="center"/>
              <w:rPr>
                <w:rFonts w:ascii="宋体" w:hAnsi="宋体"/>
                <w:kern w:val="0"/>
                <w:szCs w:val="21"/>
              </w:rPr>
            </w:pPr>
            <w:r>
              <w:rPr>
                <w:rFonts w:ascii="宋体" w:hAnsi="宋体"/>
                <w:kern w:val="0"/>
                <w:szCs w:val="21"/>
              </w:rPr>
              <w:t>2024</w:t>
            </w:r>
          </w:p>
        </w:tc>
        <w:tc>
          <w:tcPr>
            <w:tcW w:w="960" w:type="dxa"/>
            <w:shd w:val="clear" w:color="auto" w:fill="auto"/>
            <w:noWrap/>
            <w:vAlign w:val="center"/>
          </w:tcPr>
          <w:p w14:paraId="010975DB">
            <w:pPr>
              <w:pStyle w:val="23"/>
              <w:jc w:val="center"/>
              <w:rPr>
                <w:rFonts w:ascii="宋体" w:hAnsi="宋体"/>
                <w:kern w:val="0"/>
                <w:szCs w:val="21"/>
              </w:rPr>
            </w:pPr>
            <w:r>
              <w:rPr>
                <w:rFonts w:ascii="宋体" w:hAnsi="宋体"/>
                <w:kern w:val="0"/>
                <w:szCs w:val="21"/>
              </w:rPr>
              <w:t>6129.7</w:t>
            </w:r>
          </w:p>
        </w:tc>
      </w:tr>
      <w:tr w14:paraId="399E33F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960" w:type="dxa"/>
            <w:shd w:val="clear" w:color="auto" w:fill="auto"/>
            <w:noWrap/>
            <w:vAlign w:val="center"/>
          </w:tcPr>
          <w:p w14:paraId="419C391B">
            <w:pPr>
              <w:pStyle w:val="23"/>
              <w:jc w:val="center"/>
              <w:rPr>
                <w:rFonts w:ascii="宋体" w:hAnsi="宋体"/>
                <w:kern w:val="0"/>
                <w:szCs w:val="21"/>
              </w:rPr>
            </w:pPr>
            <w:r>
              <w:rPr>
                <w:rFonts w:ascii="宋体" w:hAnsi="宋体"/>
                <w:kern w:val="0"/>
                <w:szCs w:val="21"/>
              </w:rPr>
              <w:t>孔江</w:t>
            </w:r>
          </w:p>
        </w:tc>
        <w:tc>
          <w:tcPr>
            <w:tcW w:w="960" w:type="dxa"/>
            <w:shd w:val="clear" w:color="auto" w:fill="auto"/>
            <w:noWrap/>
            <w:vAlign w:val="center"/>
          </w:tcPr>
          <w:p w14:paraId="19E1009A">
            <w:pPr>
              <w:pStyle w:val="23"/>
              <w:jc w:val="center"/>
              <w:rPr>
                <w:rFonts w:ascii="宋体" w:hAnsi="宋体"/>
                <w:kern w:val="0"/>
                <w:szCs w:val="21"/>
              </w:rPr>
            </w:pPr>
            <w:r>
              <w:rPr>
                <w:rFonts w:ascii="宋体" w:hAnsi="宋体"/>
                <w:kern w:val="0"/>
                <w:szCs w:val="21"/>
              </w:rPr>
              <w:t>16.89</w:t>
            </w:r>
          </w:p>
        </w:tc>
        <w:tc>
          <w:tcPr>
            <w:tcW w:w="960" w:type="dxa"/>
            <w:shd w:val="clear" w:color="auto" w:fill="auto"/>
            <w:noWrap/>
            <w:vAlign w:val="center"/>
          </w:tcPr>
          <w:p w14:paraId="5CCE11B7">
            <w:pPr>
              <w:pStyle w:val="23"/>
              <w:jc w:val="center"/>
              <w:rPr>
                <w:rFonts w:ascii="宋体" w:hAnsi="宋体"/>
                <w:kern w:val="0"/>
                <w:szCs w:val="21"/>
              </w:rPr>
            </w:pPr>
            <w:r>
              <w:rPr>
                <w:rFonts w:ascii="宋体" w:hAnsi="宋体"/>
                <w:kern w:val="0"/>
                <w:szCs w:val="21"/>
              </w:rPr>
              <w:t>16</w:t>
            </w:r>
          </w:p>
        </w:tc>
        <w:tc>
          <w:tcPr>
            <w:tcW w:w="960" w:type="dxa"/>
            <w:shd w:val="clear" w:color="auto" w:fill="auto"/>
            <w:noWrap/>
            <w:vAlign w:val="center"/>
          </w:tcPr>
          <w:p w14:paraId="6AFDA99F">
            <w:pPr>
              <w:pStyle w:val="23"/>
              <w:jc w:val="center"/>
              <w:rPr>
                <w:rFonts w:ascii="宋体" w:hAnsi="宋体"/>
                <w:kern w:val="0"/>
                <w:szCs w:val="21"/>
              </w:rPr>
            </w:pPr>
            <w:r>
              <w:rPr>
                <w:rFonts w:ascii="宋体" w:hAnsi="宋体"/>
                <w:kern w:val="0"/>
                <w:szCs w:val="21"/>
              </w:rPr>
              <w:t>392</w:t>
            </w:r>
          </w:p>
        </w:tc>
        <w:tc>
          <w:tcPr>
            <w:tcW w:w="960" w:type="dxa"/>
            <w:shd w:val="clear" w:color="auto" w:fill="auto"/>
            <w:noWrap/>
            <w:vAlign w:val="center"/>
          </w:tcPr>
          <w:p w14:paraId="660F1D6E">
            <w:pPr>
              <w:pStyle w:val="23"/>
              <w:jc w:val="center"/>
              <w:rPr>
                <w:rFonts w:ascii="宋体" w:hAnsi="宋体"/>
                <w:kern w:val="0"/>
                <w:szCs w:val="21"/>
              </w:rPr>
            </w:pPr>
            <w:r>
              <w:rPr>
                <w:rFonts w:ascii="宋体" w:hAnsi="宋体"/>
                <w:kern w:val="0"/>
                <w:szCs w:val="21"/>
              </w:rPr>
              <w:t>1637</w:t>
            </w:r>
          </w:p>
        </w:tc>
        <w:tc>
          <w:tcPr>
            <w:tcW w:w="960" w:type="dxa"/>
            <w:shd w:val="clear" w:color="auto" w:fill="auto"/>
            <w:noWrap/>
            <w:vAlign w:val="center"/>
          </w:tcPr>
          <w:p w14:paraId="59FB1F5E">
            <w:pPr>
              <w:pStyle w:val="23"/>
              <w:jc w:val="center"/>
              <w:rPr>
                <w:rFonts w:ascii="宋体" w:hAnsi="宋体"/>
                <w:kern w:val="0"/>
                <w:szCs w:val="21"/>
              </w:rPr>
            </w:pPr>
            <w:r>
              <w:rPr>
                <w:rFonts w:ascii="宋体" w:hAnsi="宋体"/>
                <w:kern w:val="0"/>
                <w:szCs w:val="21"/>
              </w:rPr>
              <w:t>2027</w:t>
            </w:r>
          </w:p>
        </w:tc>
        <w:tc>
          <w:tcPr>
            <w:tcW w:w="960" w:type="dxa"/>
            <w:shd w:val="clear" w:color="auto" w:fill="auto"/>
            <w:noWrap/>
            <w:vAlign w:val="center"/>
          </w:tcPr>
          <w:p w14:paraId="58ACACE5">
            <w:pPr>
              <w:pStyle w:val="23"/>
              <w:jc w:val="center"/>
              <w:rPr>
                <w:rFonts w:ascii="宋体" w:hAnsi="宋体"/>
                <w:kern w:val="0"/>
                <w:szCs w:val="21"/>
              </w:rPr>
            </w:pPr>
            <w:r>
              <w:rPr>
                <w:rFonts w:ascii="宋体" w:hAnsi="宋体"/>
                <w:kern w:val="0"/>
                <w:szCs w:val="21"/>
              </w:rPr>
              <w:t>1787</w:t>
            </w:r>
          </w:p>
        </w:tc>
        <w:tc>
          <w:tcPr>
            <w:tcW w:w="960" w:type="dxa"/>
            <w:shd w:val="clear" w:color="auto" w:fill="auto"/>
            <w:noWrap/>
            <w:vAlign w:val="center"/>
          </w:tcPr>
          <w:p w14:paraId="3D5D4B87">
            <w:pPr>
              <w:pStyle w:val="23"/>
              <w:jc w:val="center"/>
              <w:rPr>
                <w:rFonts w:ascii="宋体" w:hAnsi="宋体"/>
                <w:kern w:val="0"/>
                <w:szCs w:val="21"/>
              </w:rPr>
            </w:pPr>
            <w:r>
              <w:rPr>
                <w:rFonts w:ascii="宋体" w:hAnsi="宋体"/>
                <w:kern w:val="0"/>
                <w:szCs w:val="21"/>
              </w:rPr>
              <w:t>240</w:t>
            </w:r>
          </w:p>
        </w:tc>
        <w:tc>
          <w:tcPr>
            <w:tcW w:w="960" w:type="dxa"/>
            <w:shd w:val="clear" w:color="auto" w:fill="auto"/>
            <w:noWrap/>
            <w:vAlign w:val="center"/>
          </w:tcPr>
          <w:p w14:paraId="0ABB5CCC">
            <w:pPr>
              <w:pStyle w:val="23"/>
              <w:jc w:val="center"/>
              <w:rPr>
                <w:rFonts w:ascii="宋体" w:hAnsi="宋体"/>
                <w:kern w:val="0"/>
                <w:szCs w:val="21"/>
              </w:rPr>
            </w:pPr>
            <w:r>
              <w:rPr>
                <w:rFonts w:ascii="宋体" w:hAnsi="宋体"/>
                <w:kern w:val="0"/>
                <w:szCs w:val="21"/>
              </w:rPr>
              <w:t>2092</w:t>
            </w:r>
          </w:p>
        </w:tc>
        <w:tc>
          <w:tcPr>
            <w:tcW w:w="960" w:type="dxa"/>
            <w:shd w:val="clear" w:color="auto" w:fill="auto"/>
            <w:noWrap/>
            <w:vAlign w:val="center"/>
          </w:tcPr>
          <w:p w14:paraId="6D274F4B">
            <w:pPr>
              <w:pStyle w:val="23"/>
              <w:jc w:val="center"/>
              <w:rPr>
                <w:rFonts w:ascii="宋体" w:hAnsi="宋体"/>
                <w:kern w:val="0"/>
                <w:szCs w:val="21"/>
              </w:rPr>
            </w:pPr>
            <w:r>
              <w:rPr>
                <w:rFonts w:ascii="宋体" w:hAnsi="宋体"/>
                <w:kern w:val="0"/>
                <w:szCs w:val="21"/>
              </w:rPr>
              <w:t>5758.3</w:t>
            </w:r>
          </w:p>
        </w:tc>
      </w:tr>
      <w:tr w14:paraId="4B94B9E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960" w:type="dxa"/>
            <w:shd w:val="clear" w:color="auto" w:fill="auto"/>
            <w:noWrap/>
            <w:vAlign w:val="center"/>
          </w:tcPr>
          <w:p w14:paraId="32A6CCAD">
            <w:pPr>
              <w:pStyle w:val="23"/>
              <w:jc w:val="center"/>
              <w:rPr>
                <w:rFonts w:ascii="宋体" w:hAnsi="宋体"/>
                <w:kern w:val="0"/>
                <w:szCs w:val="21"/>
              </w:rPr>
            </w:pPr>
            <w:r>
              <w:rPr>
                <w:rFonts w:ascii="宋体" w:hAnsi="宋体"/>
                <w:kern w:val="0"/>
                <w:szCs w:val="21"/>
              </w:rPr>
              <w:t>兰坵</w:t>
            </w:r>
          </w:p>
        </w:tc>
        <w:tc>
          <w:tcPr>
            <w:tcW w:w="960" w:type="dxa"/>
            <w:shd w:val="clear" w:color="auto" w:fill="auto"/>
            <w:noWrap/>
            <w:vAlign w:val="center"/>
          </w:tcPr>
          <w:p w14:paraId="6F62D436">
            <w:pPr>
              <w:pStyle w:val="23"/>
              <w:jc w:val="center"/>
              <w:rPr>
                <w:rFonts w:ascii="宋体" w:hAnsi="宋体"/>
                <w:kern w:val="0"/>
                <w:szCs w:val="21"/>
              </w:rPr>
            </w:pPr>
            <w:r>
              <w:rPr>
                <w:rFonts w:ascii="宋体" w:hAnsi="宋体"/>
                <w:kern w:val="0"/>
                <w:szCs w:val="21"/>
              </w:rPr>
              <w:t>9.79</w:t>
            </w:r>
          </w:p>
        </w:tc>
        <w:tc>
          <w:tcPr>
            <w:tcW w:w="960" w:type="dxa"/>
            <w:shd w:val="clear" w:color="auto" w:fill="auto"/>
            <w:noWrap/>
            <w:vAlign w:val="center"/>
          </w:tcPr>
          <w:p w14:paraId="646AF16C">
            <w:pPr>
              <w:pStyle w:val="23"/>
              <w:jc w:val="center"/>
              <w:rPr>
                <w:rFonts w:ascii="宋体" w:hAnsi="宋体"/>
                <w:kern w:val="0"/>
                <w:szCs w:val="21"/>
              </w:rPr>
            </w:pPr>
            <w:r>
              <w:rPr>
                <w:rFonts w:ascii="宋体" w:hAnsi="宋体"/>
                <w:kern w:val="0"/>
                <w:szCs w:val="21"/>
              </w:rPr>
              <w:t>9</w:t>
            </w:r>
          </w:p>
        </w:tc>
        <w:tc>
          <w:tcPr>
            <w:tcW w:w="960" w:type="dxa"/>
            <w:shd w:val="clear" w:color="auto" w:fill="auto"/>
            <w:noWrap/>
            <w:vAlign w:val="center"/>
          </w:tcPr>
          <w:p w14:paraId="62CD37F7">
            <w:pPr>
              <w:pStyle w:val="23"/>
              <w:jc w:val="center"/>
              <w:rPr>
                <w:rFonts w:ascii="宋体" w:hAnsi="宋体"/>
                <w:kern w:val="0"/>
                <w:szCs w:val="21"/>
              </w:rPr>
            </w:pPr>
            <w:r>
              <w:rPr>
                <w:rFonts w:ascii="宋体" w:hAnsi="宋体"/>
                <w:kern w:val="0"/>
                <w:szCs w:val="21"/>
              </w:rPr>
              <w:t>232</w:t>
            </w:r>
          </w:p>
        </w:tc>
        <w:tc>
          <w:tcPr>
            <w:tcW w:w="960" w:type="dxa"/>
            <w:shd w:val="clear" w:color="auto" w:fill="auto"/>
            <w:noWrap/>
            <w:vAlign w:val="center"/>
          </w:tcPr>
          <w:p w14:paraId="48D109EA">
            <w:pPr>
              <w:pStyle w:val="23"/>
              <w:jc w:val="center"/>
              <w:rPr>
                <w:rFonts w:ascii="宋体" w:hAnsi="宋体"/>
                <w:kern w:val="0"/>
                <w:szCs w:val="21"/>
              </w:rPr>
            </w:pPr>
            <w:r>
              <w:rPr>
                <w:rFonts w:ascii="宋体" w:hAnsi="宋体"/>
                <w:kern w:val="0"/>
                <w:szCs w:val="21"/>
              </w:rPr>
              <w:t>930</w:t>
            </w:r>
          </w:p>
        </w:tc>
        <w:tc>
          <w:tcPr>
            <w:tcW w:w="960" w:type="dxa"/>
            <w:shd w:val="clear" w:color="auto" w:fill="auto"/>
            <w:noWrap/>
            <w:vAlign w:val="center"/>
          </w:tcPr>
          <w:p w14:paraId="609D182B">
            <w:pPr>
              <w:pStyle w:val="23"/>
              <w:jc w:val="center"/>
              <w:rPr>
                <w:rFonts w:ascii="宋体" w:hAnsi="宋体"/>
                <w:kern w:val="0"/>
                <w:szCs w:val="21"/>
              </w:rPr>
            </w:pPr>
            <w:r>
              <w:rPr>
                <w:rFonts w:ascii="宋体" w:hAnsi="宋体"/>
                <w:kern w:val="0"/>
                <w:szCs w:val="21"/>
              </w:rPr>
              <w:t>1171</w:t>
            </w:r>
          </w:p>
        </w:tc>
        <w:tc>
          <w:tcPr>
            <w:tcW w:w="960" w:type="dxa"/>
            <w:shd w:val="clear" w:color="auto" w:fill="auto"/>
            <w:noWrap/>
            <w:vAlign w:val="center"/>
          </w:tcPr>
          <w:p w14:paraId="1DC9C910">
            <w:pPr>
              <w:pStyle w:val="23"/>
              <w:jc w:val="center"/>
              <w:rPr>
                <w:rFonts w:ascii="宋体" w:hAnsi="宋体"/>
                <w:kern w:val="0"/>
                <w:szCs w:val="21"/>
              </w:rPr>
            </w:pPr>
            <w:r>
              <w:rPr>
                <w:rFonts w:ascii="宋体" w:hAnsi="宋体"/>
                <w:kern w:val="0"/>
                <w:szCs w:val="21"/>
              </w:rPr>
              <w:t>928</w:t>
            </w:r>
          </w:p>
        </w:tc>
        <w:tc>
          <w:tcPr>
            <w:tcW w:w="960" w:type="dxa"/>
            <w:shd w:val="clear" w:color="auto" w:fill="auto"/>
            <w:noWrap/>
            <w:vAlign w:val="center"/>
          </w:tcPr>
          <w:p w14:paraId="58A4DF4E">
            <w:pPr>
              <w:pStyle w:val="23"/>
              <w:jc w:val="center"/>
              <w:rPr>
                <w:rFonts w:ascii="宋体" w:hAnsi="宋体"/>
                <w:kern w:val="0"/>
                <w:szCs w:val="21"/>
              </w:rPr>
            </w:pPr>
            <w:r>
              <w:rPr>
                <w:rFonts w:ascii="宋体" w:hAnsi="宋体"/>
                <w:kern w:val="0"/>
                <w:szCs w:val="21"/>
              </w:rPr>
              <w:t>243</w:t>
            </w:r>
          </w:p>
        </w:tc>
        <w:tc>
          <w:tcPr>
            <w:tcW w:w="960" w:type="dxa"/>
            <w:shd w:val="clear" w:color="auto" w:fill="auto"/>
            <w:noWrap/>
            <w:vAlign w:val="center"/>
          </w:tcPr>
          <w:p w14:paraId="11A04B08">
            <w:pPr>
              <w:pStyle w:val="23"/>
              <w:jc w:val="center"/>
              <w:rPr>
                <w:rFonts w:ascii="宋体" w:hAnsi="宋体"/>
                <w:kern w:val="0"/>
                <w:szCs w:val="21"/>
              </w:rPr>
            </w:pPr>
            <w:r>
              <w:rPr>
                <w:rFonts w:ascii="宋体" w:hAnsi="宋体"/>
                <w:kern w:val="0"/>
                <w:szCs w:val="21"/>
              </w:rPr>
              <w:t>1168</w:t>
            </w:r>
          </w:p>
        </w:tc>
        <w:tc>
          <w:tcPr>
            <w:tcW w:w="960" w:type="dxa"/>
            <w:shd w:val="clear" w:color="auto" w:fill="auto"/>
            <w:noWrap/>
            <w:vAlign w:val="center"/>
          </w:tcPr>
          <w:p w14:paraId="43496DCD">
            <w:pPr>
              <w:pStyle w:val="23"/>
              <w:jc w:val="center"/>
              <w:rPr>
                <w:rFonts w:ascii="宋体" w:hAnsi="宋体"/>
                <w:kern w:val="0"/>
                <w:szCs w:val="21"/>
              </w:rPr>
            </w:pPr>
            <w:r>
              <w:rPr>
                <w:rFonts w:ascii="宋体" w:hAnsi="宋体"/>
                <w:kern w:val="0"/>
                <w:szCs w:val="21"/>
              </w:rPr>
              <w:t>5730.9</w:t>
            </w:r>
          </w:p>
        </w:tc>
      </w:tr>
      <w:tr w14:paraId="1327544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960" w:type="dxa"/>
            <w:shd w:val="clear" w:color="auto" w:fill="auto"/>
            <w:noWrap/>
            <w:vAlign w:val="center"/>
          </w:tcPr>
          <w:p w14:paraId="74F3D41D">
            <w:pPr>
              <w:pStyle w:val="23"/>
              <w:jc w:val="center"/>
              <w:rPr>
                <w:rFonts w:ascii="宋体" w:hAnsi="宋体"/>
                <w:kern w:val="0"/>
                <w:szCs w:val="21"/>
              </w:rPr>
            </w:pPr>
            <w:r>
              <w:rPr>
                <w:rFonts w:ascii="宋体" w:hAnsi="宋体"/>
                <w:kern w:val="0"/>
                <w:szCs w:val="21"/>
              </w:rPr>
              <w:t>合计</w:t>
            </w:r>
          </w:p>
        </w:tc>
        <w:tc>
          <w:tcPr>
            <w:tcW w:w="960" w:type="dxa"/>
            <w:shd w:val="clear" w:color="auto" w:fill="auto"/>
            <w:noWrap/>
            <w:vAlign w:val="center"/>
          </w:tcPr>
          <w:p w14:paraId="5E0246BE">
            <w:pPr>
              <w:pStyle w:val="23"/>
              <w:jc w:val="center"/>
              <w:rPr>
                <w:rFonts w:ascii="宋体" w:hAnsi="宋体"/>
                <w:kern w:val="0"/>
                <w:szCs w:val="21"/>
              </w:rPr>
            </w:pPr>
            <w:r>
              <w:rPr>
                <w:rFonts w:ascii="宋体" w:hAnsi="宋体"/>
                <w:kern w:val="0"/>
                <w:szCs w:val="21"/>
              </w:rPr>
              <w:t>152.93</w:t>
            </w:r>
          </w:p>
        </w:tc>
        <w:tc>
          <w:tcPr>
            <w:tcW w:w="960" w:type="dxa"/>
            <w:shd w:val="clear" w:color="auto" w:fill="auto"/>
            <w:noWrap/>
            <w:vAlign w:val="center"/>
          </w:tcPr>
          <w:p w14:paraId="51DAC03D">
            <w:pPr>
              <w:pStyle w:val="23"/>
              <w:jc w:val="center"/>
              <w:rPr>
                <w:rFonts w:ascii="宋体" w:hAnsi="宋体"/>
                <w:kern w:val="0"/>
                <w:szCs w:val="21"/>
              </w:rPr>
            </w:pPr>
            <w:r>
              <w:rPr>
                <w:rFonts w:ascii="宋体" w:hAnsi="宋体"/>
                <w:kern w:val="0"/>
                <w:szCs w:val="21"/>
              </w:rPr>
              <w:t>215</w:t>
            </w:r>
          </w:p>
        </w:tc>
        <w:tc>
          <w:tcPr>
            <w:tcW w:w="960" w:type="dxa"/>
            <w:shd w:val="clear" w:color="auto" w:fill="auto"/>
            <w:noWrap/>
            <w:vAlign w:val="center"/>
          </w:tcPr>
          <w:p w14:paraId="302E800D">
            <w:pPr>
              <w:pStyle w:val="23"/>
              <w:jc w:val="center"/>
              <w:rPr>
                <w:rFonts w:ascii="宋体" w:hAnsi="宋体"/>
                <w:kern w:val="0"/>
                <w:szCs w:val="21"/>
              </w:rPr>
            </w:pPr>
            <w:r>
              <w:rPr>
                <w:rFonts w:ascii="宋体" w:hAnsi="宋体"/>
                <w:kern w:val="0"/>
                <w:szCs w:val="21"/>
              </w:rPr>
              <w:t>11146</w:t>
            </w:r>
          </w:p>
        </w:tc>
        <w:tc>
          <w:tcPr>
            <w:tcW w:w="960" w:type="dxa"/>
            <w:shd w:val="clear" w:color="auto" w:fill="auto"/>
            <w:noWrap/>
            <w:vAlign w:val="center"/>
          </w:tcPr>
          <w:p w14:paraId="599022D7">
            <w:pPr>
              <w:pStyle w:val="23"/>
              <w:jc w:val="center"/>
              <w:rPr>
                <w:rFonts w:ascii="宋体" w:hAnsi="宋体"/>
                <w:kern w:val="0"/>
                <w:szCs w:val="21"/>
              </w:rPr>
            </w:pPr>
            <w:r>
              <w:rPr>
                <w:rFonts w:ascii="宋体" w:hAnsi="宋体"/>
                <w:kern w:val="0"/>
                <w:szCs w:val="21"/>
              </w:rPr>
              <w:t>43638</w:t>
            </w:r>
          </w:p>
        </w:tc>
        <w:tc>
          <w:tcPr>
            <w:tcW w:w="960" w:type="dxa"/>
            <w:shd w:val="clear" w:color="auto" w:fill="auto"/>
            <w:noWrap/>
            <w:vAlign w:val="center"/>
          </w:tcPr>
          <w:p w14:paraId="65675B64">
            <w:pPr>
              <w:pStyle w:val="23"/>
              <w:jc w:val="center"/>
              <w:rPr>
                <w:rFonts w:ascii="宋体" w:hAnsi="宋体"/>
                <w:kern w:val="0"/>
                <w:szCs w:val="21"/>
              </w:rPr>
            </w:pPr>
            <w:r>
              <w:rPr>
                <w:rFonts w:ascii="宋体" w:hAnsi="宋体"/>
                <w:kern w:val="0"/>
                <w:szCs w:val="21"/>
              </w:rPr>
              <w:t>4833</w:t>
            </w:r>
          </w:p>
        </w:tc>
        <w:tc>
          <w:tcPr>
            <w:tcW w:w="960" w:type="dxa"/>
            <w:shd w:val="clear" w:color="auto" w:fill="auto"/>
            <w:noWrap/>
            <w:vAlign w:val="center"/>
          </w:tcPr>
          <w:p w14:paraId="70947A70">
            <w:pPr>
              <w:pStyle w:val="23"/>
              <w:jc w:val="center"/>
              <w:rPr>
                <w:rFonts w:ascii="宋体" w:hAnsi="宋体"/>
                <w:kern w:val="0"/>
                <w:szCs w:val="21"/>
              </w:rPr>
            </w:pPr>
            <w:r>
              <w:rPr>
                <w:rFonts w:ascii="宋体" w:hAnsi="宋体"/>
                <w:kern w:val="0"/>
                <w:szCs w:val="21"/>
              </w:rPr>
              <w:t>32512</w:t>
            </w:r>
          </w:p>
        </w:tc>
        <w:tc>
          <w:tcPr>
            <w:tcW w:w="960" w:type="dxa"/>
            <w:shd w:val="clear" w:color="auto" w:fill="auto"/>
            <w:noWrap/>
            <w:vAlign w:val="center"/>
          </w:tcPr>
          <w:p w14:paraId="5799B937">
            <w:pPr>
              <w:pStyle w:val="23"/>
              <w:jc w:val="center"/>
              <w:rPr>
                <w:rFonts w:ascii="宋体" w:hAnsi="宋体"/>
                <w:kern w:val="0"/>
                <w:szCs w:val="21"/>
              </w:rPr>
            </w:pPr>
            <w:r>
              <w:rPr>
                <w:rFonts w:ascii="宋体" w:hAnsi="宋体"/>
                <w:kern w:val="0"/>
                <w:szCs w:val="21"/>
              </w:rPr>
              <w:t>15823</w:t>
            </w:r>
          </w:p>
        </w:tc>
        <w:tc>
          <w:tcPr>
            <w:tcW w:w="960" w:type="dxa"/>
            <w:shd w:val="clear" w:color="auto" w:fill="auto"/>
            <w:noWrap/>
            <w:vAlign w:val="center"/>
          </w:tcPr>
          <w:p w14:paraId="35B82D84">
            <w:pPr>
              <w:pStyle w:val="23"/>
              <w:jc w:val="center"/>
              <w:rPr>
                <w:rFonts w:ascii="宋体" w:hAnsi="宋体"/>
                <w:kern w:val="0"/>
                <w:szCs w:val="21"/>
              </w:rPr>
            </w:pPr>
            <w:r>
              <w:rPr>
                <w:rFonts w:ascii="宋体" w:hAnsi="宋体"/>
                <w:kern w:val="0"/>
                <w:szCs w:val="21"/>
              </w:rPr>
              <w:t>50830</w:t>
            </w:r>
          </w:p>
        </w:tc>
        <w:tc>
          <w:tcPr>
            <w:tcW w:w="960" w:type="dxa"/>
            <w:shd w:val="clear" w:color="auto" w:fill="auto"/>
            <w:noWrap/>
            <w:vAlign w:val="center"/>
          </w:tcPr>
          <w:p w14:paraId="4AAA58C7">
            <w:pPr>
              <w:pStyle w:val="23"/>
              <w:jc w:val="center"/>
              <w:rPr>
                <w:rFonts w:ascii="宋体" w:hAnsi="宋体"/>
                <w:kern w:val="0"/>
                <w:szCs w:val="21"/>
              </w:rPr>
            </w:pPr>
            <w:r>
              <w:rPr>
                <w:rFonts w:ascii="宋体" w:hAnsi="宋体"/>
                <w:kern w:val="0"/>
                <w:szCs w:val="21"/>
              </w:rPr>
              <w:t>6126</w:t>
            </w:r>
          </w:p>
        </w:tc>
      </w:tr>
    </w:tbl>
    <w:p w14:paraId="3E741236">
      <w:pPr>
        <w:ind w:firstLine="0" w:firstLineChars="0"/>
        <w:jc w:val="right"/>
      </w:pPr>
      <w:r>
        <w:rPr>
          <w:rFonts w:hint="eastAsia"/>
        </w:rPr>
        <w:t>（曾莉萍）</w:t>
      </w:r>
    </w:p>
    <w:p w14:paraId="346BF96A">
      <w:pPr>
        <w:ind w:firstLine="0" w:firstLineChars="0"/>
        <w:rPr>
          <w:rFonts w:ascii="宋体" w:hAnsi="宋体"/>
          <w:b/>
          <w:szCs w:val="21"/>
        </w:rPr>
      </w:pPr>
      <w:r>
        <w:rPr>
          <w:rFonts w:hint="eastAsia" w:ascii="宋体" w:hAnsi="宋体"/>
          <w:b/>
          <w:szCs w:val="21"/>
        </w:rPr>
        <w:t>附：2011年乌迳镇领导班子成员名单</w:t>
      </w:r>
    </w:p>
    <w:p w14:paraId="7823A53F">
      <w:pPr>
        <w:ind w:firstLine="0" w:firstLineChars="0"/>
        <w:rPr>
          <w:rFonts w:ascii="宋体" w:hAnsi="宋体"/>
          <w:szCs w:val="21"/>
        </w:rPr>
      </w:pPr>
      <w:r>
        <w:rPr>
          <w:rFonts w:hint="eastAsia" w:ascii="宋体" w:hAnsi="宋体"/>
          <w:szCs w:val="21"/>
        </w:rPr>
        <w:t>党委书记、人大主席：周铁山</w:t>
      </w:r>
    </w:p>
    <w:p w14:paraId="589E8A96">
      <w:pPr>
        <w:ind w:firstLine="0" w:firstLineChars="0"/>
        <w:rPr>
          <w:rFonts w:ascii="宋体" w:hAnsi="宋体"/>
          <w:szCs w:val="21"/>
        </w:rPr>
      </w:pPr>
      <w:r>
        <w:rPr>
          <w:rFonts w:hint="eastAsia" w:ascii="宋体" w:hAnsi="宋体"/>
          <w:szCs w:val="21"/>
        </w:rPr>
        <w:t>党委副书记、镇长：李泉洲</w:t>
      </w:r>
    </w:p>
    <w:p w14:paraId="2C0B190A">
      <w:pPr>
        <w:ind w:firstLine="0" w:firstLineChars="0"/>
        <w:rPr>
          <w:rFonts w:ascii="宋体" w:hAnsi="宋体"/>
          <w:szCs w:val="21"/>
        </w:rPr>
      </w:pPr>
      <w:r>
        <w:rPr>
          <w:rFonts w:hint="eastAsia" w:ascii="宋体" w:hAnsi="宋体"/>
          <w:szCs w:val="21"/>
        </w:rPr>
        <w:t>党委副书记：郭  君</w:t>
      </w:r>
    </w:p>
    <w:p w14:paraId="353DFA8A">
      <w:pPr>
        <w:ind w:firstLine="0" w:firstLineChars="0"/>
        <w:rPr>
          <w:rFonts w:ascii="宋体" w:hAnsi="宋体"/>
          <w:szCs w:val="21"/>
        </w:rPr>
      </w:pPr>
      <w:r>
        <w:rPr>
          <w:rFonts w:hint="eastAsia" w:ascii="宋体" w:hAnsi="宋体"/>
          <w:szCs w:val="21"/>
        </w:rPr>
        <w:t>纪检组组长、纪委书记：刘发华</w:t>
      </w:r>
    </w:p>
    <w:p w14:paraId="27151308">
      <w:pPr>
        <w:ind w:firstLine="0" w:firstLineChars="0"/>
        <w:rPr>
          <w:rFonts w:ascii="宋体" w:hAnsi="宋体"/>
          <w:szCs w:val="21"/>
        </w:rPr>
      </w:pPr>
      <w:r>
        <w:rPr>
          <w:rFonts w:hint="eastAsia" w:ascii="宋体" w:hAnsi="宋体"/>
          <w:szCs w:val="21"/>
        </w:rPr>
        <w:t>党委组织委员：卢德斌</w:t>
      </w:r>
    </w:p>
    <w:p w14:paraId="2F4F47EF">
      <w:pPr>
        <w:ind w:firstLine="0" w:firstLineChars="0"/>
        <w:rPr>
          <w:rFonts w:ascii="宋体" w:hAnsi="宋体"/>
          <w:szCs w:val="21"/>
        </w:rPr>
      </w:pPr>
      <w:r>
        <w:rPr>
          <w:rFonts w:hint="eastAsia" w:ascii="宋体" w:hAnsi="宋体"/>
          <w:szCs w:val="21"/>
        </w:rPr>
        <w:t>党委宣传委员：苏渊白</w:t>
      </w:r>
    </w:p>
    <w:p w14:paraId="490CA663">
      <w:pPr>
        <w:ind w:firstLine="0" w:firstLineChars="0"/>
        <w:rPr>
          <w:rFonts w:ascii="宋体" w:hAnsi="宋体"/>
          <w:szCs w:val="21"/>
        </w:rPr>
      </w:pPr>
      <w:r>
        <w:rPr>
          <w:rFonts w:hint="eastAsia" w:ascii="宋体" w:hAnsi="宋体"/>
          <w:szCs w:val="21"/>
        </w:rPr>
        <w:t>党委委员、人大副主席：赖荣禄</w:t>
      </w:r>
    </w:p>
    <w:p w14:paraId="04FF852C">
      <w:pPr>
        <w:ind w:firstLine="0" w:firstLineChars="0"/>
        <w:rPr>
          <w:rFonts w:ascii="宋体" w:hAnsi="宋体"/>
          <w:szCs w:val="21"/>
        </w:rPr>
      </w:pPr>
      <w:r>
        <w:rPr>
          <w:rFonts w:hint="eastAsia" w:ascii="宋体" w:hAnsi="宋体"/>
          <w:szCs w:val="21"/>
        </w:rPr>
        <w:t>党委委员、武装部长：张卫平</w:t>
      </w:r>
    </w:p>
    <w:p w14:paraId="0F25DE74">
      <w:pPr>
        <w:ind w:firstLine="0" w:firstLineChars="0"/>
        <w:rPr>
          <w:rFonts w:ascii="宋体" w:hAnsi="宋体"/>
          <w:szCs w:val="21"/>
        </w:rPr>
      </w:pPr>
      <w:r>
        <w:rPr>
          <w:rFonts w:hint="eastAsia" w:ascii="宋体" w:hAnsi="宋体"/>
          <w:szCs w:val="21"/>
        </w:rPr>
        <w:t>党委委员、综治中心专职副主任：董书怡</w:t>
      </w:r>
    </w:p>
    <w:p w14:paraId="2B00929F">
      <w:pPr>
        <w:ind w:firstLine="0" w:firstLineChars="0"/>
        <w:rPr>
          <w:rFonts w:ascii="宋体" w:hAnsi="宋体"/>
          <w:szCs w:val="21"/>
        </w:rPr>
      </w:pPr>
      <w:r>
        <w:rPr>
          <w:rFonts w:hint="eastAsia" w:ascii="宋体" w:hAnsi="宋体"/>
          <w:szCs w:val="21"/>
        </w:rPr>
        <w:t>党委委员：谢章文</w:t>
      </w:r>
    </w:p>
    <w:p w14:paraId="066E7422">
      <w:pPr>
        <w:ind w:firstLine="0" w:firstLineChars="0"/>
        <w:rPr>
          <w:rFonts w:ascii="宋体" w:hAnsi="宋体"/>
          <w:szCs w:val="21"/>
        </w:rPr>
      </w:pPr>
      <w:r>
        <w:rPr>
          <w:rFonts w:hint="eastAsia" w:ascii="宋体" w:hAnsi="宋体"/>
          <w:szCs w:val="21"/>
        </w:rPr>
        <w:t>党委委员、副镇长：沈建强</w:t>
      </w:r>
    </w:p>
    <w:p w14:paraId="4F773A05">
      <w:pPr>
        <w:ind w:firstLine="0" w:firstLineChars="0"/>
        <w:rPr>
          <w:rFonts w:ascii="宋体" w:hAnsi="宋体"/>
          <w:szCs w:val="21"/>
        </w:rPr>
      </w:pPr>
      <w:r>
        <w:rPr>
          <w:rFonts w:hint="eastAsia" w:ascii="宋体" w:hAnsi="宋体"/>
          <w:szCs w:val="21"/>
        </w:rPr>
        <w:t>副镇长：袁小平刘海燕</w:t>
      </w:r>
    </w:p>
    <w:p w14:paraId="12C2B994">
      <w:pPr>
        <w:pStyle w:val="3"/>
      </w:pPr>
      <w:r>
        <w:rPr>
          <w:rFonts w:hint="eastAsia"/>
        </w:rPr>
        <w:t>南亩镇</w:t>
      </w:r>
    </w:p>
    <w:p w14:paraId="4FC13D78">
      <w:pPr>
        <w:pStyle w:val="4"/>
      </w:pPr>
      <w:r>
        <w:rPr>
          <w:rFonts w:hint="eastAsia"/>
        </w:rPr>
        <w:t>【概况】</w:t>
      </w:r>
    </w:p>
    <w:p w14:paraId="3A2B5D30">
      <w:pPr>
        <w:ind w:firstLine="420"/>
        <w:rPr>
          <w:rFonts w:ascii="宋体" w:hAnsi="宋体"/>
          <w:szCs w:val="21"/>
        </w:rPr>
      </w:pPr>
      <w:r>
        <w:rPr>
          <w:rFonts w:hint="eastAsia" w:ascii="宋体" w:hAnsi="宋体"/>
          <w:szCs w:val="21"/>
        </w:rPr>
        <w:t>南亩镇位于南雄市东南部，地处半山区丘陵地带，距南雄市区30公里，东邻坪田镇，北接乌迳、黄坑镇，西连水口镇，南与江西省全南县交界。全镇土地总面积110.3平方公里，其中山地7767公顷，耕地904.47公顷。全镇下辖11个村委会和1个居委会，共104个村小组，截</w:t>
      </w:r>
      <w:r>
        <w:rPr>
          <w:rFonts w:hint="eastAsia" w:ascii="宋体" w:hAnsi="宋体"/>
          <w:szCs w:val="21"/>
          <w:lang w:val="en-US" w:eastAsia="zh-CN"/>
        </w:rPr>
        <w:t>至</w:t>
      </w:r>
      <w:r>
        <w:rPr>
          <w:rFonts w:hint="eastAsia" w:ascii="宋体" w:hAnsi="宋体"/>
          <w:szCs w:val="21"/>
        </w:rPr>
        <w:t>2011年底，总户数4516户，总人口16164人，其中农业人口14672人。境内气候湿润，具有丰富的山地、竹木和稀土资源，经济产业以种养业为主，素有“油茶之乡”、“水果之乡”、“繁猪基地”美誉。</w:t>
      </w:r>
    </w:p>
    <w:p w14:paraId="484AAA9A">
      <w:pPr>
        <w:pStyle w:val="4"/>
      </w:pPr>
      <w:r>
        <w:rPr>
          <w:rFonts w:hint="eastAsia"/>
        </w:rPr>
        <w:t>【经济社会发展】</w:t>
      </w:r>
    </w:p>
    <w:p w14:paraId="26DB3C1E">
      <w:pPr>
        <w:ind w:firstLine="420"/>
        <w:rPr>
          <w:rFonts w:ascii="宋体" w:hAnsi="宋体"/>
          <w:szCs w:val="21"/>
        </w:rPr>
      </w:pPr>
      <w:r>
        <w:rPr>
          <w:rFonts w:hint="eastAsia" w:ascii="宋体" w:hAnsi="宋体"/>
          <w:szCs w:val="21"/>
        </w:rPr>
        <w:t>2011年，全年实现国民生产总值1.706亿元，同比增长8.06%；人均纯收入6001元，同比增长10.17%；粮食播种面积21634亩，（曾莉萍）同比增长8.98%，粮食总产量8348吨，同比增长15.6%，全面实现农业增效，农民增收，财政收入197万元。</w:t>
      </w:r>
    </w:p>
    <w:p w14:paraId="1BFCB99D">
      <w:pPr>
        <w:pStyle w:val="4"/>
      </w:pPr>
      <w:r>
        <w:rPr>
          <w:rFonts w:hint="eastAsia"/>
        </w:rPr>
        <w:t>【社会事业发展】</w:t>
      </w:r>
    </w:p>
    <w:p w14:paraId="6D3DBC56">
      <w:pPr>
        <w:ind w:firstLine="420"/>
        <w:rPr>
          <w:rFonts w:ascii="宋体" w:hAnsi="宋体"/>
          <w:szCs w:val="21"/>
        </w:rPr>
      </w:pPr>
      <w:r>
        <w:rPr>
          <w:rFonts w:hint="eastAsia" w:ascii="宋体" w:hAnsi="宋体"/>
          <w:szCs w:val="21"/>
        </w:rPr>
        <w:t>全镇中小学校共8所（含中心小学），小学阶段适龄儿童入学率、巩固率、毕业率、升学率都达到了100%，教育服务能力显著增强；11个村委会设有农家书屋，藏书达到8千多册；卫生院一所，村级卫生站11所，医疗卫生服务能力明显增强，居民健康水平显著提高，疾病控制、医疗救治和卫生监督三大体系建设取得新进展，98%以上村卫生站实现了疫情信息网络直报；新型合作医疗参保人数14158人，占到市下达任务的100.29%，新农保参保人数5573人。农村低保工作严格推进，全镇有142户298人纳入了低保户，优抚、救济政策全部落实到位。</w:t>
      </w:r>
    </w:p>
    <w:p w14:paraId="130CCA4E">
      <w:pPr>
        <w:pStyle w:val="4"/>
      </w:pPr>
      <w:r>
        <w:rPr>
          <w:rFonts w:hint="eastAsia"/>
        </w:rPr>
        <w:t>【扶贫“双到”】</w:t>
      </w:r>
    </w:p>
    <w:p w14:paraId="15241C87">
      <w:pPr>
        <w:ind w:firstLine="420"/>
        <w:rPr>
          <w:rFonts w:ascii="宋体" w:hAnsi="宋体"/>
          <w:szCs w:val="21"/>
        </w:rPr>
      </w:pPr>
      <w:r>
        <w:rPr>
          <w:rFonts w:hint="eastAsia" w:ascii="宋体" w:hAnsi="宋体"/>
          <w:szCs w:val="21"/>
        </w:rPr>
        <w:t>长洞、岭下两个省考核贫困村，面上贫困村9个，共有贫困户370户，贫困人口1337人。截止2011年底，全镇切实加强对扶贫开发“双到”工作，积极筹措帮扶资金，狠抓帮扶措施落实，扶持长洞村共投入资金161.66万元，岭下村共投入资金209万元，有劳动能力的贫困户人均纯收入已达到2500元以上，其中长洞、岭下村脱贫户数分别是71和41户，实现100%的脱贫目标，占有劳动能力的贫困户数的100%，并且全部参与到帮扶单位扶持发展的农业产业项目中，参与率达100%。</w:t>
      </w:r>
    </w:p>
    <w:p w14:paraId="10857DAC">
      <w:pPr>
        <w:pStyle w:val="4"/>
      </w:pPr>
      <w:r>
        <w:rPr>
          <w:rFonts w:hint="eastAsia"/>
        </w:rPr>
        <w:t>【民生项目建设】</w:t>
      </w:r>
    </w:p>
    <w:p w14:paraId="3D728F94">
      <w:pPr>
        <w:ind w:firstLine="420"/>
        <w:rPr>
          <w:rFonts w:ascii="宋体" w:hAnsi="宋体"/>
          <w:szCs w:val="21"/>
        </w:rPr>
      </w:pPr>
      <w:r>
        <w:rPr>
          <w:rFonts w:hint="eastAsia" w:ascii="宋体" w:hAnsi="宋体"/>
          <w:szCs w:val="21"/>
        </w:rPr>
        <w:t>全镇通过多种途径筹集资金，大力改善民生基础设施：一是积极争取上级交通部门的支持完成了芙蓉、水尾、中岭等路段的5个候车亭。二是积极争取上级供电部门的支持，投资1000多万全面完成镇村农村电网改造工程。三是通过招商引资等途径，再投资200多万元，对南亩自来水厂进行扩容改造，改善圩镇居民和大部分村民的饮水质量。四是筹集20万资金投入改造完善新敬老院设施建设，敬老院占地面积15亩，建筑面积500m2，环境优美，现有老人6人。</w:t>
      </w:r>
    </w:p>
    <w:p w14:paraId="1E7DD19E">
      <w:pPr>
        <w:pStyle w:val="4"/>
      </w:pPr>
      <w:r>
        <w:rPr>
          <w:rFonts w:hint="eastAsia"/>
        </w:rPr>
        <w:t>【乡镇企业和招商引资】</w:t>
      </w:r>
    </w:p>
    <w:p w14:paraId="5930D79D">
      <w:pPr>
        <w:ind w:firstLine="420"/>
        <w:rPr>
          <w:rFonts w:ascii="宋体" w:hAnsi="宋体"/>
          <w:szCs w:val="21"/>
        </w:rPr>
      </w:pPr>
      <w:r>
        <w:rPr>
          <w:rFonts w:hint="eastAsia" w:ascii="宋体" w:hAnsi="宋体"/>
          <w:szCs w:val="21"/>
        </w:rPr>
        <w:t>南亩镇充分发挥本地资源优势，积极招商引资，镇办企业南亩果品厂和南雄市金味果业有限公司打响“珠玑佳果”、南亩茶油等品牌系列，年产值可达80多万元，“一乡一品”果业特色经济得到巩固发展。截止2011年，已引进4家外商企业，其中投资达800多万元的明辉食品厂厂房正在建设中，建成投产后年产值将达2000万元。广东华农温氏集团公司在樟屋、鱼鲜村发展的现代猪苗繁育基地可年产猪苗40万头。引进的金友集团租地1万多亩，大力发展有机稻和优质油茶生产基地，突出特色创品牌，年产值可达100多万元。</w:t>
      </w:r>
    </w:p>
    <w:p w14:paraId="7AB0E111">
      <w:pPr>
        <w:pStyle w:val="4"/>
      </w:pPr>
      <w:r>
        <w:rPr>
          <w:rFonts w:hint="eastAsia"/>
        </w:rPr>
        <w:t>【生态林业建设】</w:t>
      </w:r>
    </w:p>
    <w:p w14:paraId="6C8206F6">
      <w:pPr>
        <w:ind w:firstLine="420"/>
        <w:rPr>
          <w:rFonts w:ascii="宋体" w:hAnsi="宋体"/>
          <w:szCs w:val="21"/>
        </w:rPr>
      </w:pPr>
      <w:r>
        <w:rPr>
          <w:rFonts w:hint="eastAsia" w:ascii="宋体" w:hAnsi="宋体"/>
          <w:szCs w:val="21"/>
        </w:rPr>
        <w:t>加强以生态公益林为重点的生态体系建设，突出抓好森林资源保护，进一步加大造林绿化工作力度，加强森林防火工作，认真开展“三项整治”工作，切实保护生态文明建设。全镇林业总面积129874.5亩，其中商品林98826亩，生态林20580.5亩，国有林场1个，非公有制林场4个，年度共完成新造林面积850多亩，幼林抚育1100多亩。</w:t>
      </w:r>
    </w:p>
    <w:p w14:paraId="360FDB8B">
      <w:pPr>
        <w:pStyle w:val="4"/>
      </w:pPr>
      <w:r>
        <w:rPr>
          <w:rFonts w:hint="eastAsia"/>
        </w:rPr>
        <w:t>【社会治安综合治理】</w:t>
      </w:r>
    </w:p>
    <w:p w14:paraId="52B50474">
      <w:pPr>
        <w:ind w:firstLine="420"/>
        <w:rPr>
          <w:rFonts w:ascii="宋体" w:hAnsi="宋体"/>
          <w:szCs w:val="21"/>
        </w:rPr>
      </w:pPr>
      <w:r>
        <w:rPr>
          <w:rFonts w:hint="eastAsia" w:ascii="宋体" w:hAnsi="宋体"/>
          <w:szCs w:val="21"/>
        </w:rPr>
        <w:t>深入开展“强综治，创平安，促发展”活动，以综治信访维稳中心建设为平台，大力加强基层基础建设，全面落实综治信访维稳各项措施，全力维护社会稳定。镇、村二级综治部门共调解矛盾纠纷81宗，（其中镇综治中心43宗，各村综治工作站38宗）。调解率达100%。受理群众来信来访事项43宗（其中上级交办的信访案件13宗，镇综治中心受理群众来访事项30宗），全部办理，办结率100%。</w:t>
      </w:r>
    </w:p>
    <w:p w14:paraId="402CEB1F">
      <w:pPr>
        <w:pStyle w:val="4"/>
      </w:pPr>
      <w:r>
        <w:rPr>
          <w:rFonts w:hint="eastAsia"/>
        </w:rPr>
        <w:t>【党建工作】</w:t>
      </w:r>
    </w:p>
    <w:p w14:paraId="4C3B5864">
      <w:pPr>
        <w:ind w:firstLine="420"/>
        <w:rPr>
          <w:rFonts w:ascii="宋体" w:hAnsi="宋体"/>
          <w:szCs w:val="21"/>
        </w:rPr>
      </w:pPr>
      <w:r>
        <w:rPr>
          <w:rFonts w:hint="eastAsia" w:ascii="宋体" w:hAnsi="宋体"/>
          <w:szCs w:val="21"/>
        </w:rPr>
        <w:t>南亩镇围绕“强组织、增活力、创先争优的活动主题精心组织，重点部署，大力推进新农村建设“领头雁”工程，实行村党支部书记“421”项目化管理，积极开展薄弱村（社区）“赶超”工程、双向承诺”活动、“双联双促”活动、“两新”组织党建“百日攻坚行动”等等创先争优工程项目。全镇19个党支部，474名党员，新发展党员13名，上缴党费7121.7元。260多名党员参与“双向承诺”。</w:t>
      </w:r>
    </w:p>
    <w:p w14:paraId="6681C7FF">
      <w:pPr>
        <w:pStyle w:val="4"/>
      </w:pPr>
      <w:r>
        <w:rPr>
          <w:rFonts w:hint="eastAsia"/>
        </w:rPr>
        <w:t>【各村（社区）委会基本情况】</w:t>
      </w:r>
    </w:p>
    <w:p w14:paraId="4B4D3453">
      <w:pPr>
        <w:ind w:firstLine="422"/>
        <w:rPr>
          <w:rFonts w:ascii="宋体" w:hAnsi="宋体"/>
          <w:szCs w:val="21"/>
        </w:rPr>
      </w:pPr>
      <w:r>
        <w:rPr>
          <w:rFonts w:hint="eastAsia" w:ascii="宋体" w:hAnsi="宋体"/>
          <w:b/>
          <w:szCs w:val="21"/>
        </w:rPr>
        <w:t>南亩社区</w:t>
      </w:r>
      <w:r>
        <w:rPr>
          <w:rFonts w:hint="eastAsia" w:ascii="宋体" w:hAnsi="宋体"/>
          <w:szCs w:val="21"/>
        </w:rPr>
        <w:t xml:space="preserve">  位于南亩镇圩，面积1平方公里，现有户籍人口956人，其中居民户口795人，农业户口110人，居委会干部3人，社区党员16人。</w:t>
      </w:r>
    </w:p>
    <w:p w14:paraId="0A941B23">
      <w:pPr>
        <w:ind w:firstLine="422"/>
        <w:rPr>
          <w:rFonts w:ascii="宋体" w:hAnsi="宋体"/>
          <w:szCs w:val="21"/>
        </w:rPr>
      </w:pPr>
      <w:r>
        <w:rPr>
          <w:rFonts w:hint="eastAsia" w:ascii="宋体" w:hAnsi="宋体"/>
          <w:b/>
          <w:szCs w:val="21"/>
        </w:rPr>
        <w:t>长洞村委会</w:t>
      </w:r>
      <w:r>
        <w:rPr>
          <w:rFonts w:hint="eastAsia" w:ascii="宋体" w:hAnsi="宋体"/>
          <w:szCs w:val="21"/>
        </w:rPr>
        <w:t xml:space="preserve">  位于南亩镇东南部，南接江西省全南县社迳、陂头镇，距南亩镇政府19公里，是边远山区村，也是贫困村，全村土地总面积21平方公里，其中山地面积17500亩，耕地面积926亩，下辖9个村小组，21户，1041人。农作物以种植水稻、花生、小辣椒、油茶和毛竹等为主，贫困户77户，到年底已实现了71户贫困户的脱贫任务，人均收入达到5837元。</w:t>
      </w:r>
    </w:p>
    <w:p w14:paraId="7A252824">
      <w:pPr>
        <w:ind w:firstLine="422"/>
        <w:rPr>
          <w:rFonts w:ascii="宋体" w:hAnsi="宋体"/>
          <w:szCs w:val="21"/>
        </w:rPr>
      </w:pPr>
      <w:r>
        <w:rPr>
          <w:rFonts w:hint="eastAsia" w:ascii="宋体" w:hAnsi="宋体"/>
          <w:b/>
          <w:szCs w:val="21"/>
        </w:rPr>
        <w:t>水塘村委会</w:t>
      </w:r>
      <w:r>
        <w:rPr>
          <w:rFonts w:hint="eastAsia" w:ascii="宋体" w:hAnsi="宋体"/>
          <w:szCs w:val="21"/>
        </w:rPr>
        <w:t xml:space="preserve">  位于南亩镇东南部，下辖8个村小组，总户数234户，901人。全村土地面积7907亩，其中耕地678亩，林地7118亩，竹林面积110亩，现有两委干部3人。主要以种植水稻、花生、小辣椒、油茶和毛竹等为主，人均收入5622元。</w:t>
      </w:r>
    </w:p>
    <w:p w14:paraId="6129B403">
      <w:pPr>
        <w:ind w:firstLine="422"/>
        <w:rPr>
          <w:rFonts w:ascii="宋体" w:hAnsi="宋体"/>
          <w:szCs w:val="21"/>
        </w:rPr>
      </w:pPr>
      <w:r>
        <w:rPr>
          <w:rFonts w:hint="eastAsia" w:ascii="宋体" w:hAnsi="宋体"/>
          <w:b/>
          <w:szCs w:val="21"/>
        </w:rPr>
        <w:t>中寺村委会</w:t>
      </w:r>
      <w:r>
        <w:rPr>
          <w:rFonts w:hint="eastAsia" w:ascii="宋体" w:hAnsi="宋体"/>
          <w:szCs w:val="21"/>
        </w:rPr>
        <w:t xml:space="preserve">  地处南亩镇东部，典型的边远高寒山区，</w:t>
      </w:r>
      <w:r>
        <w:rPr>
          <w:rFonts w:hint="eastAsia" w:ascii="宋体" w:hAnsi="宋体"/>
          <w:szCs w:val="21"/>
          <w:lang w:eastAsia="zh-CN"/>
        </w:rPr>
        <w:t>海拔</w:t>
      </w:r>
      <w:r>
        <w:rPr>
          <w:rFonts w:hint="eastAsia" w:ascii="宋体" w:hAnsi="宋体"/>
          <w:szCs w:val="21"/>
        </w:rPr>
        <w:t>600多米，是革命老区村，下辖15个村小组，总户数341户，1628人。全村土地面积19710亩，其中耕地1608亩，林地16350亩，竹林面积3000亩。主要以种植水稻、花生、小辣椒、油茶和毛竹等为主，经济收入主要靠种养业和劳务收入，2011年人均收入5913元。</w:t>
      </w:r>
    </w:p>
    <w:p w14:paraId="34894855">
      <w:pPr>
        <w:ind w:firstLine="422"/>
        <w:rPr>
          <w:rFonts w:ascii="宋体" w:hAnsi="宋体"/>
          <w:szCs w:val="21"/>
        </w:rPr>
      </w:pPr>
      <w:r>
        <w:rPr>
          <w:rFonts w:hint="eastAsia" w:ascii="宋体" w:hAnsi="宋体"/>
          <w:b/>
          <w:szCs w:val="21"/>
        </w:rPr>
        <w:t>岭下村委会</w:t>
      </w:r>
      <w:r>
        <w:rPr>
          <w:rFonts w:hint="eastAsia" w:ascii="宋体" w:hAnsi="宋体"/>
          <w:szCs w:val="21"/>
        </w:rPr>
        <w:t xml:space="preserve">  位于南亩镇东南部，距镇政府6公里，下辖9个村小组，288户，1245人，山林面积15380亩，耕地面积815亩，属革命老区村，也是贫困村。主要农作物以种植水稻、花生、小辣椒、油茶和毛竹等为主，经济来源主要靠种养和劳务收入，2011年在镇、帮扶单位的支持下，发展良种白花油茶基地100亩，养猪场形成规模化，集体经济不断得到加强，人均纯收入达到5840元。</w:t>
      </w:r>
    </w:p>
    <w:p w14:paraId="2A62BEB1">
      <w:pPr>
        <w:ind w:firstLine="422"/>
        <w:rPr>
          <w:rFonts w:ascii="宋体" w:hAnsi="宋体"/>
          <w:szCs w:val="21"/>
        </w:rPr>
      </w:pPr>
      <w:r>
        <w:rPr>
          <w:rFonts w:hint="eastAsia" w:ascii="宋体" w:hAnsi="宋体"/>
          <w:b/>
          <w:szCs w:val="21"/>
        </w:rPr>
        <w:t>中岭村委会</w:t>
      </w:r>
      <w:r>
        <w:rPr>
          <w:rFonts w:hint="eastAsia" w:ascii="宋体" w:hAnsi="宋体"/>
          <w:szCs w:val="21"/>
        </w:rPr>
        <w:t xml:space="preserve">  位于南亩镇南部，距镇政府12公里，辖7个村民小组，全村181户、702人。现有“两委”干部3人，党员16人，全村土地面积9495亩，山林面积8643亩、耕地面积752亩，其中旱地面积81亩。经济发展比较滞后，村民主要经济来源是种养业和劳务输出。主要经济作物以种植水稻、花生、小辣椒、油茶和毛竹等，2011年人均收入5920元。</w:t>
      </w:r>
    </w:p>
    <w:p w14:paraId="3E77C2EE">
      <w:pPr>
        <w:ind w:firstLine="422"/>
        <w:rPr>
          <w:rFonts w:ascii="宋体" w:hAnsi="宋体"/>
          <w:szCs w:val="21"/>
        </w:rPr>
      </w:pPr>
      <w:r>
        <w:rPr>
          <w:rFonts w:hint="eastAsia" w:ascii="宋体" w:hAnsi="宋体"/>
          <w:b/>
          <w:szCs w:val="21"/>
        </w:rPr>
        <w:t>水尾村委会</w:t>
      </w:r>
      <w:r>
        <w:rPr>
          <w:rFonts w:hint="eastAsia" w:ascii="宋体" w:hAnsi="宋体"/>
          <w:szCs w:val="21"/>
        </w:rPr>
        <w:t xml:space="preserve">  位于南亩镇西南部，距镇政府8公里，属革命老区，全村下辖7个村小组，总户数265户，1149人，现有“两委”干部4人，党员19人。全村土地面积822亩，其中旱地76亩，水田746亩，林地13890亩。村主要经济来源是种养和劳务输出，经济作物以种植水稻、花生、甜玉米、大豆、油茶和蔬菜为主，2011年人均收入5876元。</w:t>
      </w:r>
    </w:p>
    <w:p w14:paraId="146915D8">
      <w:pPr>
        <w:ind w:firstLine="422"/>
        <w:rPr>
          <w:rFonts w:ascii="宋体" w:hAnsi="宋体"/>
          <w:szCs w:val="21"/>
        </w:rPr>
      </w:pPr>
      <w:r>
        <w:rPr>
          <w:rFonts w:hint="eastAsia" w:ascii="宋体" w:hAnsi="宋体"/>
          <w:b/>
          <w:szCs w:val="21"/>
        </w:rPr>
        <w:t xml:space="preserve">芙蓉村委会 </w:t>
      </w:r>
      <w:r>
        <w:rPr>
          <w:rFonts w:hint="eastAsia" w:ascii="宋体" w:hAnsi="宋体"/>
          <w:szCs w:val="21"/>
        </w:rPr>
        <w:t xml:space="preserve"> 位于南亩镇西南部，下辖6个村名小组，人口1280人，户数286户，现有党员23人，村干部5人，主要经济来源以种养和劳务输出为主，种植方面有优质稻、甜玉米、小辣椒、花生、油茶、毛竹等，2011年人均收入5843元。</w:t>
      </w:r>
    </w:p>
    <w:p w14:paraId="2D9E2FCC">
      <w:pPr>
        <w:ind w:firstLine="422"/>
        <w:rPr>
          <w:rFonts w:ascii="宋体" w:hAnsi="宋体"/>
          <w:szCs w:val="21"/>
        </w:rPr>
      </w:pPr>
      <w:r>
        <w:rPr>
          <w:rFonts w:hint="eastAsia" w:ascii="宋体" w:hAnsi="宋体"/>
          <w:b/>
          <w:szCs w:val="21"/>
        </w:rPr>
        <w:t>鱼鲜村委会</w:t>
      </w:r>
      <w:r>
        <w:rPr>
          <w:rFonts w:hint="eastAsia" w:ascii="宋体" w:hAnsi="宋体"/>
          <w:szCs w:val="21"/>
        </w:rPr>
        <w:t xml:space="preserve">  位于南亩镇的东部，与坪田镇相邻，共有11个村小组，总户数435户，人口2008人。全村土地面积17006亩，耕地面积1806亩，林地面积15200亩。境内有座花林寺，建于元代，属重点保护文物，鱼鲜村2008年被评为省级“古村落”。全村农作物种植主要以水稻、花生、黄烟、大豆、水果油茶和蔬菜为主，2011年人均收入6083元。</w:t>
      </w:r>
    </w:p>
    <w:p w14:paraId="5201E217">
      <w:pPr>
        <w:ind w:firstLine="422"/>
        <w:rPr>
          <w:rFonts w:ascii="宋体" w:hAnsi="宋体"/>
          <w:szCs w:val="21"/>
        </w:rPr>
      </w:pPr>
      <w:r>
        <w:rPr>
          <w:rFonts w:hint="eastAsia" w:ascii="宋体" w:hAnsi="宋体"/>
          <w:b/>
          <w:szCs w:val="21"/>
        </w:rPr>
        <w:t>南亩村委会</w:t>
      </w:r>
      <w:r>
        <w:rPr>
          <w:rFonts w:hint="eastAsia" w:ascii="宋体" w:hAnsi="宋体"/>
          <w:szCs w:val="21"/>
        </w:rPr>
        <w:t xml:space="preserve">  位于南亩镇南亩墟，革命老区村，辖11个村民小组，全村430户、1915人。现有“两委”干部4人，党员38人。全村土地面积10275亩，山林面积8600亩、耕地面积1675亩，全村农作物种植主要以水稻、花生、黄烟、大豆、水果油茶和蔬菜为主，2011年人均收入6197元。</w:t>
      </w:r>
    </w:p>
    <w:p w14:paraId="2938F19E">
      <w:pPr>
        <w:ind w:firstLine="422"/>
        <w:rPr>
          <w:rFonts w:ascii="宋体" w:hAnsi="宋体"/>
          <w:szCs w:val="21"/>
        </w:rPr>
      </w:pPr>
      <w:r>
        <w:rPr>
          <w:rFonts w:hint="eastAsia" w:ascii="宋体" w:hAnsi="宋体"/>
          <w:b/>
          <w:szCs w:val="21"/>
        </w:rPr>
        <w:t>樟屋村委会</w:t>
      </w:r>
      <w:r>
        <w:rPr>
          <w:rFonts w:hint="eastAsia" w:ascii="宋体" w:hAnsi="宋体"/>
          <w:szCs w:val="21"/>
        </w:rPr>
        <w:t xml:space="preserve">  位于南亩镇北部，距镇政府2.5公里，辖9个村民小组，全村392户、1614人。现有“两委”干部5人，党员35人。全村土地面积8750亩，山林面积7307亩、耕地面积2400亩。全村农作物种植主要以水稻、花生、黄烟、大豆、水果、油茶和蔬菜为主，2011年人均收入6278元。</w:t>
      </w:r>
    </w:p>
    <w:p w14:paraId="2B2F03BC">
      <w:pPr>
        <w:ind w:firstLine="422"/>
        <w:rPr>
          <w:rFonts w:ascii="宋体" w:hAnsi="宋体"/>
          <w:szCs w:val="21"/>
        </w:rPr>
      </w:pPr>
      <w:r>
        <w:rPr>
          <w:rFonts w:hint="eastAsia" w:ascii="宋体" w:hAnsi="宋体"/>
          <w:b/>
          <w:szCs w:val="21"/>
        </w:rPr>
        <w:t>官田村委会</w:t>
      </w:r>
      <w:r>
        <w:rPr>
          <w:rFonts w:hint="eastAsia" w:ascii="宋体" w:hAnsi="宋体"/>
          <w:szCs w:val="21"/>
        </w:rPr>
        <w:t xml:space="preserve">  位于南亩镇的西部，距镇政府3.5公里，下辖12个村民小组，总户数362户1480人。现有耕地面积1112亩（其中旱地133亩、水田979亩），林地6950亩。全村农作物种植主要以水稻、花生、黄烟、大豆、水果、油茶和蔬菜为主，2011年人均纯收入6154元。                      （叶睿智）</w:t>
      </w:r>
    </w:p>
    <w:p w14:paraId="4A9344A5">
      <w:pPr>
        <w:ind w:firstLine="0" w:firstLineChars="0"/>
        <w:rPr>
          <w:rFonts w:ascii="宋体" w:hAnsi="宋体"/>
          <w:szCs w:val="21"/>
        </w:rPr>
      </w:pPr>
      <w:r>
        <w:rPr>
          <w:rFonts w:hint="eastAsia" w:ascii="宋体" w:hAnsi="宋体"/>
          <w:b/>
          <w:szCs w:val="21"/>
        </w:rPr>
        <w:t>附：2011年南亩镇领导班子成员名单</w:t>
      </w:r>
    </w:p>
    <w:p w14:paraId="2D81AAD6">
      <w:pPr>
        <w:ind w:firstLine="0" w:firstLineChars="0"/>
        <w:rPr>
          <w:rFonts w:ascii="宋体" w:hAnsi="宋体"/>
          <w:szCs w:val="21"/>
        </w:rPr>
      </w:pPr>
      <w:r>
        <w:rPr>
          <w:rFonts w:hint="eastAsia" w:ascii="宋体" w:hAnsi="宋体"/>
          <w:szCs w:val="21"/>
        </w:rPr>
        <w:t>党委书记、人大主席：孔建国</w:t>
      </w:r>
    </w:p>
    <w:p w14:paraId="53CFAEB9">
      <w:pPr>
        <w:ind w:firstLine="0" w:firstLineChars="0"/>
        <w:rPr>
          <w:rFonts w:ascii="宋体" w:hAnsi="宋体"/>
          <w:szCs w:val="21"/>
        </w:rPr>
      </w:pPr>
      <w:r>
        <w:rPr>
          <w:rFonts w:hint="eastAsia" w:ascii="宋体" w:hAnsi="宋体"/>
          <w:szCs w:val="21"/>
        </w:rPr>
        <w:t>党委副书记、镇长：池宏安</w:t>
      </w:r>
    </w:p>
    <w:p w14:paraId="7B5A7FFC">
      <w:pPr>
        <w:ind w:firstLine="0" w:firstLineChars="0"/>
        <w:rPr>
          <w:rFonts w:ascii="宋体" w:hAnsi="宋体"/>
          <w:szCs w:val="21"/>
        </w:rPr>
      </w:pPr>
      <w:r>
        <w:rPr>
          <w:rFonts w:hint="eastAsia" w:ascii="宋体" w:hAnsi="宋体"/>
          <w:szCs w:val="21"/>
        </w:rPr>
        <w:t>党委副书记：苏学才</w:t>
      </w:r>
    </w:p>
    <w:p w14:paraId="0A1AD073">
      <w:pPr>
        <w:ind w:firstLine="0" w:firstLineChars="0"/>
        <w:rPr>
          <w:rFonts w:ascii="宋体" w:hAnsi="宋体"/>
          <w:szCs w:val="21"/>
        </w:rPr>
      </w:pPr>
      <w:r>
        <w:rPr>
          <w:rFonts w:hint="eastAsia" w:ascii="宋体" w:hAnsi="宋体"/>
          <w:szCs w:val="21"/>
        </w:rPr>
        <w:t>纪委书记：潘希荣</w:t>
      </w:r>
    </w:p>
    <w:p w14:paraId="6D56EDA6">
      <w:pPr>
        <w:ind w:firstLine="0" w:firstLineChars="0"/>
        <w:rPr>
          <w:rFonts w:ascii="宋体" w:hAnsi="宋体"/>
          <w:szCs w:val="21"/>
        </w:rPr>
      </w:pPr>
      <w:r>
        <w:rPr>
          <w:rFonts w:hint="eastAsia" w:ascii="宋体" w:hAnsi="宋体"/>
          <w:szCs w:val="21"/>
        </w:rPr>
        <w:t>组织委员：黄承洲</w:t>
      </w:r>
    </w:p>
    <w:p w14:paraId="48F0CB95">
      <w:pPr>
        <w:ind w:firstLine="0" w:firstLineChars="0"/>
        <w:rPr>
          <w:rFonts w:ascii="宋体" w:hAnsi="宋体"/>
          <w:szCs w:val="21"/>
        </w:rPr>
      </w:pPr>
      <w:r>
        <w:rPr>
          <w:rFonts w:hint="eastAsia" w:ascii="宋体" w:hAnsi="宋体"/>
          <w:szCs w:val="21"/>
        </w:rPr>
        <w:t>人大副主席：高洁</w:t>
      </w:r>
    </w:p>
    <w:p w14:paraId="603AEEC2">
      <w:pPr>
        <w:ind w:firstLine="0" w:firstLineChars="0"/>
        <w:rPr>
          <w:rFonts w:ascii="宋体" w:hAnsi="宋体"/>
          <w:szCs w:val="21"/>
        </w:rPr>
      </w:pPr>
      <w:r>
        <w:rPr>
          <w:rFonts w:hint="eastAsia" w:ascii="宋体" w:hAnsi="宋体"/>
          <w:szCs w:val="21"/>
        </w:rPr>
        <w:t>武装部长：饶海华</w:t>
      </w:r>
    </w:p>
    <w:p w14:paraId="54A57210">
      <w:pPr>
        <w:ind w:firstLine="0" w:firstLineChars="0"/>
        <w:rPr>
          <w:rFonts w:ascii="宋体" w:hAnsi="宋体"/>
          <w:szCs w:val="21"/>
        </w:rPr>
      </w:pPr>
      <w:r>
        <w:rPr>
          <w:rFonts w:hint="eastAsia" w:ascii="宋体" w:hAnsi="宋体"/>
          <w:szCs w:val="21"/>
        </w:rPr>
        <w:t>宣传委员：叶常祖</w:t>
      </w:r>
    </w:p>
    <w:p w14:paraId="46A5FBDF">
      <w:pPr>
        <w:ind w:firstLine="0" w:firstLineChars="0"/>
        <w:rPr>
          <w:rFonts w:ascii="宋体" w:hAnsi="宋体"/>
          <w:szCs w:val="21"/>
        </w:rPr>
      </w:pPr>
      <w:r>
        <w:rPr>
          <w:rFonts w:hint="eastAsia" w:ascii="宋体" w:hAnsi="宋体"/>
          <w:szCs w:val="21"/>
        </w:rPr>
        <w:t>副镇长：伍国亮  陈碧霞  何明华</w:t>
      </w:r>
    </w:p>
    <w:p w14:paraId="482C96DB">
      <w:pPr>
        <w:ind w:firstLine="0" w:firstLineChars="0"/>
        <w:rPr>
          <w:rFonts w:ascii="宋体" w:hAnsi="宋体"/>
          <w:szCs w:val="21"/>
        </w:rPr>
      </w:pPr>
      <w:r>
        <w:rPr>
          <w:rFonts w:hint="eastAsia" w:ascii="宋体" w:hAnsi="宋体"/>
          <w:szCs w:val="21"/>
        </w:rPr>
        <w:t>党委委员、综治办专副主任：邓地状</w:t>
      </w:r>
    </w:p>
    <w:p w14:paraId="5B08BBDB">
      <w:pPr>
        <w:pStyle w:val="3"/>
      </w:pPr>
      <w:r>
        <w:rPr>
          <w:rFonts w:hint="eastAsia"/>
        </w:rPr>
        <w:t>百顺镇</w:t>
      </w:r>
    </w:p>
    <w:p w14:paraId="502E9FA4">
      <w:pPr>
        <w:pStyle w:val="4"/>
      </w:pPr>
      <w:r>
        <w:rPr>
          <w:rFonts w:hint="eastAsia"/>
        </w:rPr>
        <w:t>【概况】</w:t>
      </w:r>
    </w:p>
    <w:p w14:paraId="614724B8">
      <w:pPr>
        <w:ind w:firstLine="420"/>
        <w:rPr>
          <w:rFonts w:ascii="宋体" w:hAnsi="宋体"/>
          <w:szCs w:val="21"/>
        </w:rPr>
      </w:pPr>
      <w:r>
        <w:rPr>
          <w:rFonts w:hint="eastAsia" w:ascii="宋体" w:hAnsi="宋体"/>
          <w:szCs w:val="21"/>
        </w:rPr>
        <w:t>百顺镇地处南雄西北面，距市区58公里，与江西省为邻，境内交通便利，主要交通有省道S342线、S244线和县道X340线，各村已实现水泥路。辖9个村委会，1个居委会，106个村小组，总户数3335户，总人口12677人，总劳动力8053个。镇面积187.1平方公里，是个九山半水半分田的山区镇。耕地面积759公顷，山地面积1933公顷，山林面积1766.7亩，森林覆盖率80.4%。境内水资源十分丰富，已兴建小水电站29个，装机容量10695千瓦，年发电量3200万度。地下蕴藏有丰富的铀矿、花岗岩石、稀土等资源。现有私营企业36家，竹制品厂3家，年加工毛竹120万条；以发电和以毛竹为原料加工筷子、竹丝为主。</w:t>
      </w:r>
    </w:p>
    <w:p w14:paraId="5FAD0467">
      <w:pPr>
        <w:pStyle w:val="4"/>
      </w:pPr>
      <w:r>
        <w:rPr>
          <w:rFonts w:hint="eastAsia"/>
        </w:rPr>
        <w:t>【经济社会发展】</w:t>
      </w:r>
    </w:p>
    <w:p w14:paraId="367C72E9">
      <w:pPr>
        <w:ind w:firstLine="420"/>
        <w:rPr>
          <w:rFonts w:ascii="宋体" w:hAnsi="宋体"/>
          <w:szCs w:val="21"/>
        </w:rPr>
      </w:pPr>
      <w:r>
        <w:rPr>
          <w:rFonts w:hint="eastAsia" w:ascii="宋体" w:hAnsi="宋体"/>
          <w:szCs w:val="21"/>
        </w:rPr>
        <w:t>2011年，全镇工农业总产值实现1.5702亿元，比上年增加1300万元，增长9.02%，农村人均纯收入5676元，比上年增加500元，增长9.66%，地方财政一般预算收入268万元，比上年增长1.51%。</w:t>
      </w:r>
    </w:p>
    <w:p w14:paraId="0E408C0C">
      <w:pPr>
        <w:pStyle w:val="4"/>
      </w:pPr>
      <w:r>
        <w:rPr>
          <w:rFonts w:hint="eastAsia"/>
        </w:rPr>
        <w:t>【基础设施建设】</w:t>
      </w:r>
    </w:p>
    <w:p w14:paraId="7C913758">
      <w:pPr>
        <w:ind w:firstLine="420"/>
        <w:rPr>
          <w:rFonts w:ascii="宋体" w:hAnsi="宋体"/>
          <w:szCs w:val="21"/>
        </w:rPr>
      </w:pPr>
      <w:r>
        <w:rPr>
          <w:rFonts w:hint="eastAsia" w:ascii="宋体" w:hAnsi="宋体"/>
          <w:szCs w:val="21"/>
        </w:rPr>
        <w:t>该镇着力推进基础设施建设，完成湖地上下门和石坑村3.5公里乡村道路硬化工程；朱安村马尾丘、大坪村小组和湖地村下门，石坑村小组村庄整治工作已动工实施。</w:t>
      </w:r>
    </w:p>
    <w:p w14:paraId="17F430BD">
      <w:pPr>
        <w:pStyle w:val="4"/>
      </w:pPr>
      <w:r>
        <w:rPr>
          <w:rFonts w:hint="eastAsia"/>
        </w:rPr>
        <w:t>【人口计生】</w:t>
      </w:r>
    </w:p>
    <w:p w14:paraId="1B59AA39">
      <w:pPr>
        <w:ind w:firstLine="420"/>
        <w:rPr>
          <w:rFonts w:ascii="宋体" w:hAnsi="宋体"/>
          <w:szCs w:val="21"/>
        </w:rPr>
      </w:pPr>
      <w:r>
        <w:rPr>
          <w:rFonts w:hint="eastAsia" w:ascii="宋体" w:hAnsi="宋体"/>
          <w:szCs w:val="21"/>
        </w:rPr>
        <w:t>计生工作以夯实基础，狠抓落实为重心，各类帐、表、册一应俱全，各类规章制度不断完善规划。严格落实计生例会制度和层级动态管理，2010年10月至2011年9月，全镇出生144人，出生率为11.46‰，自然增长率为5.89‰，全镇落实“四术”179例，其中结扎94例，上环79例，落实补救措施4例。</w:t>
      </w:r>
    </w:p>
    <w:p w14:paraId="090698C6">
      <w:pPr>
        <w:pStyle w:val="4"/>
      </w:pPr>
      <w:r>
        <w:rPr>
          <w:rFonts w:hint="eastAsia"/>
        </w:rPr>
        <w:t>【文教卫生】</w:t>
      </w:r>
    </w:p>
    <w:p w14:paraId="55B8196D">
      <w:pPr>
        <w:ind w:firstLine="420"/>
        <w:rPr>
          <w:rFonts w:ascii="宋体" w:hAnsi="宋体"/>
          <w:szCs w:val="21"/>
        </w:rPr>
      </w:pPr>
      <w:r>
        <w:rPr>
          <w:rFonts w:hint="eastAsia" w:ascii="宋体" w:hAnsi="宋体"/>
          <w:szCs w:val="21"/>
        </w:rPr>
        <w:t>全镇有中学1所，小学9所，幼儿园1所，在校学生1175人，有中小学教师103人，适龄儿童入学率99.8%，升学率100%，毕业率100%，中学入学率98.9%，升学率87.6%，毕业率100%，争取上级资金110多万元兴建百顺中学实验楼、百顺中学学生食堂、百顺中心小学教师生活大楼。</w:t>
      </w:r>
    </w:p>
    <w:p w14:paraId="68F1181E">
      <w:pPr>
        <w:ind w:firstLine="420"/>
        <w:rPr>
          <w:rFonts w:ascii="宋体" w:hAnsi="宋体"/>
          <w:szCs w:val="21"/>
        </w:rPr>
      </w:pPr>
      <w:r>
        <w:rPr>
          <w:rFonts w:hint="eastAsia" w:ascii="宋体" w:hAnsi="宋体"/>
          <w:szCs w:val="21"/>
        </w:rPr>
        <w:t>全镇有卫生院1所，医护人员13人，有个体诊所2间，乡村医疗站9间，从医人员9人。大力改善农村医疗卫生条件，巩固初级卫生保健，大力推行儿童计划免疫和孕妇住院分娩，扎实开展爱国卫生运动，采取有效措施预防突发公共卫生事件。</w:t>
      </w:r>
    </w:p>
    <w:p w14:paraId="48B5E11C">
      <w:pPr>
        <w:pStyle w:val="4"/>
      </w:pPr>
      <w:r>
        <w:rPr>
          <w:rFonts w:hint="eastAsia"/>
        </w:rPr>
        <w:t>【扶贫双到】</w:t>
      </w:r>
    </w:p>
    <w:p w14:paraId="1B234D22">
      <w:pPr>
        <w:ind w:firstLine="420"/>
        <w:rPr>
          <w:rFonts w:ascii="宋体" w:hAnsi="宋体"/>
          <w:szCs w:val="21"/>
        </w:rPr>
      </w:pPr>
      <w:r>
        <w:rPr>
          <w:rFonts w:hint="eastAsia" w:ascii="宋体" w:hAnsi="宋体"/>
          <w:szCs w:val="21"/>
        </w:rPr>
        <w:t>2011年市外经局、国土局投资8万扶持朱安贫困村与“顺雄罗汉果专业合作社”合作发展种植罗汉果50亩，参与农户13户；市人社局投入资金6万多元扶持湖地贫困村与“雄百罗汉果专业合作社”合作发展种植罗汉果60亩，参与农户11户。</w:t>
      </w:r>
    </w:p>
    <w:p w14:paraId="7B56BF8D">
      <w:pPr>
        <w:pStyle w:val="4"/>
      </w:pPr>
      <w:r>
        <w:rPr>
          <w:rFonts w:hint="eastAsia"/>
        </w:rPr>
        <w:t>【特色农业】</w:t>
      </w:r>
    </w:p>
    <w:p w14:paraId="13C7E578">
      <w:pPr>
        <w:ind w:firstLine="420"/>
        <w:rPr>
          <w:rFonts w:ascii="宋体" w:hAnsi="宋体"/>
          <w:szCs w:val="21"/>
        </w:rPr>
      </w:pPr>
      <w:r>
        <w:rPr>
          <w:rFonts w:hint="eastAsia" w:ascii="宋体" w:hAnsi="宋体"/>
          <w:szCs w:val="21"/>
        </w:rPr>
        <w:t>罗汉果农民专业合作社2家，分别是“雄百”和“顺雄”。</w:t>
      </w:r>
    </w:p>
    <w:p w14:paraId="370B9874">
      <w:pPr>
        <w:ind w:firstLine="420"/>
        <w:rPr>
          <w:rFonts w:ascii="宋体" w:hAnsi="宋体"/>
          <w:szCs w:val="21"/>
        </w:rPr>
      </w:pPr>
      <w:r>
        <w:rPr>
          <w:rFonts w:hint="eastAsia" w:ascii="宋体" w:hAnsi="宋体"/>
          <w:szCs w:val="21"/>
        </w:rPr>
        <w:t>2011年全镇种植中药材罗汉果860余亩，总收入预计640多万元，亩产值7500元以上，亩平纯收入达4500元以上，户平收入可达21000元以上。</w:t>
      </w:r>
    </w:p>
    <w:p w14:paraId="121F62BA">
      <w:pPr>
        <w:pStyle w:val="4"/>
      </w:pPr>
      <w:r>
        <w:rPr>
          <w:rFonts w:hint="eastAsia"/>
        </w:rPr>
        <w:t>【林业发展】</w:t>
      </w:r>
    </w:p>
    <w:p w14:paraId="10D844A5">
      <w:pPr>
        <w:ind w:firstLine="420"/>
        <w:rPr>
          <w:rFonts w:ascii="宋体" w:hAnsi="宋体"/>
          <w:szCs w:val="21"/>
        </w:rPr>
      </w:pPr>
      <w:r>
        <w:rPr>
          <w:rFonts w:hint="eastAsia" w:ascii="宋体" w:hAnsi="宋体"/>
          <w:szCs w:val="21"/>
        </w:rPr>
        <w:t>百顺镇山林面积1933公顷，主要经济林木有油茶、毛竹，用材林有马尾松、衫树、枫树、樟树等。全镇有林面积1933公顷，其中生态公益林4000公顷，毛竹基地933亩。2011年，查处乱砍滥伐2宗，走私贩私2宗，调处山林纠纷58宗，加大护林防火宣传力度，印发宣传资料2958份，有效地保护了百顺的青山绿水。</w:t>
      </w:r>
    </w:p>
    <w:p w14:paraId="75169C54">
      <w:pPr>
        <w:pStyle w:val="4"/>
      </w:pPr>
      <w:r>
        <w:rPr>
          <w:rFonts w:hint="eastAsia"/>
        </w:rPr>
        <w:t>【医保、社保工作】</w:t>
      </w:r>
    </w:p>
    <w:p w14:paraId="331F589F">
      <w:pPr>
        <w:ind w:firstLine="420"/>
        <w:rPr>
          <w:rFonts w:ascii="宋体" w:hAnsi="宋体"/>
          <w:szCs w:val="21"/>
        </w:rPr>
      </w:pPr>
      <w:r>
        <w:rPr>
          <w:rFonts w:hint="eastAsia" w:ascii="宋体" w:hAnsi="宋体"/>
          <w:szCs w:val="21"/>
        </w:rPr>
        <w:t>2011年，全镇参合率为95%，参新农保率为市下达任务数的112%。</w:t>
      </w:r>
    </w:p>
    <w:p w14:paraId="6C0D80B6">
      <w:pPr>
        <w:pStyle w:val="4"/>
      </w:pPr>
      <w:r>
        <w:rPr>
          <w:rFonts w:hint="eastAsia"/>
        </w:rPr>
        <w:t>【综治信访】</w:t>
      </w:r>
    </w:p>
    <w:p w14:paraId="525894ED">
      <w:pPr>
        <w:ind w:firstLine="420"/>
        <w:rPr>
          <w:rFonts w:ascii="宋体" w:hAnsi="宋体"/>
          <w:szCs w:val="21"/>
        </w:rPr>
      </w:pPr>
      <w:r>
        <w:rPr>
          <w:rFonts w:hint="eastAsia" w:ascii="宋体" w:hAnsi="宋体"/>
          <w:szCs w:val="21"/>
        </w:rPr>
        <w:t>2011年，共排查出重大矛盾纠纷和不稳定因素10宗，及时调处10宗，镇村两级人民调解委员会共受理各类民间纠纷250件，调解250件，成功240件。</w:t>
      </w:r>
    </w:p>
    <w:p w14:paraId="7DE24D74">
      <w:pPr>
        <w:pStyle w:val="4"/>
      </w:pPr>
      <w:r>
        <w:rPr>
          <w:rFonts w:hint="eastAsia"/>
        </w:rPr>
        <w:t>【黄屋古城】</w:t>
      </w:r>
    </w:p>
    <w:p w14:paraId="3A9CD3C3">
      <w:pPr>
        <w:ind w:firstLine="420"/>
        <w:rPr>
          <w:rFonts w:ascii="宋体" w:hAnsi="宋体"/>
          <w:szCs w:val="21"/>
        </w:rPr>
      </w:pPr>
      <w:r>
        <w:rPr>
          <w:rFonts w:hint="eastAsia" w:ascii="宋体" w:hAnsi="宋体"/>
          <w:szCs w:val="21"/>
        </w:rPr>
        <w:t>黄屋城位于百顺镇百顺村委会境内，是建于明洪武十年（1377年）的古城堡，至今有600多年的历史。黄屋城为椭圆形，城墙用花岗条石和青砖砌成。墙高9米多，厚0.6至0.7米，门宽1米许。南门上方石刻“义路礼门”四个楷书大字，书法古雅、劲秀。整座城占地面积一万多平方米，房屋沿城墙而建，今存86间，均为三层楼房，建筑面积约4500平方米。旧时黄、诸、严三姓共居城内，后因西城倒塌，诸、严二姓迁于别处，现居黄姓26户130多人。城内有街巷8条（段），用花岗石和鹅卵石砌成。城建筑规模宏大，技术精湛，结构牢固，风格独特，使其具有较高的历史文物价值。</w:t>
      </w:r>
    </w:p>
    <w:p w14:paraId="7C018A80">
      <w:pPr>
        <w:pStyle w:val="4"/>
      </w:pPr>
      <w:r>
        <w:rPr>
          <w:rFonts w:hint="eastAsia"/>
        </w:rPr>
        <w:t>【百顺香火龙】</w:t>
      </w:r>
    </w:p>
    <w:p w14:paraId="5E4EB41B">
      <w:pPr>
        <w:ind w:firstLine="420"/>
        <w:rPr>
          <w:rFonts w:ascii="宋体" w:hAnsi="宋体"/>
          <w:szCs w:val="21"/>
        </w:rPr>
      </w:pPr>
      <w:r>
        <w:rPr>
          <w:rFonts w:hint="eastAsia" w:ascii="宋体" w:hAnsi="宋体"/>
          <w:szCs w:val="21"/>
        </w:rPr>
        <w:t>该镇舞“香火龙”已有300多年历史，每逢春节的初二到元宵节都要组织舞龙活动，当地人称“闹春”。香火龙有公龙、母龙之分，龙体用干稻草扎制而成，制成的稻草龙直径6至15公分，公龙体长9.9米、母龙9米，有“地久天长”之寓意，分别由7人和6人组成，而每条龙重约30公斤，至少由1600-2000根香柱扎成。</w:t>
      </w:r>
    </w:p>
    <w:p w14:paraId="71B0F4D6">
      <w:pPr>
        <w:ind w:firstLine="420"/>
        <w:rPr>
          <w:rFonts w:ascii="宋体" w:hAnsi="宋体"/>
          <w:szCs w:val="21"/>
        </w:rPr>
      </w:pPr>
      <w:r>
        <w:rPr>
          <w:rFonts w:hint="eastAsia" w:ascii="宋体" w:hAnsi="宋体"/>
          <w:szCs w:val="21"/>
        </w:rPr>
        <w:t>百顺“香火龙”不但每年春节期间在村里穿村道串田间游走祈福，还多次参加省、市各类艺术节。2010年，南雄香火龙被列入第三批国家级非物质文化遗产，其独特的造型，充分体现民间艺术文化的精髓，是岭南文化重要的组成部分。</w:t>
      </w:r>
    </w:p>
    <w:p w14:paraId="5C46172A">
      <w:pPr>
        <w:pStyle w:val="4"/>
      </w:pPr>
      <w:r>
        <w:rPr>
          <w:rFonts w:hint="eastAsia"/>
        </w:rPr>
        <w:t>【特产】</w:t>
      </w:r>
    </w:p>
    <w:p w14:paraId="7C451399">
      <w:pPr>
        <w:ind w:firstLine="420"/>
        <w:rPr>
          <w:rFonts w:ascii="宋体" w:hAnsi="宋体"/>
          <w:szCs w:val="21"/>
        </w:rPr>
      </w:pPr>
      <w:r>
        <w:rPr>
          <w:rFonts w:hint="eastAsia" w:ascii="宋体" w:hAnsi="宋体"/>
          <w:szCs w:val="21"/>
        </w:rPr>
        <w:t>冬笋、笋干、花豆、香菇以及杨梅、罗汉果为主</w:t>
      </w:r>
    </w:p>
    <w:p w14:paraId="23692714">
      <w:pPr>
        <w:pStyle w:val="4"/>
      </w:pPr>
      <w:r>
        <w:rPr>
          <w:rFonts w:hint="eastAsia"/>
        </w:rPr>
        <w:t>【各村（居委会）基本情况】</w:t>
      </w:r>
    </w:p>
    <w:p w14:paraId="47A7AEE9">
      <w:pPr>
        <w:ind w:firstLine="422"/>
        <w:rPr>
          <w:rFonts w:ascii="宋体" w:hAnsi="宋体"/>
          <w:szCs w:val="21"/>
        </w:rPr>
      </w:pPr>
      <w:r>
        <w:rPr>
          <w:rFonts w:hint="eastAsia" w:ascii="宋体" w:hAnsi="宋体"/>
          <w:b/>
          <w:szCs w:val="21"/>
        </w:rPr>
        <w:t>百顺村</w:t>
      </w:r>
      <w:r>
        <w:rPr>
          <w:rFonts w:hint="eastAsia" w:ascii="宋体" w:hAnsi="宋体"/>
          <w:szCs w:val="21"/>
        </w:rPr>
        <w:t xml:space="preserve">  百顺村位于百顺墟，有村小组27个总人口3710人，村干部6人，党员121人。林地面积56400亩，其中生态公益林12814亩，商品林42586亩，主要经济作物：水稻、花生、竹木黄豆等。</w:t>
      </w:r>
    </w:p>
    <w:p w14:paraId="18704C1C">
      <w:pPr>
        <w:ind w:firstLine="422"/>
        <w:rPr>
          <w:rFonts w:ascii="宋体" w:hAnsi="宋体"/>
          <w:szCs w:val="21"/>
        </w:rPr>
      </w:pPr>
      <w:r>
        <w:rPr>
          <w:rFonts w:hint="eastAsia" w:ascii="宋体" w:hAnsi="宋体"/>
          <w:b/>
          <w:szCs w:val="21"/>
        </w:rPr>
        <w:t>大沙洲村</w:t>
      </w:r>
      <w:r>
        <w:rPr>
          <w:rFonts w:hint="eastAsia" w:ascii="宋体" w:hAnsi="宋体"/>
          <w:szCs w:val="21"/>
        </w:rPr>
        <w:t xml:space="preserve">  大沙洲村位于省道342线公路边，全村共有10个村小组321户1004人。村干部5人，党员36人，村年集体收入8.3万元。耕地面积2492亩，林地面积31891亩。竹木资源丰富，地域广阔，电力资源充足。主要产业水稻、花生、竹林、水电等。</w:t>
      </w:r>
    </w:p>
    <w:p w14:paraId="7B88D471">
      <w:pPr>
        <w:ind w:firstLine="422"/>
        <w:rPr>
          <w:rFonts w:ascii="宋体" w:hAnsi="宋体"/>
          <w:szCs w:val="21"/>
        </w:rPr>
      </w:pPr>
      <w:r>
        <w:rPr>
          <w:rFonts w:hint="eastAsia" w:ascii="宋体" w:hAnsi="宋体"/>
          <w:b/>
          <w:szCs w:val="21"/>
        </w:rPr>
        <w:t>邓洞村</w:t>
      </w:r>
      <w:r>
        <w:rPr>
          <w:rFonts w:hint="eastAsia" w:ascii="宋体" w:hAnsi="宋体"/>
          <w:szCs w:val="21"/>
        </w:rPr>
        <w:t xml:space="preserve">  位于百顺的西面，离镇政府17公里。全村共有5个自然村7个村小组，187户838人，村干部4人，党员32人，村年集体收入7000元。耕地面积1829亩，林地面积15281亩。主要经济作物：水稻、花生、竹木、黄豆等。</w:t>
      </w:r>
    </w:p>
    <w:p w14:paraId="1A0639CB">
      <w:pPr>
        <w:ind w:firstLine="422"/>
        <w:rPr>
          <w:rFonts w:ascii="宋体" w:hAnsi="宋体"/>
          <w:szCs w:val="21"/>
        </w:rPr>
      </w:pPr>
      <w:r>
        <w:rPr>
          <w:rFonts w:hint="eastAsia" w:ascii="宋体" w:hAnsi="宋体"/>
          <w:b/>
          <w:szCs w:val="21"/>
        </w:rPr>
        <w:t>东坑村</w:t>
      </w:r>
      <w:r>
        <w:rPr>
          <w:rFonts w:hint="eastAsia" w:ascii="宋体" w:hAnsi="宋体"/>
          <w:szCs w:val="21"/>
        </w:rPr>
        <w:t xml:space="preserve">  东坑村共有10个自然村小组，农户251户1092人，村委干部5人。耕地面积1625亩，其中水田1011亩，山林总面积自营山16526亩，自留山1565亩，生态林4377亩。主要产业有水稻、花生、竹林、黄烟等。</w:t>
      </w:r>
    </w:p>
    <w:p w14:paraId="229787EE">
      <w:pPr>
        <w:ind w:firstLine="422"/>
        <w:rPr>
          <w:rFonts w:ascii="宋体" w:hAnsi="宋体"/>
          <w:szCs w:val="21"/>
        </w:rPr>
      </w:pPr>
      <w:r>
        <w:rPr>
          <w:rFonts w:hint="eastAsia" w:ascii="宋体" w:hAnsi="宋体"/>
          <w:b/>
          <w:szCs w:val="21"/>
        </w:rPr>
        <w:t>湖地村</w:t>
      </w:r>
      <w:r>
        <w:rPr>
          <w:rFonts w:hint="eastAsia" w:ascii="宋体" w:hAnsi="宋体"/>
          <w:szCs w:val="21"/>
        </w:rPr>
        <w:t xml:space="preserve">  湖地村位于百顺镇南部，辖11个村民小组，全村298户1078人。现有村干部4人，党员42人。村集体收入8000元，年人均入3280元。主要产业：水稻、花生、竹木、黄豆等。</w:t>
      </w:r>
    </w:p>
    <w:p w14:paraId="31903BA8">
      <w:pPr>
        <w:ind w:firstLine="422"/>
        <w:rPr>
          <w:rFonts w:ascii="宋体" w:hAnsi="宋体"/>
          <w:szCs w:val="21"/>
        </w:rPr>
      </w:pPr>
      <w:r>
        <w:rPr>
          <w:rFonts w:hint="eastAsia" w:ascii="宋体" w:hAnsi="宋体"/>
          <w:b/>
          <w:szCs w:val="21"/>
        </w:rPr>
        <w:t>尚睦村</w:t>
      </w:r>
      <w:r>
        <w:rPr>
          <w:rFonts w:hint="eastAsia" w:ascii="宋体" w:hAnsi="宋体"/>
          <w:szCs w:val="21"/>
        </w:rPr>
        <w:t xml:space="preserve">  尚睦村位于省道342线公路边，全村共有7个村小组213户908人。村干部4人，党员32人。耕地面积1896亩，毛竹林7000亩；村委会建有小水电一座，装机容量300瓦时，各项经济收入30000多元。主要产业是水稻、花生、竹林、等。每年有固定收入的村小组有5个，达到了公路、照明、用电、电话、自来水村村通。</w:t>
      </w:r>
    </w:p>
    <w:p w14:paraId="012657F4">
      <w:pPr>
        <w:ind w:firstLine="422"/>
        <w:rPr>
          <w:rFonts w:ascii="宋体" w:hAnsi="宋体"/>
          <w:szCs w:val="21"/>
        </w:rPr>
      </w:pPr>
      <w:r>
        <w:rPr>
          <w:rFonts w:hint="eastAsia" w:ascii="宋体" w:hAnsi="宋体"/>
          <w:b/>
          <w:szCs w:val="21"/>
        </w:rPr>
        <w:t>溪头村</w:t>
      </w:r>
      <w:r>
        <w:rPr>
          <w:rFonts w:hint="eastAsia" w:ascii="宋体" w:hAnsi="宋体"/>
          <w:szCs w:val="21"/>
        </w:rPr>
        <w:t xml:space="preserve">  溪头村共有12个自然村，272户1070人。村干部5人，党员35人。耕地面积1638亩，其中水田1066亩，旱田366亩，山林面积42211亩，责任山23490亩，生态公益林14110亩。主要产业是水稻、花生、竹林、黄豆等。</w:t>
      </w:r>
    </w:p>
    <w:p w14:paraId="1C6F815B">
      <w:pPr>
        <w:ind w:firstLine="422"/>
        <w:rPr>
          <w:rFonts w:ascii="宋体" w:hAnsi="宋体"/>
          <w:szCs w:val="21"/>
        </w:rPr>
      </w:pPr>
      <w:r>
        <w:rPr>
          <w:rFonts w:hint="eastAsia" w:ascii="宋体" w:hAnsi="宋体"/>
          <w:b/>
          <w:szCs w:val="21"/>
        </w:rPr>
        <w:t>杨梅村</w:t>
      </w:r>
      <w:r>
        <w:rPr>
          <w:rFonts w:hint="eastAsia" w:ascii="宋体" w:hAnsi="宋体"/>
          <w:szCs w:val="21"/>
        </w:rPr>
        <w:t xml:space="preserve">  杨梅村位于百顺镇西北部，共有12个小组，297户1192人，村干部5人。耕地面积2474亩，林地面积31441亩。主要经济作物：水稻、花生、竹木、黄豆等。</w:t>
      </w:r>
    </w:p>
    <w:p w14:paraId="77FEEB38">
      <w:pPr>
        <w:ind w:firstLine="422"/>
        <w:rPr>
          <w:rFonts w:ascii="宋体" w:hAnsi="宋体"/>
          <w:szCs w:val="21"/>
        </w:rPr>
      </w:pPr>
      <w:r>
        <w:rPr>
          <w:rFonts w:hint="eastAsia" w:ascii="宋体" w:hAnsi="宋体"/>
          <w:b/>
          <w:szCs w:val="21"/>
        </w:rPr>
        <w:t>朱安村</w:t>
      </w:r>
      <w:r>
        <w:rPr>
          <w:rFonts w:hint="eastAsia" w:ascii="宋体" w:hAnsi="宋体"/>
          <w:szCs w:val="21"/>
        </w:rPr>
        <w:t xml:space="preserve">  朱安村委会是一个边远山区村，距百顺镇政府有18公里，乡村公路在1999年开通，并在2009年水泥硬化峻工，路宽3.5米。全村有243户、1020人，9个自然村，12个村小组。村“两委”干部4人。耕地2314亩，山林4.7万亩，其中生态公益林0.5万亩。主要经济作物：水稻、花生、竹林、黄豆等。</w:t>
      </w:r>
    </w:p>
    <w:p w14:paraId="6D6DA99F">
      <w:pPr>
        <w:ind w:firstLine="422"/>
        <w:jc w:val="right"/>
        <w:rPr>
          <w:rFonts w:ascii="宋体" w:hAnsi="宋体"/>
          <w:szCs w:val="21"/>
        </w:rPr>
      </w:pPr>
      <w:r>
        <w:rPr>
          <w:rFonts w:hint="eastAsia" w:ascii="宋体" w:hAnsi="宋体"/>
          <w:b/>
          <w:szCs w:val="21"/>
        </w:rPr>
        <w:t>百顺居委会</w:t>
      </w:r>
      <w:r>
        <w:rPr>
          <w:rFonts w:hint="eastAsia" w:ascii="宋体" w:hAnsi="宋体"/>
          <w:szCs w:val="21"/>
        </w:rPr>
        <w:t xml:space="preserve">  百顺居委会位于百顺墟，总人口952人，村干部3人。居委会环境舒适，居民安居乐业。（曾超）</w:t>
      </w:r>
    </w:p>
    <w:p w14:paraId="72F35DE8">
      <w:pPr>
        <w:ind w:firstLine="0" w:firstLineChars="0"/>
        <w:rPr>
          <w:rFonts w:ascii="宋体" w:hAnsi="宋体"/>
          <w:szCs w:val="21"/>
        </w:rPr>
      </w:pPr>
      <w:r>
        <w:rPr>
          <w:rFonts w:hint="eastAsia" w:ascii="宋体" w:hAnsi="宋体"/>
          <w:b/>
          <w:szCs w:val="21"/>
        </w:rPr>
        <w:t>附2011年百顺镇领导班子成员名单</w:t>
      </w:r>
    </w:p>
    <w:p w14:paraId="1BF8DF32">
      <w:pPr>
        <w:ind w:firstLine="0" w:firstLineChars="0"/>
        <w:rPr>
          <w:rFonts w:ascii="宋体" w:hAnsi="宋体"/>
          <w:szCs w:val="21"/>
        </w:rPr>
      </w:pPr>
      <w:r>
        <w:rPr>
          <w:rFonts w:hint="eastAsia" w:ascii="宋体" w:hAnsi="宋体"/>
          <w:szCs w:val="21"/>
        </w:rPr>
        <w:t>党委书记：叶  忠</w:t>
      </w:r>
    </w:p>
    <w:p w14:paraId="4C9DF641">
      <w:pPr>
        <w:ind w:firstLine="0" w:firstLineChars="0"/>
        <w:rPr>
          <w:rFonts w:ascii="宋体" w:hAnsi="宋体"/>
          <w:szCs w:val="21"/>
        </w:rPr>
      </w:pPr>
      <w:r>
        <w:rPr>
          <w:rFonts w:hint="eastAsia" w:ascii="宋体" w:hAnsi="宋体"/>
          <w:szCs w:val="21"/>
        </w:rPr>
        <w:t>党委副书记、镇长：谭福志</w:t>
      </w:r>
    </w:p>
    <w:p w14:paraId="5E639B95">
      <w:pPr>
        <w:ind w:firstLine="0" w:firstLineChars="0"/>
        <w:rPr>
          <w:rFonts w:ascii="宋体" w:hAnsi="宋体"/>
          <w:szCs w:val="21"/>
        </w:rPr>
      </w:pPr>
      <w:r>
        <w:rPr>
          <w:rFonts w:hint="eastAsia" w:ascii="宋体" w:hAnsi="宋体"/>
          <w:szCs w:val="21"/>
        </w:rPr>
        <w:t>党委副书记：林  斌</w:t>
      </w:r>
    </w:p>
    <w:p w14:paraId="49D7AE4F">
      <w:pPr>
        <w:ind w:firstLine="0" w:firstLineChars="0"/>
        <w:rPr>
          <w:rFonts w:ascii="宋体" w:hAnsi="宋体"/>
          <w:szCs w:val="21"/>
        </w:rPr>
      </w:pPr>
      <w:r>
        <w:rPr>
          <w:rFonts w:hint="eastAsia" w:ascii="宋体" w:hAnsi="宋体"/>
          <w:szCs w:val="21"/>
        </w:rPr>
        <w:t>纪委书记：饶槐英</w:t>
      </w:r>
    </w:p>
    <w:p w14:paraId="7A2B2022">
      <w:pPr>
        <w:ind w:firstLine="0" w:firstLineChars="0"/>
        <w:rPr>
          <w:rFonts w:ascii="宋体" w:hAnsi="宋体"/>
          <w:szCs w:val="21"/>
        </w:rPr>
      </w:pPr>
      <w:r>
        <w:rPr>
          <w:rFonts w:hint="eastAsia" w:ascii="宋体" w:hAnsi="宋体"/>
          <w:szCs w:val="21"/>
        </w:rPr>
        <w:t>组织委员：黄树材</w:t>
      </w:r>
    </w:p>
    <w:p w14:paraId="5A1BB644">
      <w:pPr>
        <w:ind w:firstLine="0" w:firstLineChars="0"/>
        <w:rPr>
          <w:rFonts w:ascii="宋体" w:hAnsi="宋体"/>
          <w:szCs w:val="21"/>
        </w:rPr>
      </w:pPr>
      <w:r>
        <w:rPr>
          <w:rFonts w:hint="eastAsia" w:ascii="宋体" w:hAnsi="宋体"/>
          <w:szCs w:val="21"/>
        </w:rPr>
        <w:t>宣传委员：刘运洲</w:t>
      </w:r>
    </w:p>
    <w:p w14:paraId="3CC1FF84">
      <w:pPr>
        <w:ind w:firstLine="0" w:firstLineChars="0"/>
        <w:rPr>
          <w:rFonts w:ascii="宋体" w:hAnsi="宋体"/>
          <w:szCs w:val="21"/>
        </w:rPr>
      </w:pPr>
      <w:r>
        <w:rPr>
          <w:rFonts w:hint="eastAsia" w:ascii="宋体" w:hAnsi="宋体"/>
          <w:szCs w:val="21"/>
        </w:rPr>
        <w:t>武装部长：张  春</w:t>
      </w:r>
    </w:p>
    <w:p w14:paraId="1FCFAD10">
      <w:pPr>
        <w:ind w:firstLine="0" w:firstLineChars="0"/>
        <w:rPr>
          <w:rFonts w:ascii="宋体" w:hAnsi="宋体"/>
          <w:szCs w:val="21"/>
        </w:rPr>
      </w:pPr>
      <w:r>
        <w:rPr>
          <w:rFonts w:hint="eastAsia" w:ascii="宋体" w:hAnsi="宋体"/>
          <w:szCs w:val="21"/>
        </w:rPr>
        <w:t>人大副主席：朱定福</w:t>
      </w:r>
    </w:p>
    <w:p w14:paraId="438A7398">
      <w:pPr>
        <w:ind w:firstLine="0" w:firstLineChars="0"/>
        <w:rPr>
          <w:rFonts w:ascii="宋体" w:hAnsi="宋体"/>
          <w:szCs w:val="21"/>
        </w:rPr>
      </w:pPr>
      <w:r>
        <w:rPr>
          <w:rFonts w:hint="eastAsia" w:ascii="宋体" w:hAnsi="宋体"/>
          <w:szCs w:val="21"/>
        </w:rPr>
        <w:t>副镇长：吴在海  吴细阳  叶玉鹏</w:t>
      </w:r>
    </w:p>
    <w:p w14:paraId="149F9676">
      <w:pPr>
        <w:pStyle w:val="3"/>
      </w:pPr>
      <w:r>
        <w:rPr>
          <w:rFonts w:hint="eastAsia"/>
        </w:rPr>
        <w:t>湖口镇</w:t>
      </w:r>
    </w:p>
    <w:p w14:paraId="4033AC62">
      <w:pPr>
        <w:pStyle w:val="4"/>
      </w:pPr>
      <w:r>
        <w:rPr>
          <w:rFonts w:hint="eastAsia"/>
        </w:rPr>
        <w:t>【概况】</w:t>
      </w:r>
    </w:p>
    <w:p w14:paraId="0D9A43CE">
      <w:pPr>
        <w:ind w:firstLine="420"/>
        <w:rPr>
          <w:rFonts w:ascii="宋体" w:hAnsi="宋体"/>
          <w:szCs w:val="21"/>
        </w:rPr>
      </w:pPr>
      <w:r>
        <w:rPr>
          <w:rFonts w:hint="eastAsia" w:ascii="宋体" w:hAnsi="宋体"/>
          <w:szCs w:val="21"/>
        </w:rPr>
        <w:t>湖口镇政府驻湖口墟，位于北纬</w:t>
      </w:r>
      <w:r>
        <w:rPr>
          <w:rFonts w:ascii="宋体" w:hAnsi="宋体" w:cs="宋体"/>
          <w:szCs w:val="21"/>
        </w:rPr>
        <w:t>25°10′14″</w:t>
      </w:r>
      <w:r>
        <w:rPr>
          <w:rFonts w:hint="eastAsia" w:ascii="宋体" w:hAnsi="宋体"/>
          <w:szCs w:val="21"/>
        </w:rPr>
        <w:t>，东经</w:t>
      </w:r>
      <w:r>
        <w:rPr>
          <w:rFonts w:ascii="宋体" w:hAnsi="宋体" w:cs="宋体"/>
          <w:szCs w:val="21"/>
        </w:rPr>
        <w:t>114°23′59″</w:t>
      </w:r>
      <w:r>
        <w:rPr>
          <w:rFonts w:hint="eastAsia" w:ascii="宋体" w:hAnsi="宋体"/>
          <w:szCs w:val="21"/>
        </w:rPr>
        <w:t>，镇辖区在南雄市区之东。东邻黄坑镇，南与水口、雄州街道为界，西与珠玑市区接壤，北界邓坊镇。相传此地原为湖泊的出口处，故名湖口。湖口镇明代属惠杨鸟源都。清咸丰四年（1854年）废都建约。民国属南雄第二区长平乡。1951年划分为湖口、里和、长市、新湖、承平、太和等小乡。1956年合并为湖口乡。1958年属红旗人民公社。1961年建立湖口人民公社。1984年改为区。1986年改为镇。2011年末辖12个村委会和1个居委会（社区），有194个村小组，128个自然村。镇属辖区内多以丘陵地貌为主。2011年末，总人口为33745人，其中农业人口31740人。总面积73.8平方千米，耕地面积5.54万亩。全镇经济产业以农业为主，形成上造种黄烟下造种水稻的生产模式。下造以优质稻为主，总产量达14305吨。湖口农贸市场占地面积13028平方米，每逢单日为集市日，是一个繁荣的农副产品交易集散地。工业有建材、粮食加工、竹木加工、塑料制品等厂。境内罗佛寨一带是南雄“红层”古生物化石的典型地段，地质学家以罗佛寨群命名，代表盆地中的古新统沉积物。</w:t>
      </w:r>
    </w:p>
    <w:p w14:paraId="1174EF6F">
      <w:pPr>
        <w:pStyle w:val="4"/>
      </w:pPr>
      <w:r>
        <w:rPr>
          <w:rFonts w:hint="eastAsia"/>
        </w:rPr>
        <w:t>【社会经济发展】</w:t>
      </w:r>
    </w:p>
    <w:p w14:paraId="38F8F9EA">
      <w:pPr>
        <w:ind w:firstLine="420"/>
        <w:rPr>
          <w:rFonts w:ascii="宋体" w:hAnsi="宋体"/>
          <w:szCs w:val="21"/>
        </w:rPr>
      </w:pPr>
      <w:r>
        <w:rPr>
          <w:rFonts w:hint="eastAsia" w:ascii="宋体" w:hAnsi="宋体"/>
          <w:szCs w:val="21"/>
        </w:rPr>
        <w:t>全年实现工农业生产总值超过23533万元，同比增长7%；财政收入达327万元；农民人均纯收入达6242元；共筹集资金390余万元，完成岗围村村道公路、积塔村委会至瓜芸、湖口田心五队至矿石村委会村道等9.4公里的水泥硬化路建设；新修建水圳三面光工程，太和、承平、里和、长市、新湖村共9.6公里；对新迳乌坵塘、太和村旱坑山塘进行了除险加固。</w:t>
      </w:r>
    </w:p>
    <w:p w14:paraId="4C0F98BC">
      <w:pPr>
        <w:pStyle w:val="4"/>
      </w:pPr>
      <w:r>
        <w:rPr>
          <w:rFonts w:hint="eastAsia"/>
        </w:rPr>
        <w:t>【林业改革】</w:t>
      </w:r>
    </w:p>
    <w:p w14:paraId="2D31FF67">
      <w:pPr>
        <w:ind w:firstLine="420"/>
        <w:rPr>
          <w:rFonts w:ascii="宋体" w:hAnsi="宋体"/>
          <w:szCs w:val="21"/>
        </w:rPr>
      </w:pPr>
      <w:r>
        <w:rPr>
          <w:rFonts w:hint="eastAsia" w:ascii="宋体" w:hAnsi="宋体"/>
          <w:szCs w:val="21"/>
        </w:rPr>
        <w:t>2011年，完成三水上下坡村、新湖石榜下村两个村的生态示范万村绿工程，其种植树木两万五千多株；完成七千多亩新增生态林的现场界定和与山主鉴订合约；生态公益林补植套种1500多亩，共查处破坏森林资源违法案件28宗，调处山林矛盾纠纷9起，发放林权证194本，股份权益证书7500本。</w:t>
      </w:r>
    </w:p>
    <w:p w14:paraId="2C36B655">
      <w:pPr>
        <w:pStyle w:val="4"/>
      </w:pPr>
      <w:r>
        <w:rPr>
          <w:rFonts w:hint="eastAsia"/>
        </w:rPr>
        <w:t>【农业基础设施建设】</w:t>
      </w:r>
    </w:p>
    <w:p w14:paraId="756BE13E">
      <w:pPr>
        <w:ind w:firstLine="420"/>
        <w:rPr>
          <w:rFonts w:ascii="宋体" w:hAnsi="宋体"/>
          <w:szCs w:val="21"/>
        </w:rPr>
      </w:pPr>
      <w:r>
        <w:rPr>
          <w:rFonts w:hint="eastAsia" w:ascii="宋体" w:hAnsi="宋体"/>
          <w:szCs w:val="21"/>
        </w:rPr>
        <w:t>筹集资金390余万元，完成岗围村村道公路、积塔村委会至瓜芸、湖口田心五队至矿石村委会村道、湖口村坪地主干道等地9.4公里的水泥硬化路建设。修建9.6公里水圳三面光，对2口山塘进行除险加固。完成5个育苗场建设投产，完成新湖、里和、湖口、太和、承平等烤房群109间电烤房的建设。</w:t>
      </w:r>
    </w:p>
    <w:p w14:paraId="7F5A9B9E">
      <w:pPr>
        <w:pStyle w:val="4"/>
      </w:pPr>
      <w:r>
        <w:rPr>
          <w:rFonts w:hint="eastAsia"/>
        </w:rPr>
        <w:t>【计划生育】</w:t>
      </w:r>
    </w:p>
    <w:p w14:paraId="01B6621B">
      <w:pPr>
        <w:ind w:firstLine="420"/>
        <w:rPr>
          <w:rFonts w:ascii="宋体" w:hAnsi="宋体"/>
          <w:szCs w:val="21"/>
        </w:rPr>
      </w:pPr>
      <w:r>
        <w:rPr>
          <w:rFonts w:hint="eastAsia" w:ascii="宋体" w:hAnsi="宋体"/>
          <w:szCs w:val="21"/>
        </w:rPr>
        <w:t>人口和计划生育工作取得新进展，出生423人，出生率为12.03‰，其中一孩出生296人，一孩率69.98%，二孩出生123人，二孩率为29.08%，出生人口性别比为107.35。计划生育率为94.80%，死亡174人，死亡率为4.95%，自然增长249人，自然增长率为7.08%‰。实施计划生育手术409例，其中上环216例（一孩上环214例）结扎165例（其中二女户结扎40例），补救措施共做了28例。</w:t>
      </w:r>
    </w:p>
    <w:p w14:paraId="0388F5F9">
      <w:pPr>
        <w:pStyle w:val="4"/>
      </w:pPr>
      <w:r>
        <w:rPr>
          <w:rFonts w:hint="eastAsia"/>
        </w:rPr>
        <w:t>【民政优扶救济】</w:t>
      </w:r>
    </w:p>
    <w:p w14:paraId="611631D0">
      <w:pPr>
        <w:ind w:firstLine="420"/>
        <w:rPr>
          <w:rFonts w:ascii="宋体" w:hAnsi="宋体"/>
          <w:szCs w:val="21"/>
        </w:rPr>
      </w:pPr>
      <w:r>
        <w:rPr>
          <w:rFonts w:hint="eastAsia" w:ascii="宋体" w:hAnsi="宋体"/>
          <w:szCs w:val="21"/>
        </w:rPr>
        <w:t>为551户特困家庭1122人提供生活救助，发放低保金72930元；为118户五保户发放生活费30500元；2011年度完成农村残疾人住房困难户改造、新建户共11户；帮扶烈士后代3人，发放烈士后代助学金3000元。</w:t>
      </w:r>
    </w:p>
    <w:p w14:paraId="7F761A87">
      <w:pPr>
        <w:pStyle w:val="4"/>
      </w:pPr>
      <w:r>
        <w:rPr>
          <w:rFonts w:hint="eastAsia"/>
        </w:rPr>
        <w:t>【劳动和社会保障事业】</w:t>
      </w:r>
    </w:p>
    <w:p w14:paraId="2E585E90">
      <w:pPr>
        <w:ind w:firstLine="420"/>
        <w:rPr>
          <w:rFonts w:ascii="宋体" w:hAnsi="宋体"/>
          <w:szCs w:val="21"/>
        </w:rPr>
      </w:pPr>
      <w:r>
        <w:rPr>
          <w:rFonts w:hint="eastAsia" w:ascii="宋体" w:hAnsi="宋体"/>
          <w:szCs w:val="21"/>
        </w:rPr>
        <w:t>2011年度参加新农村合作医疗28820人，占90%参合率。全镇住院总人数1260人，住院补偿总费用353万元，门诊补偿人次8450人，门诊补偿费用10.14万元。2011年，全镇参加新型农村养老保险人数7079人，完成市下达任务数的101.37%。2011年完成农村劳动力技能培训转移就业人数达119人。</w:t>
      </w:r>
    </w:p>
    <w:p w14:paraId="743DAE46">
      <w:pPr>
        <w:pStyle w:val="4"/>
      </w:pPr>
      <w:r>
        <w:rPr>
          <w:rFonts w:hint="eastAsia"/>
        </w:rPr>
        <w:t>【党建工作】</w:t>
      </w:r>
    </w:p>
    <w:p w14:paraId="68140151">
      <w:pPr>
        <w:ind w:firstLine="420"/>
        <w:rPr>
          <w:rFonts w:ascii="宋体" w:hAnsi="宋体"/>
          <w:szCs w:val="21"/>
        </w:rPr>
      </w:pPr>
      <w:r>
        <w:rPr>
          <w:rFonts w:hint="eastAsia" w:ascii="宋体" w:hAnsi="宋体"/>
          <w:szCs w:val="21"/>
        </w:rPr>
        <w:t>全镇26个党支部，新发展党员31名。组织基层党组织和185名党员开展向党组织和党员的“双向承诺”，共承诺事项200余件，直接受益群众2300多人。加强基层组织建设，全面完善镇党委和社区及12个村委的农村现代远程教育网络，组织党员干部观看反腐倡廉电教片，严格执行党风廉政建设责任制。</w:t>
      </w:r>
    </w:p>
    <w:p w14:paraId="50F6EC36">
      <w:pPr>
        <w:pStyle w:val="4"/>
      </w:pPr>
      <w:r>
        <w:rPr>
          <w:rFonts w:hint="eastAsia"/>
        </w:rPr>
        <w:t>【三水上下陂孝爱基金会成立】</w:t>
      </w:r>
    </w:p>
    <w:p w14:paraId="2BEDBED1">
      <w:pPr>
        <w:ind w:firstLine="420"/>
        <w:rPr>
          <w:rFonts w:ascii="宋体" w:hAnsi="宋体"/>
          <w:szCs w:val="21"/>
        </w:rPr>
      </w:pPr>
      <w:r>
        <w:rPr>
          <w:rFonts w:hint="eastAsia" w:ascii="宋体" w:hAnsi="宋体"/>
          <w:szCs w:val="21"/>
        </w:rPr>
        <w:t>2010年12月，上下陂孝爱基金会由三水村外出工作人员自发组织创立。基金会秉承倡导敬老爱幼，共同建设和谐新农村的宗旨，是南雄成立的第一个村级孝爱基金会。孝爱基金会的成立作为孝廉文化进农家的一个延伸，是探索传统孝文化与廉政教育的新尝试，为农村基层党风廉政建设注入了新的活力。</w:t>
      </w:r>
    </w:p>
    <w:p w14:paraId="3FC12267">
      <w:pPr>
        <w:pStyle w:val="4"/>
      </w:pPr>
      <w:r>
        <w:rPr>
          <w:rFonts w:hint="eastAsia"/>
        </w:rPr>
        <w:t>【广东省十大铜婚好夫妻】</w:t>
      </w:r>
    </w:p>
    <w:p w14:paraId="61CA883F">
      <w:pPr>
        <w:ind w:firstLine="420"/>
        <w:rPr>
          <w:rFonts w:ascii="宋体" w:hAnsi="宋体"/>
          <w:szCs w:val="21"/>
        </w:rPr>
      </w:pPr>
      <w:r>
        <w:rPr>
          <w:rFonts w:hint="eastAsia" w:ascii="宋体" w:hAnsi="宋体"/>
          <w:szCs w:val="21"/>
        </w:rPr>
        <w:t>2011年8月28日，新鲜出炉的广东“十大现代好丈夫、好妻子”和十大金婚、银婚、铜婚好夫妻，身穿盛装、披戴绶带在广州接受了广东省妇联的表彰。其中南雄市湖口镇新迳村委会肖金华、戴秀平夫妻荣膺“广东十大铜婚好夫妻”，也是韶关市获此殊荣的唯一一对。</w:t>
      </w:r>
    </w:p>
    <w:p w14:paraId="3DE669E7">
      <w:pPr>
        <w:pStyle w:val="4"/>
      </w:pPr>
      <w:r>
        <w:rPr>
          <w:rFonts w:hint="eastAsia"/>
        </w:rPr>
        <w:t>【各村（居）委会基本情况】</w:t>
      </w:r>
    </w:p>
    <w:p w14:paraId="475FF866">
      <w:pPr>
        <w:ind w:firstLine="0" w:firstLineChars="0"/>
        <w:jc w:val="center"/>
        <w:rPr>
          <w:rFonts w:ascii="宋体" w:hAnsi="宋体"/>
          <w:b/>
          <w:szCs w:val="21"/>
        </w:rPr>
      </w:pPr>
      <w:r>
        <w:rPr>
          <w:rFonts w:hint="eastAsia" w:ascii="宋体" w:hAnsi="宋体"/>
          <w:b/>
          <w:szCs w:val="21"/>
        </w:rPr>
        <w:t>表31 2011年湖口镇各村（居）情况表</w:t>
      </w:r>
    </w:p>
    <w:tbl>
      <w:tblPr>
        <w:tblStyle w:val="14"/>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79"/>
        <w:gridCol w:w="1279"/>
        <w:gridCol w:w="1279"/>
        <w:gridCol w:w="1280"/>
        <w:gridCol w:w="1282"/>
        <w:gridCol w:w="1284"/>
        <w:gridCol w:w="2189"/>
        <w:gridCol w:w="90"/>
      </w:tblGrid>
      <w:tr w14:paraId="5BD0647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642" w:type="pct"/>
            <w:shd w:val="clear" w:color="auto" w:fill="auto"/>
            <w:noWrap/>
            <w:vAlign w:val="center"/>
          </w:tcPr>
          <w:p w14:paraId="46DFF698">
            <w:pPr>
              <w:pStyle w:val="23"/>
              <w:jc w:val="center"/>
              <w:rPr>
                <w:b/>
              </w:rPr>
            </w:pPr>
            <w:r>
              <w:rPr>
                <w:b/>
              </w:rPr>
              <w:t>序号</w:t>
            </w:r>
          </w:p>
        </w:tc>
        <w:tc>
          <w:tcPr>
            <w:tcW w:w="642" w:type="pct"/>
            <w:shd w:val="clear" w:color="auto" w:fill="auto"/>
            <w:noWrap/>
            <w:vAlign w:val="center"/>
          </w:tcPr>
          <w:p w14:paraId="00780896">
            <w:pPr>
              <w:pStyle w:val="23"/>
              <w:jc w:val="center"/>
              <w:rPr>
                <w:b/>
              </w:rPr>
            </w:pPr>
            <w:r>
              <w:rPr>
                <w:b/>
              </w:rPr>
              <w:t>村(居)</w:t>
            </w:r>
          </w:p>
        </w:tc>
        <w:tc>
          <w:tcPr>
            <w:tcW w:w="642" w:type="pct"/>
            <w:shd w:val="clear" w:color="auto" w:fill="auto"/>
            <w:noWrap/>
            <w:vAlign w:val="center"/>
          </w:tcPr>
          <w:p w14:paraId="49A6C9A0">
            <w:pPr>
              <w:pStyle w:val="23"/>
              <w:jc w:val="center"/>
              <w:rPr>
                <w:b/>
              </w:rPr>
            </w:pPr>
            <w:r>
              <w:rPr>
                <w:b/>
              </w:rPr>
              <w:t>村民小组</w:t>
            </w:r>
          </w:p>
        </w:tc>
        <w:tc>
          <w:tcPr>
            <w:tcW w:w="642" w:type="pct"/>
            <w:shd w:val="clear" w:color="auto" w:fill="auto"/>
            <w:noWrap/>
            <w:vAlign w:val="center"/>
          </w:tcPr>
          <w:p w14:paraId="7F6741F3">
            <w:pPr>
              <w:pStyle w:val="23"/>
              <w:jc w:val="center"/>
              <w:rPr>
                <w:b/>
              </w:rPr>
            </w:pPr>
            <w:r>
              <w:rPr>
                <w:b/>
              </w:rPr>
              <w:t>自然村</w:t>
            </w:r>
          </w:p>
        </w:tc>
        <w:tc>
          <w:tcPr>
            <w:tcW w:w="643" w:type="pct"/>
            <w:shd w:val="clear" w:color="auto" w:fill="auto"/>
            <w:noWrap/>
            <w:vAlign w:val="center"/>
          </w:tcPr>
          <w:p w14:paraId="0B2D4727">
            <w:pPr>
              <w:pStyle w:val="23"/>
              <w:jc w:val="center"/>
              <w:rPr>
                <w:b/>
              </w:rPr>
            </w:pPr>
            <w:r>
              <w:rPr>
                <w:b/>
              </w:rPr>
              <w:t>总户数</w:t>
            </w:r>
          </w:p>
        </w:tc>
        <w:tc>
          <w:tcPr>
            <w:tcW w:w="644" w:type="pct"/>
            <w:shd w:val="clear" w:color="auto" w:fill="auto"/>
            <w:noWrap/>
            <w:vAlign w:val="center"/>
          </w:tcPr>
          <w:p w14:paraId="3932CA19">
            <w:pPr>
              <w:pStyle w:val="23"/>
              <w:jc w:val="center"/>
              <w:rPr>
                <w:b/>
              </w:rPr>
            </w:pPr>
            <w:r>
              <w:rPr>
                <w:b/>
              </w:rPr>
              <w:t>总人口</w:t>
            </w:r>
          </w:p>
        </w:tc>
        <w:tc>
          <w:tcPr>
            <w:tcW w:w="1143" w:type="pct"/>
            <w:gridSpan w:val="2"/>
            <w:shd w:val="clear" w:color="auto" w:fill="auto"/>
            <w:noWrap/>
            <w:vAlign w:val="center"/>
          </w:tcPr>
          <w:p w14:paraId="25BDF2D2">
            <w:pPr>
              <w:pStyle w:val="23"/>
              <w:jc w:val="center"/>
              <w:rPr>
                <w:b/>
              </w:rPr>
            </w:pPr>
            <w:r>
              <w:rPr>
                <w:b/>
              </w:rPr>
              <w:t>集体经济收入(万元)</w:t>
            </w:r>
          </w:p>
        </w:tc>
      </w:tr>
      <w:tr w14:paraId="0B7C6A0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45" w:type="pct"/>
          <w:trHeight w:val="255" w:hRule="atLeast"/>
          <w:jc w:val="center"/>
        </w:trPr>
        <w:tc>
          <w:tcPr>
            <w:tcW w:w="642" w:type="pct"/>
            <w:shd w:val="clear" w:color="auto" w:fill="auto"/>
            <w:noWrap/>
            <w:vAlign w:val="center"/>
          </w:tcPr>
          <w:p w14:paraId="36E1157E">
            <w:pPr>
              <w:pStyle w:val="23"/>
              <w:jc w:val="center"/>
            </w:pPr>
            <w:r>
              <w:t>1</w:t>
            </w:r>
          </w:p>
        </w:tc>
        <w:tc>
          <w:tcPr>
            <w:tcW w:w="642" w:type="pct"/>
            <w:shd w:val="clear" w:color="auto" w:fill="auto"/>
            <w:noWrap/>
            <w:vAlign w:val="center"/>
          </w:tcPr>
          <w:p w14:paraId="7F8D3747">
            <w:pPr>
              <w:pStyle w:val="23"/>
              <w:jc w:val="center"/>
            </w:pPr>
            <w:r>
              <w:t>里和村</w:t>
            </w:r>
          </w:p>
        </w:tc>
        <w:tc>
          <w:tcPr>
            <w:tcW w:w="642" w:type="pct"/>
            <w:shd w:val="clear" w:color="auto" w:fill="auto"/>
            <w:noWrap/>
            <w:vAlign w:val="center"/>
          </w:tcPr>
          <w:p w14:paraId="43DAF42C">
            <w:pPr>
              <w:pStyle w:val="23"/>
              <w:jc w:val="center"/>
            </w:pPr>
            <w:r>
              <w:t>26</w:t>
            </w:r>
          </w:p>
        </w:tc>
        <w:tc>
          <w:tcPr>
            <w:tcW w:w="642" w:type="pct"/>
            <w:shd w:val="clear" w:color="auto" w:fill="auto"/>
            <w:noWrap/>
            <w:vAlign w:val="center"/>
          </w:tcPr>
          <w:p w14:paraId="12FCF42A">
            <w:pPr>
              <w:pStyle w:val="23"/>
              <w:jc w:val="center"/>
            </w:pPr>
            <w:r>
              <w:t>22</w:t>
            </w:r>
          </w:p>
        </w:tc>
        <w:tc>
          <w:tcPr>
            <w:tcW w:w="643" w:type="pct"/>
            <w:shd w:val="clear" w:color="auto" w:fill="auto"/>
            <w:noWrap/>
            <w:vAlign w:val="center"/>
          </w:tcPr>
          <w:p w14:paraId="09154D5C">
            <w:pPr>
              <w:pStyle w:val="23"/>
              <w:jc w:val="center"/>
            </w:pPr>
            <w:r>
              <w:t>923</w:t>
            </w:r>
          </w:p>
        </w:tc>
        <w:tc>
          <w:tcPr>
            <w:tcW w:w="644" w:type="pct"/>
            <w:shd w:val="clear" w:color="auto" w:fill="auto"/>
            <w:noWrap/>
            <w:vAlign w:val="center"/>
          </w:tcPr>
          <w:p w14:paraId="2015BDBA">
            <w:pPr>
              <w:pStyle w:val="23"/>
              <w:jc w:val="center"/>
            </w:pPr>
            <w:r>
              <w:t>3808</w:t>
            </w:r>
          </w:p>
        </w:tc>
        <w:tc>
          <w:tcPr>
            <w:tcW w:w="1098" w:type="pct"/>
            <w:shd w:val="clear" w:color="auto" w:fill="auto"/>
            <w:noWrap/>
            <w:vAlign w:val="center"/>
          </w:tcPr>
          <w:p w14:paraId="68E68346">
            <w:pPr>
              <w:pStyle w:val="23"/>
              <w:jc w:val="center"/>
            </w:pPr>
            <w:r>
              <w:t>7.22</w:t>
            </w:r>
          </w:p>
        </w:tc>
      </w:tr>
      <w:tr w14:paraId="3600C55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45" w:type="pct"/>
          <w:trHeight w:val="255" w:hRule="atLeast"/>
          <w:jc w:val="center"/>
        </w:trPr>
        <w:tc>
          <w:tcPr>
            <w:tcW w:w="642" w:type="pct"/>
            <w:shd w:val="clear" w:color="auto" w:fill="auto"/>
            <w:noWrap/>
            <w:vAlign w:val="center"/>
          </w:tcPr>
          <w:p w14:paraId="484C83D1">
            <w:pPr>
              <w:pStyle w:val="23"/>
              <w:jc w:val="center"/>
            </w:pPr>
            <w:r>
              <w:t>2</w:t>
            </w:r>
          </w:p>
        </w:tc>
        <w:tc>
          <w:tcPr>
            <w:tcW w:w="642" w:type="pct"/>
            <w:shd w:val="clear" w:color="auto" w:fill="auto"/>
            <w:noWrap/>
            <w:vAlign w:val="center"/>
          </w:tcPr>
          <w:p w14:paraId="47B6A5B8">
            <w:pPr>
              <w:pStyle w:val="23"/>
              <w:jc w:val="center"/>
            </w:pPr>
            <w:r>
              <w:t>三角村</w:t>
            </w:r>
          </w:p>
        </w:tc>
        <w:tc>
          <w:tcPr>
            <w:tcW w:w="642" w:type="pct"/>
            <w:shd w:val="clear" w:color="auto" w:fill="auto"/>
            <w:noWrap/>
            <w:vAlign w:val="center"/>
          </w:tcPr>
          <w:p w14:paraId="3DDB8649">
            <w:pPr>
              <w:pStyle w:val="23"/>
              <w:jc w:val="center"/>
            </w:pPr>
            <w:r>
              <w:t>16</w:t>
            </w:r>
          </w:p>
        </w:tc>
        <w:tc>
          <w:tcPr>
            <w:tcW w:w="642" w:type="pct"/>
            <w:shd w:val="clear" w:color="auto" w:fill="auto"/>
            <w:noWrap/>
            <w:vAlign w:val="center"/>
          </w:tcPr>
          <w:p w14:paraId="148DCB50">
            <w:pPr>
              <w:pStyle w:val="23"/>
              <w:jc w:val="center"/>
            </w:pPr>
            <w:r>
              <w:t>16</w:t>
            </w:r>
          </w:p>
        </w:tc>
        <w:tc>
          <w:tcPr>
            <w:tcW w:w="643" w:type="pct"/>
            <w:shd w:val="clear" w:color="auto" w:fill="auto"/>
            <w:noWrap/>
            <w:vAlign w:val="center"/>
          </w:tcPr>
          <w:p w14:paraId="5D011C64">
            <w:pPr>
              <w:pStyle w:val="23"/>
              <w:jc w:val="center"/>
            </w:pPr>
            <w:r>
              <w:t>632</w:t>
            </w:r>
          </w:p>
        </w:tc>
        <w:tc>
          <w:tcPr>
            <w:tcW w:w="644" w:type="pct"/>
            <w:shd w:val="clear" w:color="auto" w:fill="auto"/>
            <w:noWrap/>
            <w:vAlign w:val="center"/>
          </w:tcPr>
          <w:p w14:paraId="7161DC9E">
            <w:pPr>
              <w:pStyle w:val="23"/>
              <w:jc w:val="center"/>
            </w:pPr>
            <w:r>
              <w:t>2015</w:t>
            </w:r>
          </w:p>
        </w:tc>
        <w:tc>
          <w:tcPr>
            <w:tcW w:w="1098" w:type="pct"/>
            <w:shd w:val="clear" w:color="auto" w:fill="auto"/>
            <w:noWrap/>
            <w:vAlign w:val="center"/>
          </w:tcPr>
          <w:p w14:paraId="63866F66">
            <w:pPr>
              <w:pStyle w:val="23"/>
              <w:jc w:val="center"/>
            </w:pPr>
            <w:r>
              <w:t>2.96</w:t>
            </w:r>
          </w:p>
        </w:tc>
      </w:tr>
      <w:tr w14:paraId="3A0F2FB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45" w:type="pct"/>
          <w:trHeight w:val="255" w:hRule="atLeast"/>
          <w:jc w:val="center"/>
        </w:trPr>
        <w:tc>
          <w:tcPr>
            <w:tcW w:w="642" w:type="pct"/>
            <w:shd w:val="clear" w:color="auto" w:fill="auto"/>
            <w:noWrap/>
            <w:vAlign w:val="center"/>
          </w:tcPr>
          <w:p w14:paraId="2E74B4D8">
            <w:pPr>
              <w:pStyle w:val="23"/>
              <w:jc w:val="center"/>
            </w:pPr>
            <w:r>
              <w:t>3</w:t>
            </w:r>
          </w:p>
        </w:tc>
        <w:tc>
          <w:tcPr>
            <w:tcW w:w="642" w:type="pct"/>
            <w:shd w:val="clear" w:color="auto" w:fill="auto"/>
            <w:noWrap/>
            <w:vAlign w:val="center"/>
          </w:tcPr>
          <w:p w14:paraId="3BAE9D27">
            <w:pPr>
              <w:pStyle w:val="23"/>
              <w:jc w:val="center"/>
            </w:pPr>
            <w:r>
              <w:t>积塔村</w:t>
            </w:r>
          </w:p>
        </w:tc>
        <w:tc>
          <w:tcPr>
            <w:tcW w:w="642" w:type="pct"/>
            <w:shd w:val="clear" w:color="auto" w:fill="auto"/>
            <w:noWrap/>
            <w:vAlign w:val="center"/>
          </w:tcPr>
          <w:p w14:paraId="567D15B6">
            <w:pPr>
              <w:pStyle w:val="23"/>
              <w:jc w:val="center"/>
            </w:pPr>
            <w:r>
              <w:t>7</w:t>
            </w:r>
          </w:p>
        </w:tc>
        <w:tc>
          <w:tcPr>
            <w:tcW w:w="642" w:type="pct"/>
            <w:shd w:val="clear" w:color="auto" w:fill="auto"/>
            <w:noWrap/>
            <w:vAlign w:val="center"/>
          </w:tcPr>
          <w:p w14:paraId="114BA483">
            <w:pPr>
              <w:pStyle w:val="23"/>
              <w:jc w:val="center"/>
            </w:pPr>
            <w:r>
              <w:t>3</w:t>
            </w:r>
          </w:p>
        </w:tc>
        <w:tc>
          <w:tcPr>
            <w:tcW w:w="643" w:type="pct"/>
            <w:shd w:val="clear" w:color="auto" w:fill="auto"/>
            <w:noWrap/>
            <w:vAlign w:val="center"/>
          </w:tcPr>
          <w:p w14:paraId="77B360AC">
            <w:pPr>
              <w:pStyle w:val="23"/>
              <w:jc w:val="center"/>
            </w:pPr>
            <w:r>
              <w:t>401</w:t>
            </w:r>
          </w:p>
        </w:tc>
        <w:tc>
          <w:tcPr>
            <w:tcW w:w="644" w:type="pct"/>
            <w:shd w:val="clear" w:color="auto" w:fill="auto"/>
            <w:noWrap/>
            <w:vAlign w:val="center"/>
          </w:tcPr>
          <w:p w14:paraId="19E5CA84">
            <w:pPr>
              <w:pStyle w:val="23"/>
              <w:jc w:val="center"/>
            </w:pPr>
            <w:r>
              <w:t>1420</w:t>
            </w:r>
          </w:p>
        </w:tc>
        <w:tc>
          <w:tcPr>
            <w:tcW w:w="1098" w:type="pct"/>
            <w:shd w:val="clear" w:color="auto" w:fill="auto"/>
            <w:noWrap/>
            <w:vAlign w:val="center"/>
          </w:tcPr>
          <w:p w14:paraId="2AA8DE59">
            <w:pPr>
              <w:pStyle w:val="23"/>
              <w:jc w:val="center"/>
            </w:pPr>
            <w:r>
              <w:t>4.33</w:t>
            </w:r>
          </w:p>
        </w:tc>
      </w:tr>
      <w:tr w14:paraId="2E38E3A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45" w:type="pct"/>
          <w:trHeight w:val="255" w:hRule="atLeast"/>
          <w:jc w:val="center"/>
        </w:trPr>
        <w:tc>
          <w:tcPr>
            <w:tcW w:w="642" w:type="pct"/>
            <w:shd w:val="clear" w:color="auto" w:fill="auto"/>
            <w:noWrap/>
            <w:vAlign w:val="center"/>
          </w:tcPr>
          <w:p w14:paraId="1D34B94A">
            <w:pPr>
              <w:pStyle w:val="23"/>
              <w:jc w:val="center"/>
            </w:pPr>
            <w:r>
              <w:t>4</w:t>
            </w:r>
          </w:p>
        </w:tc>
        <w:tc>
          <w:tcPr>
            <w:tcW w:w="642" w:type="pct"/>
            <w:shd w:val="clear" w:color="auto" w:fill="auto"/>
            <w:noWrap/>
            <w:vAlign w:val="center"/>
          </w:tcPr>
          <w:p w14:paraId="4111FF17">
            <w:pPr>
              <w:pStyle w:val="23"/>
              <w:jc w:val="center"/>
            </w:pPr>
            <w:r>
              <w:t>三水村</w:t>
            </w:r>
          </w:p>
        </w:tc>
        <w:tc>
          <w:tcPr>
            <w:tcW w:w="642" w:type="pct"/>
            <w:shd w:val="clear" w:color="auto" w:fill="auto"/>
            <w:noWrap/>
            <w:vAlign w:val="center"/>
          </w:tcPr>
          <w:p w14:paraId="46136F70">
            <w:pPr>
              <w:pStyle w:val="23"/>
              <w:jc w:val="center"/>
            </w:pPr>
            <w:r>
              <w:t>7</w:t>
            </w:r>
          </w:p>
        </w:tc>
        <w:tc>
          <w:tcPr>
            <w:tcW w:w="642" w:type="pct"/>
            <w:shd w:val="clear" w:color="auto" w:fill="auto"/>
            <w:noWrap/>
            <w:vAlign w:val="center"/>
          </w:tcPr>
          <w:p w14:paraId="58B3EB15">
            <w:pPr>
              <w:pStyle w:val="23"/>
              <w:jc w:val="center"/>
            </w:pPr>
            <w:r>
              <w:t>4</w:t>
            </w:r>
          </w:p>
        </w:tc>
        <w:tc>
          <w:tcPr>
            <w:tcW w:w="643" w:type="pct"/>
            <w:shd w:val="clear" w:color="auto" w:fill="auto"/>
            <w:noWrap/>
            <w:vAlign w:val="center"/>
          </w:tcPr>
          <w:p w14:paraId="4933B1DC">
            <w:pPr>
              <w:pStyle w:val="23"/>
              <w:jc w:val="center"/>
            </w:pPr>
            <w:r>
              <w:t>324</w:t>
            </w:r>
          </w:p>
        </w:tc>
        <w:tc>
          <w:tcPr>
            <w:tcW w:w="644" w:type="pct"/>
            <w:shd w:val="clear" w:color="auto" w:fill="auto"/>
            <w:noWrap/>
            <w:vAlign w:val="center"/>
          </w:tcPr>
          <w:p w14:paraId="18A345D9">
            <w:pPr>
              <w:pStyle w:val="23"/>
              <w:jc w:val="center"/>
            </w:pPr>
            <w:r>
              <w:t>1293</w:t>
            </w:r>
          </w:p>
        </w:tc>
        <w:tc>
          <w:tcPr>
            <w:tcW w:w="1098" w:type="pct"/>
            <w:shd w:val="clear" w:color="auto" w:fill="auto"/>
            <w:noWrap/>
            <w:vAlign w:val="center"/>
          </w:tcPr>
          <w:p w14:paraId="31D69281">
            <w:pPr>
              <w:pStyle w:val="23"/>
              <w:jc w:val="center"/>
            </w:pPr>
            <w:r>
              <w:t>0.96</w:t>
            </w:r>
          </w:p>
        </w:tc>
      </w:tr>
      <w:tr w14:paraId="56378B4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45" w:type="pct"/>
          <w:trHeight w:val="255" w:hRule="atLeast"/>
          <w:jc w:val="center"/>
        </w:trPr>
        <w:tc>
          <w:tcPr>
            <w:tcW w:w="642" w:type="pct"/>
            <w:shd w:val="clear" w:color="auto" w:fill="auto"/>
            <w:noWrap/>
            <w:vAlign w:val="center"/>
          </w:tcPr>
          <w:p w14:paraId="6A1EC799">
            <w:pPr>
              <w:pStyle w:val="23"/>
              <w:jc w:val="center"/>
            </w:pPr>
            <w:r>
              <w:t>5</w:t>
            </w:r>
          </w:p>
        </w:tc>
        <w:tc>
          <w:tcPr>
            <w:tcW w:w="642" w:type="pct"/>
            <w:shd w:val="clear" w:color="auto" w:fill="auto"/>
            <w:noWrap/>
            <w:vAlign w:val="center"/>
          </w:tcPr>
          <w:p w14:paraId="741266E0">
            <w:pPr>
              <w:pStyle w:val="23"/>
              <w:jc w:val="center"/>
            </w:pPr>
            <w:r>
              <w:t>新湖村</w:t>
            </w:r>
          </w:p>
        </w:tc>
        <w:tc>
          <w:tcPr>
            <w:tcW w:w="642" w:type="pct"/>
            <w:shd w:val="clear" w:color="auto" w:fill="auto"/>
            <w:noWrap/>
            <w:vAlign w:val="center"/>
          </w:tcPr>
          <w:p w14:paraId="71C315EE">
            <w:pPr>
              <w:pStyle w:val="23"/>
              <w:jc w:val="center"/>
            </w:pPr>
            <w:r>
              <w:t>20</w:t>
            </w:r>
          </w:p>
        </w:tc>
        <w:tc>
          <w:tcPr>
            <w:tcW w:w="642" w:type="pct"/>
            <w:shd w:val="clear" w:color="auto" w:fill="auto"/>
            <w:noWrap/>
            <w:vAlign w:val="center"/>
          </w:tcPr>
          <w:p w14:paraId="775F25D0">
            <w:pPr>
              <w:pStyle w:val="23"/>
              <w:jc w:val="center"/>
            </w:pPr>
            <w:r>
              <w:t>7</w:t>
            </w:r>
          </w:p>
        </w:tc>
        <w:tc>
          <w:tcPr>
            <w:tcW w:w="643" w:type="pct"/>
            <w:shd w:val="clear" w:color="auto" w:fill="auto"/>
            <w:noWrap/>
            <w:vAlign w:val="center"/>
          </w:tcPr>
          <w:p w14:paraId="3C6D1BB7">
            <w:pPr>
              <w:pStyle w:val="23"/>
              <w:jc w:val="center"/>
            </w:pPr>
            <w:r>
              <w:t>840</w:t>
            </w:r>
          </w:p>
        </w:tc>
        <w:tc>
          <w:tcPr>
            <w:tcW w:w="644" w:type="pct"/>
            <w:shd w:val="clear" w:color="auto" w:fill="auto"/>
            <w:noWrap/>
            <w:vAlign w:val="center"/>
          </w:tcPr>
          <w:p w14:paraId="07C0C8A2">
            <w:pPr>
              <w:pStyle w:val="23"/>
              <w:jc w:val="center"/>
            </w:pPr>
            <w:r>
              <w:t>3329</w:t>
            </w:r>
          </w:p>
        </w:tc>
        <w:tc>
          <w:tcPr>
            <w:tcW w:w="1098" w:type="pct"/>
            <w:shd w:val="clear" w:color="auto" w:fill="auto"/>
            <w:noWrap/>
            <w:vAlign w:val="center"/>
          </w:tcPr>
          <w:p w14:paraId="4FD74CDC">
            <w:pPr>
              <w:pStyle w:val="23"/>
              <w:jc w:val="center"/>
            </w:pPr>
            <w:r>
              <w:t>1.28</w:t>
            </w:r>
          </w:p>
        </w:tc>
      </w:tr>
      <w:tr w14:paraId="1CC43F4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45" w:type="pct"/>
          <w:trHeight w:val="255" w:hRule="atLeast"/>
          <w:jc w:val="center"/>
        </w:trPr>
        <w:tc>
          <w:tcPr>
            <w:tcW w:w="642" w:type="pct"/>
            <w:shd w:val="clear" w:color="auto" w:fill="auto"/>
            <w:noWrap/>
            <w:vAlign w:val="center"/>
          </w:tcPr>
          <w:p w14:paraId="5C586DC9">
            <w:pPr>
              <w:pStyle w:val="23"/>
              <w:jc w:val="center"/>
            </w:pPr>
            <w:r>
              <w:t>6</w:t>
            </w:r>
          </w:p>
        </w:tc>
        <w:tc>
          <w:tcPr>
            <w:tcW w:w="642" w:type="pct"/>
            <w:shd w:val="clear" w:color="auto" w:fill="auto"/>
            <w:noWrap/>
            <w:vAlign w:val="center"/>
          </w:tcPr>
          <w:p w14:paraId="79FCA1DF">
            <w:pPr>
              <w:pStyle w:val="23"/>
              <w:jc w:val="center"/>
            </w:pPr>
            <w:r>
              <w:t>长市村</w:t>
            </w:r>
          </w:p>
        </w:tc>
        <w:tc>
          <w:tcPr>
            <w:tcW w:w="642" w:type="pct"/>
            <w:shd w:val="clear" w:color="auto" w:fill="auto"/>
            <w:noWrap/>
            <w:vAlign w:val="center"/>
          </w:tcPr>
          <w:p w14:paraId="193DDE03">
            <w:pPr>
              <w:pStyle w:val="23"/>
              <w:jc w:val="center"/>
            </w:pPr>
            <w:r>
              <w:t>24</w:t>
            </w:r>
          </w:p>
        </w:tc>
        <w:tc>
          <w:tcPr>
            <w:tcW w:w="642" w:type="pct"/>
            <w:shd w:val="clear" w:color="auto" w:fill="auto"/>
            <w:noWrap/>
            <w:vAlign w:val="center"/>
          </w:tcPr>
          <w:p w14:paraId="4940C8E6">
            <w:pPr>
              <w:pStyle w:val="23"/>
              <w:jc w:val="center"/>
            </w:pPr>
            <w:r>
              <w:t>9</w:t>
            </w:r>
          </w:p>
        </w:tc>
        <w:tc>
          <w:tcPr>
            <w:tcW w:w="643" w:type="pct"/>
            <w:shd w:val="clear" w:color="auto" w:fill="auto"/>
            <w:noWrap/>
            <w:vAlign w:val="center"/>
          </w:tcPr>
          <w:p w14:paraId="0E555313">
            <w:pPr>
              <w:pStyle w:val="23"/>
              <w:jc w:val="center"/>
            </w:pPr>
            <w:r>
              <w:t>976</w:t>
            </w:r>
          </w:p>
        </w:tc>
        <w:tc>
          <w:tcPr>
            <w:tcW w:w="644" w:type="pct"/>
            <w:shd w:val="clear" w:color="auto" w:fill="auto"/>
            <w:noWrap/>
            <w:vAlign w:val="center"/>
          </w:tcPr>
          <w:p w14:paraId="4600F5FF">
            <w:pPr>
              <w:pStyle w:val="23"/>
              <w:jc w:val="center"/>
            </w:pPr>
            <w:r>
              <w:t>3886</w:t>
            </w:r>
          </w:p>
        </w:tc>
        <w:tc>
          <w:tcPr>
            <w:tcW w:w="1098" w:type="pct"/>
            <w:shd w:val="clear" w:color="auto" w:fill="auto"/>
            <w:noWrap/>
            <w:vAlign w:val="center"/>
          </w:tcPr>
          <w:p w14:paraId="713B59E6">
            <w:pPr>
              <w:pStyle w:val="23"/>
              <w:jc w:val="center"/>
            </w:pPr>
            <w:r>
              <w:t>2.81</w:t>
            </w:r>
          </w:p>
        </w:tc>
      </w:tr>
      <w:tr w14:paraId="73D493E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45" w:type="pct"/>
          <w:trHeight w:val="255" w:hRule="atLeast"/>
          <w:jc w:val="center"/>
        </w:trPr>
        <w:tc>
          <w:tcPr>
            <w:tcW w:w="642" w:type="pct"/>
            <w:shd w:val="clear" w:color="auto" w:fill="auto"/>
            <w:noWrap/>
            <w:vAlign w:val="center"/>
          </w:tcPr>
          <w:p w14:paraId="0D9BABCD">
            <w:pPr>
              <w:pStyle w:val="23"/>
              <w:jc w:val="center"/>
            </w:pPr>
            <w:r>
              <w:t>7</w:t>
            </w:r>
          </w:p>
        </w:tc>
        <w:tc>
          <w:tcPr>
            <w:tcW w:w="642" w:type="pct"/>
            <w:shd w:val="clear" w:color="auto" w:fill="auto"/>
            <w:noWrap/>
            <w:vAlign w:val="center"/>
          </w:tcPr>
          <w:p w14:paraId="593DDB20">
            <w:pPr>
              <w:pStyle w:val="23"/>
              <w:jc w:val="center"/>
            </w:pPr>
            <w:r>
              <w:t>新迳村</w:t>
            </w:r>
          </w:p>
        </w:tc>
        <w:tc>
          <w:tcPr>
            <w:tcW w:w="642" w:type="pct"/>
            <w:shd w:val="clear" w:color="auto" w:fill="auto"/>
            <w:noWrap/>
            <w:vAlign w:val="center"/>
          </w:tcPr>
          <w:p w14:paraId="641C8DE8">
            <w:pPr>
              <w:pStyle w:val="23"/>
              <w:jc w:val="center"/>
            </w:pPr>
            <w:r>
              <w:t>11</w:t>
            </w:r>
          </w:p>
        </w:tc>
        <w:tc>
          <w:tcPr>
            <w:tcW w:w="642" w:type="pct"/>
            <w:shd w:val="clear" w:color="auto" w:fill="auto"/>
            <w:noWrap/>
            <w:vAlign w:val="center"/>
          </w:tcPr>
          <w:p w14:paraId="40CD2685">
            <w:pPr>
              <w:pStyle w:val="23"/>
              <w:jc w:val="center"/>
            </w:pPr>
            <w:r>
              <w:t>11</w:t>
            </w:r>
          </w:p>
        </w:tc>
        <w:tc>
          <w:tcPr>
            <w:tcW w:w="643" w:type="pct"/>
            <w:shd w:val="clear" w:color="auto" w:fill="auto"/>
            <w:noWrap/>
            <w:vAlign w:val="center"/>
          </w:tcPr>
          <w:p w14:paraId="07F6BD88">
            <w:pPr>
              <w:pStyle w:val="23"/>
              <w:jc w:val="center"/>
            </w:pPr>
            <w:r>
              <w:t>551</w:t>
            </w:r>
          </w:p>
        </w:tc>
        <w:tc>
          <w:tcPr>
            <w:tcW w:w="644" w:type="pct"/>
            <w:shd w:val="clear" w:color="auto" w:fill="auto"/>
            <w:noWrap/>
            <w:vAlign w:val="center"/>
          </w:tcPr>
          <w:p w14:paraId="5530AEF1">
            <w:pPr>
              <w:pStyle w:val="23"/>
              <w:jc w:val="center"/>
            </w:pPr>
            <w:r>
              <w:t>2832</w:t>
            </w:r>
          </w:p>
        </w:tc>
        <w:tc>
          <w:tcPr>
            <w:tcW w:w="1098" w:type="pct"/>
            <w:shd w:val="clear" w:color="auto" w:fill="auto"/>
            <w:noWrap/>
            <w:vAlign w:val="center"/>
          </w:tcPr>
          <w:p w14:paraId="3A679DBA">
            <w:pPr>
              <w:pStyle w:val="23"/>
              <w:jc w:val="center"/>
            </w:pPr>
            <w:r>
              <w:t>2.67</w:t>
            </w:r>
          </w:p>
        </w:tc>
      </w:tr>
      <w:tr w14:paraId="6A82ECA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45" w:type="pct"/>
          <w:trHeight w:val="255" w:hRule="atLeast"/>
          <w:jc w:val="center"/>
        </w:trPr>
        <w:tc>
          <w:tcPr>
            <w:tcW w:w="642" w:type="pct"/>
            <w:shd w:val="clear" w:color="auto" w:fill="auto"/>
            <w:noWrap/>
            <w:vAlign w:val="center"/>
          </w:tcPr>
          <w:p w14:paraId="6749D99A">
            <w:pPr>
              <w:pStyle w:val="23"/>
              <w:jc w:val="center"/>
            </w:pPr>
            <w:r>
              <w:t>8</w:t>
            </w:r>
          </w:p>
        </w:tc>
        <w:tc>
          <w:tcPr>
            <w:tcW w:w="642" w:type="pct"/>
            <w:shd w:val="clear" w:color="auto" w:fill="auto"/>
            <w:noWrap/>
            <w:vAlign w:val="center"/>
          </w:tcPr>
          <w:p w14:paraId="440CBA84">
            <w:pPr>
              <w:pStyle w:val="23"/>
              <w:jc w:val="center"/>
            </w:pPr>
            <w:r>
              <w:t>矿石村</w:t>
            </w:r>
          </w:p>
        </w:tc>
        <w:tc>
          <w:tcPr>
            <w:tcW w:w="642" w:type="pct"/>
            <w:shd w:val="clear" w:color="auto" w:fill="auto"/>
            <w:noWrap/>
            <w:vAlign w:val="center"/>
          </w:tcPr>
          <w:p w14:paraId="6973EB0D">
            <w:pPr>
              <w:pStyle w:val="23"/>
              <w:jc w:val="center"/>
            </w:pPr>
            <w:r>
              <w:t>9</w:t>
            </w:r>
          </w:p>
        </w:tc>
        <w:tc>
          <w:tcPr>
            <w:tcW w:w="642" w:type="pct"/>
            <w:shd w:val="clear" w:color="auto" w:fill="auto"/>
            <w:noWrap/>
            <w:vAlign w:val="center"/>
          </w:tcPr>
          <w:p w14:paraId="5D03D986">
            <w:pPr>
              <w:pStyle w:val="23"/>
              <w:jc w:val="center"/>
            </w:pPr>
            <w:r>
              <w:t>9</w:t>
            </w:r>
          </w:p>
        </w:tc>
        <w:tc>
          <w:tcPr>
            <w:tcW w:w="643" w:type="pct"/>
            <w:shd w:val="clear" w:color="auto" w:fill="auto"/>
            <w:noWrap/>
            <w:vAlign w:val="center"/>
          </w:tcPr>
          <w:p w14:paraId="70F69849">
            <w:pPr>
              <w:pStyle w:val="23"/>
              <w:jc w:val="center"/>
            </w:pPr>
            <w:r>
              <w:t>292</w:t>
            </w:r>
          </w:p>
        </w:tc>
        <w:tc>
          <w:tcPr>
            <w:tcW w:w="644" w:type="pct"/>
            <w:shd w:val="clear" w:color="auto" w:fill="auto"/>
            <w:noWrap/>
            <w:vAlign w:val="center"/>
          </w:tcPr>
          <w:p w14:paraId="750E66D1">
            <w:pPr>
              <w:pStyle w:val="23"/>
              <w:jc w:val="center"/>
            </w:pPr>
            <w:r>
              <w:t>1200</w:t>
            </w:r>
          </w:p>
        </w:tc>
        <w:tc>
          <w:tcPr>
            <w:tcW w:w="1098" w:type="pct"/>
            <w:shd w:val="clear" w:color="auto" w:fill="auto"/>
            <w:noWrap/>
            <w:vAlign w:val="center"/>
          </w:tcPr>
          <w:p w14:paraId="64449791">
            <w:pPr>
              <w:pStyle w:val="23"/>
              <w:jc w:val="center"/>
            </w:pPr>
            <w:r>
              <w:t>2.12</w:t>
            </w:r>
          </w:p>
        </w:tc>
      </w:tr>
      <w:tr w14:paraId="3636661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45" w:type="pct"/>
          <w:trHeight w:val="255" w:hRule="atLeast"/>
          <w:jc w:val="center"/>
        </w:trPr>
        <w:tc>
          <w:tcPr>
            <w:tcW w:w="642" w:type="pct"/>
            <w:shd w:val="clear" w:color="auto" w:fill="auto"/>
            <w:noWrap/>
            <w:vAlign w:val="center"/>
          </w:tcPr>
          <w:p w14:paraId="37D0A786">
            <w:pPr>
              <w:pStyle w:val="23"/>
              <w:jc w:val="center"/>
            </w:pPr>
            <w:r>
              <w:t>9</w:t>
            </w:r>
          </w:p>
        </w:tc>
        <w:tc>
          <w:tcPr>
            <w:tcW w:w="642" w:type="pct"/>
            <w:shd w:val="clear" w:color="auto" w:fill="auto"/>
            <w:noWrap/>
            <w:vAlign w:val="center"/>
          </w:tcPr>
          <w:p w14:paraId="7DB6F7D9">
            <w:pPr>
              <w:pStyle w:val="23"/>
              <w:jc w:val="center"/>
            </w:pPr>
            <w:r>
              <w:t>岗围村</w:t>
            </w:r>
          </w:p>
        </w:tc>
        <w:tc>
          <w:tcPr>
            <w:tcW w:w="642" w:type="pct"/>
            <w:shd w:val="clear" w:color="auto" w:fill="auto"/>
            <w:noWrap/>
            <w:vAlign w:val="center"/>
          </w:tcPr>
          <w:p w14:paraId="44222E26">
            <w:pPr>
              <w:pStyle w:val="23"/>
              <w:jc w:val="center"/>
            </w:pPr>
            <w:r>
              <w:t>12</w:t>
            </w:r>
          </w:p>
        </w:tc>
        <w:tc>
          <w:tcPr>
            <w:tcW w:w="642" w:type="pct"/>
            <w:shd w:val="clear" w:color="auto" w:fill="auto"/>
            <w:noWrap/>
            <w:vAlign w:val="center"/>
          </w:tcPr>
          <w:p w14:paraId="11856607">
            <w:pPr>
              <w:pStyle w:val="23"/>
              <w:jc w:val="center"/>
            </w:pPr>
            <w:r>
              <w:t>7</w:t>
            </w:r>
          </w:p>
        </w:tc>
        <w:tc>
          <w:tcPr>
            <w:tcW w:w="643" w:type="pct"/>
            <w:shd w:val="clear" w:color="auto" w:fill="auto"/>
            <w:noWrap/>
            <w:vAlign w:val="center"/>
          </w:tcPr>
          <w:p w14:paraId="6F9163BD">
            <w:pPr>
              <w:pStyle w:val="23"/>
              <w:jc w:val="center"/>
            </w:pPr>
            <w:r>
              <w:t>404</w:t>
            </w:r>
          </w:p>
        </w:tc>
        <w:tc>
          <w:tcPr>
            <w:tcW w:w="644" w:type="pct"/>
            <w:shd w:val="clear" w:color="auto" w:fill="auto"/>
            <w:noWrap/>
            <w:vAlign w:val="center"/>
          </w:tcPr>
          <w:p w14:paraId="05F6A061">
            <w:pPr>
              <w:pStyle w:val="23"/>
              <w:jc w:val="center"/>
            </w:pPr>
            <w:r>
              <w:t>1655</w:t>
            </w:r>
          </w:p>
        </w:tc>
        <w:tc>
          <w:tcPr>
            <w:tcW w:w="1098" w:type="pct"/>
            <w:shd w:val="clear" w:color="auto" w:fill="auto"/>
            <w:noWrap/>
            <w:vAlign w:val="center"/>
          </w:tcPr>
          <w:p w14:paraId="0DAB6DED">
            <w:pPr>
              <w:pStyle w:val="23"/>
              <w:jc w:val="center"/>
            </w:pPr>
            <w:r>
              <w:t>2.9</w:t>
            </w:r>
          </w:p>
        </w:tc>
      </w:tr>
      <w:tr w14:paraId="463E403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45" w:type="pct"/>
          <w:trHeight w:val="255" w:hRule="atLeast"/>
          <w:jc w:val="center"/>
        </w:trPr>
        <w:tc>
          <w:tcPr>
            <w:tcW w:w="642" w:type="pct"/>
            <w:shd w:val="clear" w:color="auto" w:fill="auto"/>
            <w:noWrap/>
            <w:vAlign w:val="center"/>
          </w:tcPr>
          <w:p w14:paraId="61F5E566">
            <w:pPr>
              <w:pStyle w:val="23"/>
              <w:jc w:val="center"/>
            </w:pPr>
            <w:r>
              <w:t>10</w:t>
            </w:r>
          </w:p>
        </w:tc>
        <w:tc>
          <w:tcPr>
            <w:tcW w:w="642" w:type="pct"/>
            <w:shd w:val="clear" w:color="auto" w:fill="auto"/>
            <w:noWrap/>
            <w:vAlign w:val="center"/>
          </w:tcPr>
          <w:p w14:paraId="678D8AB7">
            <w:pPr>
              <w:pStyle w:val="23"/>
              <w:jc w:val="center"/>
            </w:pPr>
            <w:r>
              <w:t>湖口村</w:t>
            </w:r>
          </w:p>
        </w:tc>
        <w:tc>
          <w:tcPr>
            <w:tcW w:w="642" w:type="pct"/>
            <w:shd w:val="clear" w:color="auto" w:fill="auto"/>
            <w:noWrap/>
            <w:vAlign w:val="center"/>
          </w:tcPr>
          <w:p w14:paraId="039CF1BB">
            <w:pPr>
              <w:pStyle w:val="23"/>
              <w:jc w:val="center"/>
            </w:pPr>
            <w:r>
              <w:t>22</w:t>
            </w:r>
          </w:p>
        </w:tc>
        <w:tc>
          <w:tcPr>
            <w:tcW w:w="642" w:type="pct"/>
            <w:shd w:val="clear" w:color="auto" w:fill="auto"/>
            <w:noWrap/>
            <w:vAlign w:val="center"/>
          </w:tcPr>
          <w:p w14:paraId="1D38D211">
            <w:pPr>
              <w:pStyle w:val="23"/>
              <w:jc w:val="center"/>
            </w:pPr>
            <w:r>
              <w:t>22</w:t>
            </w:r>
          </w:p>
        </w:tc>
        <w:tc>
          <w:tcPr>
            <w:tcW w:w="643" w:type="pct"/>
            <w:shd w:val="clear" w:color="auto" w:fill="auto"/>
            <w:noWrap/>
            <w:vAlign w:val="center"/>
          </w:tcPr>
          <w:p w14:paraId="7B439DB5">
            <w:pPr>
              <w:pStyle w:val="23"/>
              <w:jc w:val="center"/>
            </w:pPr>
            <w:r>
              <w:t>1123</w:t>
            </w:r>
          </w:p>
        </w:tc>
        <w:tc>
          <w:tcPr>
            <w:tcW w:w="644" w:type="pct"/>
            <w:shd w:val="clear" w:color="auto" w:fill="auto"/>
            <w:noWrap/>
            <w:vAlign w:val="center"/>
          </w:tcPr>
          <w:p w14:paraId="5BF16C3C">
            <w:pPr>
              <w:pStyle w:val="23"/>
              <w:jc w:val="center"/>
            </w:pPr>
            <w:r>
              <w:t>5307</w:t>
            </w:r>
          </w:p>
        </w:tc>
        <w:tc>
          <w:tcPr>
            <w:tcW w:w="1098" w:type="pct"/>
            <w:shd w:val="clear" w:color="auto" w:fill="auto"/>
            <w:noWrap/>
            <w:vAlign w:val="center"/>
          </w:tcPr>
          <w:p w14:paraId="01100FD1">
            <w:pPr>
              <w:pStyle w:val="23"/>
              <w:jc w:val="center"/>
            </w:pPr>
            <w:r>
              <w:t>5.7</w:t>
            </w:r>
          </w:p>
        </w:tc>
      </w:tr>
      <w:tr w14:paraId="207B95A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45" w:type="pct"/>
          <w:trHeight w:val="255" w:hRule="atLeast"/>
          <w:jc w:val="center"/>
        </w:trPr>
        <w:tc>
          <w:tcPr>
            <w:tcW w:w="642" w:type="pct"/>
            <w:shd w:val="clear" w:color="auto" w:fill="auto"/>
            <w:noWrap/>
            <w:vAlign w:val="center"/>
          </w:tcPr>
          <w:p w14:paraId="1B1727F2">
            <w:pPr>
              <w:pStyle w:val="23"/>
              <w:jc w:val="center"/>
            </w:pPr>
            <w:r>
              <w:t>11</w:t>
            </w:r>
          </w:p>
        </w:tc>
        <w:tc>
          <w:tcPr>
            <w:tcW w:w="642" w:type="pct"/>
            <w:shd w:val="clear" w:color="auto" w:fill="auto"/>
            <w:noWrap/>
            <w:vAlign w:val="center"/>
          </w:tcPr>
          <w:p w14:paraId="4A1A0334">
            <w:pPr>
              <w:pStyle w:val="23"/>
              <w:jc w:val="center"/>
            </w:pPr>
            <w:r>
              <w:t>太和村</w:t>
            </w:r>
          </w:p>
        </w:tc>
        <w:tc>
          <w:tcPr>
            <w:tcW w:w="642" w:type="pct"/>
            <w:shd w:val="clear" w:color="auto" w:fill="auto"/>
            <w:noWrap/>
            <w:vAlign w:val="center"/>
          </w:tcPr>
          <w:p w14:paraId="3F4A8757">
            <w:pPr>
              <w:pStyle w:val="23"/>
              <w:jc w:val="center"/>
            </w:pPr>
            <w:r>
              <w:t>10</w:t>
            </w:r>
          </w:p>
        </w:tc>
        <w:tc>
          <w:tcPr>
            <w:tcW w:w="642" w:type="pct"/>
            <w:shd w:val="clear" w:color="auto" w:fill="auto"/>
            <w:noWrap/>
            <w:vAlign w:val="center"/>
          </w:tcPr>
          <w:p w14:paraId="2CF06AEE">
            <w:pPr>
              <w:pStyle w:val="23"/>
              <w:jc w:val="center"/>
            </w:pPr>
            <w:r>
              <w:t>10</w:t>
            </w:r>
          </w:p>
        </w:tc>
        <w:tc>
          <w:tcPr>
            <w:tcW w:w="643" w:type="pct"/>
            <w:shd w:val="clear" w:color="auto" w:fill="auto"/>
            <w:noWrap/>
            <w:vAlign w:val="center"/>
          </w:tcPr>
          <w:p w14:paraId="450AFC2A">
            <w:pPr>
              <w:pStyle w:val="23"/>
              <w:jc w:val="center"/>
            </w:pPr>
            <w:r>
              <w:t>511</w:t>
            </w:r>
          </w:p>
        </w:tc>
        <w:tc>
          <w:tcPr>
            <w:tcW w:w="644" w:type="pct"/>
            <w:shd w:val="clear" w:color="auto" w:fill="auto"/>
            <w:noWrap/>
            <w:vAlign w:val="center"/>
          </w:tcPr>
          <w:p w14:paraId="58CCA3A8">
            <w:pPr>
              <w:pStyle w:val="23"/>
              <w:jc w:val="center"/>
            </w:pPr>
            <w:r>
              <w:t>2160</w:t>
            </w:r>
          </w:p>
        </w:tc>
        <w:tc>
          <w:tcPr>
            <w:tcW w:w="1098" w:type="pct"/>
            <w:shd w:val="clear" w:color="auto" w:fill="auto"/>
            <w:noWrap/>
            <w:vAlign w:val="center"/>
          </w:tcPr>
          <w:p w14:paraId="65A601A7">
            <w:pPr>
              <w:pStyle w:val="23"/>
              <w:jc w:val="center"/>
            </w:pPr>
            <w:r>
              <w:t>2.98</w:t>
            </w:r>
          </w:p>
        </w:tc>
      </w:tr>
      <w:tr w14:paraId="241A9CB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45" w:type="pct"/>
          <w:trHeight w:val="255" w:hRule="atLeast"/>
          <w:jc w:val="center"/>
        </w:trPr>
        <w:tc>
          <w:tcPr>
            <w:tcW w:w="642" w:type="pct"/>
            <w:shd w:val="clear" w:color="auto" w:fill="auto"/>
            <w:noWrap/>
            <w:vAlign w:val="center"/>
          </w:tcPr>
          <w:p w14:paraId="49F4B55C">
            <w:pPr>
              <w:pStyle w:val="23"/>
              <w:jc w:val="center"/>
            </w:pPr>
            <w:r>
              <w:t>12</w:t>
            </w:r>
          </w:p>
        </w:tc>
        <w:tc>
          <w:tcPr>
            <w:tcW w:w="642" w:type="pct"/>
            <w:shd w:val="clear" w:color="auto" w:fill="auto"/>
            <w:noWrap/>
            <w:vAlign w:val="center"/>
          </w:tcPr>
          <w:p w14:paraId="7060AE89">
            <w:pPr>
              <w:pStyle w:val="23"/>
              <w:jc w:val="center"/>
            </w:pPr>
            <w:r>
              <w:t>承平村</w:t>
            </w:r>
          </w:p>
        </w:tc>
        <w:tc>
          <w:tcPr>
            <w:tcW w:w="642" w:type="pct"/>
            <w:shd w:val="clear" w:color="auto" w:fill="auto"/>
            <w:noWrap/>
            <w:vAlign w:val="center"/>
          </w:tcPr>
          <w:p w14:paraId="369FD8D3">
            <w:pPr>
              <w:pStyle w:val="23"/>
              <w:jc w:val="center"/>
            </w:pPr>
            <w:r>
              <w:t>30</w:t>
            </w:r>
          </w:p>
        </w:tc>
        <w:tc>
          <w:tcPr>
            <w:tcW w:w="642" w:type="pct"/>
            <w:shd w:val="clear" w:color="auto" w:fill="auto"/>
            <w:noWrap/>
            <w:vAlign w:val="center"/>
          </w:tcPr>
          <w:p w14:paraId="133854C3">
            <w:pPr>
              <w:pStyle w:val="23"/>
              <w:jc w:val="center"/>
            </w:pPr>
            <w:r>
              <w:t>8</w:t>
            </w:r>
          </w:p>
        </w:tc>
        <w:tc>
          <w:tcPr>
            <w:tcW w:w="643" w:type="pct"/>
            <w:shd w:val="clear" w:color="auto" w:fill="auto"/>
            <w:noWrap/>
            <w:vAlign w:val="center"/>
          </w:tcPr>
          <w:p w14:paraId="7453ACB4">
            <w:pPr>
              <w:pStyle w:val="23"/>
              <w:jc w:val="center"/>
            </w:pPr>
            <w:r>
              <w:t>926</w:t>
            </w:r>
          </w:p>
        </w:tc>
        <w:tc>
          <w:tcPr>
            <w:tcW w:w="644" w:type="pct"/>
            <w:shd w:val="clear" w:color="auto" w:fill="auto"/>
            <w:noWrap/>
            <w:vAlign w:val="center"/>
          </w:tcPr>
          <w:p w14:paraId="456EDFCB">
            <w:pPr>
              <w:pStyle w:val="23"/>
              <w:jc w:val="center"/>
            </w:pPr>
            <w:r>
              <w:t>4118</w:t>
            </w:r>
          </w:p>
        </w:tc>
        <w:tc>
          <w:tcPr>
            <w:tcW w:w="1098" w:type="pct"/>
            <w:shd w:val="clear" w:color="auto" w:fill="auto"/>
            <w:noWrap/>
            <w:vAlign w:val="center"/>
          </w:tcPr>
          <w:p w14:paraId="6BA2CB13">
            <w:pPr>
              <w:pStyle w:val="23"/>
              <w:jc w:val="center"/>
            </w:pPr>
            <w:r>
              <w:t>4.56</w:t>
            </w:r>
          </w:p>
        </w:tc>
      </w:tr>
      <w:tr w14:paraId="4C23B67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45" w:type="pct"/>
          <w:trHeight w:val="255" w:hRule="atLeast"/>
          <w:jc w:val="center"/>
        </w:trPr>
        <w:tc>
          <w:tcPr>
            <w:tcW w:w="642" w:type="pct"/>
            <w:shd w:val="clear" w:color="auto" w:fill="auto"/>
            <w:noWrap/>
            <w:vAlign w:val="center"/>
          </w:tcPr>
          <w:p w14:paraId="0D1BDD81">
            <w:pPr>
              <w:pStyle w:val="23"/>
              <w:jc w:val="center"/>
            </w:pPr>
            <w:r>
              <w:t>13</w:t>
            </w:r>
          </w:p>
        </w:tc>
        <w:tc>
          <w:tcPr>
            <w:tcW w:w="642" w:type="pct"/>
            <w:shd w:val="clear" w:color="auto" w:fill="auto"/>
            <w:noWrap/>
            <w:vAlign w:val="center"/>
          </w:tcPr>
          <w:p w14:paraId="646B0053">
            <w:pPr>
              <w:pStyle w:val="23"/>
              <w:jc w:val="center"/>
            </w:pPr>
            <w:r>
              <w:t>居委会</w:t>
            </w:r>
          </w:p>
        </w:tc>
        <w:tc>
          <w:tcPr>
            <w:tcW w:w="642" w:type="pct"/>
            <w:shd w:val="clear" w:color="auto" w:fill="auto"/>
            <w:noWrap/>
            <w:vAlign w:val="center"/>
          </w:tcPr>
          <w:p w14:paraId="0EF907C9">
            <w:pPr>
              <w:pStyle w:val="23"/>
              <w:jc w:val="center"/>
            </w:pPr>
          </w:p>
        </w:tc>
        <w:tc>
          <w:tcPr>
            <w:tcW w:w="642" w:type="pct"/>
            <w:shd w:val="clear" w:color="auto" w:fill="auto"/>
            <w:noWrap/>
            <w:vAlign w:val="center"/>
          </w:tcPr>
          <w:p w14:paraId="2388F8DF">
            <w:pPr>
              <w:pStyle w:val="23"/>
              <w:jc w:val="center"/>
            </w:pPr>
            <w:r>
              <w:t>441</w:t>
            </w:r>
          </w:p>
        </w:tc>
        <w:tc>
          <w:tcPr>
            <w:tcW w:w="643" w:type="pct"/>
            <w:shd w:val="clear" w:color="auto" w:fill="auto"/>
            <w:noWrap/>
            <w:vAlign w:val="center"/>
          </w:tcPr>
          <w:p w14:paraId="61B5186C">
            <w:pPr>
              <w:pStyle w:val="23"/>
              <w:jc w:val="center"/>
            </w:pPr>
            <w:r>
              <w:t>2048</w:t>
            </w:r>
          </w:p>
        </w:tc>
        <w:tc>
          <w:tcPr>
            <w:tcW w:w="644" w:type="pct"/>
            <w:shd w:val="clear" w:color="auto" w:fill="auto"/>
            <w:noWrap/>
            <w:vAlign w:val="center"/>
          </w:tcPr>
          <w:p w14:paraId="4C7B39BE">
            <w:pPr>
              <w:pStyle w:val="23"/>
              <w:jc w:val="center"/>
            </w:pPr>
            <w:r>
              <w:t>1.08</w:t>
            </w:r>
          </w:p>
        </w:tc>
        <w:tc>
          <w:tcPr>
            <w:tcW w:w="1098" w:type="pct"/>
            <w:shd w:val="clear" w:color="auto" w:fill="auto"/>
            <w:noWrap/>
            <w:vAlign w:val="center"/>
          </w:tcPr>
          <w:p w14:paraId="4DE92B0F">
            <w:pPr>
              <w:pStyle w:val="23"/>
              <w:jc w:val="center"/>
            </w:pPr>
          </w:p>
        </w:tc>
      </w:tr>
    </w:tbl>
    <w:p w14:paraId="3C57C5E3">
      <w:pPr>
        <w:ind w:right="420" w:firstLine="0" w:firstLineChars="0"/>
        <w:jc w:val="right"/>
        <w:rPr>
          <w:rFonts w:ascii="宋体" w:hAnsi="宋体"/>
          <w:szCs w:val="21"/>
        </w:rPr>
      </w:pPr>
      <w:r>
        <w:rPr>
          <w:rFonts w:hint="eastAsia" w:ascii="宋体" w:hAnsi="宋体"/>
          <w:szCs w:val="21"/>
        </w:rPr>
        <w:t>（彭  静）</w:t>
      </w:r>
    </w:p>
    <w:p w14:paraId="094FB8BD">
      <w:pPr>
        <w:ind w:firstLine="0" w:firstLineChars="0"/>
        <w:rPr>
          <w:rFonts w:ascii="宋体" w:hAnsi="宋体"/>
          <w:b/>
          <w:szCs w:val="21"/>
        </w:rPr>
      </w:pPr>
      <w:r>
        <w:rPr>
          <w:rFonts w:hint="eastAsia" w:ascii="宋体" w:hAnsi="宋体"/>
          <w:b/>
          <w:szCs w:val="21"/>
        </w:rPr>
        <w:t>附：2011年湖口镇领导班子成员名单</w:t>
      </w:r>
    </w:p>
    <w:p w14:paraId="1818582F">
      <w:pPr>
        <w:ind w:firstLine="0" w:firstLineChars="0"/>
        <w:rPr>
          <w:rFonts w:ascii="宋体" w:hAnsi="宋体"/>
          <w:szCs w:val="21"/>
        </w:rPr>
      </w:pPr>
      <w:r>
        <w:rPr>
          <w:rFonts w:hint="eastAsia" w:ascii="宋体" w:hAnsi="宋体"/>
          <w:szCs w:val="21"/>
        </w:rPr>
        <w:t>党委书记、人大主席：李新明</w:t>
      </w:r>
    </w:p>
    <w:p w14:paraId="6E4575EC">
      <w:pPr>
        <w:ind w:firstLine="0" w:firstLineChars="0"/>
        <w:rPr>
          <w:rFonts w:ascii="宋体" w:hAnsi="宋体"/>
          <w:szCs w:val="21"/>
        </w:rPr>
      </w:pPr>
      <w:r>
        <w:rPr>
          <w:rFonts w:hint="eastAsia" w:ascii="宋体" w:hAnsi="宋体"/>
          <w:szCs w:val="21"/>
        </w:rPr>
        <w:t>党委副书记、镇长：雷清荣</w:t>
      </w:r>
    </w:p>
    <w:p w14:paraId="7C54776F">
      <w:pPr>
        <w:ind w:firstLine="0" w:firstLineChars="0"/>
        <w:rPr>
          <w:rFonts w:ascii="宋体" w:hAnsi="宋体"/>
          <w:szCs w:val="21"/>
        </w:rPr>
      </w:pPr>
      <w:r>
        <w:rPr>
          <w:rFonts w:hint="eastAsia" w:ascii="宋体" w:hAnsi="宋体"/>
          <w:szCs w:val="21"/>
        </w:rPr>
        <w:t>党委副书记：马月明</w:t>
      </w:r>
    </w:p>
    <w:p w14:paraId="09028DC6">
      <w:pPr>
        <w:ind w:firstLine="0" w:firstLineChars="0"/>
        <w:rPr>
          <w:rFonts w:ascii="宋体" w:hAnsi="宋体"/>
          <w:szCs w:val="21"/>
        </w:rPr>
      </w:pPr>
      <w:r>
        <w:rPr>
          <w:rFonts w:hint="eastAsia" w:ascii="宋体" w:hAnsi="宋体"/>
          <w:szCs w:val="21"/>
        </w:rPr>
        <w:t>纪委书记：邓玉良</w:t>
      </w:r>
    </w:p>
    <w:p w14:paraId="4288ED4F">
      <w:pPr>
        <w:ind w:firstLine="0" w:firstLineChars="0"/>
        <w:rPr>
          <w:rFonts w:ascii="宋体" w:hAnsi="宋体"/>
          <w:szCs w:val="21"/>
        </w:rPr>
      </w:pPr>
      <w:r>
        <w:rPr>
          <w:rFonts w:hint="eastAsia" w:ascii="宋体" w:hAnsi="宋体"/>
          <w:szCs w:val="21"/>
        </w:rPr>
        <w:t>组织委员：钟小娟</w:t>
      </w:r>
    </w:p>
    <w:p w14:paraId="6DB30051">
      <w:pPr>
        <w:ind w:firstLine="0" w:firstLineChars="0"/>
        <w:rPr>
          <w:rFonts w:ascii="宋体" w:hAnsi="宋体"/>
          <w:szCs w:val="21"/>
        </w:rPr>
      </w:pPr>
      <w:r>
        <w:rPr>
          <w:rFonts w:hint="eastAsia" w:ascii="宋体" w:hAnsi="宋体"/>
          <w:szCs w:val="21"/>
        </w:rPr>
        <w:t>宣传委员：钟伦红</w:t>
      </w:r>
    </w:p>
    <w:p w14:paraId="392C6306">
      <w:pPr>
        <w:ind w:firstLine="0" w:firstLineChars="0"/>
        <w:rPr>
          <w:rFonts w:ascii="宋体" w:hAnsi="宋体"/>
          <w:szCs w:val="21"/>
        </w:rPr>
      </w:pPr>
      <w:r>
        <w:rPr>
          <w:rFonts w:hint="eastAsia" w:ascii="宋体" w:hAnsi="宋体"/>
          <w:szCs w:val="21"/>
        </w:rPr>
        <w:t>人大副主席：张  涛</w:t>
      </w:r>
    </w:p>
    <w:p w14:paraId="75BB379F">
      <w:pPr>
        <w:ind w:firstLine="0" w:firstLineChars="0"/>
        <w:rPr>
          <w:rFonts w:ascii="宋体" w:hAnsi="宋体"/>
          <w:szCs w:val="21"/>
        </w:rPr>
      </w:pPr>
      <w:r>
        <w:rPr>
          <w:rFonts w:hint="eastAsia" w:ascii="宋体" w:hAnsi="宋体"/>
          <w:szCs w:val="21"/>
        </w:rPr>
        <w:t>武装部长：刘光佑</w:t>
      </w:r>
    </w:p>
    <w:p w14:paraId="59F6E05A">
      <w:pPr>
        <w:ind w:firstLine="0" w:firstLineChars="0"/>
        <w:rPr>
          <w:rFonts w:ascii="宋体" w:hAnsi="宋体"/>
          <w:szCs w:val="21"/>
        </w:rPr>
      </w:pPr>
      <w:r>
        <w:rPr>
          <w:rFonts w:hint="eastAsia" w:ascii="宋体" w:hAnsi="宋体"/>
          <w:szCs w:val="21"/>
        </w:rPr>
        <w:t>党委委员：黄永红</w:t>
      </w:r>
    </w:p>
    <w:p w14:paraId="1D8DF5C7">
      <w:pPr>
        <w:ind w:firstLine="0" w:firstLineChars="0"/>
        <w:rPr>
          <w:rFonts w:ascii="宋体" w:hAnsi="宋体"/>
          <w:szCs w:val="21"/>
        </w:rPr>
      </w:pPr>
      <w:r>
        <w:rPr>
          <w:rFonts w:hint="eastAsia" w:ascii="宋体" w:hAnsi="宋体"/>
          <w:szCs w:val="21"/>
        </w:rPr>
        <w:t>副镇长：钟礼来  林勋文  孔明华</w:t>
      </w:r>
    </w:p>
    <w:p w14:paraId="77ADB1CC">
      <w:pPr>
        <w:pStyle w:val="3"/>
      </w:pPr>
      <w:r>
        <w:rPr>
          <w:rFonts w:hint="eastAsia"/>
        </w:rPr>
        <w:t>全安镇</w:t>
      </w:r>
    </w:p>
    <w:p w14:paraId="0CC7C0B6">
      <w:pPr>
        <w:pStyle w:val="4"/>
      </w:pPr>
      <w:r>
        <w:rPr>
          <w:rFonts w:hint="eastAsia"/>
        </w:rPr>
        <w:t>【概况】</w:t>
      </w:r>
    </w:p>
    <w:p w14:paraId="3288CEA5">
      <w:pPr>
        <w:ind w:firstLine="420"/>
        <w:rPr>
          <w:rFonts w:ascii="宋体" w:hAnsi="宋体"/>
          <w:szCs w:val="21"/>
        </w:rPr>
      </w:pPr>
      <w:r>
        <w:rPr>
          <w:rFonts w:hint="eastAsia" w:ascii="宋体" w:hAnsi="宋体"/>
          <w:szCs w:val="21"/>
        </w:rPr>
        <w:t>全安镇位于南雄市区西北部，距市区7公里，属燕山期花岗岩体及寒武纪震旦纪变质岩各村（居）情况表（彭静）体，位于“南雄红层盆地”的盆壁与盆底的交接处。毗邻雄州、古市、百顺、澜河、帽子峰、珠玑、始兴县马市镇，新建韶赣高速公路、国道S323线路和省道S342线路从全安镇政府旁边经过。全镇总面积190.90平方公里，其中耕地面积31649亩，山林面积212677.5亩。</w:t>
      </w:r>
    </w:p>
    <w:p w14:paraId="1EFCD528">
      <w:pPr>
        <w:ind w:firstLine="420"/>
        <w:rPr>
          <w:rFonts w:ascii="宋体" w:hAnsi="宋体"/>
          <w:szCs w:val="21"/>
        </w:rPr>
      </w:pPr>
      <w:r>
        <w:rPr>
          <w:rFonts w:hint="eastAsia" w:ascii="宋体" w:hAnsi="宋体"/>
          <w:szCs w:val="21"/>
        </w:rPr>
        <w:t>全安镇属中亚热带季风型气候区，春季阴雨连绵，秋季降水偏少，冬季寒冷，夏季偏热，年平均气温21.1℃。3~8月为雨季，9~2月为旱季，年降雨量约为1780毫米。日平均温度在10℃以上的太阳辐射占全年辐射总量的90%，光能、温度、降水配合较好，雨热基本同季，有利于植物生长和农业生产。土壤以黄色土和红土为主，土壤质地较好，适合发展农业，全镇农业主要以种植水稻、花生、田七、蔬菜为主，有丰富的电力、竹木、石材、矿产等自然资源，全安素有“粮仓”之美称。林业以生产毛竹、白果、杉、松等经济林为主。交通通讯等各项基础设施较为完善。</w:t>
      </w:r>
    </w:p>
    <w:p w14:paraId="64F5524D">
      <w:pPr>
        <w:ind w:firstLine="420"/>
        <w:rPr>
          <w:rFonts w:ascii="宋体" w:hAnsi="宋体"/>
          <w:szCs w:val="21"/>
        </w:rPr>
      </w:pPr>
      <w:r>
        <w:rPr>
          <w:rFonts w:hint="eastAsia" w:ascii="宋体" w:hAnsi="宋体"/>
          <w:szCs w:val="21"/>
        </w:rPr>
        <w:t>全安镇管辖13个村委会和1个居委会，共有192个村民小组，住户7725户，总人口26441人。老区行政村10个，占76%，老区村庄132个，老区农户数2994户，占38.5%，老区人数是18531，占69.9%。</w:t>
      </w:r>
    </w:p>
    <w:p w14:paraId="07EA9C1E">
      <w:pPr>
        <w:ind w:firstLine="420"/>
        <w:rPr>
          <w:rFonts w:ascii="宋体" w:hAnsi="宋体"/>
          <w:szCs w:val="21"/>
        </w:rPr>
      </w:pPr>
      <w:r>
        <w:rPr>
          <w:rFonts w:hint="eastAsia" w:ascii="宋体" w:hAnsi="宋体"/>
          <w:szCs w:val="21"/>
        </w:rPr>
        <w:t>全安镇辖区内企业主要有明珠石场、绿友食品有限公司、广东绿州纸模包装制品有限公司、苍石竹木制品厂、乐华陶瓷洁具公司以及奥威斯龙华山温泉等。</w:t>
      </w:r>
    </w:p>
    <w:p w14:paraId="4DA259E4">
      <w:pPr>
        <w:pStyle w:val="4"/>
      </w:pPr>
      <w:r>
        <w:rPr>
          <w:rFonts w:hint="eastAsia"/>
        </w:rPr>
        <w:t>【经济社会发展】</w:t>
      </w:r>
    </w:p>
    <w:p w14:paraId="1EC830A9">
      <w:pPr>
        <w:ind w:firstLine="420"/>
        <w:rPr>
          <w:rFonts w:ascii="宋体" w:hAnsi="宋体"/>
          <w:szCs w:val="21"/>
        </w:rPr>
      </w:pPr>
      <w:r>
        <w:rPr>
          <w:rFonts w:hint="eastAsia" w:ascii="宋体" w:hAnsi="宋体"/>
          <w:szCs w:val="21"/>
        </w:rPr>
        <w:t>2011年全安镇农村经济总收入为3.04亿元，比2010年增长了6.75%，其中实现农业生产总值1.36亿元，工业生产总值5816万元。地方财政可支配收入232万元，农村人均收入6011元，比2010年的增长了10%。</w:t>
      </w:r>
    </w:p>
    <w:p w14:paraId="5B9D101C">
      <w:pPr>
        <w:pStyle w:val="4"/>
      </w:pPr>
      <w:r>
        <w:rPr>
          <w:rFonts w:hint="eastAsia"/>
        </w:rPr>
        <w:t>【社会事业发展】</w:t>
      </w:r>
    </w:p>
    <w:p w14:paraId="7E36D65D">
      <w:pPr>
        <w:ind w:firstLine="420"/>
        <w:rPr>
          <w:rFonts w:ascii="宋体" w:hAnsi="宋体"/>
          <w:szCs w:val="21"/>
        </w:rPr>
      </w:pPr>
      <w:r>
        <w:rPr>
          <w:rFonts w:hint="eastAsia" w:ascii="宋体" w:hAnsi="宋体"/>
          <w:szCs w:val="21"/>
        </w:rPr>
        <w:t>2011年全安镇新型农村合作医疗参保人数23813人，达到总人数的96%。发放低保金443户1002人共计79.5万元，补助五保户102人共计31.98万元。</w:t>
      </w:r>
    </w:p>
    <w:p w14:paraId="35255518">
      <w:pPr>
        <w:ind w:firstLine="420"/>
        <w:rPr>
          <w:rFonts w:ascii="宋体" w:hAnsi="宋体"/>
          <w:szCs w:val="21"/>
        </w:rPr>
      </w:pPr>
      <w:r>
        <w:rPr>
          <w:rFonts w:hint="eastAsia" w:ascii="宋体" w:hAnsi="宋体"/>
          <w:szCs w:val="21"/>
        </w:rPr>
        <w:t>开展农村青年技能培训班3次，完成技能培训450人；转移农村富余劳动力762人，就业困难对象再就业人数11人。全安镇计划生育率为96.09%，人口自然增长率为7.25%。</w:t>
      </w:r>
    </w:p>
    <w:p w14:paraId="74B6C3FF">
      <w:pPr>
        <w:pStyle w:val="4"/>
      </w:pPr>
      <w:r>
        <w:rPr>
          <w:rFonts w:hint="eastAsia"/>
        </w:rPr>
        <w:t>【扶贫开发】</w:t>
      </w:r>
    </w:p>
    <w:p w14:paraId="790EE0E7">
      <w:pPr>
        <w:ind w:firstLine="420"/>
        <w:rPr>
          <w:rFonts w:ascii="宋体" w:hAnsi="宋体"/>
          <w:szCs w:val="21"/>
        </w:rPr>
      </w:pPr>
      <w:r>
        <w:rPr>
          <w:rFonts w:hint="eastAsia" w:ascii="宋体" w:hAnsi="宋体"/>
          <w:szCs w:val="21"/>
        </w:rPr>
        <w:t>2011年全安镇借助省挂点帮扶单位的力量，结合各村贫困实际，做好扶贫开发对接工作，全年共完成24户贫困户家庭危房户改造；各帮扶单位共筹措资金50多万元对苍石村、大坪村、章禾洞村、兰溪村等贫困村实施村庄整治、改善村委会办公条件等。到年底为止，贫困村农村人均收入达5378元，比去年增长了8%；有432户贫困户的人平均纯收入达2500元以上，达到脱贫目标，各村集体收入有明显的增加。</w:t>
      </w:r>
    </w:p>
    <w:p w14:paraId="242F0912">
      <w:pPr>
        <w:pStyle w:val="4"/>
      </w:pPr>
      <w:r>
        <w:rPr>
          <w:rFonts w:hint="eastAsia"/>
        </w:rPr>
        <w:t>【教育强镇】</w:t>
      </w:r>
    </w:p>
    <w:p w14:paraId="0AD828B6">
      <w:pPr>
        <w:ind w:firstLine="420"/>
        <w:rPr>
          <w:rFonts w:ascii="宋体" w:hAnsi="宋体"/>
          <w:szCs w:val="21"/>
        </w:rPr>
      </w:pPr>
      <w:r>
        <w:rPr>
          <w:rFonts w:hint="eastAsia" w:ascii="宋体" w:hAnsi="宋体"/>
          <w:szCs w:val="21"/>
        </w:rPr>
        <w:t>2011年全安镇有中学1所，中心小学1所，2所村级完全小学，教学点1所，成人中心校1所，在校学生3260人，老师220人，全镇小学适龄儿童和中学生的入学率达到100%，被评为“南雄市德育工作先进单位”。全安中学以质立校，2011年度，全安中学再次被评为南雄市“教学先进单位”，该校自2006年来来连续五年获此殊荣。20l1年，该校中考再创佳绩，总分600分以上有10人，居全市各初级中学前列，综合排名列全市初级中学第一名。</w:t>
      </w:r>
    </w:p>
    <w:p w14:paraId="56A8E830">
      <w:pPr>
        <w:pStyle w:val="4"/>
      </w:pPr>
      <w:r>
        <w:rPr>
          <w:rFonts w:hint="eastAsia"/>
        </w:rPr>
        <w:t>【计生工作】</w:t>
      </w:r>
    </w:p>
    <w:p w14:paraId="4ED81BBC">
      <w:pPr>
        <w:ind w:firstLine="420"/>
        <w:rPr>
          <w:rFonts w:ascii="宋体" w:hAnsi="宋体"/>
          <w:szCs w:val="21"/>
        </w:rPr>
      </w:pPr>
      <w:r>
        <w:rPr>
          <w:rFonts w:hint="eastAsia" w:ascii="宋体" w:hAnsi="宋体"/>
          <w:szCs w:val="21"/>
        </w:rPr>
        <w:t>2011年全镇无政策外多孩出生达“两无”镇目标，同时有8个村达到无政策外出生目标，占全镇总数的57.14%，与去年同期对比，“无政策外出生的村”增加了一个村。全镇2010年10月至2011年9月计划内出生344人，计划生育率为96.09%，死亡人数为164人，死亡率为6.13‰，自然增长194人，自然增长率为7.25‰。</w:t>
      </w:r>
    </w:p>
    <w:p w14:paraId="22576561">
      <w:pPr>
        <w:pStyle w:val="4"/>
      </w:pPr>
      <w:r>
        <w:rPr>
          <w:rFonts w:hint="eastAsia"/>
        </w:rPr>
        <w:t>【林权改革】</w:t>
      </w:r>
    </w:p>
    <w:p w14:paraId="1A7EF5E8">
      <w:pPr>
        <w:ind w:firstLine="420"/>
        <w:rPr>
          <w:rFonts w:ascii="宋体" w:hAnsi="宋体"/>
          <w:szCs w:val="21"/>
        </w:rPr>
      </w:pPr>
      <w:r>
        <w:rPr>
          <w:rFonts w:hint="eastAsia" w:ascii="宋体" w:hAnsi="宋体"/>
          <w:szCs w:val="21"/>
        </w:rPr>
        <w:t>纳入林改的林地面积212677.5亩2011年完成外业勘界林地面积20.8万亩，占林改林地面积的98%，发放林地所有权证443本，涉及面积202043.6亩，发证率96%，发放林地使用权证683本，涉及面积197790.1亩，发证率94%，林权证发放合格率为98%；发放集体山林股份权益证书0.5万本，发证率97%，集体山林股份权益证书发放合格率为94%。</w:t>
      </w:r>
    </w:p>
    <w:p w14:paraId="1AA0B3A2">
      <w:pPr>
        <w:pStyle w:val="4"/>
      </w:pPr>
      <w:r>
        <w:rPr>
          <w:rFonts w:hint="eastAsia"/>
        </w:rPr>
        <w:t>【动物防疫】</w:t>
      </w:r>
    </w:p>
    <w:p w14:paraId="6D98E2C7">
      <w:pPr>
        <w:ind w:firstLine="420"/>
        <w:rPr>
          <w:rFonts w:ascii="宋体" w:hAnsi="宋体"/>
          <w:szCs w:val="21"/>
        </w:rPr>
      </w:pPr>
      <w:r>
        <w:rPr>
          <w:rFonts w:hint="eastAsia" w:ascii="宋体" w:hAnsi="宋体"/>
          <w:szCs w:val="21"/>
        </w:rPr>
        <w:t>2011年全安镇全体防治员集体行动，以村为单位，先后采取方式对辖区所有的适免队伍进行强制免疫，免疫率达到了100%，免疫合格率也达到100%，确保了全镇无重大动物疫病发生。据统计，全镇免疫家禽97232只，生猪35782头，耕牛259头，羊459头。</w:t>
      </w:r>
    </w:p>
    <w:p w14:paraId="2DC41B76">
      <w:pPr>
        <w:pStyle w:val="4"/>
      </w:pPr>
      <w:r>
        <w:rPr>
          <w:rFonts w:hint="eastAsia"/>
        </w:rPr>
        <w:t>【社会维稳】</w:t>
      </w:r>
    </w:p>
    <w:p w14:paraId="1E6DEF68">
      <w:pPr>
        <w:ind w:firstLine="420"/>
        <w:rPr>
          <w:rFonts w:ascii="宋体" w:hAnsi="宋体"/>
          <w:szCs w:val="21"/>
        </w:rPr>
      </w:pPr>
      <w:r>
        <w:rPr>
          <w:rFonts w:hint="eastAsia" w:ascii="宋体" w:hAnsi="宋体"/>
          <w:szCs w:val="21"/>
        </w:rPr>
        <w:t>截至2011年12月31日，综治维稳中心共受理各类矛盾纠纷85起，调处85起，调处成功81起，成功率达95%。组织机关干部和广大农村党员干部认真学习新《信访条例》，做好信访苗头的排查摸底工作，落实包案领导和责任人，限期处理。今年，全镇共受理、办理人民群众来信、来访、来电65件，已办结65件，办结率为100%。</w:t>
      </w:r>
    </w:p>
    <w:p w14:paraId="42C2BE88">
      <w:pPr>
        <w:pStyle w:val="4"/>
      </w:pPr>
      <w:r>
        <w:rPr>
          <w:rFonts w:hint="eastAsia"/>
        </w:rPr>
        <w:t>【惠民政策】</w:t>
      </w:r>
    </w:p>
    <w:p w14:paraId="10573DF4">
      <w:pPr>
        <w:ind w:firstLine="420"/>
        <w:rPr>
          <w:rFonts w:ascii="宋体" w:hAnsi="宋体"/>
          <w:szCs w:val="21"/>
        </w:rPr>
      </w:pPr>
      <w:r>
        <w:rPr>
          <w:rFonts w:hint="eastAsia" w:ascii="宋体" w:hAnsi="宋体"/>
          <w:szCs w:val="21"/>
        </w:rPr>
        <w:t>2011年，全安镇落实农资综合直补补贴资金222万元，收益户数5750户。落实家电下乡财政补贴工作，全镇家电下乡产品电冰箱、汽车、摩托车等2011年财政补贴141万元。</w:t>
      </w:r>
    </w:p>
    <w:p w14:paraId="1367F106">
      <w:pPr>
        <w:pStyle w:val="4"/>
      </w:pPr>
      <w:r>
        <w:rPr>
          <w:rFonts w:hint="eastAsia"/>
        </w:rPr>
        <w:t>【各村（社区）基本情况】</w:t>
      </w:r>
    </w:p>
    <w:p w14:paraId="457E75F5">
      <w:pPr>
        <w:ind w:firstLine="422"/>
        <w:rPr>
          <w:rFonts w:ascii="宋体" w:hAnsi="宋体"/>
          <w:szCs w:val="21"/>
        </w:rPr>
      </w:pPr>
      <w:r>
        <w:rPr>
          <w:rFonts w:hint="eastAsia" w:ascii="宋体" w:hAnsi="宋体"/>
          <w:b/>
          <w:szCs w:val="21"/>
        </w:rPr>
        <w:t xml:space="preserve">全安社区  </w:t>
      </w:r>
      <w:r>
        <w:rPr>
          <w:rFonts w:hint="eastAsia" w:ascii="宋体" w:hAnsi="宋体"/>
          <w:szCs w:val="21"/>
        </w:rPr>
        <w:t>全安社区总人口为1704人，其中劳动力人口为1214人，党员数为20人，居委会干部3人。</w:t>
      </w:r>
    </w:p>
    <w:p w14:paraId="7030C386">
      <w:pPr>
        <w:ind w:firstLine="422"/>
        <w:rPr>
          <w:rFonts w:ascii="宋体" w:hAnsi="宋体"/>
          <w:szCs w:val="21"/>
        </w:rPr>
      </w:pPr>
      <w:r>
        <w:rPr>
          <w:rFonts w:hint="eastAsia" w:ascii="宋体" w:hAnsi="宋体"/>
          <w:b/>
          <w:szCs w:val="21"/>
        </w:rPr>
        <w:t>陂头村</w:t>
      </w:r>
      <w:r>
        <w:rPr>
          <w:rFonts w:hint="eastAsia" w:ascii="宋体" w:hAnsi="宋体"/>
          <w:szCs w:val="21"/>
        </w:rPr>
        <w:t xml:space="preserve">  陂头村共25个村小组，总户数738户，全村总人口3232人，其中常住人口3000人，劳动力人口2023人。党员人数82人，村干部6人。全村总面积34780亩，山林面积29300亩，耕地面积5480亩，其中有水田4330亩，旱地1150亩。以种植黄烟、花生为主。2011年人均收入6012元。</w:t>
      </w:r>
    </w:p>
    <w:p w14:paraId="52D55201">
      <w:pPr>
        <w:ind w:firstLine="422"/>
        <w:rPr>
          <w:rFonts w:ascii="宋体" w:hAnsi="宋体"/>
          <w:szCs w:val="21"/>
        </w:rPr>
      </w:pPr>
      <w:r>
        <w:rPr>
          <w:rFonts w:hint="eastAsia" w:ascii="宋体" w:hAnsi="宋体"/>
          <w:b/>
          <w:szCs w:val="21"/>
        </w:rPr>
        <w:t xml:space="preserve">羊角村  </w:t>
      </w:r>
      <w:r>
        <w:rPr>
          <w:rFonts w:hint="eastAsia" w:ascii="宋体" w:hAnsi="宋体"/>
          <w:szCs w:val="21"/>
        </w:rPr>
        <w:t>全村有21个村小组，总户数826户，总人口3262人，其中常住人口2917人，劳动力1945人，党员73人，村干部6人。全村总面积8400亩，山林面积2185亩，耕地面积4000亩，其中水田1943亩，旱地2057亩。主要经济农作物以水稻为主。2011年人均收入6012元。</w:t>
      </w:r>
    </w:p>
    <w:p w14:paraId="678EC41E">
      <w:pPr>
        <w:ind w:firstLine="422"/>
        <w:rPr>
          <w:rFonts w:ascii="宋体" w:hAnsi="宋体"/>
          <w:szCs w:val="21"/>
        </w:rPr>
      </w:pPr>
      <w:r>
        <w:rPr>
          <w:rFonts w:hint="eastAsia" w:ascii="宋体" w:hAnsi="宋体"/>
          <w:b/>
          <w:szCs w:val="21"/>
        </w:rPr>
        <w:t xml:space="preserve">古塘村  </w:t>
      </w:r>
      <w:r>
        <w:rPr>
          <w:rFonts w:hint="eastAsia" w:ascii="宋体" w:hAnsi="宋体"/>
          <w:szCs w:val="21"/>
        </w:rPr>
        <w:t>全村有16个村小组，总户数636户，总人口2470人，其中常住人口2094人，劳动力人口1554人，党员82人，村干部6人。全村总面积8550亩，山林面积6000亩，耕地面积2550亩，其中水田2300亩，旱地900亩。主要经济农作物以水稻为主。2011年人均收入6013元。</w:t>
      </w:r>
    </w:p>
    <w:p w14:paraId="5754F67F">
      <w:pPr>
        <w:ind w:firstLine="422"/>
        <w:rPr>
          <w:rFonts w:ascii="宋体" w:hAnsi="宋体"/>
          <w:szCs w:val="21"/>
        </w:rPr>
      </w:pPr>
      <w:r>
        <w:rPr>
          <w:rFonts w:hint="eastAsia" w:ascii="宋体" w:hAnsi="宋体"/>
          <w:b/>
          <w:szCs w:val="21"/>
        </w:rPr>
        <w:t>全安村</w:t>
      </w:r>
      <w:r>
        <w:rPr>
          <w:rFonts w:hint="eastAsia" w:ascii="宋体" w:hAnsi="宋体"/>
          <w:szCs w:val="21"/>
        </w:rPr>
        <w:t xml:space="preserve">  全村有20个村小组，总户数为625户，全村总人口为2553人，其中常住人口2364人，劳动力人口为1815人，党员64人，村干部6人。全村总面积为8950亩，山林面积4750亩，耕地面积4200亩，其中水田2400亩，旱地1800亩。主要经济农作物以水稻为主。2011年人均收入6013元。</w:t>
      </w:r>
    </w:p>
    <w:p w14:paraId="481974EB">
      <w:pPr>
        <w:ind w:firstLine="422"/>
        <w:rPr>
          <w:rFonts w:ascii="宋体" w:hAnsi="宋体"/>
          <w:szCs w:val="21"/>
        </w:rPr>
      </w:pPr>
      <w:r>
        <w:rPr>
          <w:rFonts w:hint="eastAsia" w:ascii="宋体" w:hAnsi="宋体"/>
          <w:b/>
          <w:szCs w:val="21"/>
        </w:rPr>
        <w:t>王亭石村</w:t>
      </w:r>
      <w:r>
        <w:rPr>
          <w:rFonts w:hint="eastAsia" w:ascii="宋体" w:hAnsi="宋体"/>
          <w:szCs w:val="21"/>
        </w:rPr>
        <w:t xml:space="preserve">  全村有11个村小组，总户数278户，全村总人口1175人，其中常住人口1012人，劳动力人口703人，党员36人，村干部5人。全村山林面积4906亩，耕地面积1276亩，其中水田1154亩，旱田122亩。主要经济农作物以黄烟、花生为主。2011年人均收入6010元。</w:t>
      </w:r>
    </w:p>
    <w:p w14:paraId="2B0EB642">
      <w:pPr>
        <w:ind w:firstLine="422"/>
        <w:rPr>
          <w:rFonts w:ascii="宋体" w:hAnsi="宋体"/>
          <w:szCs w:val="21"/>
        </w:rPr>
      </w:pPr>
      <w:r>
        <w:rPr>
          <w:rFonts w:hint="eastAsia" w:ascii="宋体" w:hAnsi="宋体"/>
          <w:b/>
          <w:szCs w:val="21"/>
        </w:rPr>
        <w:t>河塘村</w:t>
      </w:r>
      <w:r>
        <w:rPr>
          <w:rFonts w:hint="eastAsia" w:ascii="宋体" w:hAnsi="宋体"/>
          <w:szCs w:val="21"/>
        </w:rPr>
        <w:t xml:space="preserve">  全村有13个村小组，总户数543户，全村总人口2257人，其中常住人口1957人，劳动力人口1474人，党员68人，村干部6人。全村总面积4015亩，山林面积2415亩，耕地面积1600亩，其中水田1214亩，旱地386亩。主要经济农作物以水稻为主。2011年人均收入6010元。</w:t>
      </w:r>
    </w:p>
    <w:p w14:paraId="269BD131">
      <w:pPr>
        <w:ind w:firstLine="422"/>
        <w:rPr>
          <w:rFonts w:ascii="宋体" w:hAnsi="宋体"/>
          <w:szCs w:val="21"/>
        </w:rPr>
      </w:pPr>
      <w:r>
        <w:rPr>
          <w:rFonts w:hint="eastAsia" w:ascii="宋体" w:hAnsi="宋体"/>
          <w:b/>
          <w:szCs w:val="21"/>
        </w:rPr>
        <w:t>杨沥村</w:t>
      </w:r>
      <w:r>
        <w:rPr>
          <w:rFonts w:hint="eastAsia" w:ascii="宋体" w:hAnsi="宋体"/>
          <w:szCs w:val="21"/>
        </w:rPr>
        <w:t xml:space="preserve">  全村有15个村小组，总户数552户，全村总人口2225人，其中常住人口1961人，劳动力人口1332人，党员55人，村干部6人。全村总面积24321亩，山林面积21900亩，耕地面积2421亩，其中水田1632亩，旱地789亩。主要经济农作物以水稻为主。2011年人均收入6012元。</w:t>
      </w:r>
    </w:p>
    <w:p w14:paraId="3BAF648A">
      <w:pPr>
        <w:ind w:firstLine="422"/>
        <w:rPr>
          <w:rFonts w:ascii="宋体" w:hAnsi="宋体"/>
          <w:szCs w:val="21"/>
        </w:rPr>
      </w:pPr>
      <w:r>
        <w:rPr>
          <w:rFonts w:hint="eastAsia" w:ascii="宋体" w:hAnsi="宋体"/>
          <w:b/>
          <w:szCs w:val="21"/>
        </w:rPr>
        <w:t>荔迳村</w:t>
      </w:r>
      <w:r>
        <w:rPr>
          <w:rFonts w:hint="eastAsia" w:ascii="宋体" w:hAnsi="宋体"/>
          <w:szCs w:val="21"/>
        </w:rPr>
        <w:t xml:space="preserve">  全村有11个村小组，总户数为406户，全村总人口为1379人，其中常住人口1193人，劳动力人口为830人，党员34人，村干部5人。全村总面积15000亩，山林面积12000亩，耕地面积3000亩，其中水田1900亩，旱地1100亩。主要经济农作物以水稻为主。2011年人均收入6011元。</w:t>
      </w:r>
    </w:p>
    <w:p w14:paraId="29175FEE">
      <w:pPr>
        <w:ind w:firstLine="422"/>
        <w:rPr>
          <w:rFonts w:ascii="宋体" w:hAnsi="宋体"/>
          <w:szCs w:val="21"/>
        </w:rPr>
      </w:pPr>
      <w:r>
        <w:rPr>
          <w:rFonts w:hint="eastAsia" w:ascii="宋体" w:hAnsi="宋体"/>
          <w:b/>
          <w:szCs w:val="21"/>
        </w:rPr>
        <w:t>密下水村</w:t>
      </w:r>
      <w:r>
        <w:rPr>
          <w:rFonts w:hint="eastAsia" w:ascii="宋体" w:hAnsi="宋体"/>
          <w:szCs w:val="21"/>
        </w:rPr>
        <w:t xml:space="preserve">  全村有21个村小组，总户数为538户，全村总人口为2056人，其中常住人口1725人，劳动力人口为1261人，党员55人，村干部6人。全村总面积30160亩，山林面积26000亩，耕地面积4160亩，其中水田2622亩，旱地538亩。主要经济农作物以水稻为主。2011年人均收入6009元。</w:t>
      </w:r>
    </w:p>
    <w:p w14:paraId="29B63007">
      <w:pPr>
        <w:ind w:firstLine="422"/>
        <w:rPr>
          <w:rFonts w:ascii="宋体" w:hAnsi="宋体"/>
          <w:szCs w:val="21"/>
        </w:rPr>
      </w:pPr>
      <w:r>
        <w:rPr>
          <w:rFonts w:hint="eastAsia" w:ascii="宋体" w:hAnsi="宋体"/>
          <w:b/>
          <w:szCs w:val="21"/>
        </w:rPr>
        <w:t>苍石村</w:t>
      </w:r>
      <w:r>
        <w:rPr>
          <w:rFonts w:hint="eastAsia" w:ascii="宋体" w:hAnsi="宋体"/>
          <w:szCs w:val="21"/>
        </w:rPr>
        <w:t xml:space="preserve">  全村共13个村小组，总户数为301户，全村总人口为1197人，其中常住人口1097人，劳动力人口为907人，党员63人，村干部5人。全村总面积40463亩，山林面积39483亩，耕地面积980亩，其中水田935亩，旱地45亩。主要经济农作物以花生为主，2011年人均收入6010元。</w:t>
      </w:r>
    </w:p>
    <w:p w14:paraId="36A8BD19">
      <w:pPr>
        <w:ind w:firstLine="422"/>
        <w:rPr>
          <w:rFonts w:ascii="宋体" w:hAnsi="宋体"/>
          <w:szCs w:val="21"/>
        </w:rPr>
      </w:pPr>
      <w:r>
        <w:rPr>
          <w:rFonts w:hint="eastAsia" w:ascii="宋体" w:hAnsi="宋体"/>
          <w:b/>
          <w:szCs w:val="21"/>
        </w:rPr>
        <w:t>大坪村</w:t>
      </w:r>
      <w:r>
        <w:rPr>
          <w:rFonts w:hint="eastAsia" w:ascii="宋体" w:hAnsi="宋体"/>
          <w:szCs w:val="21"/>
        </w:rPr>
        <w:t xml:space="preserve">  全村共10个村小组，总户数为287户，全村总人口为1288人，其中常住人口1078人，劳动力人口为877人，党员45人，村干部5人。全村总面积18260亩，山林面积17500亩，耕地面积760亩，其中水田760亩。主要经济农作物以水稻为主。2011年人均收入6013元。</w:t>
      </w:r>
    </w:p>
    <w:p w14:paraId="72C7EAF9">
      <w:pPr>
        <w:ind w:firstLine="422"/>
        <w:rPr>
          <w:rFonts w:ascii="宋体" w:hAnsi="宋体"/>
          <w:szCs w:val="21"/>
        </w:rPr>
      </w:pPr>
      <w:r>
        <w:rPr>
          <w:rFonts w:hint="eastAsia" w:ascii="宋体" w:hAnsi="宋体"/>
          <w:b/>
          <w:szCs w:val="21"/>
        </w:rPr>
        <w:t>兰溪村</w:t>
      </w:r>
      <w:r>
        <w:rPr>
          <w:rFonts w:hint="eastAsia" w:ascii="宋体" w:hAnsi="宋体"/>
          <w:szCs w:val="21"/>
        </w:rPr>
        <w:t xml:space="preserve">  全村共6个村小组，总户数为197户，全村总人口为819人，其中常住人口714人，劳动力人口为525人，党员34人，村干部4人。全村总面积12950亩，山林面积12500亩，耕地面积450亩，其中水田450亩。主要经济农作物以水稻为主。2011年人均收入6006元。</w:t>
      </w:r>
    </w:p>
    <w:p w14:paraId="19542223">
      <w:pPr>
        <w:ind w:firstLine="422"/>
        <w:rPr>
          <w:rFonts w:ascii="宋体" w:hAnsi="宋体"/>
          <w:szCs w:val="21"/>
        </w:rPr>
      </w:pPr>
      <w:r>
        <w:rPr>
          <w:rFonts w:hint="eastAsia" w:ascii="宋体" w:hAnsi="宋体"/>
          <w:b/>
          <w:szCs w:val="21"/>
        </w:rPr>
        <w:t>章禾洞村</w:t>
      </w:r>
      <w:r>
        <w:rPr>
          <w:rFonts w:hint="eastAsia" w:ascii="宋体" w:hAnsi="宋体"/>
          <w:szCs w:val="21"/>
        </w:rPr>
        <w:t xml:space="preserve">  辖区共9个村小组，总户数为208户，全村总人口为824人，其中常住人口725人，劳动力人口为530人，党员45人，村干部4人。全村总面积15646亩，山林面积14799亩；耕地面积847亩，其中水田735亩，旱地112亩。主要经济农作物以水稻为主。2011年人均收入6006元。           （罗  静）</w:t>
      </w:r>
    </w:p>
    <w:p w14:paraId="32957609">
      <w:pPr>
        <w:ind w:firstLine="0" w:firstLineChars="0"/>
        <w:rPr>
          <w:rFonts w:ascii="宋体" w:hAnsi="宋体"/>
          <w:szCs w:val="21"/>
        </w:rPr>
      </w:pPr>
      <w:r>
        <w:rPr>
          <w:rFonts w:hint="eastAsia" w:ascii="宋体" w:hAnsi="宋体"/>
          <w:b/>
          <w:szCs w:val="21"/>
        </w:rPr>
        <w:t>附：2011年全安镇领导班子成员名单</w:t>
      </w:r>
    </w:p>
    <w:p w14:paraId="031057AD">
      <w:pPr>
        <w:ind w:firstLine="0" w:firstLineChars="0"/>
        <w:rPr>
          <w:rFonts w:ascii="宋体" w:hAnsi="宋体"/>
          <w:szCs w:val="21"/>
        </w:rPr>
      </w:pPr>
      <w:r>
        <w:rPr>
          <w:rFonts w:hint="eastAsia" w:ascii="宋体" w:hAnsi="宋体"/>
          <w:szCs w:val="21"/>
        </w:rPr>
        <w:t>党委书记、人大主席：严桂龙</w:t>
      </w:r>
    </w:p>
    <w:p w14:paraId="6E9D70A4">
      <w:pPr>
        <w:ind w:firstLine="0" w:firstLineChars="0"/>
        <w:rPr>
          <w:rFonts w:ascii="宋体" w:hAnsi="宋体"/>
          <w:szCs w:val="21"/>
        </w:rPr>
      </w:pPr>
      <w:r>
        <w:rPr>
          <w:rFonts w:hint="eastAsia" w:ascii="宋体" w:hAnsi="宋体"/>
          <w:szCs w:val="21"/>
        </w:rPr>
        <w:t>党委副书记、镇长：徐学智</w:t>
      </w:r>
    </w:p>
    <w:p w14:paraId="6328F4F6">
      <w:pPr>
        <w:ind w:firstLine="0" w:firstLineChars="0"/>
        <w:rPr>
          <w:rFonts w:ascii="宋体" w:hAnsi="宋体"/>
          <w:szCs w:val="21"/>
        </w:rPr>
      </w:pPr>
      <w:r>
        <w:rPr>
          <w:rFonts w:hint="eastAsia" w:ascii="宋体" w:hAnsi="宋体"/>
          <w:szCs w:val="21"/>
        </w:rPr>
        <w:t>党委副书记：邓光祥</w:t>
      </w:r>
    </w:p>
    <w:p w14:paraId="1ED17FA1">
      <w:pPr>
        <w:ind w:firstLine="0" w:firstLineChars="0"/>
        <w:rPr>
          <w:rFonts w:ascii="宋体" w:hAnsi="宋体"/>
          <w:szCs w:val="21"/>
        </w:rPr>
      </w:pPr>
      <w:r>
        <w:rPr>
          <w:rFonts w:hint="eastAsia" w:ascii="宋体" w:hAnsi="宋体"/>
          <w:szCs w:val="21"/>
        </w:rPr>
        <w:t>党委委员、纪委书记：钟顺华</w:t>
      </w:r>
    </w:p>
    <w:p w14:paraId="6B5C62A7">
      <w:pPr>
        <w:ind w:firstLine="0" w:firstLineChars="0"/>
        <w:rPr>
          <w:rFonts w:ascii="宋体" w:hAnsi="宋体"/>
          <w:szCs w:val="21"/>
        </w:rPr>
      </w:pPr>
      <w:r>
        <w:rPr>
          <w:rFonts w:hint="eastAsia" w:ascii="宋体" w:hAnsi="宋体"/>
          <w:szCs w:val="21"/>
        </w:rPr>
        <w:t>党委委员、副镇长：雷  毅</w:t>
      </w:r>
    </w:p>
    <w:p w14:paraId="4B21F79D">
      <w:pPr>
        <w:ind w:firstLine="0" w:firstLineChars="0"/>
        <w:rPr>
          <w:rFonts w:ascii="宋体" w:hAnsi="宋体"/>
          <w:szCs w:val="21"/>
        </w:rPr>
      </w:pPr>
      <w:r>
        <w:rPr>
          <w:rFonts w:hint="eastAsia" w:ascii="宋体" w:hAnsi="宋体"/>
          <w:szCs w:val="21"/>
        </w:rPr>
        <w:t>组织委员：林庆庆</w:t>
      </w:r>
    </w:p>
    <w:p w14:paraId="29FA5A67">
      <w:pPr>
        <w:ind w:firstLine="0" w:firstLineChars="0"/>
        <w:rPr>
          <w:rFonts w:ascii="宋体" w:hAnsi="宋体"/>
          <w:szCs w:val="21"/>
        </w:rPr>
      </w:pPr>
      <w:r>
        <w:rPr>
          <w:rFonts w:hint="eastAsia" w:ascii="宋体" w:hAnsi="宋体"/>
          <w:szCs w:val="21"/>
        </w:rPr>
        <w:t>宣传委员：张金兰</w:t>
      </w:r>
    </w:p>
    <w:p w14:paraId="65A1BB1A">
      <w:pPr>
        <w:ind w:firstLine="0" w:firstLineChars="0"/>
        <w:rPr>
          <w:rFonts w:ascii="宋体" w:hAnsi="宋体"/>
          <w:szCs w:val="21"/>
        </w:rPr>
      </w:pPr>
      <w:r>
        <w:rPr>
          <w:rFonts w:hint="eastAsia" w:ascii="宋体" w:hAnsi="宋体"/>
          <w:szCs w:val="21"/>
        </w:rPr>
        <w:t>党委委员、人大副主席：张熙斌</w:t>
      </w:r>
    </w:p>
    <w:p w14:paraId="5D423AAE">
      <w:pPr>
        <w:ind w:firstLine="0" w:firstLineChars="0"/>
        <w:rPr>
          <w:rFonts w:ascii="宋体" w:hAnsi="宋体"/>
          <w:szCs w:val="21"/>
        </w:rPr>
      </w:pPr>
      <w:r>
        <w:rPr>
          <w:rFonts w:hint="eastAsia" w:ascii="宋体" w:hAnsi="宋体"/>
          <w:szCs w:val="21"/>
        </w:rPr>
        <w:t>党委委员、武装部长：邓汝和</w:t>
      </w:r>
    </w:p>
    <w:p w14:paraId="3CB13AE5">
      <w:pPr>
        <w:ind w:firstLine="0" w:firstLineChars="0"/>
        <w:rPr>
          <w:rFonts w:ascii="宋体" w:hAnsi="宋体"/>
          <w:szCs w:val="21"/>
        </w:rPr>
      </w:pPr>
      <w:r>
        <w:rPr>
          <w:rFonts w:hint="eastAsia" w:ascii="宋体" w:hAnsi="宋体"/>
          <w:szCs w:val="21"/>
        </w:rPr>
        <w:t>党委委员：周序海、田明华</w:t>
      </w:r>
    </w:p>
    <w:p w14:paraId="5DD239D4">
      <w:pPr>
        <w:ind w:firstLine="0" w:firstLineChars="0"/>
        <w:rPr>
          <w:rFonts w:ascii="宋体" w:hAnsi="宋体"/>
          <w:szCs w:val="21"/>
        </w:rPr>
      </w:pPr>
      <w:r>
        <w:rPr>
          <w:rFonts w:hint="eastAsia" w:ascii="宋体" w:hAnsi="宋体"/>
          <w:szCs w:val="21"/>
        </w:rPr>
        <w:t>副镇长：陈汉铭、潘  彬</w:t>
      </w:r>
    </w:p>
    <w:p w14:paraId="16D94243">
      <w:pPr>
        <w:pStyle w:val="3"/>
      </w:pPr>
      <w:r>
        <w:rPr>
          <w:rFonts w:hint="eastAsia"/>
        </w:rPr>
        <w:t>主田镇</w:t>
      </w:r>
    </w:p>
    <w:p w14:paraId="0BDF22EE">
      <w:pPr>
        <w:pStyle w:val="4"/>
      </w:pPr>
      <w:r>
        <w:rPr>
          <w:rFonts w:hint="eastAsia"/>
        </w:rPr>
        <w:t>【概况】</w:t>
      </w:r>
    </w:p>
    <w:p w14:paraId="11C78266">
      <w:pPr>
        <w:ind w:firstLine="420"/>
        <w:rPr>
          <w:rFonts w:ascii="宋体" w:hAnsi="宋体"/>
          <w:szCs w:val="21"/>
        </w:rPr>
      </w:pPr>
      <w:r>
        <w:rPr>
          <w:rFonts w:hint="eastAsia" w:ascii="宋体" w:hAnsi="宋体"/>
          <w:szCs w:val="21"/>
        </w:rPr>
        <w:t>主田镇位于南雄市东南部，距南雄市区6公里，周边与江西全南、始兴澄江以及本市江头、古市、雄州等镇交界。地质属于燕山期花岗岩体及寒武纪震旦纪变质岩体，气候属于亚热带季风湿润气候区。全镇总面积187平方公里，辖8个行政村和1个居委会，共有102个村民小组，2011年末，辖区共有3719户，总人口13552人，其中，常住人口5647人。以汉族为主，有畲族一个少数民族约550人分布在高峰、大坝、窑合、主田四个村委会。辖区东西最大距离16千米，南北最大距离19千米，总面积187平方千米。全镇耕地面积18768亩，其中水田面积14705亩，旱地面积4063亩。镇内森林、水利、矿产资源丰富，市区饮用水源瀑布水库，省级自然保护区小流坑—青嶂山，省级企业棉土窝钨矿以及万亩银杏生产基地世纪银杏园均在该镇境内。</w:t>
      </w:r>
    </w:p>
    <w:p w14:paraId="3B983AD8">
      <w:pPr>
        <w:pStyle w:val="4"/>
      </w:pPr>
      <w:r>
        <w:rPr>
          <w:rFonts w:hint="eastAsia"/>
        </w:rPr>
        <w:t>【经济社会发展】</w:t>
      </w:r>
    </w:p>
    <w:p w14:paraId="7C520732">
      <w:pPr>
        <w:ind w:firstLine="420"/>
        <w:rPr>
          <w:rFonts w:ascii="宋体" w:hAnsi="宋体"/>
          <w:szCs w:val="21"/>
        </w:rPr>
      </w:pPr>
      <w:r>
        <w:rPr>
          <w:rFonts w:hint="eastAsia" w:ascii="宋体" w:hAnsi="宋体"/>
          <w:szCs w:val="21"/>
        </w:rPr>
        <w:t>全镇耕地面积1.87万亩，林地面积19.38万亩，是典型的以农林业为主的山区乡镇。粮食作物以水稻、花生为主。主要经济作物有黄烟（烤烟型）、竹木等。2011年全镇黄烟种植面积0.97万亩，产量（烘烤干后）1288吨，收购资金2300万元，均价8.9元每市斤。主要集中在城门、主田、大坝三个村委会，其中城门村连续六年交售干烟叶超过500吨，连续第六年收购量突破万担。2011年农民人均纯收入6682元。境内有规模以上工业企业1家（省广晟集团棉土窝钨矿，位于大坝村委会棉土窝）。2011年财政总收入410万元，其中地方财政收入195万元，比上年增加37.4%。</w:t>
      </w:r>
    </w:p>
    <w:p w14:paraId="29AE9D12">
      <w:pPr>
        <w:pStyle w:val="4"/>
      </w:pPr>
      <w:r>
        <w:rPr>
          <w:rFonts w:hint="eastAsia"/>
        </w:rPr>
        <w:t>【社会事业发展】</w:t>
      </w:r>
    </w:p>
    <w:p w14:paraId="465F2807">
      <w:pPr>
        <w:ind w:firstLine="420"/>
        <w:rPr>
          <w:rFonts w:ascii="宋体" w:hAnsi="宋体"/>
          <w:szCs w:val="21"/>
        </w:rPr>
      </w:pPr>
      <w:r>
        <w:rPr>
          <w:rFonts w:hint="eastAsia" w:ascii="宋体" w:hAnsi="宋体"/>
          <w:szCs w:val="21"/>
        </w:rPr>
        <w:t>2011年，主田镇争取上级资金近40万元，对主田朝阳新村和窑合瓦窑岗新村进行环境整治、美化，争取上级资金20多万元对主田世纪新村内的路道进行水泥硬化。投入数万元开展镇村环境“清洁美”活动，建起12个垃圾池，聘请2个保洁员，集中治理雄主公路沿线农村。2011年末有幼儿园（所）1所，在园幼儿37人，专任教师5人；小学1所，在校生314人，专任教师51人，小学适龄儿童入学率100%；初中适龄人口入学率100%，小升初升学率100%，九年义务教育覆盖率达100%。有公立卫生院1所，病床10张，专业卫生人员25人，其中执业医师5人，执业助理医师5人，注册护士8人。农村安全饮用水普及率24.8%。有线电视用户750户，其中数字电视用户70户。电信企业1家，服务网点1个，全年电信业务收入37.11万元。发电企业12家，2011年发电0.11亿度。年售电量累计完成0.03亿千瓦时，综合电压合格率99.95%，供电可靠率99.95%。2011年末镇区有自来水厂1座，铺设干线水管7.5千米，生产能力125吨/日，居民自来水普及率100%。</w:t>
      </w:r>
    </w:p>
    <w:p w14:paraId="34286D6F">
      <w:pPr>
        <w:pStyle w:val="4"/>
      </w:pPr>
      <w:r>
        <w:rPr>
          <w:rFonts w:hint="eastAsia"/>
        </w:rPr>
        <w:t>【扶贫双到】</w:t>
      </w:r>
    </w:p>
    <w:p w14:paraId="6FDA1C6C">
      <w:pPr>
        <w:ind w:firstLine="420"/>
        <w:rPr>
          <w:rFonts w:ascii="宋体" w:hAnsi="宋体"/>
          <w:szCs w:val="21"/>
        </w:rPr>
      </w:pPr>
      <w:r>
        <w:rPr>
          <w:rFonts w:hint="eastAsia" w:ascii="宋体" w:hAnsi="宋体"/>
          <w:szCs w:val="21"/>
        </w:rPr>
        <w:t>2011年，南城区帮扶高峰村的主要力量放在产业扶贫上，南城区继续投入10万元帮扶高峰村巩固五黑鸡养殖，帮扶贫困户鸡苗、饲料，进一步改善村集体养殖场的设施，协助做好产前、产中、产后的跟踪服务，使高峰村的五黑鸡养殖产业得到巩固发展。另一方面，投入帮扶资金26万元，帮扶高峰村贫困户和村集体发展毛竹抚育产业。在加大产业帮扶的同时，2011年，南城区对高峰村“双到”各项工作深入推进。截至2011年底，共有50名社会各界“爱心父母”与24名困境儿童结对帮扶；为单亲特困母亲争取危房改造资金，已有6位农村妇女创业得到小额担保贷款。解决全村的安全饮水和部分自然村的“出行难”问题；全村有11户住房特困户获得了共计11万元的建房修房补贴，在全村推广五黑鸡养殖，增加群众收入，壮大高峰村的集体经济。</w:t>
      </w:r>
    </w:p>
    <w:p w14:paraId="5C05F8FF">
      <w:pPr>
        <w:pStyle w:val="4"/>
      </w:pPr>
      <w:r>
        <w:rPr>
          <w:rFonts w:hint="eastAsia"/>
        </w:rPr>
        <w:t>【社会保障】</w:t>
      </w:r>
    </w:p>
    <w:p w14:paraId="4B2B8D92">
      <w:pPr>
        <w:ind w:firstLine="420"/>
        <w:rPr>
          <w:rFonts w:ascii="宋体" w:hAnsi="宋体"/>
          <w:szCs w:val="21"/>
        </w:rPr>
      </w:pPr>
      <w:r>
        <w:rPr>
          <w:rFonts w:hint="eastAsia" w:ascii="宋体" w:hAnsi="宋体"/>
          <w:szCs w:val="21"/>
        </w:rPr>
        <w:t>2011年城镇最低生活保障有5户、10人，月人均110元；农村最低生活保障204户、493人，月人均65元。农村五保集中供养31人，支出11.16万元；农村五保分散供养44人，支出13.2万元；国家抚恤、补助各类优抚对象68人。2011年8月以来，大力推进“新农保”试点工作，截至2011年底，全镇已完成参保人数达4688人。同时，积极推进农村合作医疗参保工作。</w:t>
      </w:r>
    </w:p>
    <w:p w14:paraId="05C1380A">
      <w:pPr>
        <w:pStyle w:val="4"/>
      </w:pPr>
      <w:r>
        <w:rPr>
          <w:rFonts w:hint="eastAsia"/>
        </w:rPr>
        <w:t>【林权改革】</w:t>
      </w:r>
    </w:p>
    <w:p w14:paraId="51CD7B31">
      <w:pPr>
        <w:ind w:firstLine="420"/>
        <w:rPr>
          <w:rFonts w:ascii="宋体" w:hAnsi="宋体"/>
          <w:szCs w:val="21"/>
        </w:rPr>
      </w:pPr>
      <w:r>
        <w:rPr>
          <w:rFonts w:hint="eastAsia" w:ascii="宋体" w:hAnsi="宋体"/>
          <w:szCs w:val="21"/>
        </w:rPr>
        <w:t>自2010年起，抽调5名业务骨干，组成一支林改工作小组，专职进行林改工作。截止2011年底，完成林地所有权和使用权的发证率达92.5%，完成林木所有权和使用权的发证率达98%，顺利通过省级验收考核。在林改工作进行的过程中，调处、办结山林纠纷81宗。</w:t>
      </w:r>
    </w:p>
    <w:p w14:paraId="5EEF4AA4">
      <w:pPr>
        <w:pStyle w:val="4"/>
      </w:pPr>
      <w:r>
        <w:rPr>
          <w:rFonts w:hint="eastAsia"/>
        </w:rPr>
        <w:t>【计生工作】</w:t>
      </w:r>
    </w:p>
    <w:p w14:paraId="7CECB474">
      <w:pPr>
        <w:ind w:firstLine="420"/>
        <w:rPr>
          <w:rFonts w:ascii="宋体" w:hAnsi="宋体"/>
          <w:szCs w:val="21"/>
        </w:rPr>
      </w:pPr>
      <w:r>
        <w:rPr>
          <w:rFonts w:hint="eastAsia" w:ascii="宋体" w:hAnsi="宋体"/>
          <w:szCs w:val="21"/>
        </w:rPr>
        <w:t>2011年（计生年度）全镇政策生育率达96.55%，完成“四术”170例，查环查孕率达96.07%。创“两无”活动成效显著，连续五年实现“两无”镇目标，连续五年被韶关市、南雄市评为计划生育先进单位。</w:t>
      </w:r>
    </w:p>
    <w:p w14:paraId="507D33A3">
      <w:pPr>
        <w:pStyle w:val="4"/>
      </w:pPr>
      <w:r>
        <w:rPr>
          <w:rFonts w:hint="eastAsia"/>
        </w:rPr>
        <w:t>【交通建设】</w:t>
      </w:r>
    </w:p>
    <w:p w14:paraId="6A19E928">
      <w:pPr>
        <w:ind w:firstLine="420"/>
        <w:rPr>
          <w:rFonts w:ascii="宋体" w:hAnsi="宋体"/>
          <w:szCs w:val="21"/>
        </w:rPr>
      </w:pPr>
      <w:r>
        <w:rPr>
          <w:rFonts w:hint="eastAsia" w:ascii="宋体" w:hAnsi="宋体"/>
          <w:szCs w:val="21"/>
        </w:rPr>
        <w:t>镇内村村通公路，有县级公路1条，总长6.3千米。2011年7月，全面完成雄主公路截弯取直、降坡、加宽的大修工程和黄坪到大步前大约3公里的水泥硬化工程。通往塘山村山背、料地的10多公里山路也在12月底完成水泥硬化。自此，从市区通往主田镇所有村委会的道路都实现水泥硬化。</w:t>
      </w:r>
    </w:p>
    <w:p w14:paraId="01D832B5">
      <w:pPr>
        <w:pStyle w:val="4"/>
      </w:pPr>
      <w:r>
        <w:rPr>
          <w:rFonts w:hint="eastAsia"/>
        </w:rPr>
        <w:t>【社会维稳】</w:t>
      </w:r>
    </w:p>
    <w:p w14:paraId="60062F97">
      <w:pPr>
        <w:ind w:firstLine="420"/>
        <w:rPr>
          <w:rFonts w:ascii="宋体" w:hAnsi="宋体"/>
          <w:szCs w:val="21"/>
        </w:rPr>
      </w:pPr>
      <w:r>
        <w:rPr>
          <w:rFonts w:hint="eastAsia" w:ascii="宋体" w:hAnsi="宋体"/>
          <w:szCs w:val="21"/>
        </w:rPr>
        <w:t>做好各种矛盾纠纷排查和调处工作，建立党政领导班子包案制和领导大接访制度，努力把各种矛盾和隐患解决在基层，消灭在萌芽状态。2011年受理群众来信来访34宗，成功办结33宗，办结率达97%；扎实推进以“平安村”、“平安家庭”、“平安校园”等为载体的平安创建活动，狠抓安全生产、交通、火灾、护林防火等专项整治。</w:t>
      </w:r>
    </w:p>
    <w:p w14:paraId="6CA10DBD">
      <w:pPr>
        <w:pStyle w:val="4"/>
      </w:pPr>
      <w:r>
        <w:rPr>
          <w:rFonts w:hint="eastAsia"/>
        </w:rPr>
        <w:t>【各村（社区）基本情况】</w:t>
      </w:r>
    </w:p>
    <w:p w14:paraId="389D4AC2">
      <w:pPr>
        <w:ind w:firstLine="422"/>
        <w:rPr>
          <w:rFonts w:ascii="宋体" w:hAnsi="宋体"/>
          <w:szCs w:val="21"/>
        </w:rPr>
      </w:pPr>
      <w:r>
        <w:rPr>
          <w:rFonts w:hint="eastAsia" w:ascii="宋体" w:hAnsi="宋体"/>
          <w:b/>
          <w:szCs w:val="21"/>
        </w:rPr>
        <w:t xml:space="preserve">主田社区  </w:t>
      </w:r>
      <w:r>
        <w:rPr>
          <w:rFonts w:hint="eastAsia" w:ascii="宋体" w:hAnsi="宋体"/>
          <w:szCs w:val="21"/>
        </w:rPr>
        <w:t>主田社区位于主田镇中部，距镇政府1公里，总人口为1623人，其中劳动力人口为1266人，居委会干部3人。主田镇于2009年投资组建了主田社区服务中心，中心按照“四室、三站、两栏、一场所”标准建设，总面积达150平方米。主田社区办公用房是主田镇人民政府将原农技站大楼转让给居委会永久性使用，产权属于主田镇社区居委会。</w:t>
      </w:r>
    </w:p>
    <w:p w14:paraId="73CB02EF">
      <w:pPr>
        <w:ind w:firstLine="422"/>
        <w:rPr>
          <w:rFonts w:ascii="宋体" w:hAnsi="宋体"/>
          <w:szCs w:val="21"/>
        </w:rPr>
      </w:pPr>
      <w:r>
        <w:rPr>
          <w:rFonts w:hint="eastAsia" w:ascii="宋体" w:hAnsi="宋体"/>
          <w:b/>
          <w:szCs w:val="21"/>
        </w:rPr>
        <w:t>城门村</w:t>
      </w:r>
      <w:r>
        <w:rPr>
          <w:rFonts w:hint="eastAsia" w:ascii="宋体" w:hAnsi="宋体"/>
          <w:szCs w:val="21"/>
        </w:rPr>
        <w:t xml:space="preserve">  城门村位于主田镇西部，距镇政府2.5公里，城门村共18个村小组，总户数828户，全村总人口3269人，其中常住人口1504人。全村总面积11561亩，山林面积9981亩，耕地面积4796亩，其中有水田2741亩，旱地2055亩。以种植黄烟、水稻、花生为主。2011年交售烟叶9612担，收购金额857万元，水稻种植面积5074亩，花生种植面积808亩。2011年人均收入6400元。</w:t>
      </w:r>
    </w:p>
    <w:p w14:paraId="57FC74CE">
      <w:pPr>
        <w:ind w:firstLine="422"/>
        <w:rPr>
          <w:rFonts w:ascii="宋体" w:hAnsi="宋体"/>
          <w:szCs w:val="21"/>
        </w:rPr>
      </w:pPr>
      <w:r>
        <w:rPr>
          <w:rFonts w:hint="eastAsia" w:ascii="宋体" w:hAnsi="宋体"/>
          <w:b/>
          <w:szCs w:val="21"/>
        </w:rPr>
        <w:t>主田村</w:t>
      </w:r>
      <w:r>
        <w:rPr>
          <w:rFonts w:hint="eastAsia" w:ascii="宋体" w:hAnsi="宋体"/>
          <w:szCs w:val="21"/>
        </w:rPr>
        <w:t xml:space="preserve">  主田村位于主田镇北部，距镇政府1公里，全村有15个村小组，总户数465户，总人口1873人，其中常住人口1155人。全村总面积1.5万亩，山林面积0.86万亩，耕地面积3442亩，其中水田2028亩，旱地1414亩。主要经济农作物以黄烟、水稻为主。2011年交售烟叶7032担，收购金额632万元，水稻种植面积2876亩，花生种植面积479亩。主要特色产业为养殖业。主田村先后兴建了先锋新村，莲花新村，梨园新村，古子坑新村、世纪新村、朝阳新村，全村80%以上农户住上钢筋水泥楼房。有14个村小组已通水泥路、有线电视，实现有线电话全覆盖。2011年人均收入6679元。</w:t>
      </w:r>
    </w:p>
    <w:p w14:paraId="77693D89">
      <w:pPr>
        <w:ind w:firstLine="422"/>
        <w:rPr>
          <w:rFonts w:ascii="宋体" w:hAnsi="宋体"/>
          <w:szCs w:val="21"/>
        </w:rPr>
      </w:pPr>
      <w:r>
        <w:rPr>
          <w:rFonts w:hint="eastAsia" w:ascii="宋体" w:hAnsi="宋体"/>
          <w:b/>
          <w:szCs w:val="21"/>
        </w:rPr>
        <w:t>大坝村</w:t>
      </w:r>
      <w:r>
        <w:rPr>
          <w:rFonts w:hint="eastAsia" w:ascii="宋体" w:hAnsi="宋体"/>
          <w:szCs w:val="21"/>
        </w:rPr>
        <w:t xml:space="preserve">  大坝村位于主田镇中部，距镇政府0.5公里，全村有18个村小组，总户数583户，总人口2254人，其中常住人口1463人。全村总面积32816.44亩，山林面积29310.04亩，耕地面积3037亩，其中水田2868亩，旱地169亩。主要经济农作物以黄烟、水稻为主。2011年交售烟叶5584担，收购金额497万元，水稻种植面积3901亩，花生种植面积628亩。2011年人均收入6745元。</w:t>
      </w:r>
    </w:p>
    <w:p w14:paraId="31DF5527">
      <w:pPr>
        <w:ind w:firstLine="422"/>
        <w:rPr>
          <w:rFonts w:ascii="宋体" w:hAnsi="宋体"/>
          <w:szCs w:val="21"/>
        </w:rPr>
      </w:pPr>
      <w:r>
        <w:rPr>
          <w:rFonts w:hint="eastAsia" w:ascii="宋体" w:hAnsi="宋体"/>
          <w:b/>
          <w:szCs w:val="21"/>
        </w:rPr>
        <w:t>塘山村</w:t>
      </w:r>
      <w:r>
        <w:rPr>
          <w:rFonts w:hint="eastAsia" w:ascii="宋体" w:hAnsi="宋体"/>
          <w:szCs w:val="21"/>
        </w:rPr>
        <w:t xml:space="preserve">  塘山村位于主田镇的西南部，距镇政府4公里，辖区共14个村小组，总户数为244户，全村总人口为992人，其中常住人口421人，村干部4人。全村总面积为2.8万亩，耕地面积1330亩，其中水田1228亩，旱地62亩。主要经济农作物以黄烟、水稻为主，2011年交售烟叶1462担，收购金额130万元，水稻种植面积1228亩，花生种植面积239亩。2011年人均收入6470元。</w:t>
      </w:r>
    </w:p>
    <w:p w14:paraId="0001E06F">
      <w:pPr>
        <w:ind w:firstLine="422"/>
        <w:rPr>
          <w:rFonts w:ascii="宋体" w:hAnsi="宋体"/>
          <w:szCs w:val="21"/>
        </w:rPr>
      </w:pPr>
      <w:r>
        <w:rPr>
          <w:rFonts w:hint="eastAsia" w:ascii="宋体" w:hAnsi="宋体"/>
          <w:b/>
          <w:szCs w:val="21"/>
        </w:rPr>
        <w:t>西坪村</w:t>
      </w:r>
      <w:r>
        <w:rPr>
          <w:rFonts w:hint="eastAsia" w:ascii="宋体" w:hAnsi="宋体"/>
          <w:szCs w:val="21"/>
        </w:rPr>
        <w:t xml:space="preserve">  主田镇西坪村位于主田镇的东南部，距镇政府20公里，辖区共6个村小组，总户数153户，全村总人口615人，其中劳住人口247人，村干部4人。全村山林面积26609.25亩，耕地面积979亩，其中水田957亩，旱田28亩。主要经济农作物以黄烟、水稻、花生为主，2011年交售烟叶551担，收购金额47万元，水稻种植面积735亩，花生种植面积150亩。2011年人均收入7733元。</w:t>
      </w:r>
    </w:p>
    <w:p w14:paraId="069CE575">
      <w:pPr>
        <w:ind w:firstLine="422"/>
        <w:rPr>
          <w:rFonts w:ascii="宋体" w:hAnsi="宋体"/>
          <w:szCs w:val="21"/>
        </w:rPr>
      </w:pPr>
      <w:r>
        <w:rPr>
          <w:rFonts w:hint="eastAsia" w:ascii="宋体" w:hAnsi="宋体"/>
          <w:b/>
          <w:szCs w:val="21"/>
        </w:rPr>
        <w:t>西洞村</w:t>
      </w:r>
      <w:r>
        <w:rPr>
          <w:rFonts w:hint="eastAsia" w:ascii="宋体" w:hAnsi="宋体"/>
          <w:szCs w:val="21"/>
        </w:rPr>
        <w:t xml:space="preserve">  西洞村位于主田镇的东南部，距镇政府20公里，辖区共8个村小组，总户数251户，全村总人口1075人，其中农村常住人口336人，村干部5人。全村总面积3.27万亩，山林面积3.06万亩，耕地面积1612万亩，其中水田1530亩，旱地82亩。主要经济农作物以黄烟、水稻为主2011年交售烟叶1036担，收购金额91万元，水稻种植面积1323亩，花生种植面积270亩。主要特色产业为种植果树，成立西洞果业专业合作社。2011年人均收入7110元。</w:t>
      </w:r>
    </w:p>
    <w:p w14:paraId="4BB568FE">
      <w:pPr>
        <w:ind w:firstLine="422"/>
        <w:rPr>
          <w:rFonts w:ascii="宋体" w:hAnsi="宋体"/>
          <w:szCs w:val="21"/>
        </w:rPr>
      </w:pPr>
      <w:r>
        <w:rPr>
          <w:rFonts w:hint="eastAsia" w:ascii="宋体" w:hAnsi="宋体"/>
          <w:b/>
          <w:szCs w:val="21"/>
        </w:rPr>
        <w:t>窑合村</w:t>
      </w:r>
      <w:r>
        <w:rPr>
          <w:rFonts w:hint="eastAsia" w:ascii="宋体" w:hAnsi="宋体"/>
          <w:szCs w:val="21"/>
        </w:rPr>
        <w:t xml:space="preserve">  主田镇窑合村位于主田镇的东南部，距镇政府25公里，辖区共9个村小组，，总户数223户，全村总人口947人，其中常住人口331人，村干部4人。全村总面积3.11万亩，山林面积2.92万亩，耕地面积1907万亩，其中水田1839亩，旱地68亩。主要经济农作物以黄烟、水稻为主，2011年交售烟叶433担，收购金额38万元，水稻种植面积987亩，花生种植面积200亩。2011年人均收入6856元。</w:t>
      </w:r>
    </w:p>
    <w:p w14:paraId="281D331A">
      <w:pPr>
        <w:ind w:firstLine="422"/>
        <w:rPr>
          <w:rFonts w:ascii="宋体" w:hAnsi="宋体"/>
          <w:szCs w:val="21"/>
        </w:rPr>
      </w:pPr>
      <w:r>
        <w:rPr>
          <w:rFonts w:hint="eastAsia" w:ascii="宋体" w:hAnsi="宋体"/>
          <w:b/>
          <w:szCs w:val="21"/>
        </w:rPr>
        <w:t>高峰村</w:t>
      </w:r>
      <w:r>
        <w:rPr>
          <w:rFonts w:hint="eastAsia" w:ascii="宋体" w:hAnsi="宋体"/>
          <w:szCs w:val="21"/>
        </w:rPr>
        <w:t xml:space="preserve">  高峰村位于主田镇东南部，距镇政府26公里，是少数民族革命老区村，是主田镇最偏远的山区村。地质属于燕山期花岗岩体及寒武纪震旦纪变质岩体，气候属于亚热带季风湿润气候区。辖区共14个村小组，总户数为247户，全村总人口为942人，常住人口190人，党员32人，村干部5人。全村总面积4万亩，山林面积2万亩，耕地面积1665亩，其中水田1550亩，旱地100亩。主要经济农作物以水稻为主，主要特色产业为竹木。2011年人均收入6480元。                                          （党艺宸）</w:t>
      </w:r>
    </w:p>
    <w:p w14:paraId="0BF552CB">
      <w:pPr>
        <w:ind w:firstLine="0" w:firstLineChars="0"/>
        <w:rPr>
          <w:rFonts w:ascii="宋体" w:hAnsi="宋体"/>
          <w:szCs w:val="21"/>
        </w:rPr>
      </w:pPr>
      <w:r>
        <w:rPr>
          <w:rFonts w:hint="eastAsia" w:ascii="宋体" w:hAnsi="宋体"/>
          <w:b/>
          <w:szCs w:val="21"/>
        </w:rPr>
        <w:t>附：2011年主田镇领导班子成员名单</w:t>
      </w:r>
    </w:p>
    <w:p w14:paraId="717C324E">
      <w:pPr>
        <w:ind w:firstLine="0" w:firstLineChars="0"/>
        <w:rPr>
          <w:rFonts w:ascii="宋体" w:hAnsi="宋体"/>
          <w:szCs w:val="21"/>
        </w:rPr>
      </w:pPr>
      <w:r>
        <w:rPr>
          <w:rFonts w:hint="eastAsia" w:ascii="宋体" w:hAnsi="宋体"/>
          <w:szCs w:val="21"/>
        </w:rPr>
        <w:t>党委书记、人大主席：刘  飞</w:t>
      </w:r>
    </w:p>
    <w:p w14:paraId="035636EE">
      <w:pPr>
        <w:ind w:firstLine="0" w:firstLineChars="0"/>
        <w:rPr>
          <w:rFonts w:ascii="宋体" w:hAnsi="宋体"/>
          <w:szCs w:val="21"/>
        </w:rPr>
      </w:pPr>
      <w:r>
        <w:rPr>
          <w:rFonts w:hint="eastAsia" w:ascii="宋体" w:hAnsi="宋体"/>
          <w:szCs w:val="21"/>
        </w:rPr>
        <w:t>党委副书记、镇长：郭才标</w:t>
      </w:r>
    </w:p>
    <w:p w14:paraId="5589795A">
      <w:pPr>
        <w:ind w:firstLine="0" w:firstLineChars="0"/>
        <w:rPr>
          <w:rFonts w:ascii="宋体" w:hAnsi="宋体"/>
          <w:szCs w:val="21"/>
        </w:rPr>
      </w:pPr>
      <w:r>
        <w:rPr>
          <w:rFonts w:hint="eastAsia" w:ascii="宋体" w:hAnsi="宋体"/>
          <w:szCs w:val="21"/>
        </w:rPr>
        <w:t>党委副书记：何军平</w:t>
      </w:r>
    </w:p>
    <w:p w14:paraId="2C0F9D88">
      <w:pPr>
        <w:ind w:firstLine="0" w:firstLineChars="0"/>
        <w:rPr>
          <w:rFonts w:ascii="宋体" w:hAnsi="宋体"/>
          <w:szCs w:val="21"/>
        </w:rPr>
      </w:pPr>
      <w:r>
        <w:rPr>
          <w:rFonts w:hint="eastAsia" w:ascii="宋体" w:hAnsi="宋体"/>
          <w:szCs w:val="21"/>
        </w:rPr>
        <w:t>党委委员、纪委书记：钟华山</w:t>
      </w:r>
    </w:p>
    <w:p w14:paraId="6CB1F124">
      <w:pPr>
        <w:ind w:firstLine="0" w:firstLineChars="0"/>
        <w:rPr>
          <w:rFonts w:ascii="宋体" w:hAnsi="宋体"/>
          <w:szCs w:val="21"/>
        </w:rPr>
      </w:pPr>
      <w:r>
        <w:rPr>
          <w:rFonts w:hint="eastAsia" w:ascii="宋体" w:hAnsi="宋体"/>
          <w:szCs w:val="21"/>
        </w:rPr>
        <w:t>党委委员、组织委员：黄世明</w:t>
      </w:r>
    </w:p>
    <w:p w14:paraId="25B034F2">
      <w:pPr>
        <w:ind w:firstLine="0" w:firstLineChars="0"/>
        <w:rPr>
          <w:rFonts w:ascii="宋体" w:hAnsi="宋体"/>
          <w:szCs w:val="21"/>
        </w:rPr>
      </w:pPr>
      <w:r>
        <w:rPr>
          <w:rFonts w:hint="eastAsia" w:ascii="宋体" w:hAnsi="宋体"/>
          <w:szCs w:val="21"/>
        </w:rPr>
        <w:t>党委委员、宣传委员：何东红</w:t>
      </w:r>
    </w:p>
    <w:p w14:paraId="3D4355F1">
      <w:pPr>
        <w:ind w:firstLine="0" w:firstLineChars="0"/>
        <w:rPr>
          <w:rFonts w:ascii="宋体" w:hAnsi="宋体"/>
          <w:szCs w:val="21"/>
        </w:rPr>
      </w:pPr>
      <w:r>
        <w:rPr>
          <w:rFonts w:hint="eastAsia" w:ascii="宋体" w:hAnsi="宋体"/>
          <w:szCs w:val="21"/>
        </w:rPr>
        <w:t>党委委员、人大副主席：哀旭春</w:t>
      </w:r>
    </w:p>
    <w:p w14:paraId="452DA7B8">
      <w:pPr>
        <w:ind w:firstLine="0" w:firstLineChars="0"/>
        <w:rPr>
          <w:rFonts w:ascii="宋体" w:hAnsi="宋体"/>
          <w:szCs w:val="21"/>
        </w:rPr>
      </w:pPr>
      <w:r>
        <w:rPr>
          <w:rFonts w:hint="eastAsia" w:ascii="宋体" w:hAnsi="宋体"/>
          <w:szCs w:val="21"/>
        </w:rPr>
        <w:t>党委委员、武装部长：卢隆舟</w:t>
      </w:r>
    </w:p>
    <w:p w14:paraId="2ACB1E42">
      <w:pPr>
        <w:ind w:firstLine="0" w:firstLineChars="0"/>
        <w:rPr>
          <w:rFonts w:ascii="宋体" w:hAnsi="宋体"/>
          <w:szCs w:val="21"/>
        </w:rPr>
      </w:pPr>
      <w:r>
        <w:rPr>
          <w:rFonts w:hint="eastAsia" w:ascii="宋体" w:hAnsi="宋体"/>
          <w:szCs w:val="21"/>
        </w:rPr>
        <w:t>党委委员、综治办专职副主任：林四珍</w:t>
      </w:r>
    </w:p>
    <w:p w14:paraId="1E9E25DE">
      <w:pPr>
        <w:ind w:firstLine="0" w:firstLineChars="0"/>
        <w:rPr>
          <w:rFonts w:ascii="宋体" w:hAnsi="宋体"/>
          <w:szCs w:val="21"/>
        </w:rPr>
      </w:pPr>
      <w:r>
        <w:rPr>
          <w:rFonts w:hint="eastAsia" w:ascii="宋体" w:hAnsi="宋体"/>
          <w:szCs w:val="21"/>
        </w:rPr>
        <w:t>副镇长：刘宏艺  王树华  陈彩红</w:t>
      </w:r>
    </w:p>
    <w:p w14:paraId="32E3B7EB">
      <w:pPr>
        <w:pStyle w:val="3"/>
      </w:pPr>
      <w:r>
        <w:rPr>
          <w:rFonts w:hint="eastAsia"/>
        </w:rPr>
        <w:t>油山镇</w:t>
      </w:r>
    </w:p>
    <w:p w14:paraId="369E89B7">
      <w:pPr>
        <w:pStyle w:val="4"/>
      </w:pPr>
      <w:r>
        <w:rPr>
          <w:rFonts w:hint="eastAsia"/>
        </w:rPr>
        <w:t>【概况】</w:t>
      </w:r>
    </w:p>
    <w:p w14:paraId="51D9DE34">
      <w:pPr>
        <w:ind w:firstLine="420"/>
        <w:rPr>
          <w:rFonts w:ascii="宋体" w:hAnsi="宋体"/>
          <w:szCs w:val="21"/>
        </w:rPr>
      </w:pPr>
      <w:r>
        <w:rPr>
          <w:rFonts w:hint="eastAsia" w:ascii="宋体" w:hAnsi="宋体"/>
          <w:szCs w:val="21"/>
        </w:rPr>
        <w:t>油山镇位于南雄东北部30公里，地处南雄市、江西大余县和江西信丰县三县（市）结合部。东与乌迳镇相邻，南与黄坑镇交界，西与邓坊镇接壤，北与江西大余的池江镇为邻。全镇耕地面积37860亩，山林面积212368亩，辖17个行政村和1个社区居委会，191个村小组，总人口3.4万人。全镇财政总收入、固定资产投资、和农民人均纯收入分别达到178万、5168万、6145元。</w:t>
      </w:r>
    </w:p>
    <w:p w14:paraId="1CD5AF6C">
      <w:pPr>
        <w:pStyle w:val="4"/>
      </w:pPr>
      <w:r>
        <w:rPr>
          <w:rFonts w:hint="eastAsia"/>
        </w:rPr>
        <w:t>【农业生产】</w:t>
      </w:r>
    </w:p>
    <w:p w14:paraId="56B9F0AD">
      <w:pPr>
        <w:ind w:firstLine="420"/>
        <w:rPr>
          <w:rFonts w:ascii="宋体" w:hAnsi="宋体"/>
          <w:szCs w:val="21"/>
        </w:rPr>
      </w:pPr>
      <w:r>
        <w:rPr>
          <w:rFonts w:hint="eastAsia" w:ascii="宋体" w:hAnsi="宋体"/>
          <w:szCs w:val="21"/>
        </w:rPr>
        <w:t>从种植模式和规模入手，将以往散、小、杂的农业状况逐步改变为如今的以烤烟、花生等经济作物规模化种植和鸡、猪、羊等禽畜规模化养殖为主的农业产业化模式。全年栽种烤烟11662亩，花生7796亩。烟叶收购从2006年的11000担增加到2011年的18628担，增长了69.3%。收购金额从“十一五”初期的600万元增加到“十一五”末期的1408万元；2011年对农民进行种粮补贴的面积达到3万亩，补贴资金合计218万元。</w:t>
      </w:r>
    </w:p>
    <w:p w14:paraId="2DE12E12">
      <w:pPr>
        <w:pStyle w:val="4"/>
      </w:pPr>
      <w:r>
        <w:rPr>
          <w:rFonts w:hint="eastAsia"/>
        </w:rPr>
        <w:t>【扶贫工作】</w:t>
      </w:r>
    </w:p>
    <w:p w14:paraId="03AE9261">
      <w:pPr>
        <w:ind w:firstLine="420"/>
        <w:rPr>
          <w:rFonts w:ascii="宋体" w:hAnsi="宋体"/>
          <w:szCs w:val="21"/>
        </w:rPr>
      </w:pPr>
      <w:r>
        <w:rPr>
          <w:rFonts w:hint="eastAsia" w:ascii="宋体" w:hAnsi="宋体"/>
          <w:szCs w:val="21"/>
        </w:rPr>
        <w:t>2011年一直将扶贫开发“规划到户、责任到人”的工作扎实、稳步推进。积极制定扶贫计划，并力争落到实处。完成扶贫人数106户。以村级公益事业建设“一事一议”财政资金为引导、结合对口帮扶资金，其中东莞常平镇投入78万元帮助莲山、浆田、上浆三村建设农业生产基础设施。韶关交通局、韶关医学院工作组投入资金63万元，帮助完成了爱敬村电灌站的扩建，公路涵洞维修，村道路面硬化等工程。韶关文广新局、韶关广播电视台筹措2万元完成延村村道建设，争取老促会资金9万元用于扶持革命老区大兰廖地村的道路建设，在2010年一年时间里，完成了危房改造24户共有430户贫困户实现了脱贫摘帽，投入155万元参股浈江电业，增加村级集体经济，提高村级的收入。</w:t>
      </w:r>
    </w:p>
    <w:p w14:paraId="68952A83">
      <w:pPr>
        <w:pStyle w:val="4"/>
      </w:pPr>
      <w:r>
        <w:rPr>
          <w:rFonts w:hint="eastAsia"/>
        </w:rPr>
        <w:t>【财政工作】</w:t>
      </w:r>
    </w:p>
    <w:p w14:paraId="1F309135">
      <w:pPr>
        <w:ind w:firstLine="420"/>
        <w:rPr>
          <w:rFonts w:ascii="宋体" w:hAnsi="宋体"/>
          <w:szCs w:val="21"/>
        </w:rPr>
      </w:pPr>
      <w:r>
        <w:rPr>
          <w:rFonts w:hint="eastAsia" w:ascii="宋体" w:hAnsi="宋体"/>
          <w:szCs w:val="21"/>
        </w:rPr>
        <w:t>2011年完成财政收入178万元，累计完成财政支出175万元，同时对抗旱救灾资金、危房改造资金、“一事一议”等专项资金的管理坚持统筹规划、突出重点，确保专款专用，贯彻落实好各种惠农政策、做好各类补贴的发放。</w:t>
      </w:r>
    </w:p>
    <w:p w14:paraId="4C72A556">
      <w:pPr>
        <w:pStyle w:val="4"/>
      </w:pPr>
      <w:r>
        <w:rPr>
          <w:rFonts w:hint="eastAsia"/>
        </w:rPr>
        <w:t>【国土工作】</w:t>
      </w:r>
    </w:p>
    <w:p w14:paraId="4F88EA23">
      <w:pPr>
        <w:ind w:firstLine="420"/>
        <w:rPr>
          <w:rFonts w:ascii="宋体" w:hAnsi="宋体"/>
          <w:szCs w:val="21"/>
        </w:rPr>
      </w:pPr>
      <w:r>
        <w:rPr>
          <w:rFonts w:hint="eastAsia" w:ascii="宋体" w:hAnsi="宋体"/>
          <w:szCs w:val="21"/>
        </w:rPr>
        <w:t>致力于排查滥用耕地建房等违法行为，共查处滥用耕地建房2宗，有效地遏制占用耕地建房的现象。同期，做好墟镇规划，拉大了墟镇框架，加强墟镇设施建设及墟镇环境管理，营造良好的宜居宜商环境。组建打击非法开采稀土矿行动小组，协同林业、司法等部门对山区的进行不定期的巡查。</w:t>
      </w:r>
    </w:p>
    <w:p w14:paraId="5182CC91">
      <w:pPr>
        <w:pStyle w:val="4"/>
      </w:pPr>
      <w:r>
        <w:rPr>
          <w:rFonts w:hint="eastAsia"/>
        </w:rPr>
        <w:t>【基础设施建设】</w:t>
      </w:r>
    </w:p>
    <w:p w14:paraId="59FEDFE7">
      <w:pPr>
        <w:ind w:firstLine="420"/>
        <w:rPr>
          <w:rFonts w:ascii="宋体" w:hAnsi="宋体"/>
          <w:szCs w:val="21"/>
        </w:rPr>
      </w:pPr>
      <w:r>
        <w:rPr>
          <w:rFonts w:hint="eastAsia" w:ascii="宋体" w:hAnsi="宋体"/>
          <w:szCs w:val="21"/>
        </w:rPr>
        <w:t>利用各种渠道加强农村基础设施建设，积极改善镇、村生产生活条件。一是加快推进公路建设。镇政府把公路建设工作当作一项民心工程来抓，积极争取上级部门的支持，通过自筹资金及组织群众投工投劳等方式，累计完成公路改造建设总长达16多公里，全面完成通行政村道路硬底化建设，完成通村小组公路建设70%。二是加强农村水利基础设施建设。争取自筹与引资相结合的方式，兴修水利，修渡槽、筑陂头，清淤抗旱，累计投入资金近200多万元；完成爱敬等7个村2万多亩的农综开发工作，较好地解决群众农田用水难的问题。三是发展沼气池，目前已拥有沼气池2100多个，积极引导村民利用洁净能源，促进农村环保，扎实推进新农村建设。同时积极配合省扶贫办老区电网改造工程，解决平林村委会高岭村小组的用电问题。四是改善村级办公条件。争取各级部门资金新建上浆、浆田两个村的办公楼，并完善各村的宣传、广播、办公设施等设备，改善村级办公条件。</w:t>
      </w:r>
    </w:p>
    <w:p w14:paraId="43F10D41">
      <w:pPr>
        <w:pStyle w:val="4"/>
      </w:pPr>
      <w:r>
        <w:rPr>
          <w:rFonts w:hint="eastAsia"/>
        </w:rPr>
        <w:t>【教育工作】</w:t>
      </w:r>
    </w:p>
    <w:p w14:paraId="03580EB6">
      <w:pPr>
        <w:ind w:firstLine="420"/>
        <w:rPr>
          <w:rFonts w:ascii="宋体" w:hAnsi="宋体"/>
          <w:szCs w:val="21"/>
        </w:rPr>
      </w:pPr>
      <w:r>
        <w:rPr>
          <w:rFonts w:hint="eastAsia" w:ascii="宋体" w:hAnsi="宋体"/>
          <w:szCs w:val="21"/>
        </w:rPr>
        <w:t>共筹集资金350多万元，兴建校舍5280平方米，向887名贫困生发放生活补贴8.87万元。重视学前教育，完成了中心幼儿园的建设，目前在园幼儿420人。小学适龄儿童入学率、初中毛入学率达100%，九年义务教育成果得到进一步巩固。</w:t>
      </w:r>
    </w:p>
    <w:p w14:paraId="78A64BF1">
      <w:pPr>
        <w:pStyle w:val="4"/>
      </w:pPr>
      <w:r>
        <w:rPr>
          <w:rFonts w:hint="eastAsia"/>
        </w:rPr>
        <w:t>【医疗卫生】</w:t>
      </w:r>
    </w:p>
    <w:p w14:paraId="39A8FED5">
      <w:pPr>
        <w:ind w:firstLine="420"/>
        <w:rPr>
          <w:rFonts w:ascii="宋体" w:hAnsi="宋体"/>
          <w:szCs w:val="21"/>
        </w:rPr>
      </w:pPr>
      <w:r>
        <w:rPr>
          <w:rFonts w:hint="eastAsia" w:ascii="宋体" w:hAnsi="宋体"/>
          <w:szCs w:val="21"/>
        </w:rPr>
        <w:t>不断加强农村卫生工作，加大农村医疗室建设，提高卫生院的医疗水平，巩固农村卫生保健网络，不断完善农村初级医疗保障体系。加强了妇幼保健、疾病控制和传染病的预防工作，有效地预防了各种传染病的流行。镇、村医疗机构规范化建设工作全面推进，产妇住院分娩率、儿童强制预防接种率分别达100%，传染病、流行病防控工作扎实开展，农村合作医疗全面普及，农村初级卫生保健目标基本实现。2011年，全镇农村农民参合人数达27072人，覆盖率达95%以上。</w:t>
      </w:r>
    </w:p>
    <w:p w14:paraId="6902F1AD">
      <w:pPr>
        <w:pStyle w:val="4"/>
      </w:pPr>
      <w:r>
        <w:rPr>
          <w:rFonts w:hint="eastAsia"/>
        </w:rPr>
        <w:t>【计划生育】</w:t>
      </w:r>
    </w:p>
    <w:p w14:paraId="07C6DD8C">
      <w:pPr>
        <w:ind w:firstLine="420"/>
        <w:rPr>
          <w:rFonts w:ascii="宋体" w:hAnsi="宋体"/>
          <w:szCs w:val="21"/>
        </w:rPr>
      </w:pPr>
      <w:r>
        <w:rPr>
          <w:rFonts w:hint="eastAsia" w:ascii="宋体" w:hAnsi="宋体"/>
          <w:szCs w:val="21"/>
        </w:rPr>
        <w:t>人口出生率下降到12.93‰，计划生育率提高到94.04%，双查率提高到99.13%，综合节育率达到89%，人口出生性别比下降至107.11，处于正常生育合理水平。计划生育工作已达到二类管理水平，顺利通过了韶关市计划生育考核。</w:t>
      </w:r>
    </w:p>
    <w:p w14:paraId="2C288ACD">
      <w:pPr>
        <w:pStyle w:val="4"/>
      </w:pPr>
      <w:r>
        <w:rPr>
          <w:rFonts w:hint="eastAsia"/>
        </w:rPr>
        <w:t>【林业工作】</w:t>
      </w:r>
    </w:p>
    <w:p w14:paraId="6EE1B36C">
      <w:pPr>
        <w:ind w:firstLine="420"/>
        <w:rPr>
          <w:rFonts w:ascii="宋体" w:hAnsi="宋体"/>
          <w:szCs w:val="21"/>
        </w:rPr>
      </w:pPr>
      <w:r>
        <w:rPr>
          <w:rFonts w:hint="eastAsia" w:ascii="宋体" w:hAnsi="宋体"/>
          <w:szCs w:val="21"/>
        </w:rPr>
        <w:t>共完成外业勘界分山到户80%以上，分户登记率和持证率达85%。整改期间为加强了封山育林，保护生态环境，政府不断加大宣传力度和加强巡查力度，严厉打击滥砍盗伐木材的违法行为。组建林业巡查小组，加强护林防火工作。</w:t>
      </w:r>
    </w:p>
    <w:p w14:paraId="67CDBD81">
      <w:pPr>
        <w:pStyle w:val="4"/>
      </w:pPr>
      <w:r>
        <w:rPr>
          <w:rFonts w:hint="eastAsia"/>
        </w:rPr>
        <w:t>【民政救济】</w:t>
      </w:r>
    </w:p>
    <w:p w14:paraId="3B272D94">
      <w:pPr>
        <w:ind w:firstLine="420"/>
        <w:rPr>
          <w:rFonts w:ascii="宋体" w:hAnsi="宋体"/>
          <w:szCs w:val="21"/>
        </w:rPr>
      </w:pPr>
      <w:r>
        <w:rPr>
          <w:rFonts w:hint="eastAsia" w:ascii="宋体" w:hAnsi="宋体"/>
          <w:szCs w:val="21"/>
        </w:rPr>
        <w:t>建立健全社会救助机制。排查社会弱势群体，严格按照程序办事，坚持公平公正的原则，将低保户名单在所属村张榜公示。2011年，发放低保金625户1375人共101.64万元，补助五保户98人共103万元，优抚退伍军人、烈士遗属58人共2.3万元，为农村困难家庭提供基本保障。重视孤寡老人的生活问题，完善敬老院基础设施，新增宿舍楼一栋，现有在住老人16人。</w:t>
      </w:r>
    </w:p>
    <w:p w14:paraId="56B48FA1">
      <w:pPr>
        <w:pStyle w:val="4"/>
      </w:pPr>
      <w:r>
        <w:rPr>
          <w:rFonts w:hint="eastAsia"/>
        </w:rPr>
        <w:t>【安全维稳】</w:t>
      </w:r>
    </w:p>
    <w:p w14:paraId="2CED995C">
      <w:pPr>
        <w:ind w:firstLine="420"/>
        <w:rPr>
          <w:rFonts w:ascii="宋体" w:hAnsi="宋体"/>
          <w:szCs w:val="21"/>
        </w:rPr>
      </w:pPr>
      <w:r>
        <w:rPr>
          <w:rFonts w:hint="eastAsia" w:ascii="宋体" w:hAnsi="宋体"/>
          <w:szCs w:val="21"/>
        </w:rPr>
        <w:t>充分发挥各级领导干部和基层调解员的作用，变群众上访为干部下访，全镇未发生群众大规模上访事件，真正做到了“小事不出村，大事不出镇”，有效地维护社会稳定。综治中心共受理案件29宗，成功调解案件26宗，调解率为90%；各村工作站共受理案件34宗，成功调解案件34宗，调解率为100%。扎实推进“平安村”、“平安企业”、“平安家庭”、“平安校园”等载体的平安创建活动，狠抓交通、火灾专项整治。特别是在世博会、广州亚运会期间，着重抓好辖区内的安保工作，保持全镇社会政治稳定。同时，以基层治安防范体系建设为重点，全面落实综合治理各项措施，“四五”普法工作深入各村开展。</w:t>
      </w:r>
    </w:p>
    <w:p w14:paraId="14EC5C42">
      <w:pPr>
        <w:pStyle w:val="4"/>
      </w:pPr>
      <w:r>
        <w:rPr>
          <w:rFonts w:hint="eastAsia"/>
        </w:rPr>
        <w:t>【精神文明建设】</w:t>
      </w:r>
    </w:p>
    <w:p w14:paraId="12BD41E6">
      <w:pPr>
        <w:ind w:firstLine="420"/>
        <w:rPr>
          <w:rFonts w:ascii="宋体" w:hAnsi="宋体"/>
          <w:szCs w:val="21"/>
        </w:rPr>
      </w:pPr>
      <w:r>
        <w:rPr>
          <w:rFonts w:hint="eastAsia" w:ascii="宋体" w:hAnsi="宋体"/>
          <w:szCs w:val="21"/>
        </w:rPr>
        <w:t>深入开展文明乡镇创建活动，重点对影响镇容镇貌的乱摆乱占、乱贴乱画、乱搭乱建、乱倒垃圾、店外经营以及车辆乱停乱放先后进行了3次整治，投入10万元对街道固定垃圾回收池、垃圾车辆进行更换和维修。广泛开展争文明家庭、建文明单位、创文明片区活动。做好镇区内有线电视网络和“村村通”广播电视直播卫星设备的维护工作，全力协助上级有关部门搞好乡镇数字信号整转工作。同时加强对文化市场和娱乐场所的监管，进一步净化文化环境。</w:t>
      </w:r>
    </w:p>
    <w:p w14:paraId="3B9CF1E1">
      <w:pPr>
        <w:pStyle w:val="4"/>
      </w:pPr>
      <w:r>
        <w:rPr>
          <w:rFonts w:hint="eastAsia"/>
        </w:rPr>
        <w:t>【党建工作】</w:t>
      </w:r>
    </w:p>
    <w:p w14:paraId="1A1F948D">
      <w:pPr>
        <w:ind w:firstLine="420"/>
        <w:rPr>
          <w:rFonts w:ascii="宋体" w:hAnsi="宋体"/>
          <w:szCs w:val="21"/>
        </w:rPr>
      </w:pPr>
      <w:r>
        <w:rPr>
          <w:rFonts w:hint="eastAsia" w:ascii="宋体" w:hAnsi="宋体"/>
          <w:szCs w:val="21"/>
        </w:rPr>
        <w:t>围绕充分发挥党的领导核心、支部战斗堡垒和党员先锋模范三大作用，大力实施“双联双促”工程，扎实开展“三级联创”、“万个支部结对、万名党员帮扶”等活动，积极抓好党建工作。充分利用党员活动室等载体，加强对广大干部群众的思想教育。加大党员干部违法违纪案件查处力度，党风廉政建设和反腐败斗争得到有力推进；认真做好新党员的发展工作，严把党员“人口”关，新党员质量明显提高，全年吸纳新党员51名，预备党员转正39名。</w:t>
      </w:r>
    </w:p>
    <w:p w14:paraId="041CF60C">
      <w:pPr>
        <w:pStyle w:val="4"/>
      </w:pPr>
      <w:r>
        <w:rPr>
          <w:rFonts w:hint="eastAsia"/>
        </w:rPr>
        <w:t>【各村（居）委会基本情况】</w:t>
      </w:r>
    </w:p>
    <w:p w14:paraId="0FABE08A">
      <w:pPr>
        <w:ind w:firstLine="422"/>
        <w:rPr>
          <w:rFonts w:ascii="宋体" w:hAnsi="宋体"/>
          <w:szCs w:val="21"/>
        </w:rPr>
      </w:pPr>
      <w:r>
        <w:rPr>
          <w:rFonts w:hint="eastAsia" w:ascii="宋体" w:hAnsi="宋体"/>
          <w:b/>
          <w:szCs w:val="21"/>
        </w:rPr>
        <w:t>坪田坳村委会</w:t>
      </w:r>
      <w:r>
        <w:rPr>
          <w:rFonts w:hint="eastAsia" w:ascii="宋体" w:hAnsi="宋体"/>
          <w:szCs w:val="21"/>
        </w:rPr>
        <w:t xml:space="preserve">  位于镇政府北部，总面积15.85平方公里，有耕地面积194.8公顷，山地面积1524.6公顷，有林面积1269.6公顷。林木有松、衫、竹等。辖11个村民小组，自然村6个，有325户，1333人。村干部4人。</w:t>
      </w:r>
    </w:p>
    <w:p w14:paraId="4AE6FF65">
      <w:pPr>
        <w:ind w:firstLine="422"/>
        <w:rPr>
          <w:rFonts w:ascii="宋体" w:hAnsi="宋体"/>
          <w:szCs w:val="21"/>
        </w:rPr>
      </w:pPr>
      <w:r>
        <w:rPr>
          <w:rFonts w:hint="eastAsia" w:ascii="宋体" w:hAnsi="宋体"/>
          <w:b/>
          <w:szCs w:val="21"/>
        </w:rPr>
        <w:t>莲山村委会</w:t>
      </w:r>
      <w:r>
        <w:rPr>
          <w:rFonts w:hint="eastAsia" w:ascii="宋体" w:hAnsi="宋体"/>
          <w:szCs w:val="21"/>
        </w:rPr>
        <w:t xml:space="preserve">  位于镇政府西北部，总面积18.25平方公里，有耕地面积198.2公顷，山地面积1517.2公顷，有林面积1193.5公顷。林木有松、衫、竹等。辖15个村民小组，有自然村14个，416户，1703人，村干部4人。</w:t>
      </w:r>
    </w:p>
    <w:p w14:paraId="23AAC27F">
      <w:pPr>
        <w:ind w:firstLine="422"/>
        <w:rPr>
          <w:rFonts w:ascii="宋体" w:hAnsi="宋体"/>
          <w:szCs w:val="21"/>
        </w:rPr>
      </w:pPr>
      <w:r>
        <w:rPr>
          <w:rFonts w:hint="eastAsia" w:ascii="宋体" w:hAnsi="宋体"/>
          <w:b/>
          <w:szCs w:val="21"/>
        </w:rPr>
        <w:t xml:space="preserve">大兰村委会  </w:t>
      </w:r>
      <w:r>
        <w:rPr>
          <w:rFonts w:hint="eastAsia" w:ascii="宋体" w:hAnsi="宋体"/>
          <w:szCs w:val="21"/>
        </w:rPr>
        <w:t>位于镇政府北部，毗邻江西省池江镇，总面积13.61平方公里，有耕地面积113.8公顷，山地面积1394.4公顷，有林面积1122.2公顷。辖7个村民小组，有自然村9个，有270户，1110人，村干部3人。</w:t>
      </w:r>
    </w:p>
    <w:p w14:paraId="31E134B8">
      <w:pPr>
        <w:ind w:firstLine="422"/>
        <w:rPr>
          <w:rFonts w:ascii="宋体" w:hAnsi="宋体"/>
          <w:szCs w:val="21"/>
        </w:rPr>
      </w:pPr>
      <w:r>
        <w:rPr>
          <w:rFonts w:hint="eastAsia" w:ascii="宋体" w:hAnsi="宋体"/>
          <w:b/>
          <w:szCs w:val="21"/>
        </w:rPr>
        <w:t>平林村委会</w:t>
      </w:r>
      <w:r>
        <w:rPr>
          <w:rFonts w:hint="eastAsia" w:ascii="宋体" w:hAnsi="宋体"/>
          <w:szCs w:val="21"/>
        </w:rPr>
        <w:t xml:space="preserve">  位于镇政府北部，总面积19.96平方公里，有耕地面积282.4公顷，山地面积2081公顷，有林面积1619.3公顷。林木有松、衫、竹等。辖16个村民小组，自然村13个，有526户，人口2158，村干部4人。</w:t>
      </w:r>
    </w:p>
    <w:p w14:paraId="4ABF0284">
      <w:pPr>
        <w:ind w:firstLine="422"/>
        <w:rPr>
          <w:rFonts w:ascii="宋体" w:hAnsi="宋体"/>
          <w:szCs w:val="21"/>
        </w:rPr>
      </w:pPr>
      <w:r>
        <w:rPr>
          <w:rFonts w:hint="eastAsia" w:ascii="宋体" w:hAnsi="宋体"/>
          <w:b/>
          <w:szCs w:val="21"/>
        </w:rPr>
        <w:t xml:space="preserve">黄地村委会  </w:t>
      </w:r>
      <w:r>
        <w:rPr>
          <w:rFonts w:hint="eastAsia" w:ascii="宋体" w:hAnsi="宋体"/>
          <w:szCs w:val="21"/>
        </w:rPr>
        <w:t>位于镇政府北部，总面积13.65平方公里，有耕地面积86.5公顷，山地面积751.8公顷，有林面积609.6公顷。辖5个村民小组，有自然村5个，有183户，754人，村干部3人。</w:t>
      </w:r>
    </w:p>
    <w:p w14:paraId="45E6A69E">
      <w:pPr>
        <w:ind w:firstLine="422"/>
        <w:rPr>
          <w:rFonts w:ascii="宋体" w:hAnsi="宋体"/>
          <w:szCs w:val="21"/>
        </w:rPr>
      </w:pPr>
      <w:r>
        <w:rPr>
          <w:rFonts w:hint="eastAsia" w:ascii="宋体" w:hAnsi="宋体"/>
          <w:b/>
          <w:szCs w:val="21"/>
        </w:rPr>
        <w:t>爱敬村委会</w:t>
      </w:r>
      <w:r>
        <w:rPr>
          <w:rFonts w:hint="eastAsia" w:ascii="宋体" w:hAnsi="宋体"/>
          <w:szCs w:val="21"/>
        </w:rPr>
        <w:t xml:space="preserve">  位于镇政府南部，总面积3.03平方公里，有耕地面积114公顷，其中水田66.5公顷，旱地47.2公顷。辖8个村民小组，自然村8个，有419户，人口1718，村干部4人。</w:t>
      </w:r>
    </w:p>
    <w:p w14:paraId="60CEB28D">
      <w:pPr>
        <w:ind w:firstLine="422"/>
        <w:rPr>
          <w:rFonts w:ascii="宋体" w:hAnsi="宋体"/>
          <w:szCs w:val="21"/>
        </w:rPr>
      </w:pPr>
      <w:r>
        <w:rPr>
          <w:rFonts w:hint="eastAsia" w:ascii="宋体" w:hAnsi="宋体"/>
          <w:b/>
          <w:szCs w:val="21"/>
        </w:rPr>
        <w:t>浆田村委会</w:t>
      </w:r>
      <w:r>
        <w:rPr>
          <w:rFonts w:hint="eastAsia" w:ascii="宋体" w:hAnsi="宋体"/>
          <w:szCs w:val="21"/>
        </w:rPr>
        <w:t xml:space="preserve">  位于镇政府南部，总面积2.39平方公里，有耕地面积133.9公顷，其中水田83.9公顷，旱地50.1公顷。辖9个村民小组，有自然村2个，有481户，人口1969，村干部5人。</w:t>
      </w:r>
    </w:p>
    <w:p w14:paraId="6A1A1332">
      <w:pPr>
        <w:ind w:firstLine="422"/>
        <w:rPr>
          <w:rFonts w:ascii="宋体" w:hAnsi="宋体"/>
          <w:szCs w:val="21"/>
        </w:rPr>
      </w:pPr>
      <w:r>
        <w:rPr>
          <w:rFonts w:hint="eastAsia" w:ascii="宋体" w:hAnsi="宋体"/>
          <w:b/>
          <w:szCs w:val="21"/>
        </w:rPr>
        <w:t>上浆村委会</w:t>
      </w:r>
      <w:r>
        <w:rPr>
          <w:rFonts w:hint="eastAsia" w:ascii="宋体" w:hAnsi="宋体"/>
          <w:szCs w:val="21"/>
        </w:rPr>
        <w:t xml:space="preserve">  位于镇政府南部，总面积3.9平方公里，有耕地面积120.8公顷，其中水田70公顷，旱地50.8公顷。辖6个村民小组，自然村5个，有372户，人口1521人，村干部4人。</w:t>
      </w:r>
    </w:p>
    <w:p w14:paraId="766A7157">
      <w:pPr>
        <w:ind w:firstLine="422"/>
        <w:rPr>
          <w:rFonts w:ascii="宋体" w:hAnsi="宋体"/>
          <w:szCs w:val="21"/>
        </w:rPr>
      </w:pPr>
      <w:r>
        <w:rPr>
          <w:rFonts w:hint="eastAsia" w:ascii="宋体" w:hAnsi="宋体"/>
          <w:b/>
          <w:szCs w:val="21"/>
        </w:rPr>
        <w:t>孔村村委会</w:t>
      </w:r>
      <w:r>
        <w:rPr>
          <w:rFonts w:hint="eastAsia" w:ascii="宋体" w:hAnsi="宋体"/>
          <w:szCs w:val="21"/>
        </w:rPr>
        <w:t xml:space="preserve">  位于镇政府南部，总面积2.79平方公里，有耕地面积86.5公顷，其中水田75.5公顷，旱地10.7公顷。辖5个村民小组，自然村2个，有314户，人口1287，村干部3人。</w:t>
      </w:r>
    </w:p>
    <w:p w14:paraId="6D83937D">
      <w:pPr>
        <w:ind w:firstLine="422"/>
        <w:rPr>
          <w:rFonts w:ascii="宋体" w:hAnsi="宋体"/>
          <w:szCs w:val="21"/>
        </w:rPr>
      </w:pPr>
      <w:r>
        <w:rPr>
          <w:rFonts w:hint="eastAsia" w:ascii="宋体" w:hAnsi="宋体"/>
          <w:b/>
          <w:szCs w:val="21"/>
        </w:rPr>
        <w:t xml:space="preserve">延村村委会  </w:t>
      </w:r>
      <w:r>
        <w:rPr>
          <w:rFonts w:hint="eastAsia" w:ascii="宋体" w:hAnsi="宋体"/>
          <w:szCs w:val="21"/>
        </w:rPr>
        <w:t>位于镇政府东部，总面积4.58平方公里，有耕地面积159.1公顷，其中水田132.1公顷，旱地27公顷。辖11个村民小组，自然村9个，有519户，人口2131，村干部7人。</w:t>
      </w:r>
    </w:p>
    <w:p w14:paraId="1340FCE1">
      <w:pPr>
        <w:ind w:firstLine="422"/>
        <w:rPr>
          <w:rFonts w:ascii="宋体" w:hAnsi="宋体"/>
          <w:szCs w:val="21"/>
        </w:rPr>
      </w:pPr>
      <w:r>
        <w:rPr>
          <w:rFonts w:hint="eastAsia" w:ascii="宋体" w:hAnsi="宋体"/>
          <w:b/>
          <w:szCs w:val="21"/>
        </w:rPr>
        <w:t xml:space="preserve">锦陂村委会  </w:t>
      </w:r>
      <w:r>
        <w:rPr>
          <w:rFonts w:hint="eastAsia" w:ascii="宋体" w:hAnsi="宋体"/>
          <w:szCs w:val="21"/>
        </w:rPr>
        <w:t>位于南雄市镇东部，总面积7.5平方公里，有耕地面积134.6公顷，其中水田119.5公顷，旱地15.1公顷。辖10个村民小组，自然村12个，有418户，人口1710，村干部4人。</w:t>
      </w:r>
    </w:p>
    <w:p w14:paraId="4FA263E1">
      <w:pPr>
        <w:ind w:firstLine="422"/>
        <w:rPr>
          <w:rFonts w:ascii="宋体" w:hAnsi="宋体"/>
          <w:szCs w:val="21"/>
        </w:rPr>
      </w:pPr>
      <w:r>
        <w:rPr>
          <w:rFonts w:hint="eastAsia" w:ascii="宋体" w:hAnsi="宋体"/>
          <w:b/>
          <w:szCs w:val="21"/>
        </w:rPr>
        <w:t xml:space="preserve">上朔村委会  </w:t>
      </w:r>
      <w:r>
        <w:rPr>
          <w:rFonts w:hint="eastAsia" w:ascii="宋体" w:hAnsi="宋体"/>
          <w:szCs w:val="21"/>
        </w:rPr>
        <w:t>位于南雄市镇东部，总面积8.46平方公里，有耕地面积201.5公顷，其中水田147.2公顷，旱地58.8公顷。辖26个村民小组，自然村1个，有828户，人口3392，村干部6人。</w:t>
      </w:r>
    </w:p>
    <w:p w14:paraId="7A915468">
      <w:pPr>
        <w:ind w:firstLine="422"/>
        <w:rPr>
          <w:rFonts w:ascii="宋体" w:hAnsi="宋体"/>
          <w:szCs w:val="21"/>
        </w:rPr>
      </w:pPr>
      <w:r>
        <w:rPr>
          <w:rFonts w:hint="eastAsia" w:ascii="宋体" w:hAnsi="宋体"/>
          <w:b/>
          <w:szCs w:val="21"/>
        </w:rPr>
        <w:t xml:space="preserve">夹河口村委会  </w:t>
      </w:r>
      <w:r>
        <w:rPr>
          <w:rFonts w:hint="eastAsia" w:ascii="宋体" w:hAnsi="宋体"/>
          <w:szCs w:val="21"/>
        </w:rPr>
        <w:t>位于镇政府北部，总面积13.05平方公里，有耕地面积103.2公顷，山地面积1386.4公顷，有林面积1002.3公顷。林木有松、衫、竹等。辖9个村民小组，自然村7个，有355户，人口1452人，村干部4人。</w:t>
      </w:r>
    </w:p>
    <w:p w14:paraId="2E2D45E5">
      <w:pPr>
        <w:ind w:firstLine="422"/>
        <w:rPr>
          <w:rFonts w:ascii="宋体" w:hAnsi="宋体"/>
          <w:szCs w:val="21"/>
        </w:rPr>
      </w:pPr>
      <w:r>
        <w:rPr>
          <w:rFonts w:hint="eastAsia" w:ascii="宋体" w:hAnsi="宋体"/>
          <w:b/>
          <w:szCs w:val="21"/>
        </w:rPr>
        <w:t>大塘村委会</w:t>
      </w:r>
      <w:r>
        <w:rPr>
          <w:rFonts w:hint="eastAsia" w:ascii="宋体" w:hAnsi="宋体"/>
          <w:szCs w:val="21"/>
        </w:rPr>
        <w:t xml:space="preserve">  位于镇政府南部，总面积2.16平方公里，有耕地面积69.5公顷，其中水田56.2公顷，旱地13.3公顷。辖5个村民小组，自然村2个，有217户，人口890人，村干部4人。</w:t>
      </w:r>
    </w:p>
    <w:p w14:paraId="6307579D">
      <w:pPr>
        <w:ind w:firstLine="422"/>
        <w:rPr>
          <w:rFonts w:ascii="宋体" w:hAnsi="宋体"/>
          <w:szCs w:val="21"/>
        </w:rPr>
      </w:pPr>
      <w:r>
        <w:rPr>
          <w:rFonts w:hint="eastAsia" w:ascii="宋体" w:hAnsi="宋体"/>
          <w:b/>
          <w:szCs w:val="21"/>
        </w:rPr>
        <w:t xml:space="preserve">黄田村委会  </w:t>
      </w:r>
      <w:r>
        <w:rPr>
          <w:rFonts w:hint="eastAsia" w:ascii="宋体" w:hAnsi="宋体"/>
          <w:szCs w:val="21"/>
        </w:rPr>
        <w:t>位于镇政府西部，总面积4.41平方公里，有耕地面积145.9公顷，其中水田114公顷，旱地31.9公顷。辖16个村民小组，自然村6个，有538户，人口2220，村干部5人。</w:t>
      </w:r>
    </w:p>
    <w:p w14:paraId="4F7CC90E">
      <w:pPr>
        <w:ind w:firstLine="422"/>
        <w:rPr>
          <w:rFonts w:ascii="宋体" w:hAnsi="宋体"/>
          <w:szCs w:val="21"/>
        </w:rPr>
      </w:pPr>
      <w:r>
        <w:rPr>
          <w:rFonts w:hint="eastAsia" w:ascii="宋体" w:hAnsi="宋体"/>
          <w:b/>
          <w:szCs w:val="21"/>
        </w:rPr>
        <w:t xml:space="preserve">下惠村委会  </w:t>
      </w:r>
      <w:r>
        <w:rPr>
          <w:rFonts w:hint="eastAsia" w:ascii="宋体" w:hAnsi="宋体"/>
          <w:szCs w:val="21"/>
        </w:rPr>
        <w:t>位于镇政府西部，总面积6.57平方公里，有耕地面积205.9公顷，其中水田142.9公顷，旱地62.9公顷。辖20个村民小组，自然村13个，有739户，人口3036，村干部5人。</w:t>
      </w:r>
    </w:p>
    <w:p w14:paraId="5368337F">
      <w:pPr>
        <w:ind w:firstLine="422"/>
        <w:rPr>
          <w:rFonts w:ascii="宋体" w:hAnsi="宋体"/>
          <w:szCs w:val="21"/>
        </w:rPr>
      </w:pPr>
      <w:r>
        <w:rPr>
          <w:rFonts w:hint="eastAsia" w:ascii="宋体" w:hAnsi="宋体"/>
          <w:b/>
          <w:szCs w:val="21"/>
        </w:rPr>
        <w:t xml:space="preserve">古城村委会  </w:t>
      </w:r>
      <w:r>
        <w:rPr>
          <w:rFonts w:hint="eastAsia" w:ascii="宋体" w:hAnsi="宋体"/>
          <w:szCs w:val="21"/>
        </w:rPr>
        <w:t>位于镇政府西部，总面积10.12平方公里，有耕地面积189.7公顷，其中水田171.3公顷，旱地18.3公顷。辖12个村民小组，自然村10个，有479户，人口1961，村干部5人。</w:t>
      </w:r>
    </w:p>
    <w:p w14:paraId="668CD469">
      <w:pPr>
        <w:ind w:firstLine="422"/>
        <w:rPr>
          <w:rFonts w:ascii="宋体" w:hAnsi="宋体"/>
          <w:szCs w:val="21"/>
        </w:rPr>
      </w:pPr>
      <w:r>
        <w:rPr>
          <w:rFonts w:hint="eastAsia" w:ascii="宋体" w:hAnsi="宋体"/>
          <w:b/>
          <w:szCs w:val="21"/>
        </w:rPr>
        <w:t xml:space="preserve">油山居委会  </w:t>
      </w:r>
      <w:r>
        <w:rPr>
          <w:rFonts w:hint="eastAsia" w:ascii="宋体" w:hAnsi="宋体"/>
          <w:szCs w:val="21"/>
        </w:rPr>
        <w:t>位于镇政府南部，总面积10.12平方公里，有耕地面积189.7公顷，其中水田171.3公顷，旱田18.3公顷。辖12个村民小组，有412户，人口数2002人。现有村干部4人。           （金  晶）</w:t>
      </w:r>
    </w:p>
    <w:p w14:paraId="6B569EB8">
      <w:pPr>
        <w:ind w:firstLine="0" w:firstLineChars="0"/>
        <w:rPr>
          <w:rFonts w:ascii="宋体" w:hAnsi="宋体"/>
          <w:szCs w:val="21"/>
        </w:rPr>
      </w:pPr>
      <w:r>
        <w:rPr>
          <w:rFonts w:hint="eastAsia" w:ascii="宋体" w:hAnsi="宋体"/>
          <w:b/>
          <w:szCs w:val="21"/>
        </w:rPr>
        <w:t>附：2011年油山镇领导班子成员名单</w:t>
      </w:r>
    </w:p>
    <w:p w14:paraId="32616E6F">
      <w:pPr>
        <w:ind w:firstLine="0" w:firstLineChars="0"/>
        <w:rPr>
          <w:rFonts w:ascii="宋体" w:hAnsi="宋体"/>
          <w:szCs w:val="21"/>
        </w:rPr>
      </w:pPr>
      <w:r>
        <w:rPr>
          <w:rFonts w:hint="eastAsia" w:ascii="宋体" w:hAnsi="宋体"/>
          <w:szCs w:val="21"/>
        </w:rPr>
        <w:t>党委书记、人大主席：李世勤</w:t>
      </w:r>
    </w:p>
    <w:p w14:paraId="13F3BDC6">
      <w:pPr>
        <w:ind w:firstLine="0" w:firstLineChars="0"/>
        <w:rPr>
          <w:rFonts w:ascii="宋体" w:hAnsi="宋体"/>
          <w:szCs w:val="21"/>
        </w:rPr>
      </w:pPr>
      <w:r>
        <w:rPr>
          <w:rFonts w:hint="eastAsia" w:ascii="宋体" w:hAnsi="宋体"/>
          <w:szCs w:val="21"/>
        </w:rPr>
        <w:t>党委副书记、镇长：蔡庆娟</w:t>
      </w:r>
    </w:p>
    <w:p w14:paraId="2F4344A6">
      <w:pPr>
        <w:ind w:firstLine="0" w:firstLineChars="0"/>
        <w:rPr>
          <w:rFonts w:ascii="宋体" w:hAnsi="宋体"/>
          <w:szCs w:val="21"/>
        </w:rPr>
      </w:pPr>
      <w:r>
        <w:rPr>
          <w:rFonts w:hint="eastAsia" w:ascii="宋体" w:hAnsi="宋体"/>
          <w:szCs w:val="21"/>
        </w:rPr>
        <w:t>党委副书记：罗福胜</w:t>
      </w:r>
    </w:p>
    <w:p w14:paraId="4111FE82">
      <w:pPr>
        <w:ind w:firstLine="0" w:firstLineChars="0"/>
        <w:rPr>
          <w:rFonts w:ascii="宋体" w:hAnsi="宋体"/>
          <w:szCs w:val="21"/>
        </w:rPr>
      </w:pPr>
      <w:r>
        <w:rPr>
          <w:rFonts w:hint="eastAsia" w:ascii="宋体" w:hAnsi="宋体"/>
          <w:szCs w:val="21"/>
        </w:rPr>
        <w:t>纪委书记：蓝连山</w:t>
      </w:r>
    </w:p>
    <w:p w14:paraId="7AAA6881">
      <w:pPr>
        <w:ind w:firstLine="0" w:firstLineChars="0"/>
        <w:rPr>
          <w:rFonts w:ascii="宋体" w:hAnsi="宋体"/>
          <w:szCs w:val="21"/>
        </w:rPr>
      </w:pPr>
      <w:r>
        <w:rPr>
          <w:rFonts w:hint="eastAsia" w:ascii="宋体" w:hAnsi="宋体"/>
          <w:szCs w:val="21"/>
        </w:rPr>
        <w:t>人大副主席：杨拓</w:t>
      </w:r>
    </w:p>
    <w:p w14:paraId="1F0FC853">
      <w:pPr>
        <w:ind w:firstLine="0" w:firstLineChars="0"/>
        <w:rPr>
          <w:rFonts w:ascii="宋体" w:hAnsi="宋体"/>
          <w:szCs w:val="21"/>
        </w:rPr>
      </w:pPr>
      <w:r>
        <w:rPr>
          <w:rFonts w:hint="eastAsia" w:ascii="宋体" w:hAnsi="宋体"/>
          <w:szCs w:val="21"/>
        </w:rPr>
        <w:t>武装部长：黄祖旺</w:t>
      </w:r>
    </w:p>
    <w:p w14:paraId="578D61D2">
      <w:pPr>
        <w:ind w:firstLine="0" w:firstLineChars="0"/>
        <w:rPr>
          <w:rFonts w:ascii="宋体" w:hAnsi="宋体"/>
          <w:szCs w:val="21"/>
        </w:rPr>
      </w:pPr>
      <w:r>
        <w:rPr>
          <w:rFonts w:hint="eastAsia" w:ascii="宋体" w:hAnsi="宋体"/>
          <w:szCs w:val="21"/>
        </w:rPr>
        <w:t>组织委员：卢锦华</w:t>
      </w:r>
    </w:p>
    <w:p w14:paraId="24C96803">
      <w:pPr>
        <w:ind w:firstLine="0" w:firstLineChars="0"/>
        <w:rPr>
          <w:rFonts w:ascii="宋体" w:hAnsi="宋体"/>
          <w:szCs w:val="21"/>
        </w:rPr>
      </w:pPr>
      <w:r>
        <w:rPr>
          <w:rFonts w:hint="eastAsia" w:ascii="宋体" w:hAnsi="宋体"/>
          <w:szCs w:val="21"/>
        </w:rPr>
        <w:t>宣传委员：陈宗华</w:t>
      </w:r>
    </w:p>
    <w:p w14:paraId="2AFF2DF6">
      <w:pPr>
        <w:ind w:firstLine="0" w:firstLineChars="0"/>
        <w:rPr>
          <w:rFonts w:ascii="宋体" w:hAnsi="宋体"/>
          <w:szCs w:val="21"/>
        </w:rPr>
      </w:pPr>
      <w:r>
        <w:rPr>
          <w:rFonts w:hint="eastAsia" w:ascii="宋体" w:hAnsi="宋体"/>
          <w:szCs w:val="21"/>
        </w:rPr>
        <w:t>党委委员：陈世锋</w:t>
      </w:r>
    </w:p>
    <w:p w14:paraId="41A3F089">
      <w:pPr>
        <w:ind w:firstLine="0" w:firstLineChars="0"/>
        <w:rPr>
          <w:rFonts w:ascii="宋体" w:hAnsi="宋体"/>
          <w:szCs w:val="21"/>
        </w:rPr>
      </w:pPr>
      <w:r>
        <w:rPr>
          <w:rFonts w:hint="eastAsia" w:ascii="宋体" w:hAnsi="宋体"/>
          <w:szCs w:val="21"/>
        </w:rPr>
        <w:t>党委委员、副镇长：刘  军</w:t>
      </w:r>
    </w:p>
    <w:p w14:paraId="1A354A66">
      <w:pPr>
        <w:ind w:firstLine="0" w:firstLineChars="0"/>
        <w:rPr>
          <w:rFonts w:ascii="宋体" w:hAnsi="宋体"/>
          <w:szCs w:val="21"/>
        </w:rPr>
      </w:pPr>
      <w:r>
        <w:rPr>
          <w:rFonts w:hint="eastAsia" w:ascii="宋体" w:hAnsi="宋体"/>
          <w:szCs w:val="21"/>
        </w:rPr>
        <w:t>副镇长：卢章美  彭道智</w:t>
      </w:r>
    </w:p>
    <w:p w14:paraId="4B651CE2">
      <w:pPr>
        <w:pStyle w:val="3"/>
      </w:pPr>
      <w:r>
        <w:rPr>
          <w:rFonts w:hint="eastAsia"/>
        </w:rPr>
        <w:t>雄州街道</w:t>
      </w:r>
    </w:p>
    <w:p w14:paraId="5A85F3A0">
      <w:pPr>
        <w:pStyle w:val="4"/>
      </w:pPr>
      <w:r>
        <w:rPr>
          <w:rFonts w:hint="eastAsia"/>
        </w:rPr>
        <w:t>【概况】</w:t>
      </w:r>
    </w:p>
    <w:p w14:paraId="3363EAE1">
      <w:pPr>
        <w:ind w:firstLine="420"/>
        <w:rPr>
          <w:rFonts w:ascii="宋体" w:hAnsi="宋体"/>
          <w:szCs w:val="21"/>
        </w:rPr>
      </w:pPr>
      <w:r>
        <w:rPr>
          <w:rFonts w:hint="eastAsia" w:ascii="宋体" w:hAnsi="宋体"/>
          <w:szCs w:val="21"/>
        </w:rPr>
        <w:t>雄州街道是南雄市人民政府的派出机构，位于浈江河与凌江河交叉汇合处。是南雄市政治、经济、文化、金融中心，也是粵赣边区商业重镇。东与江头镇为邻，东北与珠玑、湖口两镇接壤，西北靠全安，西南与古市镇相连，南与主田镇为界。2005年6月经省民政厅批准黎口镇并入雄州镇，并于同年8月撤销雄州镇，改设雄州街道，下辖13个村委会和7个社区居委会，193个村民小组和84个居民小组。总面积96.88平方公里，其中耕地2183.06公顷，林地2797.2公顷。全街道共31624户，户籍总人口83830人，其中非农业人口50431人。区域内以红壤、黄壤、潮沙泥土的土壤为主。主要以种植黄烟、水稻、蔬菜、花生、瓜果，养殖鱼、猪等为经济来源。国道323线、省道342线、韶赣高速公路和在建的韶赣铁路穿境而过，是广东企业进入中西部市场的桥头堡。</w:t>
      </w:r>
    </w:p>
    <w:p w14:paraId="489B87A2">
      <w:pPr>
        <w:pStyle w:val="4"/>
      </w:pPr>
      <w:r>
        <w:rPr>
          <w:rFonts w:hint="eastAsia"/>
        </w:rPr>
        <w:t>【经济社会发展】</w:t>
      </w:r>
    </w:p>
    <w:p w14:paraId="1859A7AD">
      <w:pPr>
        <w:ind w:firstLine="420"/>
        <w:rPr>
          <w:rFonts w:ascii="宋体" w:hAnsi="宋体"/>
          <w:szCs w:val="21"/>
        </w:rPr>
      </w:pPr>
      <w:r>
        <w:rPr>
          <w:rFonts w:hint="eastAsia" w:ascii="宋体" w:hAnsi="宋体"/>
          <w:szCs w:val="21"/>
        </w:rPr>
        <w:t>2011年，全街道实现工农业总产值74424万元，比上年增长7%，其中工业总产值24868万元，比上年增长7%；财政收入1146.6万元，比上年增长5%；农民人均纯收入6433元，比上年增长12.54%。种植烟叶732公顷，收购28282担，实现销售收入2686.8万元。粮食作物播种面积2513公顷，粮食总产量15131吨。蔬菜种植面积900公顷，总产量21947吨。肉类总产量2694吨，淡水产品产量1481吨。引进广州客商投资4000万元，在南雄精细化工园创办新绿环阻燃装饰材料生产公司，厂房和生产线已经动工兴建。引进东莞客商投资近千万元在原黎口镇政府大院的电子化工生产项目，已全面投产。</w:t>
      </w:r>
    </w:p>
    <w:p w14:paraId="382D75CB">
      <w:pPr>
        <w:pStyle w:val="4"/>
      </w:pPr>
      <w:r>
        <w:rPr>
          <w:rFonts w:hint="eastAsia"/>
        </w:rPr>
        <w:t>【社会事业发展】</w:t>
      </w:r>
    </w:p>
    <w:p w14:paraId="6173DDED">
      <w:pPr>
        <w:ind w:firstLine="420"/>
        <w:rPr>
          <w:rFonts w:ascii="宋体" w:hAnsi="宋体"/>
          <w:szCs w:val="21"/>
        </w:rPr>
      </w:pPr>
      <w:r>
        <w:rPr>
          <w:rFonts w:hint="eastAsia" w:ascii="宋体" w:hAnsi="宋体"/>
          <w:szCs w:val="21"/>
        </w:rPr>
        <w:t>全街道新农保参保人数12939人，覆盖率100%，参加城镇居民基本医疗保险17012人。2011年底止，全街道有城乡低保对象590户，1275人，散居五保99人，城乡最低保障金能及时足额发放到户。2011年全街道农村特困户医疗救助对象60人次，发放大病医疗救助款31000元。2011年城镇新增就业人数2017人，城镇失业人员再就业1320人，农村劳动力转移1115人，农村劳动力技能培训514人，智力扶贫22人。抓好综治信访维稳工作，维护社会和谐稳定，全年共排查不安定因素113宗，调解率100%，成功率98.2%。以稳定低生育水平为目标，以加大宣传、加强学习培训、扩大便民服务范围、实行定岗定责为措施，提升人口计生工作水平。2011年通过了省、韶关市对我街道计生和人口工作的各项检查考核。抓住创建教育强镇契机，加大学校布局调整的力度，实现集中优势资源办学的目标。现有小学13所，教职员工381人，在校学生5713人，学龄儿童人学率达100%。充分发挥教育资源的最大优势，教学质量名列全市前茅。</w:t>
      </w:r>
    </w:p>
    <w:p w14:paraId="6C081394">
      <w:pPr>
        <w:pStyle w:val="4"/>
      </w:pPr>
      <w:r>
        <w:rPr>
          <w:rFonts w:hint="eastAsia"/>
        </w:rPr>
        <w:t>【扶贫双到工作】</w:t>
      </w:r>
    </w:p>
    <w:p w14:paraId="4FE5B2C2">
      <w:pPr>
        <w:ind w:firstLine="420"/>
        <w:rPr>
          <w:rFonts w:ascii="宋体" w:hAnsi="宋体"/>
          <w:szCs w:val="21"/>
        </w:rPr>
      </w:pPr>
      <w:r>
        <w:rPr>
          <w:rFonts w:hint="eastAsia" w:ascii="宋体" w:hAnsi="宋体"/>
          <w:szCs w:val="21"/>
        </w:rPr>
        <w:t>多方筹措扶贫资金288.71万元，经过一年来的努力，扶贫双到工作取得阶段性的成效。省级贫困村荆岗村的整体面貌有了很大的改善，贫困户的收入有较大提高，2011年荆岗村有87户贫困户通过种植黄烟、优质稻、蔬菜或养猪、养鸡以及劳动力转移等方式已实现脱贫。为33个住房困难的贫困户进行住房改造，从泥砖瓦户搬进了钢筋水泥楼房。无劳动力的特困家庭均已纳入最低生活保障，并全部参加农村合作医疗。贫困户适龄子女普及义务教育入学率达100%贫困户中60岁以上的老人均已纳入农村养老保险。投入30万元对省委旧址所在地荆岗瑶坑村的村容村貌进行整治，投入5万元对荆岗里坑村进行村庄整治。筹集专项资金115万元，对荆岗村江背坑山塘进行了维修及建设烤烟房30间。抓好贫困村的基层组织建设，结合荆岗村的“两委”换届选举工作，调整配强了村“两委”班子，健全了村民自治的各项制度。荆岗村集体收入达到5-6万元。</w:t>
      </w:r>
    </w:p>
    <w:p w14:paraId="144A03E5">
      <w:pPr>
        <w:pStyle w:val="4"/>
      </w:pPr>
      <w:r>
        <w:rPr>
          <w:rFonts w:hint="eastAsia"/>
        </w:rPr>
        <w:t>【党建工作】</w:t>
      </w:r>
    </w:p>
    <w:p w14:paraId="6DA9861A">
      <w:pPr>
        <w:ind w:firstLine="420"/>
        <w:rPr>
          <w:rFonts w:ascii="宋体" w:hAnsi="宋体"/>
          <w:szCs w:val="21"/>
        </w:rPr>
      </w:pPr>
      <w:r>
        <w:rPr>
          <w:rFonts w:hint="eastAsia" w:ascii="宋体" w:hAnsi="宋体"/>
          <w:szCs w:val="21"/>
        </w:rPr>
        <w:t>到2011年底，雄州街道党工委共有31个支部，党员总数1746人，其中女党员483人，占27.66%，大专以上学历的401人，占22.97%；高中、中专学历的587人，占33.62%。45岁以下党员563人，占32.25%。2011年新发展党员表322011年雄州街道20人。</w:t>
      </w:r>
    </w:p>
    <w:p w14:paraId="66F1995F">
      <w:pPr>
        <w:pStyle w:val="4"/>
      </w:pPr>
      <w:r>
        <w:rPr>
          <w:rFonts w:hint="eastAsia"/>
        </w:rPr>
        <w:t>【“两委”换届】</w:t>
      </w:r>
    </w:p>
    <w:p w14:paraId="5FF7A2B0">
      <w:pPr>
        <w:ind w:firstLine="420"/>
        <w:rPr>
          <w:rFonts w:ascii="宋体" w:hAnsi="宋体"/>
          <w:szCs w:val="21"/>
        </w:rPr>
      </w:pPr>
      <w:r>
        <w:rPr>
          <w:rFonts w:hint="eastAsia" w:ascii="宋体" w:hAnsi="宋体"/>
          <w:szCs w:val="21"/>
        </w:rPr>
        <w:t>圆满完成第五届村“两委”和第四届社区“两委”换届选举工作。2011年4月选举产生村（社区）党支部书记20人、村（社区）主任20人，全部实现村（社区）支书、主任一肩挑。村（社区）“两委”成员总数101人，“两委”成员交叉任职比例达到92.3%。</w:t>
      </w:r>
    </w:p>
    <w:p w14:paraId="7CF9FF39">
      <w:pPr>
        <w:pStyle w:val="4"/>
      </w:pPr>
      <w:r>
        <w:rPr>
          <w:rFonts w:hint="eastAsia"/>
        </w:rPr>
        <w:t>【社区管理】</w:t>
      </w:r>
    </w:p>
    <w:p w14:paraId="24ADE0F0">
      <w:pPr>
        <w:ind w:firstLine="420"/>
        <w:rPr>
          <w:rFonts w:ascii="宋体" w:hAnsi="宋体"/>
          <w:szCs w:val="21"/>
        </w:rPr>
      </w:pPr>
      <w:r>
        <w:rPr>
          <w:rFonts w:hint="eastAsia" w:ascii="宋体" w:hAnsi="宋体"/>
          <w:szCs w:val="21"/>
        </w:rPr>
        <w:t>开展“六好”（自治好、管理好、服务好、治安好、环境好、风尚好）平安和谐社区的创建活动。2011年，辖区内的八一社区、民主社区和新城西社区被省民政局评为“六好”平安和谐社区。</w:t>
      </w:r>
    </w:p>
    <w:p w14:paraId="63CA3E82">
      <w:pPr>
        <w:pStyle w:val="4"/>
      </w:pPr>
      <w:r>
        <w:rPr>
          <w:rFonts w:hint="eastAsia"/>
        </w:rPr>
        <w:t>【主要名胜古迹】</w:t>
      </w:r>
    </w:p>
    <w:p w14:paraId="79BFD662">
      <w:pPr>
        <w:ind w:firstLine="420"/>
        <w:rPr>
          <w:rFonts w:ascii="宋体" w:hAnsi="宋体"/>
          <w:szCs w:val="21"/>
        </w:rPr>
      </w:pPr>
      <w:r>
        <w:rPr>
          <w:rFonts w:hint="eastAsia" w:ascii="宋体" w:hAnsi="宋体"/>
          <w:szCs w:val="21"/>
        </w:rPr>
        <w:t>1、三影古塔。位于市区中心浈江河畔，建于北宋大中祥符二年（公元1009年），是广东省唯一有绝对年代记载的宋塔，全国重点文物保护单位。登塔一临览，南雄古城风貌尽收眼底；2、莲开净寺。坐落在南雄城南郊1公里浈江河南岸。殿堂庄明精雅，环境优美清静，为岭南尼众学佛修身的最大寺院，也是游人到此悟禅养性、领略佛教文化的好地方；3、广州会馆。位于辖区内浈江河畔的埠前街。该馆集中原与岭南地区民间建筑装饰艺术精华，建筑面积2086.6平方米雕梁画栋、古雅精致，是一座酷似广州陈家祠式的古建筑。该馆始建于明代中叶，清乾隆二十一年（1756年）重建，清光绪七年（1881年）重修。是广东省级重点文物保护单位。</w:t>
      </w:r>
    </w:p>
    <w:p w14:paraId="1DB4C801">
      <w:pPr>
        <w:pStyle w:val="4"/>
      </w:pPr>
      <w:r>
        <w:rPr>
          <w:rFonts w:hint="eastAsia"/>
        </w:rPr>
        <w:t>【各村（社区）基本情况】</w:t>
      </w:r>
    </w:p>
    <w:p w14:paraId="70DB37FF">
      <w:pPr>
        <w:ind w:firstLine="422"/>
        <w:jc w:val="center"/>
        <w:rPr>
          <w:rFonts w:ascii="宋体" w:hAnsi="宋体"/>
          <w:b/>
        </w:rPr>
      </w:pPr>
      <w:r>
        <w:rPr>
          <w:rFonts w:hint="eastAsia" w:ascii="宋体" w:hAnsi="宋体"/>
          <w:b/>
        </w:rPr>
        <w:t>表32 2011年雄州街道各村（社区）基本情况</w:t>
      </w:r>
    </w:p>
    <w:tbl>
      <w:tblPr>
        <w:tblStyle w:val="14"/>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527"/>
        <w:gridCol w:w="934"/>
        <w:gridCol w:w="759"/>
        <w:gridCol w:w="759"/>
        <w:gridCol w:w="1008"/>
        <w:gridCol w:w="1058"/>
        <w:gridCol w:w="1058"/>
        <w:gridCol w:w="1355"/>
        <w:gridCol w:w="1504"/>
      </w:tblGrid>
      <w:tr w14:paraId="00263D8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766" w:type="pct"/>
            <w:shd w:val="clear" w:color="auto" w:fill="auto"/>
            <w:noWrap/>
            <w:vAlign w:val="center"/>
          </w:tcPr>
          <w:p w14:paraId="19368203">
            <w:pPr>
              <w:pStyle w:val="23"/>
              <w:jc w:val="center"/>
              <w:rPr>
                <w:b/>
              </w:rPr>
            </w:pPr>
            <w:r>
              <w:rPr>
                <w:b/>
              </w:rPr>
              <w:t>村(社区)名</w:t>
            </w:r>
          </w:p>
        </w:tc>
        <w:tc>
          <w:tcPr>
            <w:tcW w:w="469" w:type="pct"/>
            <w:shd w:val="clear" w:color="auto" w:fill="auto"/>
            <w:noWrap/>
            <w:vAlign w:val="center"/>
          </w:tcPr>
          <w:p w14:paraId="3B6F3B52">
            <w:pPr>
              <w:pStyle w:val="23"/>
              <w:jc w:val="center"/>
              <w:rPr>
                <w:b/>
              </w:rPr>
            </w:pPr>
            <w:r>
              <w:rPr>
                <w:b/>
              </w:rPr>
              <w:t>区域面积(平方公里)</w:t>
            </w:r>
          </w:p>
        </w:tc>
        <w:tc>
          <w:tcPr>
            <w:tcW w:w="381" w:type="pct"/>
            <w:shd w:val="clear" w:color="auto" w:fill="auto"/>
            <w:noWrap/>
            <w:vAlign w:val="center"/>
          </w:tcPr>
          <w:p w14:paraId="7230595D">
            <w:pPr>
              <w:pStyle w:val="23"/>
              <w:jc w:val="center"/>
              <w:rPr>
                <w:b/>
              </w:rPr>
            </w:pPr>
            <w:r>
              <w:rPr>
                <w:b/>
              </w:rPr>
              <w:t>户数(户)</w:t>
            </w:r>
          </w:p>
        </w:tc>
        <w:tc>
          <w:tcPr>
            <w:tcW w:w="381" w:type="pct"/>
            <w:shd w:val="clear" w:color="auto" w:fill="auto"/>
            <w:noWrap/>
            <w:vAlign w:val="center"/>
          </w:tcPr>
          <w:p w14:paraId="6629B4EF">
            <w:pPr>
              <w:pStyle w:val="23"/>
              <w:jc w:val="center"/>
              <w:rPr>
                <w:b/>
              </w:rPr>
            </w:pPr>
            <w:r>
              <w:rPr>
                <w:b/>
              </w:rPr>
              <w:t>人口(人)</w:t>
            </w:r>
          </w:p>
        </w:tc>
        <w:tc>
          <w:tcPr>
            <w:tcW w:w="506" w:type="pct"/>
            <w:shd w:val="clear" w:color="auto" w:fill="auto"/>
            <w:noWrap/>
            <w:vAlign w:val="center"/>
          </w:tcPr>
          <w:p w14:paraId="2E5A612E">
            <w:pPr>
              <w:pStyle w:val="23"/>
              <w:jc w:val="center"/>
              <w:rPr>
                <w:b/>
              </w:rPr>
            </w:pPr>
            <w:r>
              <w:rPr>
                <w:b/>
              </w:rPr>
              <w:t>耕地面积(亩</w:t>
            </w:r>
          </w:p>
        </w:tc>
        <w:tc>
          <w:tcPr>
            <w:tcW w:w="531" w:type="pct"/>
            <w:shd w:val="clear" w:color="auto" w:fill="auto"/>
            <w:noWrap/>
            <w:vAlign w:val="center"/>
          </w:tcPr>
          <w:p w14:paraId="4C09F872">
            <w:pPr>
              <w:pStyle w:val="23"/>
              <w:jc w:val="center"/>
              <w:rPr>
                <w:b/>
              </w:rPr>
            </w:pPr>
            <w:r>
              <w:rPr>
                <w:b/>
              </w:rPr>
              <w:t>其中水田(亩)</w:t>
            </w:r>
          </w:p>
        </w:tc>
        <w:tc>
          <w:tcPr>
            <w:tcW w:w="531" w:type="pct"/>
            <w:shd w:val="clear" w:color="auto" w:fill="auto"/>
            <w:noWrap/>
            <w:vAlign w:val="center"/>
          </w:tcPr>
          <w:p w14:paraId="6B49C6BA">
            <w:pPr>
              <w:pStyle w:val="23"/>
              <w:jc w:val="center"/>
              <w:rPr>
                <w:b/>
              </w:rPr>
            </w:pPr>
            <w:r>
              <w:rPr>
                <w:b/>
              </w:rPr>
              <w:t>村小组数(个)</w:t>
            </w:r>
          </w:p>
        </w:tc>
        <w:tc>
          <w:tcPr>
            <w:tcW w:w="680" w:type="pct"/>
            <w:shd w:val="clear" w:color="auto" w:fill="auto"/>
            <w:noWrap/>
            <w:vAlign w:val="center"/>
          </w:tcPr>
          <w:p w14:paraId="71491A7B">
            <w:pPr>
              <w:pStyle w:val="23"/>
              <w:jc w:val="center"/>
              <w:rPr>
                <w:b/>
              </w:rPr>
            </w:pPr>
            <w:r>
              <w:rPr>
                <w:b/>
              </w:rPr>
              <w:t>经济总收入(万元)</w:t>
            </w:r>
          </w:p>
        </w:tc>
        <w:tc>
          <w:tcPr>
            <w:tcW w:w="755" w:type="pct"/>
            <w:shd w:val="clear" w:color="auto" w:fill="auto"/>
            <w:noWrap/>
            <w:vAlign w:val="center"/>
          </w:tcPr>
          <w:p w14:paraId="3034E1E2">
            <w:pPr>
              <w:pStyle w:val="23"/>
              <w:jc w:val="center"/>
              <w:rPr>
                <w:b/>
              </w:rPr>
            </w:pPr>
            <w:r>
              <w:rPr>
                <w:b/>
              </w:rPr>
              <w:t>农民人均纯收入(元)</w:t>
            </w:r>
          </w:p>
        </w:tc>
      </w:tr>
      <w:tr w14:paraId="739A799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766" w:type="pct"/>
            <w:shd w:val="clear" w:color="auto" w:fill="auto"/>
            <w:noWrap/>
            <w:vAlign w:val="center"/>
          </w:tcPr>
          <w:p w14:paraId="4B4E063C">
            <w:pPr>
              <w:pStyle w:val="23"/>
              <w:jc w:val="center"/>
              <w:rPr>
                <w:rFonts w:ascii="宋体" w:hAnsi="宋体"/>
                <w:szCs w:val="21"/>
              </w:rPr>
            </w:pPr>
            <w:r>
              <w:rPr>
                <w:rFonts w:ascii="宋体" w:hAnsi="宋体"/>
                <w:szCs w:val="21"/>
              </w:rPr>
              <w:t>黎口村</w:t>
            </w:r>
          </w:p>
        </w:tc>
        <w:tc>
          <w:tcPr>
            <w:tcW w:w="469" w:type="pct"/>
            <w:shd w:val="clear" w:color="auto" w:fill="auto"/>
            <w:noWrap/>
            <w:vAlign w:val="center"/>
          </w:tcPr>
          <w:p w14:paraId="22DF4C93">
            <w:pPr>
              <w:pStyle w:val="23"/>
              <w:jc w:val="center"/>
              <w:rPr>
                <w:rFonts w:ascii="宋体" w:hAnsi="宋体"/>
                <w:szCs w:val="21"/>
              </w:rPr>
            </w:pPr>
            <w:r>
              <w:rPr>
                <w:rFonts w:ascii="宋体" w:hAnsi="宋体"/>
                <w:szCs w:val="21"/>
              </w:rPr>
              <w:t>5.75</w:t>
            </w:r>
          </w:p>
        </w:tc>
        <w:tc>
          <w:tcPr>
            <w:tcW w:w="381" w:type="pct"/>
            <w:shd w:val="clear" w:color="auto" w:fill="auto"/>
            <w:noWrap/>
            <w:vAlign w:val="center"/>
          </w:tcPr>
          <w:p w14:paraId="285F984A">
            <w:pPr>
              <w:pStyle w:val="23"/>
              <w:jc w:val="center"/>
              <w:rPr>
                <w:rFonts w:ascii="宋体" w:hAnsi="宋体"/>
                <w:szCs w:val="21"/>
              </w:rPr>
            </w:pPr>
            <w:r>
              <w:rPr>
                <w:rFonts w:ascii="宋体" w:hAnsi="宋体"/>
                <w:szCs w:val="21"/>
              </w:rPr>
              <w:t>983</w:t>
            </w:r>
          </w:p>
        </w:tc>
        <w:tc>
          <w:tcPr>
            <w:tcW w:w="381" w:type="pct"/>
            <w:shd w:val="clear" w:color="auto" w:fill="auto"/>
            <w:noWrap/>
            <w:vAlign w:val="center"/>
          </w:tcPr>
          <w:p w14:paraId="376D5B06">
            <w:pPr>
              <w:pStyle w:val="23"/>
              <w:jc w:val="center"/>
              <w:rPr>
                <w:rFonts w:ascii="宋体" w:hAnsi="宋体"/>
                <w:szCs w:val="21"/>
              </w:rPr>
            </w:pPr>
            <w:r>
              <w:rPr>
                <w:rFonts w:ascii="宋体" w:hAnsi="宋体"/>
                <w:szCs w:val="21"/>
              </w:rPr>
              <w:t>3244</w:t>
            </w:r>
          </w:p>
        </w:tc>
        <w:tc>
          <w:tcPr>
            <w:tcW w:w="506" w:type="pct"/>
            <w:shd w:val="clear" w:color="auto" w:fill="auto"/>
            <w:noWrap/>
            <w:vAlign w:val="center"/>
          </w:tcPr>
          <w:p w14:paraId="11D89B66">
            <w:pPr>
              <w:pStyle w:val="23"/>
              <w:jc w:val="center"/>
              <w:rPr>
                <w:rFonts w:ascii="宋体" w:hAnsi="宋体"/>
                <w:szCs w:val="21"/>
              </w:rPr>
            </w:pPr>
            <w:r>
              <w:rPr>
                <w:rFonts w:ascii="宋体" w:hAnsi="宋体"/>
                <w:szCs w:val="21"/>
              </w:rPr>
              <w:t>1903</w:t>
            </w:r>
          </w:p>
        </w:tc>
        <w:tc>
          <w:tcPr>
            <w:tcW w:w="531" w:type="pct"/>
            <w:shd w:val="clear" w:color="auto" w:fill="auto"/>
            <w:noWrap/>
            <w:vAlign w:val="center"/>
          </w:tcPr>
          <w:p w14:paraId="289892B9">
            <w:pPr>
              <w:pStyle w:val="23"/>
              <w:jc w:val="center"/>
              <w:rPr>
                <w:rFonts w:ascii="宋体" w:hAnsi="宋体"/>
                <w:szCs w:val="21"/>
              </w:rPr>
            </w:pPr>
            <w:r>
              <w:rPr>
                <w:rFonts w:ascii="宋体" w:hAnsi="宋体"/>
                <w:szCs w:val="21"/>
              </w:rPr>
              <w:t>1538</w:t>
            </w:r>
          </w:p>
        </w:tc>
        <w:tc>
          <w:tcPr>
            <w:tcW w:w="531" w:type="pct"/>
            <w:shd w:val="clear" w:color="auto" w:fill="auto"/>
            <w:noWrap/>
            <w:vAlign w:val="center"/>
          </w:tcPr>
          <w:p w14:paraId="0C34248D">
            <w:pPr>
              <w:pStyle w:val="23"/>
              <w:jc w:val="center"/>
              <w:rPr>
                <w:rFonts w:ascii="宋体" w:hAnsi="宋体"/>
                <w:szCs w:val="21"/>
              </w:rPr>
            </w:pPr>
            <w:r>
              <w:rPr>
                <w:rFonts w:ascii="宋体" w:hAnsi="宋体"/>
                <w:szCs w:val="21"/>
              </w:rPr>
              <w:t>12</w:t>
            </w:r>
          </w:p>
        </w:tc>
        <w:tc>
          <w:tcPr>
            <w:tcW w:w="680" w:type="pct"/>
            <w:shd w:val="clear" w:color="auto" w:fill="auto"/>
            <w:noWrap/>
            <w:vAlign w:val="center"/>
          </w:tcPr>
          <w:p w14:paraId="24C25AC0">
            <w:pPr>
              <w:pStyle w:val="23"/>
              <w:jc w:val="center"/>
              <w:rPr>
                <w:rFonts w:ascii="宋体" w:hAnsi="宋体"/>
                <w:szCs w:val="21"/>
              </w:rPr>
            </w:pPr>
            <w:r>
              <w:rPr>
                <w:rFonts w:ascii="宋体" w:hAnsi="宋体"/>
                <w:szCs w:val="21"/>
              </w:rPr>
              <w:t>2975</w:t>
            </w:r>
          </w:p>
        </w:tc>
        <w:tc>
          <w:tcPr>
            <w:tcW w:w="755" w:type="pct"/>
            <w:shd w:val="clear" w:color="auto" w:fill="auto"/>
            <w:noWrap/>
            <w:vAlign w:val="center"/>
          </w:tcPr>
          <w:p w14:paraId="62CC41C8">
            <w:pPr>
              <w:pStyle w:val="23"/>
              <w:jc w:val="center"/>
              <w:rPr>
                <w:rFonts w:ascii="宋体" w:hAnsi="宋体"/>
                <w:szCs w:val="21"/>
              </w:rPr>
            </w:pPr>
            <w:r>
              <w:rPr>
                <w:rFonts w:ascii="宋体" w:hAnsi="宋体"/>
                <w:szCs w:val="21"/>
              </w:rPr>
              <w:t>6209</w:t>
            </w:r>
          </w:p>
        </w:tc>
      </w:tr>
      <w:tr w14:paraId="508BE1D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766" w:type="pct"/>
            <w:shd w:val="clear" w:color="auto" w:fill="auto"/>
            <w:noWrap/>
            <w:vAlign w:val="center"/>
          </w:tcPr>
          <w:p w14:paraId="5F03DD45">
            <w:pPr>
              <w:pStyle w:val="23"/>
              <w:jc w:val="center"/>
              <w:rPr>
                <w:rFonts w:ascii="宋体" w:hAnsi="宋体"/>
                <w:szCs w:val="21"/>
              </w:rPr>
            </w:pPr>
            <w:r>
              <w:rPr>
                <w:rFonts w:ascii="宋体" w:hAnsi="宋体"/>
                <w:szCs w:val="21"/>
              </w:rPr>
              <w:t>观新村</w:t>
            </w:r>
          </w:p>
        </w:tc>
        <w:tc>
          <w:tcPr>
            <w:tcW w:w="469" w:type="pct"/>
            <w:shd w:val="clear" w:color="auto" w:fill="auto"/>
            <w:noWrap/>
            <w:vAlign w:val="center"/>
          </w:tcPr>
          <w:p w14:paraId="331D4117">
            <w:pPr>
              <w:pStyle w:val="23"/>
              <w:jc w:val="center"/>
              <w:rPr>
                <w:rFonts w:ascii="宋体" w:hAnsi="宋体"/>
                <w:szCs w:val="21"/>
              </w:rPr>
            </w:pPr>
            <w:r>
              <w:rPr>
                <w:rFonts w:ascii="宋体" w:hAnsi="宋体"/>
                <w:szCs w:val="21"/>
              </w:rPr>
              <w:t>5.08</w:t>
            </w:r>
          </w:p>
        </w:tc>
        <w:tc>
          <w:tcPr>
            <w:tcW w:w="381" w:type="pct"/>
            <w:shd w:val="clear" w:color="auto" w:fill="auto"/>
            <w:noWrap/>
            <w:vAlign w:val="center"/>
          </w:tcPr>
          <w:p w14:paraId="09F8B56D">
            <w:pPr>
              <w:pStyle w:val="23"/>
              <w:jc w:val="center"/>
              <w:rPr>
                <w:rFonts w:ascii="宋体" w:hAnsi="宋体"/>
                <w:szCs w:val="21"/>
              </w:rPr>
            </w:pPr>
            <w:r>
              <w:rPr>
                <w:rFonts w:ascii="宋体" w:hAnsi="宋体"/>
                <w:szCs w:val="21"/>
              </w:rPr>
              <w:t>283</w:t>
            </w:r>
          </w:p>
        </w:tc>
        <w:tc>
          <w:tcPr>
            <w:tcW w:w="381" w:type="pct"/>
            <w:shd w:val="clear" w:color="auto" w:fill="auto"/>
            <w:noWrap/>
            <w:vAlign w:val="center"/>
          </w:tcPr>
          <w:p w14:paraId="3B2242C2">
            <w:pPr>
              <w:pStyle w:val="23"/>
              <w:jc w:val="center"/>
              <w:rPr>
                <w:rFonts w:ascii="宋体" w:hAnsi="宋体"/>
                <w:szCs w:val="21"/>
              </w:rPr>
            </w:pPr>
            <w:r>
              <w:rPr>
                <w:rFonts w:ascii="宋体" w:hAnsi="宋体"/>
                <w:szCs w:val="21"/>
              </w:rPr>
              <w:t>1057</w:t>
            </w:r>
          </w:p>
        </w:tc>
        <w:tc>
          <w:tcPr>
            <w:tcW w:w="506" w:type="pct"/>
            <w:shd w:val="clear" w:color="auto" w:fill="auto"/>
            <w:noWrap/>
            <w:vAlign w:val="center"/>
          </w:tcPr>
          <w:p w14:paraId="6908F545">
            <w:pPr>
              <w:pStyle w:val="23"/>
              <w:jc w:val="center"/>
              <w:rPr>
                <w:rFonts w:ascii="宋体" w:hAnsi="宋体"/>
                <w:szCs w:val="21"/>
              </w:rPr>
            </w:pPr>
            <w:r>
              <w:rPr>
                <w:rFonts w:ascii="宋体" w:hAnsi="宋体"/>
                <w:szCs w:val="21"/>
              </w:rPr>
              <w:t>1534</w:t>
            </w:r>
          </w:p>
        </w:tc>
        <w:tc>
          <w:tcPr>
            <w:tcW w:w="531" w:type="pct"/>
            <w:shd w:val="clear" w:color="auto" w:fill="auto"/>
            <w:noWrap/>
            <w:vAlign w:val="center"/>
          </w:tcPr>
          <w:p w14:paraId="1A5804B8">
            <w:pPr>
              <w:pStyle w:val="23"/>
              <w:jc w:val="center"/>
              <w:rPr>
                <w:rFonts w:ascii="宋体" w:hAnsi="宋体"/>
                <w:szCs w:val="21"/>
              </w:rPr>
            </w:pPr>
            <w:r>
              <w:rPr>
                <w:rFonts w:ascii="宋体" w:hAnsi="宋体"/>
                <w:szCs w:val="21"/>
              </w:rPr>
              <w:t>1072</w:t>
            </w:r>
          </w:p>
        </w:tc>
        <w:tc>
          <w:tcPr>
            <w:tcW w:w="531" w:type="pct"/>
            <w:shd w:val="clear" w:color="auto" w:fill="auto"/>
            <w:noWrap/>
            <w:vAlign w:val="center"/>
          </w:tcPr>
          <w:p w14:paraId="08473797">
            <w:pPr>
              <w:pStyle w:val="23"/>
              <w:jc w:val="center"/>
              <w:rPr>
                <w:rFonts w:ascii="宋体" w:hAnsi="宋体"/>
                <w:szCs w:val="21"/>
              </w:rPr>
            </w:pPr>
            <w:r>
              <w:rPr>
                <w:rFonts w:ascii="宋体" w:hAnsi="宋体"/>
                <w:szCs w:val="21"/>
              </w:rPr>
              <w:t>10</w:t>
            </w:r>
          </w:p>
        </w:tc>
        <w:tc>
          <w:tcPr>
            <w:tcW w:w="680" w:type="pct"/>
            <w:shd w:val="clear" w:color="auto" w:fill="auto"/>
            <w:noWrap/>
            <w:vAlign w:val="center"/>
          </w:tcPr>
          <w:p w14:paraId="7A16EC39">
            <w:pPr>
              <w:pStyle w:val="23"/>
              <w:jc w:val="center"/>
              <w:rPr>
                <w:rFonts w:ascii="宋体" w:hAnsi="宋体"/>
                <w:szCs w:val="21"/>
              </w:rPr>
            </w:pPr>
            <w:r>
              <w:rPr>
                <w:rFonts w:ascii="宋体" w:hAnsi="宋体"/>
                <w:szCs w:val="21"/>
              </w:rPr>
              <w:t>1846</w:t>
            </w:r>
          </w:p>
        </w:tc>
        <w:tc>
          <w:tcPr>
            <w:tcW w:w="755" w:type="pct"/>
            <w:shd w:val="clear" w:color="auto" w:fill="auto"/>
            <w:noWrap/>
            <w:vAlign w:val="center"/>
          </w:tcPr>
          <w:p w14:paraId="6532CC18">
            <w:pPr>
              <w:pStyle w:val="23"/>
              <w:jc w:val="center"/>
              <w:rPr>
                <w:rFonts w:ascii="宋体" w:hAnsi="宋体"/>
                <w:szCs w:val="21"/>
              </w:rPr>
            </w:pPr>
            <w:r>
              <w:rPr>
                <w:rFonts w:ascii="宋体" w:hAnsi="宋体"/>
                <w:szCs w:val="21"/>
              </w:rPr>
              <w:t>6333</w:t>
            </w:r>
          </w:p>
        </w:tc>
      </w:tr>
      <w:tr w14:paraId="7817100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766" w:type="pct"/>
            <w:shd w:val="clear" w:color="auto" w:fill="auto"/>
            <w:noWrap/>
            <w:vAlign w:val="center"/>
          </w:tcPr>
          <w:p w14:paraId="38BBA19D">
            <w:pPr>
              <w:pStyle w:val="23"/>
              <w:jc w:val="center"/>
              <w:rPr>
                <w:rFonts w:ascii="宋体" w:hAnsi="宋体"/>
                <w:szCs w:val="21"/>
              </w:rPr>
            </w:pPr>
            <w:r>
              <w:rPr>
                <w:rFonts w:ascii="宋体" w:hAnsi="宋体"/>
                <w:szCs w:val="21"/>
              </w:rPr>
              <w:t>荆岗村</w:t>
            </w:r>
          </w:p>
        </w:tc>
        <w:tc>
          <w:tcPr>
            <w:tcW w:w="469" w:type="pct"/>
            <w:shd w:val="clear" w:color="auto" w:fill="auto"/>
            <w:noWrap/>
            <w:vAlign w:val="center"/>
          </w:tcPr>
          <w:p w14:paraId="3773D3FE">
            <w:pPr>
              <w:pStyle w:val="23"/>
              <w:jc w:val="center"/>
              <w:rPr>
                <w:rFonts w:ascii="宋体" w:hAnsi="宋体"/>
                <w:szCs w:val="21"/>
              </w:rPr>
            </w:pPr>
            <w:r>
              <w:rPr>
                <w:rFonts w:ascii="宋体" w:hAnsi="宋体"/>
                <w:szCs w:val="21"/>
              </w:rPr>
              <w:t>7.47</w:t>
            </w:r>
          </w:p>
        </w:tc>
        <w:tc>
          <w:tcPr>
            <w:tcW w:w="381" w:type="pct"/>
            <w:shd w:val="clear" w:color="auto" w:fill="auto"/>
            <w:noWrap/>
            <w:vAlign w:val="center"/>
          </w:tcPr>
          <w:p w14:paraId="1467217C">
            <w:pPr>
              <w:pStyle w:val="23"/>
              <w:jc w:val="center"/>
              <w:rPr>
                <w:rFonts w:ascii="宋体" w:hAnsi="宋体"/>
                <w:szCs w:val="21"/>
              </w:rPr>
            </w:pPr>
            <w:r>
              <w:rPr>
                <w:rFonts w:ascii="宋体" w:hAnsi="宋体"/>
                <w:szCs w:val="21"/>
              </w:rPr>
              <w:t>618</w:t>
            </w:r>
          </w:p>
        </w:tc>
        <w:tc>
          <w:tcPr>
            <w:tcW w:w="381" w:type="pct"/>
            <w:shd w:val="clear" w:color="auto" w:fill="auto"/>
            <w:noWrap/>
            <w:vAlign w:val="center"/>
          </w:tcPr>
          <w:p w14:paraId="04CF7979">
            <w:pPr>
              <w:pStyle w:val="23"/>
              <w:jc w:val="center"/>
              <w:rPr>
                <w:rFonts w:ascii="宋体" w:hAnsi="宋体"/>
                <w:szCs w:val="21"/>
              </w:rPr>
            </w:pPr>
            <w:r>
              <w:rPr>
                <w:rFonts w:ascii="宋体" w:hAnsi="宋体"/>
                <w:szCs w:val="21"/>
              </w:rPr>
              <w:t>2728</w:t>
            </w:r>
          </w:p>
        </w:tc>
        <w:tc>
          <w:tcPr>
            <w:tcW w:w="506" w:type="pct"/>
            <w:shd w:val="clear" w:color="auto" w:fill="auto"/>
            <w:noWrap/>
            <w:vAlign w:val="center"/>
          </w:tcPr>
          <w:p w14:paraId="14279833">
            <w:pPr>
              <w:pStyle w:val="23"/>
              <w:jc w:val="center"/>
              <w:rPr>
                <w:rFonts w:ascii="宋体" w:hAnsi="宋体"/>
                <w:szCs w:val="21"/>
              </w:rPr>
            </w:pPr>
            <w:r>
              <w:rPr>
                <w:rFonts w:ascii="宋体" w:hAnsi="宋体"/>
                <w:szCs w:val="21"/>
              </w:rPr>
              <w:t>4241</w:t>
            </w:r>
          </w:p>
        </w:tc>
        <w:tc>
          <w:tcPr>
            <w:tcW w:w="531" w:type="pct"/>
            <w:shd w:val="clear" w:color="auto" w:fill="auto"/>
            <w:noWrap/>
            <w:vAlign w:val="center"/>
          </w:tcPr>
          <w:p w14:paraId="0ED8F24E">
            <w:pPr>
              <w:pStyle w:val="23"/>
              <w:jc w:val="center"/>
              <w:rPr>
                <w:rFonts w:ascii="宋体" w:hAnsi="宋体"/>
                <w:szCs w:val="21"/>
              </w:rPr>
            </w:pPr>
            <w:r>
              <w:rPr>
                <w:rFonts w:ascii="宋体" w:hAnsi="宋体"/>
                <w:szCs w:val="21"/>
              </w:rPr>
              <w:t>1853</w:t>
            </w:r>
          </w:p>
        </w:tc>
        <w:tc>
          <w:tcPr>
            <w:tcW w:w="531" w:type="pct"/>
            <w:shd w:val="clear" w:color="auto" w:fill="auto"/>
            <w:noWrap/>
            <w:vAlign w:val="center"/>
          </w:tcPr>
          <w:p w14:paraId="36FA3BC5">
            <w:pPr>
              <w:pStyle w:val="23"/>
              <w:jc w:val="center"/>
              <w:rPr>
                <w:rFonts w:ascii="宋体" w:hAnsi="宋体"/>
                <w:szCs w:val="21"/>
              </w:rPr>
            </w:pPr>
            <w:r>
              <w:rPr>
                <w:rFonts w:ascii="宋体" w:hAnsi="宋体"/>
                <w:szCs w:val="21"/>
              </w:rPr>
              <w:t>19</w:t>
            </w:r>
          </w:p>
        </w:tc>
        <w:tc>
          <w:tcPr>
            <w:tcW w:w="680" w:type="pct"/>
            <w:shd w:val="clear" w:color="auto" w:fill="auto"/>
            <w:noWrap/>
            <w:vAlign w:val="center"/>
          </w:tcPr>
          <w:p w14:paraId="761134D9">
            <w:pPr>
              <w:pStyle w:val="23"/>
              <w:jc w:val="center"/>
              <w:rPr>
                <w:rFonts w:ascii="宋体" w:hAnsi="宋体"/>
                <w:szCs w:val="21"/>
              </w:rPr>
            </w:pPr>
            <w:r>
              <w:rPr>
                <w:rFonts w:ascii="宋体" w:hAnsi="宋体"/>
                <w:szCs w:val="21"/>
              </w:rPr>
              <w:t>3460</w:t>
            </w:r>
          </w:p>
        </w:tc>
        <w:tc>
          <w:tcPr>
            <w:tcW w:w="755" w:type="pct"/>
            <w:shd w:val="clear" w:color="auto" w:fill="auto"/>
            <w:noWrap/>
            <w:vAlign w:val="center"/>
          </w:tcPr>
          <w:p w14:paraId="12ECD98D">
            <w:pPr>
              <w:pStyle w:val="23"/>
              <w:jc w:val="center"/>
              <w:rPr>
                <w:rFonts w:ascii="宋体" w:hAnsi="宋体"/>
                <w:szCs w:val="21"/>
              </w:rPr>
            </w:pPr>
            <w:r>
              <w:rPr>
                <w:rFonts w:ascii="宋体" w:hAnsi="宋体"/>
                <w:szCs w:val="21"/>
              </w:rPr>
              <w:t>6023</w:t>
            </w:r>
          </w:p>
        </w:tc>
      </w:tr>
      <w:tr w14:paraId="204DB39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766" w:type="pct"/>
            <w:shd w:val="clear" w:color="auto" w:fill="auto"/>
            <w:noWrap/>
            <w:vAlign w:val="center"/>
          </w:tcPr>
          <w:p w14:paraId="4ED04608">
            <w:pPr>
              <w:pStyle w:val="23"/>
              <w:jc w:val="center"/>
              <w:rPr>
                <w:rFonts w:ascii="宋体" w:hAnsi="宋体"/>
                <w:szCs w:val="21"/>
              </w:rPr>
            </w:pPr>
            <w:r>
              <w:rPr>
                <w:rFonts w:ascii="宋体" w:hAnsi="宋体"/>
                <w:szCs w:val="21"/>
              </w:rPr>
              <w:t>勋口村</w:t>
            </w:r>
          </w:p>
        </w:tc>
        <w:tc>
          <w:tcPr>
            <w:tcW w:w="469" w:type="pct"/>
            <w:shd w:val="clear" w:color="auto" w:fill="auto"/>
            <w:noWrap/>
            <w:vAlign w:val="center"/>
          </w:tcPr>
          <w:p w14:paraId="55B8E668">
            <w:pPr>
              <w:pStyle w:val="23"/>
              <w:jc w:val="center"/>
              <w:rPr>
                <w:rFonts w:ascii="宋体" w:hAnsi="宋体"/>
                <w:szCs w:val="21"/>
              </w:rPr>
            </w:pPr>
            <w:r>
              <w:rPr>
                <w:rFonts w:ascii="宋体" w:hAnsi="宋体"/>
                <w:szCs w:val="21"/>
              </w:rPr>
              <w:t>7.40</w:t>
            </w:r>
          </w:p>
        </w:tc>
        <w:tc>
          <w:tcPr>
            <w:tcW w:w="381" w:type="pct"/>
            <w:shd w:val="clear" w:color="auto" w:fill="auto"/>
            <w:noWrap/>
            <w:vAlign w:val="center"/>
          </w:tcPr>
          <w:p w14:paraId="71BFF6CA">
            <w:pPr>
              <w:pStyle w:val="23"/>
              <w:jc w:val="center"/>
              <w:rPr>
                <w:rFonts w:ascii="宋体" w:hAnsi="宋体"/>
                <w:szCs w:val="21"/>
              </w:rPr>
            </w:pPr>
            <w:r>
              <w:rPr>
                <w:rFonts w:ascii="宋体" w:hAnsi="宋体"/>
                <w:szCs w:val="21"/>
              </w:rPr>
              <w:t>821</w:t>
            </w:r>
          </w:p>
        </w:tc>
        <w:tc>
          <w:tcPr>
            <w:tcW w:w="381" w:type="pct"/>
            <w:shd w:val="clear" w:color="auto" w:fill="auto"/>
            <w:noWrap/>
            <w:vAlign w:val="center"/>
          </w:tcPr>
          <w:p w14:paraId="5E143770">
            <w:pPr>
              <w:pStyle w:val="23"/>
              <w:jc w:val="center"/>
              <w:rPr>
                <w:rFonts w:ascii="宋体" w:hAnsi="宋体"/>
                <w:szCs w:val="21"/>
              </w:rPr>
            </w:pPr>
            <w:r>
              <w:rPr>
                <w:rFonts w:ascii="宋体" w:hAnsi="宋体"/>
                <w:szCs w:val="21"/>
              </w:rPr>
              <w:t>3441</w:t>
            </w:r>
          </w:p>
        </w:tc>
        <w:tc>
          <w:tcPr>
            <w:tcW w:w="506" w:type="pct"/>
            <w:shd w:val="clear" w:color="auto" w:fill="auto"/>
            <w:noWrap/>
            <w:vAlign w:val="center"/>
          </w:tcPr>
          <w:p w14:paraId="0C1AC9C6">
            <w:pPr>
              <w:pStyle w:val="23"/>
              <w:jc w:val="center"/>
              <w:rPr>
                <w:rFonts w:ascii="宋体" w:hAnsi="宋体"/>
                <w:szCs w:val="21"/>
              </w:rPr>
            </w:pPr>
            <w:r>
              <w:rPr>
                <w:rFonts w:ascii="宋体" w:hAnsi="宋体"/>
                <w:szCs w:val="21"/>
              </w:rPr>
              <w:t>4238</w:t>
            </w:r>
          </w:p>
        </w:tc>
        <w:tc>
          <w:tcPr>
            <w:tcW w:w="531" w:type="pct"/>
            <w:shd w:val="clear" w:color="auto" w:fill="auto"/>
            <w:noWrap/>
            <w:vAlign w:val="center"/>
          </w:tcPr>
          <w:p w14:paraId="464B80B4">
            <w:pPr>
              <w:pStyle w:val="23"/>
              <w:jc w:val="center"/>
              <w:rPr>
                <w:rFonts w:ascii="宋体" w:hAnsi="宋体"/>
                <w:szCs w:val="21"/>
              </w:rPr>
            </w:pPr>
            <w:r>
              <w:rPr>
                <w:rFonts w:ascii="宋体" w:hAnsi="宋体"/>
                <w:szCs w:val="21"/>
              </w:rPr>
              <w:t>1876</w:t>
            </w:r>
          </w:p>
        </w:tc>
        <w:tc>
          <w:tcPr>
            <w:tcW w:w="531" w:type="pct"/>
            <w:shd w:val="clear" w:color="auto" w:fill="auto"/>
            <w:noWrap/>
            <w:vAlign w:val="center"/>
          </w:tcPr>
          <w:p w14:paraId="352C6381">
            <w:pPr>
              <w:pStyle w:val="23"/>
              <w:jc w:val="center"/>
              <w:rPr>
                <w:rFonts w:ascii="宋体" w:hAnsi="宋体"/>
                <w:szCs w:val="21"/>
              </w:rPr>
            </w:pPr>
            <w:r>
              <w:rPr>
                <w:rFonts w:ascii="宋体" w:hAnsi="宋体"/>
                <w:szCs w:val="21"/>
              </w:rPr>
              <w:t>21</w:t>
            </w:r>
          </w:p>
        </w:tc>
        <w:tc>
          <w:tcPr>
            <w:tcW w:w="680" w:type="pct"/>
            <w:shd w:val="clear" w:color="auto" w:fill="auto"/>
            <w:noWrap/>
            <w:vAlign w:val="center"/>
          </w:tcPr>
          <w:p w14:paraId="40C21005">
            <w:pPr>
              <w:pStyle w:val="23"/>
              <w:jc w:val="center"/>
              <w:rPr>
                <w:rFonts w:ascii="宋体" w:hAnsi="宋体"/>
                <w:szCs w:val="21"/>
              </w:rPr>
            </w:pPr>
            <w:r>
              <w:rPr>
                <w:rFonts w:ascii="宋体" w:hAnsi="宋体"/>
                <w:szCs w:val="21"/>
              </w:rPr>
              <w:t>3675</w:t>
            </w:r>
          </w:p>
        </w:tc>
        <w:tc>
          <w:tcPr>
            <w:tcW w:w="755" w:type="pct"/>
            <w:shd w:val="clear" w:color="auto" w:fill="auto"/>
            <w:noWrap/>
            <w:vAlign w:val="center"/>
          </w:tcPr>
          <w:p w14:paraId="4742C549">
            <w:pPr>
              <w:pStyle w:val="23"/>
              <w:jc w:val="center"/>
              <w:rPr>
                <w:rFonts w:ascii="宋体" w:hAnsi="宋体"/>
                <w:szCs w:val="21"/>
              </w:rPr>
            </w:pPr>
            <w:r>
              <w:rPr>
                <w:rFonts w:ascii="宋体" w:hAnsi="宋体"/>
                <w:szCs w:val="21"/>
              </w:rPr>
              <w:t>6316</w:t>
            </w:r>
          </w:p>
        </w:tc>
      </w:tr>
      <w:tr w14:paraId="69939CA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766" w:type="pct"/>
            <w:shd w:val="clear" w:color="auto" w:fill="auto"/>
            <w:noWrap/>
            <w:vAlign w:val="center"/>
          </w:tcPr>
          <w:p w14:paraId="2E1D1A5A">
            <w:pPr>
              <w:pStyle w:val="23"/>
              <w:jc w:val="center"/>
              <w:rPr>
                <w:rFonts w:ascii="宋体" w:hAnsi="宋体"/>
                <w:szCs w:val="21"/>
              </w:rPr>
            </w:pPr>
            <w:r>
              <w:rPr>
                <w:rFonts w:ascii="宋体" w:hAnsi="宋体"/>
                <w:szCs w:val="21"/>
              </w:rPr>
              <w:t>上坪村</w:t>
            </w:r>
          </w:p>
        </w:tc>
        <w:tc>
          <w:tcPr>
            <w:tcW w:w="469" w:type="pct"/>
            <w:shd w:val="clear" w:color="auto" w:fill="auto"/>
            <w:noWrap/>
            <w:vAlign w:val="center"/>
          </w:tcPr>
          <w:p w14:paraId="52F5209E">
            <w:pPr>
              <w:pStyle w:val="23"/>
              <w:jc w:val="center"/>
              <w:rPr>
                <w:rFonts w:ascii="宋体" w:hAnsi="宋体"/>
                <w:szCs w:val="21"/>
              </w:rPr>
            </w:pPr>
            <w:r>
              <w:rPr>
                <w:rFonts w:ascii="宋体" w:hAnsi="宋体"/>
                <w:szCs w:val="21"/>
              </w:rPr>
              <w:t>8.67</w:t>
            </w:r>
          </w:p>
        </w:tc>
        <w:tc>
          <w:tcPr>
            <w:tcW w:w="381" w:type="pct"/>
            <w:shd w:val="clear" w:color="auto" w:fill="auto"/>
            <w:noWrap/>
            <w:vAlign w:val="center"/>
          </w:tcPr>
          <w:p w14:paraId="11715C46">
            <w:pPr>
              <w:pStyle w:val="23"/>
              <w:jc w:val="center"/>
              <w:rPr>
                <w:rFonts w:ascii="宋体" w:hAnsi="宋体"/>
                <w:szCs w:val="21"/>
              </w:rPr>
            </w:pPr>
            <w:r>
              <w:rPr>
                <w:rFonts w:ascii="宋体" w:hAnsi="宋体"/>
                <w:szCs w:val="21"/>
              </w:rPr>
              <w:t>385</w:t>
            </w:r>
          </w:p>
        </w:tc>
        <w:tc>
          <w:tcPr>
            <w:tcW w:w="381" w:type="pct"/>
            <w:shd w:val="clear" w:color="auto" w:fill="auto"/>
            <w:noWrap/>
            <w:vAlign w:val="center"/>
          </w:tcPr>
          <w:p w14:paraId="43C96C12">
            <w:pPr>
              <w:pStyle w:val="23"/>
              <w:jc w:val="center"/>
              <w:rPr>
                <w:rFonts w:ascii="宋体" w:hAnsi="宋体"/>
                <w:szCs w:val="21"/>
              </w:rPr>
            </w:pPr>
            <w:r>
              <w:rPr>
                <w:rFonts w:ascii="宋体" w:hAnsi="宋体"/>
                <w:szCs w:val="21"/>
              </w:rPr>
              <w:t>1490</w:t>
            </w:r>
          </w:p>
        </w:tc>
        <w:tc>
          <w:tcPr>
            <w:tcW w:w="506" w:type="pct"/>
            <w:shd w:val="clear" w:color="auto" w:fill="auto"/>
            <w:noWrap/>
            <w:vAlign w:val="center"/>
          </w:tcPr>
          <w:p w14:paraId="48B93C2B">
            <w:pPr>
              <w:pStyle w:val="23"/>
              <w:jc w:val="center"/>
              <w:rPr>
                <w:rFonts w:ascii="宋体" w:hAnsi="宋体"/>
                <w:szCs w:val="21"/>
              </w:rPr>
            </w:pPr>
            <w:r>
              <w:rPr>
                <w:rFonts w:ascii="宋体" w:hAnsi="宋体"/>
                <w:szCs w:val="21"/>
              </w:rPr>
              <w:t>1771</w:t>
            </w:r>
          </w:p>
        </w:tc>
        <w:tc>
          <w:tcPr>
            <w:tcW w:w="531" w:type="pct"/>
            <w:shd w:val="clear" w:color="auto" w:fill="auto"/>
            <w:noWrap/>
            <w:vAlign w:val="center"/>
          </w:tcPr>
          <w:p w14:paraId="4BD02340">
            <w:pPr>
              <w:pStyle w:val="23"/>
              <w:jc w:val="center"/>
              <w:rPr>
                <w:rFonts w:ascii="宋体" w:hAnsi="宋体"/>
                <w:szCs w:val="21"/>
              </w:rPr>
            </w:pPr>
            <w:r>
              <w:rPr>
                <w:rFonts w:ascii="宋体" w:hAnsi="宋体"/>
                <w:szCs w:val="21"/>
              </w:rPr>
              <w:t>1436</w:t>
            </w:r>
          </w:p>
        </w:tc>
        <w:tc>
          <w:tcPr>
            <w:tcW w:w="531" w:type="pct"/>
            <w:shd w:val="clear" w:color="auto" w:fill="auto"/>
            <w:noWrap/>
            <w:vAlign w:val="center"/>
          </w:tcPr>
          <w:p w14:paraId="78BDF67F">
            <w:pPr>
              <w:pStyle w:val="23"/>
              <w:jc w:val="center"/>
              <w:rPr>
                <w:rFonts w:ascii="宋体" w:hAnsi="宋体"/>
                <w:szCs w:val="21"/>
              </w:rPr>
            </w:pPr>
            <w:r>
              <w:rPr>
                <w:rFonts w:ascii="宋体" w:hAnsi="宋体"/>
                <w:szCs w:val="21"/>
              </w:rPr>
              <w:t>15</w:t>
            </w:r>
          </w:p>
        </w:tc>
        <w:tc>
          <w:tcPr>
            <w:tcW w:w="680" w:type="pct"/>
            <w:shd w:val="clear" w:color="auto" w:fill="auto"/>
            <w:noWrap/>
            <w:vAlign w:val="center"/>
          </w:tcPr>
          <w:p w14:paraId="6D2792A4">
            <w:pPr>
              <w:pStyle w:val="23"/>
              <w:jc w:val="center"/>
              <w:rPr>
                <w:rFonts w:ascii="宋体" w:hAnsi="宋体"/>
                <w:szCs w:val="21"/>
              </w:rPr>
            </w:pPr>
            <w:r>
              <w:rPr>
                <w:rFonts w:ascii="宋体" w:hAnsi="宋体"/>
                <w:szCs w:val="21"/>
              </w:rPr>
              <w:t>1805</w:t>
            </w:r>
          </w:p>
        </w:tc>
        <w:tc>
          <w:tcPr>
            <w:tcW w:w="755" w:type="pct"/>
            <w:shd w:val="clear" w:color="auto" w:fill="auto"/>
            <w:noWrap/>
            <w:vAlign w:val="center"/>
          </w:tcPr>
          <w:p w14:paraId="4D4EBA1C">
            <w:pPr>
              <w:pStyle w:val="23"/>
              <w:jc w:val="center"/>
              <w:rPr>
                <w:rFonts w:ascii="宋体" w:hAnsi="宋体"/>
                <w:szCs w:val="21"/>
              </w:rPr>
            </w:pPr>
            <w:r>
              <w:rPr>
                <w:rFonts w:ascii="宋体" w:hAnsi="宋体"/>
                <w:szCs w:val="21"/>
              </w:rPr>
              <w:t>5940</w:t>
            </w:r>
          </w:p>
        </w:tc>
      </w:tr>
      <w:tr w14:paraId="56D361D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766" w:type="pct"/>
            <w:shd w:val="clear" w:color="auto" w:fill="auto"/>
            <w:noWrap/>
            <w:vAlign w:val="center"/>
          </w:tcPr>
          <w:p w14:paraId="51EC5CB4">
            <w:pPr>
              <w:pStyle w:val="23"/>
              <w:jc w:val="center"/>
              <w:rPr>
                <w:rFonts w:ascii="宋体" w:hAnsi="宋体"/>
                <w:szCs w:val="21"/>
              </w:rPr>
            </w:pPr>
            <w:r>
              <w:rPr>
                <w:rFonts w:ascii="宋体" w:hAnsi="宋体"/>
                <w:szCs w:val="21"/>
              </w:rPr>
              <w:t>下坪村</w:t>
            </w:r>
          </w:p>
        </w:tc>
        <w:tc>
          <w:tcPr>
            <w:tcW w:w="469" w:type="pct"/>
            <w:shd w:val="clear" w:color="auto" w:fill="auto"/>
            <w:noWrap/>
            <w:vAlign w:val="center"/>
          </w:tcPr>
          <w:p w14:paraId="7E86BE25">
            <w:pPr>
              <w:pStyle w:val="23"/>
              <w:jc w:val="center"/>
              <w:rPr>
                <w:rFonts w:ascii="宋体" w:hAnsi="宋体"/>
                <w:szCs w:val="21"/>
              </w:rPr>
            </w:pPr>
            <w:r>
              <w:rPr>
                <w:rFonts w:ascii="宋体" w:hAnsi="宋体"/>
                <w:szCs w:val="21"/>
              </w:rPr>
              <w:t>25.08</w:t>
            </w:r>
          </w:p>
        </w:tc>
        <w:tc>
          <w:tcPr>
            <w:tcW w:w="381" w:type="pct"/>
            <w:shd w:val="clear" w:color="auto" w:fill="auto"/>
            <w:noWrap/>
            <w:vAlign w:val="center"/>
          </w:tcPr>
          <w:p w14:paraId="7FE36749">
            <w:pPr>
              <w:pStyle w:val="23"/>
              <w:jc w:val="center"/>
              <w:rPr>
                <w:rFonts w:ascii="宋体" w:hAnsi="宋体"/>
                <w:szCs w:val="21"/>
              </w:rPr>
            </w:pPr>
            <w:r>
              <w:rPr>
                <w:rFonts w:ascii="宋体" w:hAnsi="宋体"/>
                <w:szCs w:val="21"/>
              </w:rPr>
              <w:t>720</w:t>
            </w:r>
          </w:p>
        </w:tc>
        <w:tc>
          <w:tcPr>
            <w:tcW w:w="381" w:type="pct"/>
            <w:shd w:val="clear" w:color="auto" w:fill="auto"/>
            <w:noWrap/>
            <w:vAlign w:val="center"/>
          </w:tcPr>
          <w:p w14:paraId="36529BE2">
            <w:pPr>
              <w:pStyle w:val="23"/>
              <w:jc w:val="center"/>
              <w:rPr>
                <w:rFonts w:ascii="宋体" w:hAnsi="宋体"/>
                <w:szCs w:val="21"/>
              </w:rPr>
            </w:pPr>
            <w:r>
              <w:rPr>
                <w:rFonts w:ascii="宋体" w:hAnsi="宋体"/>
                <w:szCs w:val="21"/>
              </w:rPr>
              <w:t>3050</w:t>
            </w:r>
          </w:p>
        </w:tc>
        <w:tc>
          <w:tcPr>
            <w:tcW w:w="506" w:type="pct"/>
            <w:shd w:val="clear" w:color="auto" w:fill="auto"/>
            <w:noWrap/>
            <w:vAlign w:val="center"/>
          </w:tcPr>
          <w:p w14:paraId="6FF317C2">
            <w:pPr>
              <w:pStyle w:val="23"/>
              <w:jc w:val="center"/>
              <w:rPr>
                <w:rFonts w:ascii="宋体" w:hAnsi="宋体"/>
                <w:szCs w:val="21"/>
              </w:rPr>
            </w:pPr>
            <w:r>
              <w:rPr>
                <w:rFonts w:ascii="宋体" w:hAnsi="宋体"/>
                <w:szCs w:val="21"/>
              </w:rPr>
              <w:t>4202</w:t>
            </w:r>
          </w:p>
        </w:tc>
        <w:tc>
          <w:tcPr>
            <w:tcW w:w="531" w:type="pct"/>
            <w:shd w:val="clear" w:color="auto" w:fill="auto"/>
            <w:noWrap/>
            <w:vAlign w:val="center"/>
          </w:tcPr>
          <w:p w14:paraId="32B8CB03">
            <w:pPr>
              <w:pStyle w:val="23"/>
              <w:jc w:val="center"/>
              <w:rPr>
                <w:rFonts w:ascii="宋体" w:hAnsi="宋体"/>
                <w:szCs w:val="21"/>
              </w:rPr>
            </w:pPr>
            <w:r>
              <w:rPr>
                <w:rFonts w:ascii="宋体" w:hAnsi="宋体"/>
                <w:szCs w:val="21"/>
              </w:rPr>
              <w:t>3922</w:t>
            </w:r>
          </w:p>
        </w:tc>
        <w:tc>
          <w:tcPr>
            <w:tcW w:w="531" w:type="pct"/>
            <w:shd w:val="clear" w:color="auto" w:fill="auto"/>
            <w:noWrap/>
            <w:vAlign w:val="center"/>
          </w:tcPr>
          <w:p w14:paraId="0D5E3AC1">
            <w:pPr>
              <w:pStyle w:val="23"/>
              <w:jc w:val="center"/>
              <w:rPr>
                <w:rFonts w:ascii="宋体" w:hAnsi="宋体"/>
                <w:szCs w:val="21"/>
              </w:rPr>
            </w:pPr>
            <w:r>
              <w:rPr>
                <w:rFonts w:ascii="宋体" w:hAnsi="宋体"/>
                <w:szCs w:val="21"/>
              </w:rPr>
              <w:t>23</w:t>
            </w:r>
          </w:p>
        </w:tc>
        <w:tc>
          <w:tcPr>
            <w:tcW w:w="680" w:type="pct"/>
            <w:shd w:val="clear" w:color="auto" w:fill="auto"/>
            <w:noWrap/>
            <w:vAlign w:val="center"/>
          </w:tcPr>
          <w:p w14:paraId="7B84BC25">
            <w:pPr>
              <w:pStyle w:val="23"/>
              <w:jc w:val="center"/>
              <w:rPr>
                <w:rFonts w:ascii="宋体" w:hAnsi="宋体"/>
                <w:szCs w:val="21"/>
              </w:rPr>
            </w:pPr>
            <w:r>
              <w:rPr>
                <w:rFonts w:ascii="宋体" w:hAnsi="宋体"/>
                <w:szCs w:val="21"/>
              </w:rPr>
              <w:t>3008</w:t>
            </w:r>
          </w:p>
        </w:tc>
        <w:tc>
          <w:tcPr>
            <w:tcW w:w="755" w:type="pct"/>
            <w:shd w:val="clear" w:color="auto" w:fill="auto"/>
            <w:noWrap/>
            <w:vAlign w:val="center"/>
          </w:tcPr>
          <w:p w14:paraId="41403C39">
            <w:pPr>
              <w:pStyle w:val="23"/>
              <w:jc w:val="center"/>
              <w:rPr>
                <w:rFonts w:ascii="宋体" w:hAnsi="宋体"/>
                <w:szCs w:val="21"/>
              </w:rPr>
            </w:pPr>
            <w:r>
              <w:rPr>
                <w:rFonts w:ascii="宋体" w:hAnsi="宋体"/>
                <w:szCs w:val="21"/>
              </w:rPr>
              <w:t>6297</w:t>
            </w:r>
          </w:p>
        </w:tc>
      </w:tr>
      <w:tr w14:paraId="364BC0E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766" w:type="pct"/>
            <w:shd w:val="clear" w:color="auto" w:fill="auto"/>
            <w:noWrap/>
            <w:vAlign w:val="center"/>
          </w:tcPr>
          <w:p w14:paraId="2CAA769A">
            <w:pPr>
              <w:pStyle w:val="23"/>
              <w:jc w:val="center"/>
              <w:rPr>
                <w:rFonts w:ascii="宋体" w:hAnsi="宋体"/>
                <w:szCs w:val="21"/>
              </w:rPr>
            </w:pPr>
            <w:r>
              <w:rPr>
                <w:rFonts w:ascii="宋体" w:hAnsi="宋体"/>
                <w:szCs w:val="21"/>
              </w:rPr>
              <w:t>五洲村</w:t>
            </w:r>
          </w:p>
        </w:tc>
        <w:tc>
          <w:tcPr>
            <w:tcW w:w="469" w:type="pct"/>
            <w:shd w:val="clear" w:color="auto" w:fill="auto"/>
            <w:noWrap/>
            <w:vAlign w:val="center"/>
          </w:tcPr>
          <w:p w14:paraId="2D472F69">
            <w:pPr>
              <w:pStyle w:val="23"/>
              <w:jc w:val="center"/>
              <w:rPr>
                <w:rFonts w:ascii="宋体" w:hAnsi="宋体"/>
                <w:szCs w:val="21"/>
              </w:rPr>
            </w:pPr>
            <w:r>
              <w:rPr>
                <w:rFonts w:ascii="宋体" w:hAnsi="宋体"/>
                <w:szCs w:val="21"/>
              </w:rPr>
              <w:t>8.91</w:t>
            </w:r>
          </w:p>
        </w:tc>
        <w:tc>
          <w:tcPr>
            <w:tcW w:w="381" w:type="pct"/>
            <w:shd w:val="clear" w:color="auto" w:fill="auto"/>
            <w:noWrap/>
            <w:vAlign w:val="center"/>
          </w:tcPr>
          <w:p w14:paraId="62437857">
            <w:pPr>
              <w:pStyle w:val="23"/>
              <w:jc w:val="center"/>
              <w:rPr>
                <w:rFonts w:ascii="宋体" w:hAnsi="宋体"/>
                <w:szCs w:val="21"/>
              </w:rPr>
            </w:pPr>
            <w:r>
              <w:rPr>
                <w:rFonts w:ascii="宋体" w:hAnsi="宋体"/>
                <w:szCs w:val="21"/>
              </w:rPr>
              <w:t>900</w:t>
            </w:r>
          </w:p>
        </w:tc>
        <w:tc>
          <w:tcPr>
            <w:tcW w:w="381" w:type="pct"/>
            <w:shd w:val="clear" w:color="auto" w:fill="auto"/>
            <w:noWrap/>
            <w:vAlign w:val="center"/>
          </w:tcPr>
          <w:p w14:paraId="04F361DB">
            <w:pPr>
              <w:pStyle w:val="23"/>
              <w:jc w:val="center"/>
              <w:rPr>
                <w:rFonts w:ascii="宋体" w:hAnsi="宋体"/>
                <w:szCs w:val="21"/>
              </w:rPr>
            </w:pPr>
            <w:r>
              <w:rPr>
                <w:rFonts w:ascii="宋体" w:hAnsi="宋体"/>
                <w:szCs w:val="21"/>
              </w:rPr>
              <w:t>3555</w:t>
            </w:r>
          </w:p>
        </w:tc>
        <w:tc>
          <w:tcPr>
            <w:tcW w:w="506" w:type="pct"/>
            <w:shd w:val="clear" w:color="auto" w:fill="auto"/>
            <w:noWrap/>
            <w:vAlign w:val="center"/>
          </w:tcPr>
          <w:p w14:paraId="369D0C41">
            <w:pPr>
              <w:pStyle w:val="23"/>
              <w:jc w:val="center"/>
              <w:rPr>
                <w:rFonts w:ascii="宋体" w:hAnsi="宋体"/>
                <w:szCs w:val="21"/>
              </w:rPr>
            </w:pPr>
            <w:r>
              <w:rPr>
                <w:rFonts w:ascii="宋体" w:hAnsi="宋体"/>
                <w:szCs w:val="21"/>
              </w:rPr>
              <w:t>4817</w:t>
            </w:r>
          </w:p>
        </w:tc>
        <w:tc>
          <w:tcPr>
            <w:tcW w:w="531" w:type="pct"/>
            <w:shd w:val="clear" w:color="auto" w:fill="auto"/>
            <w:noWrap/>
            <w:vAlign w:val="center"/>
          </w:tcPr>
          <w:p w14:paraId="6A0232A2">
            <w:pPr>
              <w:pStyle w:val="23"/>
              <w:jc w:val="center"/>
              <w:rPr>
                <w:rFonts w:ascii="宋体" w:hAnsi="宋体"/>
                <w:szCs w:val="21"/>
              </w:rPr>
            </w:pPr>
            <w:r>
              <w:rPr>
                <w:rFonts w:ascii="宋体" w:hAnsi="宋体"/>
                <w:szCs w:val="21"/>
              </w:rPr>
              <w:t>2429</w:t>
            </w:r>
          </w:p>
        </w:tc>
        <w:tc>
          <w:tcPr>
            <w:tcW w:w="531" w:type="pct"/>
            <w:shd w:val="clear" w:color="auto" w:fill="auto"/>
            <w:noWrap/>
            <w:vAlign w:val="center"/>
          </w:tcPr>
          <w:p w14:paraId="1DFFD0EE">
            <w:pPr>
              <w:pStyle w:val="23"/>
              <w:jc w:val="center"/>
              <w:rPr>
                <w:rFonts w:ascii="宋体" w:hAnsi="宋体"/>
                <w:szCs w:val="21"/>
              </w:rPr>
            </w:pPr>
            <w:r>
              <w:rPr>
                <w:rFonts w:ascii="宋体" w:hAnsi="宋体"/>
                <w:szCs w:val="21"/>
              </w:rPr>
              <w:t>23</w:t>
            </w:r>
          </w:p>
        </w:tc>
        <w:tc>
          <w:tcPr>
            <w:tcW w:w="680" w:type="pct"/>
            <w:shd w:val="clear" w:color="auto" w:fill="auto"/>
            <w:noWrap/>
            <w:vAlign w:val="center"/>
          </w:tcPr>
          <w:p w14:paraId="7E2FC6E0">
            <w:pPr>
              <w:pStyle w:val="23"/>
              <w:jc w:val="center"/>
              <w:rPr>
                <w:rFonts w:ascii="宋体" w:hAnsi="宋体"/>
                <w:szCs w:val="21"/>
              </w:rPr>
            </w:pPr>
            <w:r>
              <w:rPr>
                <w:rFonts w:ascii="宋体" w:hAnsi="宋体"/>
                <w:szCs w:val="21"/>
              </w:rPr>
              <w:t>4045</w:t>
            </w:r>
          </w:p>
        </w:tc>
        <w:tc>
          <w:tcPr>
            <w:tcW w:w="755" w:type="pct"/>
            <w:shd w:val="clear" w:color="auto" w:fill="auto"/>
            <w:noWrap/>
            <w:vAlign w:val="center"/>
          </w:tcPr>
          <w:p w14:paraId="5038E4F1">
            <w:pPr>
              <w:pStyle w:val="23"/>
              <w:jc w:val="center"/>
              <w:rPr>
                <w:rFonts w:ascii="宋体" w:hAnsi="宋体"/>
                <w:szCs w:val="21"/>
              </w:rPr>
            </w:pPr>
            <w:r>
              <w:rPr>
                <w:rFonts w:ascii="宋体" w:hAnsi="宋体"/>
                <w:szCs w:val="21"/>
              </w:rPr>
              <w:t>6272</w:t>
            </w:r>
          </w:p>
        </w:tc>
      </w:tr>
      <w:tr w14:paraId="2B06D8B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766" w:type="pct"/>
            <w:shd w:val="clear" w:color="auto" w:fill="auto"/>
            <w:noWrap/>
            <w:vAlign w:val="center"/>
          </w:tcPr>
          <w:p w14:paraId="1825B8F1">
            <w:pPr>
              <w:pStyle w:val="23"/>
              <w:jc w:val="center"/>
              <w:rPr>
                <w:rFonts w:ascii="宋体" w:hAnsi="宋体"/>
                <w:szCs w:val="21"/>
              </w:rPr>
            </w:pPr>
            <w:r>
              <w:rPr>
                <w:rFonts w:ascii="宋体" w:hAnsi="宋体"/>
                <w:szCs w:val="21"/>
              </w:rPr>
              <w:t>迳口村</w:t>
            </w:r>
          </w:p>
        </w:tc>
        <w:tc>
          <w:tcPr>
            <w:tcW w:w="469" w:type="pct"/>
            <w:shd w:val="clear" w:color="auto" w:fill="auto"/>
            <w:noWrap/>
            <w:vAlign w:val="center"/>
          </w:tcPr>
          <w:p w14:paraId="18A1350C">
            <w:pPr>
              <w:pStyle w:val="23"/>
              <w:jc w:val="center"/>
              <w:rPr>
                <w:rFonts w:ascii="宋体" w:hAnsi="宋体"/>
                <w:szCs w:val="21"/>
              </w:rPr>
            </w:pPr>
            <w:r>
              <w:rPr>
                <w:rFonts w:ascii="宋体" w:hAnsi="宋体"/>
                <w:szCs w:val="21"/>
              </w:rPr>
              <w:t>6.31</w:t>
            </w:r>
          </w:p>
        </w:tc>
        <w:tc>
          <w:tcPr>
            <w:tcW w:w="381" w:type="pct"/>
            <w:shd w:val="clear" w:color="auto" w:fill="auto"/>
            <w:noWrap/>
            <w:vAlign w:val="center"/>
          </w:tcPr>
          <w:p w14:paraId="0133884B">
            <w:pPr>
              <w:pStyle w:val="23"/>
              <w:jc w:val="center"/>
              <w:rPr>
                <w:rFonts w:ascii="宋体" w:hAnsi="宋体"/>
                <w:szCs w:val="21"/>
              </w:rPr>
            </w:pPr>
            <w:r>
              <w:rPr>
                <w:rFonts w:ascii="宋体" w:hAnsi="宋体"/>
                <w:szCs w:val="21"/>
              </w:rPr>
              <w:t>545</w:t>
            </w:r>
          </w:p>
        </w:tc>
        <w:tc>
          <w:tcPr>
            <w:tcW w:w="381" w:type="pct"/>
            <w:shd w:val="clear" w:color="auto" w:fill="auto"/>
            <w:noWrap/>
            <w:vAlign w:val="center"/>
          </w:tcPr>
          <w:p w14:paraId="69B7A349">
            <w:pPr>
              <w:pStyle w:val="23"/>
              <w:jc w:val="center"/>
              <w:rPr>
                <w:rFonts w:ascii="宋体" w:hAnsi="宋体"/>
                <w:szCs w:val="21"/>
              </w:rPr>
            </w:pPr>
            <w:r>
              <w:rPr>
                <w:rFonts w:ascii="宋体" w:hAnsi="宋体"/>
                <w:szCs w:val="21"/>
              </w:rPr>
              <w:t>2201</w:t>
            </w:r>
          </w:p>
        </w:tc>
        <w:tc>
          <w:tcPr>
            <w:tcW w:w="506" w:type="pct"/>
            <w:shd w:val="clear" w:color="auto" w:fill="auto"/>
            <w:noWrap/>
            <w:vAlign w:val="center"/>
          </w:tcPr>
          <w:p w14:paraId="77166C45">
            <w:pPr>
              <w:pStyle w:val="23"/>
              <w:jc w:val="center"/>
              <w:rPr>
                <w:rFonts w:ascii="宋体" w:hAnsi="宋体"/>
                <w:szCs w:val="21"/>
              </w:rPr>
            </w:pPr>
            <w:r>
              <w:rPr>
                <w:rFonts w:ascii="宋体" w:hAnsi="宋体"/>
                <w:szCs w:val="21"/>
              </w:rPr>
              <w:t>3454</w:t>
            </w:r>
          </w:p>
        </w:tc>
        <w:tc>
          <w:tcPr>
            <w:tcW w:w="531" w:type="pct"/>
            <w:shd w:val="clear" w:color="auto" w:fill="auto"/>
            <w:noWrap/>
            <w:vAlign w:val="center"/>
          </w:tcPr>
          <w:p w14:paraId="71553175">
            <w:pPr>
              <w:pStyle w:val="23"/>
              <w:jc w:val="center"/>
              <w:rPr>
                <w:rFonts w:ascii="宋体" w:hAnsi="宋体"/>
                <w:szCs w:val="21"/>
              </w:rPr>
            </w:pPr>
            <w:r>
              <w:rPr>
                <w:rFonts w:ascii="宋体" w:hAnsi="宋体"/>
                <w:szCs w:val="21"/>
              </w:rPr>
              <w:t>2199</w:t>
            </w:r>
          </w:p>
        </w:tc>
        <w:tc>
          <w:tcPr>
            <w:tcW w:w="531" w:type="pct"/>
            <w:shd w:val="clear" w:color="auto" w:fill="auto"/>
            <w:noWrap/>
            <w:vAlign w:val="center"/>
          </w:tcPr>
          <w:p w14:paraId="61A06E17">
            <w:pPr>
              <w:pStyle w:val="23"/>
              <w:jc w:val="center"/>
              <w:rPr>
                <w:rFonts w:ascii="宋体" w:hAnsi="宋体"/>
                <w:szCs w:val="21"/>
              </w:rPr>
            </w:pPr>
            <w:r>
              <w:rPr>
                <w:rFonts w:ascii="宋体" w:hAnsi="宋体"/>
                <w:szCs w:val="21"/>
              </w:rPr>
              <w:t>15</w:t>
            </w:r>
          </w:p>
        </w:tc>
        <w:tc>
          <w:tcPr>
            <w:tcW w:w="680" w:type="pct"/>
            <w:shd w:val="clear" w:color="auto" w:fill="auto"/>
            <w:noWrap/>
            <w:vAlign w:val="center"/>
          </w:tcPr>
          <w:p w14:paraId="54131FDB">
            <w:pPr>
              <w:pStyle w:val="23"/>
              <w:jc w:val="center"/>
              <w:rPr>
                <w:rFonts w:ascii="宋体" w:hAnsi="宋体"/>
                <w:szCs w:val="21"/>
              </w:rPr>
            </w:pPr>
            <w:r>
              <w:rPr>
                <w:rFonts w:ascii="宋体" w:hAnsi="宋体"/>
                <w:szCs w:val="21"/>
              </w:rPr>
              <w:t>3020</w:t>
            </w:r>
          </w:p>
        </w:tc>
        <w:tc>
          <w:tcPr>
            <w:tcW w:w="755" w:type="pct"/>
            <w:shd w:val="clear" w:color="auto" w:fill="auto"/>
            <w:noWrap/>
            <w:vAlign w:val="center"/>
          </w:tcPr>
          <w:p w14:paraId="2F3811EB">
            <w:pPr>
              <w:pStyle w:val="23"/>
              <w:jc w:val="center"/>
              <w:rPr>
                <w:rFonts w:ascii="宋体" w:hAnsi="宋体"/>
                <w:szCs w:val="21"/>
              </w:rPr>
            </w:pPr>
            <w:r>
              <w:rPr>
                <w:rFonts w:ascii="宋体" w:hAnsi="宋体"/>
                <w:szCs w:val="21"/>
              </w:rPr>
              <w:t>6234</w:t>
            </w:r>
          </w:p>
        </w:tc>
      </w:tr>
      <w:tr w14:paraId="138D5A0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766" w:type="pct"/>
            <w:shd w:val="clear" w:color="auto" w:fill="auto"/>
            <w:noWrap/>
            <w:vAlign w:val="center"/>
          </w:tcPr>
          <w:p w14:paraId="1FA56881">
            <w:pPr>
              <w:pStyle w:val="23"/>
              <w:jc w:val="center"/>
              <w:rPr>
                <w:rFonts w:ascii="宋体" w:hAnsi="宋体"/>
                <w:szCs w:val="21"/>
              </w:rPr>
            </w:pPr>
            <w:r>
              <w:rPr>
                <w:rFonts w:ascii="宋体" w:hAnsi="宋体"/>
                <w:szCs w:val="21"/>
              </w:rPr>
              <w:t>铺背村</w:t>
            </w:r>
          </w:p>
        </w:tc>
        <w:tc>
          <w:tcPr>
            <w:tcW w:w="469" w:type="pct"/>
            <w:shd w:val="clear" w:color="auto" w:fill="auto"/>
            <w:noWrap/>
            <w:vAlign w:val="center"/>
          </w:tcPr>
          <w:p w14:paraId="612E4BBB">
            <w:pPr>
              <w:pStyle w:val="23"/>
              <w:jc w:val="center"/>
              <w:rPr>
                <w:rFonts w:ascii="宋体" w:hAnsi="宋体"/>
                <w:szCs w:val="21"/>
              </w:rPr>
            </w:pPr>
            <w:r>
              <w:rPr>
                <w:rFonts w:ascii="宋体" w:hAnsi="宋体"/>
                <w:szCs w:val="21"/>
              </w:rPr>
              <w:t>3.22</w:t>
            </w:r>
          </w:p>
        </w:tc>
        <w:tc>
          <w:tcPr>
            <w:tcW w:w="381" w:type="pct"/>
            <w:shd w:val="clear" w:color="auto" w:fill="auto"/>
            <w:noWrap/>
            <w:vAlign w:val="center"/>
          </w:tcPr>
          <w:p w14:paraId="54FDB784">
            <w:pPr>
              <w:pStyle w:val="23"/>
              <w:jc w:val="center"/>
              <w:rPr>
                <w:rFonts w:ascii="宋体" w:hAnsi="宋体"/>
                <w:szCs w:val="21"/>
              </w:rPr>
            </w:pPr>
            <w:r>
              <w:rPr>
                <w:rFonts w:ascii="宋体" w:hAnsi="宋体"/>
                <w:szCs w:val="21"/>
              </w:rPr>
              <w:t>647</w:t>
            </w:r>
          </w:p>
        </w:tc>
        <w:tc>
          <w:tcPr>
            <w:tcW w:w="381" w:type="pct"/>
            <w:shd w:val="clear" w:color="auto" w:fill="auto"/>
            <w:noWrap/>
            <w:vAlign w:val="center"/>
          </w:tcPr>
          <w:p w14:paraId="08ED6558">
            <w:pPr>
              <w:pStyle w:val="23"/>
              <w:jc w:val="center"/>
              <w:rPr>
                <w:rFonts w:ascii="宋体" w:hAnsi="宋体"/>
                <w:szCs w:val="21"/>
              </w:rPr>
            </w:pPr>
            <w:r>
              <w:rPr>
                <w:rFonts w:ascii="宋体" w:hAnsi="宋体"/>
                <w:szCs w:val="21"/>
              </w:rPr>
              <w:t>2301</w:t>
            </w:r>
          </w:p>
        </w:tc>
        <w:tc>
          <w:tcPr>
            <w:tcW w:w="506" w:type="pct"/>
            <w:shd w:val="clear" w:color="auto" w:fill="auto"/>
            <w:noWrap/>
            <w:vAlign w:val="center"/>
          </w:tcPr>
          <w:p w14:paraId="4391EFA5">
            <w:pPr>
              <w:pStyle w:val="23"/>
              <w:jc w:val="center"/>
              <w:rPr>
                <w:rFonts w:ascii="宋体" w:hAnsi="宋体"/>
                <w:szCs w:val="21"/>
              </w:rPr>
            </w:pPr>
            <w:r>
              <w:rPr>
                <w:rFonts w:ascii="宋体" w:hAnsi="宋体"/>
                <w:szCs w:val="21"/>
              </w:rPr>
              <w:t>1814</w:t>
            </w:r>
          </w:p>
        </w:tc>
        <w:tc>
          <w:tcPr>
            <w:tcW w:w="531" w:type="pct"/>
            <w:shd w:val="clear" w:color="auto" w:fill="auto"/>
            <w:noWrap/>
            <w:vAlign w:val="center"/>
          </w:tcPr>
          <w:p w14:paraId="029E7175">
            <w:pPr>
              <w:pStyle w:val="23"/>
              <w:jc w:val="center"/>
              <w:rPr>
                <w:rFonts w:ascii="宋体" w:hAnsi="宋体"/>
                <w:szCs w:val="21"/>
              </w:rPr>
            </w:pPr>
            <w:r>
              <w:rPr>
                <w:rFonts w:ascii="宋体" w:hAnsi="宋体"/>
                <w:szCs w:val="21"/>
              </w:rPr>
              <w:t>1481</w:t>
            </w:r>
          </w:p>
        </w:tc>
        <w:tc>
          <w:tcPr>
            <w:tcW w:w="531" w:type="pct"/>
            <w:shd w:val="clear" w:color="auto" w:fill="auto"/>
            <w:noWrap/>
            <w:vAlign w:val="center"/>
          </w:tcPr>
          <w:p w14:paraId="1DA2F93C">
            <w:pPr>
              <w:pStyle w:val="23"/>
              <w:jc w:val="center"/>
              <w:rPr>
                <w:rFonts w:ascii="宋体" w:hAnsi="宋体"/>
                <w:szCs w:val="21"/>
              </w:rPr>
            </w:pPr>
            <w:r>
              <w:rPr>
                <w:rFonts w:ascii="宋体" w:hAnsi="宋体"/>
                <w:szCs w:val="21"/>
              </w:rPr>
              <w:t>8</w:t>
            </w:r>
          </w:p>
        </w:tc>
        <w:tc>
          <w:tcPr>
            <w:tcW w:w="680" w:type="pct"/>
            <w:shd w:val="clear" w:color="auto" w:fill="auto"/>
            <w:noWrap/>
            <w:vAlign w:val="center"/>
          </w:tcPr>
          <w:p w14:paraId="1829B9EB">
            <w:pPr>
              <w:pStyle w:val="23"/>
              <w:jc w:val="center"/>
              <w:rPr>
                <w:rFonts w:ascii="宋体" w:hAnsi="宋体"/>
                <w:szCs w:val="21"/>
              </w:rPr>
            </w:pPr>
            <w:r>
              <w:rPr>
                <w:rFonts w:ascii="宋体" w:hAnsi="宋体"/>
                <w:szCs w:val="21"/>
              </w:rPr>
              <w:t>2817</w:t>
            </w:r>
          </w:p>
        </w:tc>
        <w:tc>
          <w:tcPr>
            <w:tcW w:w="755" w:type="pct"/>
            <w:shd w:val="clear" w:color="auto" w:fill="auto"/>
            <w:noWrap/>
            <w:vAlign w:val="center"/>
          </w:tcPr>
          <w:p w14:paraId="1CA5B800">
            <w:pPr>
              <w:pStyle w:val="23"/>
              <w:jc w:val="center"/>
              <w:rPr>
                <w:rFonts w:ascii="宋体" w:hAnsi="宋体"/>
                <w:szCs w:val="21"/>
              </w:rPr>
            </w:pPr>
            <w:r>
              <w:rPr>
                <w:rFonts w:ascii="宋体" w:hAnsi="宋体"/>
                <w:szCs w:val="21"/>
              </w:rPr>
              <w:t>6830</w:t>
            </w:r>
          </w:p>
        </w:tc>
      </w:tr>
      <w:tr w14:paraId="08DDAA0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766" w:type="pct"/>
            <w:shd w:val="clear" w:color="auto" w:fill="auto"/>
            <w:noWrap/>
            <w:vAlign w:val="center"/>
          </w:tcPr>
          <w:p w14:paraId="6895AA8C">
            <w:pPr>
              <w:pStyle w:val="23"/>
              <w:jc w:val="center"/>
              <w:rPr>
                <w:rFonts w:ascii="宋体" w:hAnsi="宋体"/>
                <w:szCs w:val="21"/>
              </w:rPr>
            </w:pPr>
            <w:r>
              <w:rPr>
                <w:rFonts w:ascii="宋体" w:hAnsi="宋体"/>
                <w:szCs w:val="21"/>
              </w:rPr>
              <w:t>莲塘村</w:t>
            </w:r>
          </w:p>
        </w:tc>
        <w:tc>
          <w:tcPr>
            <w:tcW w:w="469" w:type="pct"/>
            <w:shd w:val="clear" w:color="auto" w:fill="auto"/>
            <w:noWrap/>
            <w:vAlign w:val="center"/>
          </w:tcPr>
          <w:p w14:paraId="5A231B97">
            <w:pPr>
              <w:pStyle w:val="23"/>
              <w:jc w:val="center"/>
              <w:rPr>
                <w:rFonts w:ascii="宋体" w:hAnsi="宋体"/>
                <w:szCs w:val="21"/>
              </w:rPr>
            </w:pPr>
            <w:r>
              <w:rPr>
                <w:rFonts w:ascii="宋体" w:hAnsi="宋体"/>
                <w:szCs w:val="21"/>
              </w:rPr>
              <w:t>3.25</w:t>
            </w:r>
          </w:p>
        </w:tc>
        <w:tc>
          <w:tcPr>
            <w:tcW w:w="381" w:type="pct"/>
            <w:shd w:val="clear" w:color="auto" w:fill="auto"/>
            <w:noWrap/>
            <w:vAlign w:val="center"/>
          </w:tcPr>
          <w:p w14:paraId="5173E92A">
            <w:pPr>
              <w:pStyle w:val="23"/>
              <w:jc w:val="center"/>
              <w:rPr>
                <w:rFonts w:ascii="宋体" w:hAnsi="宋体"/>
                <w:szCs w:val="21"/>
              </w:rPr>
            </w:pPr>
            <w:r>
              <w:rPr>
                <w:rFonts w:ascii="宋体" w:hAnsi="宋体"/>
                <w:szCs w:val="21"/>
              </w:rPr>
              <w:t>813</w:t>
            </w:r>
          </w:p>
        </w:tc>
        <w:tc>
          <w:tcPr>
            <w:tcW w:w="381" w:type="pct"/>
            <w:shd w:val="clear" w:color="auto" w:fill="auto"/>
            <w:noWrap/>
            <w:vAlign w:val="center"/>
          </w:tcPr>
          <w:p w14:paraId="107627FF">
            <w:pPr>
              <w:pStyle w:val="23"/>
              <w:jc w:val="center"/>
              <w:rPr>
                <w:rFonts w:ascii="宋体" w:hAnsi="宋体"/>
                <w:szCs w:val="21"/>
              </w:rPr>
            </w:pPr>
            <w:r>
              <w:rPr>
                <w:rFonts w:ascii="宋体" w:hAnsi="宋体"/>
                <w:szCs w:val="21"/>
              </w:rPr>
              <w:t>3192</w:t>
            </w:r>
          </w:p>
        </w:tc>
        <w:tc>
          <w:tcPr>
            <w:tcW w:w="506" w:type="pct"/>
            <w:shd w:val="clear" w:color="auto" w:fill="auto"/>
            <w:noWrap/>
            <w:vAlign w:val="center"/>
          </w:tcPr>
          <w:p w14:paraId="3AB52388">
            <w:pPr>
              <w:pStyle w:val="23"/>
              <w:jc w:val="center"/>
              <w:rPr>
                <w:rFonts w:ascii="宋体" w:hAnsi="宋体"/>
                <w:szCs w:val="21"/>
              </w:rPr>
            </w:pPr>
            <w:r>
              <w:rPr>
                <w:rFonts w:ascii="宋体" w:hAnsi="宋体"/>
                <w:szCs w:val="21"/>
              </w:rPr>
              <w:t>1952</w:t>
            </w:r>
          </w:p>
        </w:tc>
        <w:tc>
          <w:tcPr>
            <w:tcW w:w="531" w:type="pct"/>
            <w:shd w:val="clear" w:color="auto" w:fill="auto"/>
            <w:noWrap/>
            <w:vAlign w:val="center"/>
          </w:tcPr>
          <w:p w14:paraId="6420822D">
            <w:pPr>
              <w:pStyle w:val="23"/>
              <w:jc w:val="center"/>
              <w:rPr>
                <w:rFonts w:ascii="宋体" w:hAnsi="宋体"/>
                <w:szCs w:val="21"/>
              </w:rPr>
            </w:pPr>
            <w:r>
              <w:rPr>
                <w:rFonts w:ascii="宋体" w:hAnsi="宋体"/>
                <w:szCs w:val="21"/>
              </w:rPr>
              <w:t>1817</w:t>
            </w:r>
          </w:p>
        </w:tc>
        <w:tc>
          <w:tcPr>
            <w:tcW w:w="531" w:type="pct"/>
            <w:shd w:val="clear" w:color="auto" w:fill="auto"/>
            <w:noWrap/>
            <w:vAlign w:val="center"/>
          </w:tcPr>
          <w:p w14:paraId="499AA45D">
            <w:pPr>
              <w:pStyle w:val="23"/>
              <w:jc w:val="center"/>
              <w:rPr>
                <w:rFonts w:ascii="宋体" w:hAnsi="宋体"/>
                <w:szCs w:val="21"/>
              </w:rPr>
            </w:pPr>
            <w:r>
              <w:rPr>
                <w:rFonts w:ascii="宋体" w:hAnsi="宋体"/>
                <w:szCs w:val="21"/>
              </w:rPr>
              <w:t>16</w:t>
            </w:r>
          </w:p>
        </w:tc>
        <w:tc>
          <w:tcPr>
            <w:tcW w:w="680" w:type="pct"/>
            <w:shd w:val="clear" w:color="auto" w:fill="auto"/>
            <w:noWrap/>
            <w:vAlign w:val="center"/>
          </w:tcPr>
          <w:p w14:paraId="5D65B5E5">
            <w:pPr>
              <w:pStyle w:val="23"/>
              <w:jc w:val="center"/>
              <w:rPr>
                <w:rFonts w:ascii="宋体" w:hAnsi="宋体"/>
                <w:szCs w:val="21"/>
              </w:rPr>
            </w:pPr>
            <w:r>
              <w:rPr>
                <w:rFonts w:ascii="宋体" w:hAnsi="宋体"/>
                <w:szCs w:val="21"/>
              </w:rPr>
              <w:t>6767</w:t>
            </w:r>
          </w:p>
        </w:tc>
        <w:tc>
          <w:tcPr>
            <w:tcW w:w="755" w:type="pct"/>
            <w:shd w:val="clear" w:color="auto" w:fill="auto"/>
            <w:noWrap/>
            <w:vAlign w:val="center"/>
          </w:tcPr>
          <w:p w14:paraId="525DA991">
            <w:pPr>
              <w:pStyle w:val="23"/>
              <w:jc w:val="center"/>
              <w:rPr>
                <w:rFonts w:ascii="宋体" w:hAnsi="宋体"/>
                <w:szCs w:val="21"/>
              </w:rPr>
            </w:pPr>
            <w:r>
              <w:rPr>
                <w:rFonts w:ascii="宋体" w:hAnsi="宋体"/>
                <w:szCs w:val="21"/>
              </w:rPr>
              <w:t>6531</w:t>
            </w:r>
          </w:p>
        </w:tc>
      </w:tr>
      <w:tr w14:paraId="19F7636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766" w:type="pct"/>
            <w:shd w:val="clear" w:color="auto" w:fill="auto"/>
            <w:noWrap/>
            <w:vAlign w:val="center"/>
          </w:tcPr>
          <w:p w14:paraId="4F21C0BD">
            <w:pPr>
              <w:pStyle w:val="23"/>
              <w:jc w:val="center"/>
              <w:rPr>
                <w:rFonts w:ascii="宋体" w:hAnsi="宋体"/>
                <w:szCs w:val="21"/>
              </w:rPr>
            </w:pPr>
            <w:r>
              <w:rPr>
                <w:rFonts w:ascii="宋体" w:hAnsi="宋体"/>
                <w:szCs w:val="21"/>
              </w:rPr>
              <w:t>郊区村</w:t>
            </w:r>
          </w:p>
        </w:tc>
        <w:tc>
          <w:tcPr>
            <w:tcW w:w="469" w:type="pct"/>
            <w:shd w:val="clear" w:color="auto" w:fill="auto"/>
            <w:noWrap/>
            <w:vAlign w:val="center"/>
          </w:tcPr>
          <w:p w14:paraId="1AEDE565">
            <w:pPr>
              <w:pStyle w:val="23"/>
              <w:jc w:val="center"/>
              <w:rPr>
                <w:rFonts w:ascii="宋体" w:hAnsi="宋体"/>
                <w:szCs w:val="21"/>
              </w:rPr>
            </w:pPr>
            <w:r>
              <w:rPr>
                <w:rFonts w:ascii="宋体" w:hAnsi="宋体"/>
                <w:szCs w:val="21"/>
              </w:rPr>
              <w:t>2.21</w:t>
            </w:r>
          </w:p>
        </w:tc>
        <w:tc>
          <w:tcPr>
            <w:tcW w:w="381" w:type="pct"/>
            <w:shd w:val="clear" w:color="auto" w:fill="auto"/>
            <w:noWrap/>
            <w:vAlign w:val="center"/>
          </w:tcPr>
          <w:p w14:paraId="2498C880">
            <w:pPr>
              <w:pStyle w:val="23"/>
              <w:jc w:val="center"/>
              <w:rPr>
                <w:rFonts w:ascii="宋体" w:hAnsi="宋体"/>
                <w:szCs w:val="21"/>
              </w:rPr>
            </w:pPr>
            <w:r>
              <w:rPr>
                <w:rFonts w:ascii="宋体" w:hAnsi="宋体"/>
                <w:szCs w:val="21"/>
              </w:rPr>
              <w:t>1757</w:t>
            </w:r>
          </w:p>
        </w:tc>
        <w:tc>
          <w:tcPr>
            <w:tcW w:w="381" w:type="pct"/>
            <w:shd w:val="clear" w:color="auto" w:fill="auto"/>
            <w:noWrap/>
            <w:vAlign w:val="center"/>
          </w:tcPr>
          <w:p w14:paraId="33864616">
            <w:pPr>
              <w:pStyle w:val="23"/>
              <w:jc w:val="center"/>
              <w:rPr>
                <w:rFonts w:ascii="宋体" w:hAnsi="宋体"/>
                <w:szCs w:val="21"/>
              </w:rPr>
            </w:pPr>
            <w:r>
              <w:rPr>
                <w:rFonts w:ascii="宋体" w:hAnsi="宋体"/>
                <w:szCs w:val="21"/>
              </w:rPr>
              <w:t>5684</w:t>
            </w:r>
          </w:p>
        </w:tc>
        <w:tc>
          <w:tcPr>
            <w:tcW w:w="506" w:type="pct"/>
            <w:shd w:val="clear" w:color="auto" w:fill="auto"/>
            <w:noWrap/>
            <w:vAlign w:val="center"/>
          </w:tcPr>
          <w:p w14:paraId="27BB0EBA">
            <w:pPr>
              <w:pStyle w:val="23"/>
              <w:jc w:val="center"/>
              <w:rPr>
                <w:rFonts w:ascii="宋体" w:hAnsi="宋体"/>
                <w:szCs w:val="21"/>
              </w:rPr>
            </w:pPr>
            <w:r>
              <w:rPr>
                <w:rFonts w:ascii="宋体" w:hAnsi="宋体"/>
                <w:szCs w:val="21"/>
              </w:rPr>
              <w:t>1162</w:t>
            </w:r>
          </w:p>
        </w:tc>
        <w:tc>
          <w:tcPr>
            <w:tcW w:w="531" w:type="pct"/>
            <w:shd w:val="clear" w:color="auto" w:fill="auto"/>
            <w:noWrap/>
            <w:vAlign w:val="center"/>
          </w:tcPr>
          <w:p w14:paraId="7F5CA620">
            <w:pPr>
              <w:pStyle w:val="23"/>
              <w:jc w:val="center"/>
              <w:rPr>
                <w:rFonts w:ascii="宋体" w:hAnsi="宋体"/>
                <w:szCs w:val="21"/>
              </w:rPr>
            </w:pPr>
            <w:r>
              <w:rPr>
                <w:rFonts w:ascii="宋体" w:hAnsi="宋体"/>
                <w:szCs w:val="21"/>
              </w:rPr>
              <w:t>1143</w:t>
            </w:r>
          </w:p>
        </w:tc>
        <w:tc>
          <w:tcPr>
            <w:tcW w:w="531" w:type="pct"/>
            <w:shd w:val="clear" w:color="auto" w:fill="auto"/>
            <w:noWrap/>
            <w:vAlign w:val="center"/>
          </w:tcPr>
          <w:p w14:paraId="23880C95">
            <w:pPr>
              <w:pStyle w:val="23"/>
              <w:jc w:val="center"/>
              <w:rPr>
                <w:rFonts w:ascii="宋体" w:hAnsi="宋体"/>
                <w:szCs w:val="21"/>
              </w:rPr>
            </w:pPr>
            <w:r>
              <w:rPr>
                <w:rFonts w:ascii="宋体" w:hAnsi="宋体"/>
                <w:szCs w:val="21"/>
              </w:rPr>
              <w:t>14</w:t>
            </w:r>
          </w:p>
        </w:tc>
        <w:tc>
          <w:tcPr>
            <w:tcW w:w="680" w:type="pct"/>
            <w:shd w:val="clear" w:color="auto" w:fill="auto"/>
            <w:noWrap/>
            <w:vAlign w:val="center"/>
          </w:tcPr>
          <w:p w14:paraId="738F6D3D">
            <w:pPr>
              <w:pStyle w:val="23"/>
              <w:jc w:val="center"/>
              <w:rPr>
                <w:rFonts w:ascii="宋体" w:hAnsi="宋体"/>
                <w:szCs w:val="21"/>
              </w:rPr>
            </w:pPr>
            <w:r>
              <w:rPr>
                <w:rFonts w:ascii="宋体" w:hAnsi="宋体"/>
                <w:szCs w:val="21"/>
              </w:rPr>
              <w:t>6693</w:t>
            </w:r>
          </w:p>
        </w:tc>
        <w:tc>
          <w:tcPr>
            <w:tcW w:w="755" w:type="pct"/>
            <w:shd w:val="clear" w:color="auto" w:fill="auto"/>
            <w:noWrap/>
            <w:vAlign w:val="center"/>
          </w:tcPr>
          <w:p w14:paraId="74526446">
            <w:pPr>
              <w:pStyle w:val="23"/>
              <w:jc w:val="center"/>
              <w:rPr>
                <w:rFonts w:ascii="宋体" w:hAnsi="宋体"/>
                <w:szCs w:val="21"/>
              </w:rPr>
            </w:pPr>
            <w:r>
              <w:rPr>
                <w:rFonts w:ascii="宋体" w:hAnsi="宋体"/>
                <w:szCs w:val="21"/>
              </w:rPr>
              <w:t>6278</w:t>
            </w:r>
          </w:p>
        </w:tc>
      </w:tr>
      <w:tr w14:paraId="57BE9B0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766" w:type="pct"/>
            <w:shd w:val="clear" w:color="auto" w:fill="auto"/>
            <w:noWrap/>
            <w:vAlign w:val="center"/>
          </w:tcPr>
          <w:p w14:paraId="0B0DA05D">
            <w:pPr>
              <w:pStyle w:val="23"/>
              <w:jc w:val="center"/>
              <w:rPr>
                <w:rFonts w:ascii="宋体" w:hAnsi="宋体"/>
                <w:szCs w:val="21"/>
              </w:rPr>
            </w:pPr>
            <w:r>
              <w:rPr>
                <w:rFonts w:ascii="宋体" w:hAnsi="宋体"/>
                <w:szCs w:val="21"/>
              </w:rPr>
              <w:t>河南村</w:t>
            </w:r>
          </w:p>
        </w:tc>
        <w:tc>
          <w:tcPr>
            <w:tcW w:w="469" w:type="pct"/>
            <w:shd w:val="clear" w:color="auto" w:fill="auto"/>
            <w:noWrap/>
            <w:vAlign w:val="center"/>
          </w:tcPr>
          <w:p w14:paraId="1F447331">
            <w:pPr>
              <w:pStyle w:val="23"/>
              <w:jc w:val="center"/>
              <w:rPr>
                <w:rFonts w:ascii="宋体" w:hAnsi="宋体"/>
                <w:szCs w:val="21"/>
              </w:rPr>
            </w:pPr>
            <w:r>
              <w:rPr>
                <w:rFonts w:ascii="宋体" w:hAnsi="宋体"/>
                <w:szCs w:val="21"/>
              </w:rPr>
              <w:t>3.61</w:t>
            </w:r>
          </w:p>
        </w:tc>
        <w:tc>
          <w:tcPr>
            <w:tcW w:w="381" w:type="pct"/>
            <w:shd w:val="clear" w:color="auto" w:fill="auto"/>
            <w:noWrap/>
            <w:vAlign w:val="center"/>
          </w:tcPr>
          <w:p w14:paraId="1364448C">
            <w:pPr>
              <w:pStyle w:val="23"/>
              <w:jc w:val="center"/>
              <w:rPr>
                <w:rFonts w:ascii="宋体" w:hAnsi="宋体"/>
                <w:szCs w:val="21"/>
              </w:rPr>
            </w:pPr>
            <w:r>
              <w:rPr>
                <w:rFonts w:ascii="宋体" w:hAnsi="宋体"/>
                <w:szCs w:val="21"/>
              </w:rPr>
              <w:t>621</w:t>
            </w:r>
          </w:p>
        </w:tc>
        <w:tc>
          <w:tcPr>
            <w:tcW w:w="381" w:type="pct"/>
            <w:shd w:val="clear" w:color="auto" w:fill="auto"/>
            <w:noWrap/>
            <w:vAlign w:val="center"/>
          </w:tcPr>
          <w:p w14:paraId="45B950D9">
            <w:pPr>
              <w:pStyle w:val="23"/>
              <w:jc w:val="center"/>
              <w:rPr>
                <w:rFonts w:ascii="宋体" w:hAnsi="宋体"/>
                <w:szCs w:val="21"/>
              </w:rPr>
            </w:pPr>
            <w:r>
              <w:rPr>
                <w:rFonts w:ascii="宋体" w:hAnsi="宋体"/>
                <w:szCs w:val="21"/>
              </w:rPr>
              <w:t>2453</w:t>
            </w:r>
          </w:p>
        </w:tc>
        <w:tc>
          <w:tcPr>
            <w:tcW w:w="506" w:type="pct"/>
            <w:shd w:val="clear" w:color="auto" w:fill="auto"/>
            <w:noWrap/>
            <w:vAlign w:val="center"/>
          </w:tcPr>
          <w:p w14:paraId="79C8C0AF">
            <w:pPr>
              <w:pStyle w:val="23"/>
              <w:jc w:val="center"/>
              <w:rPr>
                <w:rFonts w:ascii="宋体" w:hAnsi="宋体"/>
                <w:szCs w:val="21"/>
              </w:rPr>
            </w:pPr>
            <w:r>
              <w:rPr>
                <w:rFonts w:ascii="宋体" w:hAnsi="宋体"/>
                <w:szCs w:val="21"/>
              </w:rPr>
              <w:t>1575</w:t>
            </w:r>
          </w:p>
        </w:tc>
        <w:tc>
          <w:tcPr>
            <w:tcW w:w="531" w:type="pct"/>
            <w:shd w:val="clear" w:color="auto" w:fill="auto"/>
            <w:noWrap/>
            <w:vAlign w:val="center"/>
          </w:tcPr>
          <w:p w14:paraId="0A20A773">
            <w:pPr>
              <w:pStyle w:val="23"/>
              <w:jc w:val="center"/>
              <w:rPr>
                <w:rFonts w:ascii="宋体" w:hAnsi="宋体"/>
                <w:szCs w:val="21"/>
              </w:rPr>
            </w:pPr>
            <w:r>
              <w:rPr>
                <w:rFonts w:ascii="宋体" w:hAnsi="宋体"/>
                <w:szCs w:val="21"/>
              </w:rPr>
              <w:t>768</w:t>
            </w:r>
          </w:p>
        </w:tc>
        <w:tc>
          <w:tcPr>
            <w:tcW w:w="531" w:type="pct"/>
            <w:shd w:val="clear" w:color="auto" w:fill="auto"/>
            <w:noWrap/>
            <w:vAlign w:val="center"/>
          </w:tcPr>
          <w:p w14:paraId="4CAEFC8B">
            <w:pPr>
              <w:pStyle w:val="23"/>
              <w:jc w:val="center"/>
              <w:rPr>
                <w:rFonts w:ascii="宋体" w:hAnsi="宋体"/>
                <w:szCs w:val="21"/>
              </w:rPr>
            </w:pPr>
            <w:r>
              <w:rPr>
                <w:rFonts w:ascii="宋体" w:hAnsi="宋体"/>
                <w:szCs w:val="21"/>
              </w:rPr>
              <w:t>11</w:t>
            </w:r>
          </w:p>
        </w:tc>
        <w:tc>
          <w:tcPr>
            <w:tcW w:w="680" w:type="pct"/>
            <w:shd w:val="clear" w:color="auto" w:fill="auto"/>
            <w:noWrap/>
            <w:vAlign w:val="center"/>
          </w:tcPr>
          <w:p w14:paraId="371A5E52">
            <w:pPr>
              <w:pStyle w:val="23"/>
              <w:jc w:val="center"/>
              <w:rPr>
                <w:rFonts w:ascii="宋体" w:hAnsi="宋体"/>
                <w:szCs w:val="21"/>
              </w:rPr>
            </w:pPr>
            <w:r>
              <w:rPr>
                <w:rFonts w:ascii="宋体" w:hAnsi="宋体"/>
                <w:szCs w:val="21"/>
              </w:rPr>
              <w:t>4496</w:t>
            </w:r>
          </w:p>
        </w:tc>
        <w:tc>
          <w:tcPr>
            <w:tcW w:w="755" w:type="pct"/>
            <w:shd w:val="clear" w:color="auto" w:fill="auto"/>
            <w:noWrap/>
            <w:vAlign w:val="center"/>
          </w:tcPr>
          <w:p w14:paraId="74A0CB88">
            <w:pPr>
              <w:pStyle w:val="23"/>
              <w:jc w:val="center"/>
              <w:rPr>
                <w:rFonts w:ascii="宋体" w:hAnsi="宋体"/>
                <w:szCs w:val="21"/>
              </w:rPr>
            </w:pPr>
            <w:r>
              <w:rPr>
                <w:rFonts w:ascii="宋体" w:hAnsi="宋体"/>
                <w:szCs w:val="21"/>
              </w:rPr>
              <w:t>6321</w:t>
            </w:r>
          </w:p>
        </w:tc>
      </w:tr>
      <w:tr w14:paraId="0951109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766" w:type="pct"/>
            <w:shd w:val="clear" w:color="auto" w:fill="auto"/>
            <w:noWrap/>
            <w:vAlign w:val="center"/>
          </w:tcPr>
          <w:p w14:paraId="3A79B613">
            <w:pPr>
              <w:pStyle w:val="23"/>
              <w:jc w:val="center"/>
              <w:rPr>
                <w:rFonts w:ascii="宋体" w:hAnsi="宋体"/>
                <w:szCs w:val="21"/>
              </w:rPr>
            </w:pPr>
            <w:r>
              <w:rPr>
                <w:rFonts w:ascii="宋体" w:hAnsi="宋体"/>
                <w:szCs w:val="21"/>
              </w:rPr>
              <w:t>水南村</w:t>
            </w:r>
          </w:p>
        </w:tc>
        <w:tc>
          <w:tcPr>
            <w:tcW w:w="469" w:type="pct"/>
            <w:shd w:val="clear" w:color="auto" w:fill="auto"/>
            <w:noWrap/>
            <w:vAlign w:val="center"/>
          </w:tcPr>
          <w:p w14:paraId="1344D17C">
            <w:pPr>
              <w:pStyle w:val="23"/>
              <w:jc w:val="center"/>
              <w:rPr>
                <w:rFonts w:ascii="宋体" w:hAnsi="宋体"/>
                <w:szCs w:val="21"/>
              </w:rPr>
            </w:pPr>
            <w:r>
              <w:rPr>
                <w:rFonts w:ascii="宋体" w:hAnsi="宋体"/>
                <w:szCs w:val="21"/>
              </w:rPr>
              <w:t>2.62</w:t>
            </w:r>
          </w:p>
        </w:tc>
        <w:tc>
          <w:tcPr>
            <w:tcW w:w="381" w:type="pct"/>
            <w:shd w:val="clear" w:color="auto" w:fill="auto"/>
            <w:noWrap/>
            <w:vAlign w:val="center"/>
          </w:tcPr>
          <w:p w14:paraId="2ED65BE0">
            <w:pPr>
              <w:pStyle w:val="23"/>
              <w:jc w:val="center"/>
              <w:rPr>
                <w:rFonts w:ascii="宋体" w:hAnsi="宋体"/>
                <w:szCs w:val="21"/>
              </w:rPr>
            </w:pPr>
            <w:r>
              <w:rPr>
                <w:rFonts w:ascii="宋体" w:hAnsi="宋体"/>
                <w:szCs w:val="21"/>
              </w:rPr>
              <w:t>1133</w:t>
            </w:r>
          </w:p>
        </w:tc>
        <w:tc>
          <w:tcPr>
            <w:tcW w:w="381" w:type="pct"/>
            <w:shd w:val="clear" w:color="auto" w:fill="auto"/>
            <w:noWrap/>
            <w:vAlign w:val="center"/>
          </w:tcPr>
          <w:p w14:paraId="5F1E028F">
            <w:pPr>
              <w:pStyle w:val="23"/>
              <w:jc w:val="center"/>
              <w:rPr>
                <w:rFonts w:ascii="宋体" w:hAnsi="宋体"/>
                <w:szCs w:val="21"/>
              </w:rPr>
            </w:pPr>
            <w:r>
              <w:rPr>
                <w:rFonts w:ascii="宋体" w:hAnsi="宋体"/>
                <w:szCs w:val="21"/>
              </w:rPr>
              <w:t>3296</w:t>
            </w:r>
          </w:p>
        </w:tc>
        <w:tc>
          <w:tcPr>
            <w:tcW w:w="506" w:type="pct"/>
            <w:shd w:val="clear" w:color="auto" w:fill="auto"/>
            <w:noWrap/>
            <w:vAlign w:val="center"/>
          </w:tcPr>
          <w:p w14:paraId="0615DB17">
            <w:pPr>
              <w:pStyle w:val="23"/>
              <w:jc w:val="center"/>
              <w:rPr>
                <w:rFonts w:ascii="宋体" w:hAnsi="宋体"/>
                <w:szCs w:val="21"/>
              </w:rPr>
            </w:pPr>
            <w:r>
              <w:rPr>
                <w:rFonts w:ascii="宋体" w:hAnsi="宋体"/>
                <w:szCs w:val="21"/>
              </w:rPr>
              <w:t>498</w:t>
            </w:r>
          </w:p>
        </w:tc>
        <w:tc>
          <w:tcPr>
            <w:tcW w:w="531" w:type="pct"/>
            <w:shd w:val="clear" w:color="auto" w:fill="auto"/>
            <w:noWrap/>
            <w:vAlign w:val="center"/>
          </w:tcPr>
          <w:p w14:paraId="075E11EA">
            <w:pPr>
              <w:pStyle w:val="23"/>
              <w:jc w:val="center"/>
              <w:rPr>
                <w:rFonts w:ascii="宋体" w:hAnsi="宋体"/>
                <w:szCs w:val="21"/>
              </w:rPr>
            </w:pPr>
            <w:r>
              <w:rPr>
                <w:rFonts w:ascii="宋体" w:hAnsi="宋体"/>
                <w:szCs w:val="21"/>
              </w:rPr>
              <w:t>267</w:t>
            </w:r>
          </w:p>
        </w:tc>
        <w:tc>
          <w:tcPr>
            <w:tcW w:w="531" w:type="pct"/>
            <w:shd w:val="clear" w:color="auto" w:fill="auto"/>
            <w:noWrap/>
            <w:vAlign w:val="center"/>
          </w:tcPr>
          <w:p w14:paraId="3E61E083">
            <w:pPr>
              <w:pStyle w:val="23"/>
              <w:jc w:val="center"/>
              <w:rPr>
                <w:rFonts w:ascii="宋体" w:hAnsi="宋体"/>
                <w:szCs w:val="21"/>
              </w:rPr>
            </w:pPr>
            <w:r>
              <w:rPr>
                <w:rFonts w:ascii="宋体" w:hAnsi="宋体"/>
                <w:szCs w:val="21"/>
              </w:rPr>
              <w:t>6</w:t>
            </w:r>
          </w:p>
        </w:tc>
        <w:tc>
          <w:tcPr>
            <w:tcW w:w="680" w:type="pct"/>
            <w:shd w:val="clear" w:color="auto" w:fill="auto"/>
            <w:noWrap/>
            <w:vAlign w:val="center"/>
          </w:tcPr>
          <w:p w14:paraId="59B2AD9D">
            <w:pPr>
              <w:pStyle w:val="23"/>
              <w:jc w:val="center"/>
              <w:rPr>
                <w:rFonts w:ascii="宋体" w:hAnsi="宋体"/>
                <w:szCs w:val="21"/>
              </w:rPr>
            </w:pPr>
            <w:r>
              <w:rPr>
                <w:rFonts w:ascii="宋体" w:hAnsi="宋体"/>
                <w:szCs w:val="21"/>
              </w:rPr>
              <w:t>4949</w:t>
            </w:r>
          </w:p>
        </w:tc>
        <w:tc>
          <w:tcPr>
            <w:tcW w:w="755" w:type="pct"/>
            <w:shd w:val="clear" w:color="auto" w:fill="auto"/>
            <w:noWrap/>
            <w:vAlign w:val="center"/>
          </w:tcPr>
          <w:p w14:paraId="1BBC01E8">
            <w:pPr>
              <w:pStyle w:val="23"/>
              <w:jc w:val="center"/>
              <w:rPr>
                <w:rFonts w:ascii="宋体" w:hAnsi="宋体"/>
                <w:szCs w:val="21"/>
              </w:rPr>
            </w:pPr>
            <w:r>
              <w:rPr>
                <w:rFonts w:ascii="宋体" w:hAnsi="宋体"/>
                <w:szCs w:val="21"/>
              </w:rPr>
              <w:t>6270</w:t>
            </w:r>
          </w:p>
        </w:tc>
      </w:tr>
      <w:tr w14:paraId="4C51516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766" w:type="pct"/>
            <w:shd w:val="clear" w:color="auto" w:fill="auto"/>
            <w:noWrap/>
            <w:vAlign w:val="center"/>
          </w:tcPr>
          <w:p w14:paraId="673C87C7">
            <w:pPr>
              <w:pStyle w:val="23"/>
              <w:jc w:val="center"/>
              <w:rPr>
                <w:rFonts w:ascii="宋体" w:hAnsi="宋体"/>
                <w:szCs w:val="21"/>
              </w:rPr>
            </w:pPr>
            <w:r>
              <w:rPr>
                <w:rFonts w:ascii="宋体" w:hAnsi="宋体"/>
                <w:szCs w:val="21"/>
              </w:rPr>
              <w:t>八一社区</w:t>
            </w:r>
          </w:p>
        </w:tc>
        <w:tc>
          <w:tcPr>
            <w:tcW w:w="469" w:type="pct"/>
            <w:shd w:val="clear" w:color="auto" w:fill="auto"/>
            <w:noWrap/>
            <w:vAlign w:val="center"/>
          </w:tcPr>
          <w:p w14:paraId="385AE252">
            <w:pPr>
              <w:pStyle w:val="23"/>
              <w:jc w:val="center"/>
              <w:rPr>
                <w:rFonts w:ascii="宋体" w:hAnsi="宋体"/>
                <w:szCs w:val="21"/>
              </w:rPr>
            </w:pPr>
            <w:r>
              <w:rPr>
                <w:rFonts w:ascii="宋体" w:hAnsi="宋体"/>
                <w:szCs w:val="21"/>
              </w:rPr>
              <w:t>1.25</w:t>
            </w:r>
          </w:p>
        </w:tc>
        <w:tc>
          <w:tcPr>
            <w:tcW w:w="381" w:type="pct"/>
            <w:shd w:val="clear" w:color="auto" w:fill="auto"/>
            <w:noWrap/>
            <w:vAlign w:val="center"/>
          </w:tcPr>
          <w:p w14:paraId="68B514E0">
            <w:pPr>
              <w:pStyle w:val="23"/>
              <w:jc w:val="center"/>
              <w:rPr>
                <w:rFonts w:ascii="宋体" w:hAnsi="宋体"/>
                <w:szCs w:val="21"/>
              </w:rPr>
            </w:pPr>
            <w:r>
              <w:rPr>
                <w:rFonts w:ascii="宋体" w:hAnsi="宋体"/>
                <w:szCs w:val="21"/>
              </w:rPr>
              <w:t>3901</w:t>
            </w:r>
          </w:p>
        </w:tc>
        <w:tc>
          <w:tcPr>
            <w:tcW w:w="381" w:type="pct"/>
            <w:shd w:val="clear" w:color="auto" w:fill="auto"/>
            <w:noWrap/>
            <w:vAlign w:val="center"/>
          </w:tcPr>
          <w:p w14:paraId="3278CC13">
            <w:pPr>
              <w:pStyle w:val="23"/>
              <w:jc w:val="center"/>
              <w:rPr>
                <w:rFonts w:ascii="宋体" w:hAnsi="宋体"/>
                <w:szCs w:val="21"/>
              </w:rPr>
            </w:pPr>
            <w:r>
              <w:rPr>
                <w:rFonts w:ascii="宋体" w:hAnsi="宋体"/>
                <w:szCs w:val="21"/>
              </w:rPr>
              <w:t>9527</w:t>
            </w:r>
          </w:p>
        </w:tc>
        <w:tc>
          <w:tcPr>
            <w:tcW w:w="506" w:type="pct"/>
            <w:shd w:val="clear" w:color="auto" w:fill="auto"/>
            <w:noWrap/>
            <w:vAlign w:val="center"/>
          </w:tcPr>
          <w:p w14:paraId="28F976F7">
            <w:pPr>
              <w:pStyle w:val="23"/>
              <w:jc w:val="center"/>
              <w:rPr>
                <w:rFonts w:ascii="宋体" w:hAnsi="宋体"/>
                <w:szCs w:val="21"/>
              </w:rPr>
            </w:pPr>
          </w:p>
        </w:tc>
        <w:tc>
          <w:tcPr>
            <w:tcW w:w="531" w:type="pct"/>
            <w:shd w:val="clear" w:color="auto" w:fill="auto"/>
            <w:noWrap/>
            <w:vAlign w:val="center"/>
          </w:tcPr>
          <w:p w14:paraId="41CEA3E6">
            <w:pPr>
              <w:pStyle w:val="23"/>
              <w:jc w:val="center"/>
              <w:rPr>
                <w:rFonts w:ascii="宋体" w:hAnsi="宋体"/>
                <w:szCs w:val="21"/>
              </w:rPr>
            </w:pPr>
          </w:p>
        </w:tc>
        <w:tc>
          <w:tcPr>
            <w:tcW w:w="531" w:type="pct"/>
            <w:shd w:val="clear" w:color="auto" w:fill="auto"/>
            <w:noWrap/>
            <w:vAlign w:val="center"/>
          </w:tcPr>
          <w:p w14:paraId="4DF29086">
            <w:pPr>
              <w:pStyle w:val="23"/>
              <w:jc w:val="center"/>
              <w:rPr>
                <w:rFonts w:ascii="宋体" w:hAnsi="宋体"/>
                <w:szCs w:val="21"/>
              </w:rPr>
            </w:pPr>
            <w:r>
              <w:rPr>
                <w:rFonts w:ascii="宋体" w:hAnsi="宋体"/>
                <w:szCs w:val="21"/>
              </w:rPr>
              <w:t>18</w:t>
            </w:r>
          </w:p>
        </w:tc>
        <w:tc>
          <w:tcPr>
            <w:tcW w:w="680" w:type="pct"/>
            <w:shd w:val="clear" w:color="auto" w:fill="auto"/>
            <w:noWrap/>
            <w:vAlign w:val="center"/>
          </w:tcPr>
          <w:p w14:paraId="3EA5CCC3">
            <w:pPr>
              <w:pStyle w:val="23"/>
              <w:jc w:val="center"/>
              <w:rPr>
                <w:rFonts w:ascii="宋体" w:hAnsi="宋体"/>
                <w:szCs w:val="21"/>
              </w:rPr>
            </w:pPr>
          </w:p>
        </w:tc>
        <w:tc>
          <w:tcPr>
            <w:tcW w:w="755" w:type="pct"/>
            <w:shd w:val="clear" w:color="auto" w:fill="auto"/>
            <w:noWrap/>
            <w:vAlign w:val="center"/>
          </w:tcPr>
          <w:p w14:paraId="55B9756A">
            <w:pPr>
              <w:pStyle w:val="23"/>
              <w:jc w:val="center"/>
              <w:rPr>
                <w:rFonts w:ascii="宋体" w:hAnsi="宋体"/>
                <w:szCs w:val="21"/>
              </w:rPr>
            </w:pPr>
          </w:p>
        </w:tc>
      </w:tr>
      <w:tr w14:paraId="188B089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766" w:type="pct"/>
            <w:shd w:val="clear" w:color="auto" w:fill="auto"/>
            <w:noWrap/>
            <w:vAlign w:val="center"/>
          </w:tcPr>
          <w:p w14:paraId="18FF5096">
            <w:pPr>
              <w:pStyle w:val="23"/>
              <w:jc w:val="center"/>
              <w:rPr>
                <w:rFonts w:ascii="宋体" w:hAnsi="宋体"/>
                <w:szCs w:val="21"/>
              </w:rPr>
            </w:pPr>
            <w:r>
              <w:rPr>
                <w:rFonts w:ascii="宋体" w:hAnsi="宋体"/>
                <w:szCs w:val="21"/>
              </w:rPr>
              <w:t>胜利社区</w:t>
            </w:r>
          </w:p>
        </w:tc>
        <w:tc>
          <w:tcPr>
            <w:tcW w:w="469" w:type="pct"/>
            <w:shd w:val="clear" w:color="auto" w:fill="auto"/>
            <w:noWrap/>
            <w:vAlign w:val="center"/>
          </w:tcPr>
          <w:p w14:paraId="0C86AEED">
            <w:pPr>
              <w:pStyle w:val="23"/>
              <w:jc w:val="center"/>
              <w:rPr>
                <w:rFonts w:ascii="宋体" w:hAnsi="宋体"/>
                <w:szCs w:val="21"/>
              </w:rPr>
            </w:pPr>
            <w:r>
              <w:rPr>
                <w:rFonts w:ascii="宋体" w:hAnsi="宋体"/>
                <w:szCs w:val="21"/>
              </w:rPr>
              <w:t>1.07</w:t>
            </w:r>
          </w:p>
        </w:tc>
        <w:tc>
          <w:tcPr>
            <w:tcW w:w="381" w:type="pct"/>
            <w:shd w:val="clear" w:color="auto" w:fill="auto"/>
            <w:noWrap/>
            <w:vAlign w:val="center"/>
          </w:tcPr>
          <w:p w14:paraId="5AEA49D4">
            <w:pPr>
              <w:pStyle w:val="23"/>
              <w:jc w:val="center"/>
              <w:rPr>
                <w:rFonts w:ascii="宋体" w:hAnsi="宋体"/>
                <w:szCs w:val="21"/>
              </w:rPr>
            </w:pPr>
            <w:r>
              <w:rPr>
                <w:rFonts w:ascii="宋体" w:hAnsi="宋体"/>
                <w:szCs w:val="21"/>
              </w:rPr>
              <w:t>2362</w:t>
            </w:r>
          </w:p>
        </w:tc>
        <w:tc>
          <w:tcPr>
            <w:tcW w:w="381" w:type="pct"/>
            <w:shd w:val="clear" w:color="auto" w:fill="auto"/>
            <w:noWrap/>
            <w:vAlign w:val="center"/>
          </w:tcPr>
          <w:p w14:paraId="6E97F065">
            <w:pPr>
              <w:pStyle w:val="23"/>
              <w:jc w:val="center"/>
              <w:rPr>
                <w:rFonts w:ascii="宋体" w:hAnsi="宋体"/>
                <w:szCs w:val="21"/>
              </w:rPr>
            </w:pPr>
            <w:r>
              <w:rPr>
                <w:rFonts w:ascii="宋体" w:hAnsi="宋体"/>
                <w:szCs w:val="21"/>
              </w:rPr>
              <w:t>5861</w:t>
            </w:r>
          </w:p>
        </w:tc>
        <w:tc>
          <w:tcPr>
            <w:tcW w:w="506" w:type="pct"/>
            <w:shd w:val="clear" w:color="auto" w:fill="auto"/>
            <w:noWrap/>
            <w:vAlign w:val="center"/>
          </w:tcPr>
          <w:p w14:paraId="17DB9E77">
            <w:pPr>
              <w:pStyle w:val="23"/>
              <w:jc w:val="center"/>
              <w:rPr>
                <w:rFonts w:ascii="宋体" w:hAnsi="宋体"/>
                <w:szCs w:val="21"/>
              </w:rPr>
            </w:pPr>
          </w:p>
        </w:tc>
        <w:tc>
          <w:tcPr>
            <w:tcW w:w="531" w:type="pct"/>
            <w:shd w:val="clear" w:color="auto" w:fill="auto"/>
            <w:noWrap/>
            <w:vAlign w:val="center"/>
          </w:tcPr>
          <w:p w14:paraId="0585A656">
            <w:pPr>
              <w:pStyle w:val="23"/>
              <w:jc w:val="center"/>
              <w:rPr>
                <w:rFonts w:ascii="宋体" w:hAnsi="宋体"/>
                <w:szCs w:val="21"/>
              </w:rPr>
            </w:pPr>
          </w:p>
        </w:tc>
        <w:tc>
          <w:tcPr>
            <w:tcW w:w="531" w:type="pct"/>
            <w:shd w:val="clear" w:color="auto" w:fill="auto"/>
            <w:noWrap/>
            <w:vAlign w:val="center"/>
          </w:tcPr>
          <w:p w14:paraId="5E4AFA46">
            <w:pPr>
              <w:pStyle w:val="23"/>
              <w:jc w:val="center"/>
              <w:rPr>
                <w:rFonts w:ascii="宋体" w:hAnsi="宋体"/>
                <w:szCs w:val="21"/>
              </w:rPr>
            </w:pPr>
            <w:r>
              <w:rPr>
                <w:rFonts w:ascii="宋体" w:hAnsi="宋体"/>
                <w:szCs w:val="21"/>
              </w:rPr>
              <w:t>12</w:t>
            </w:r>
          </w:p>
        </w:tc>
        <w:tc>
          <w:tcPr>
            <w:tcW w:w="680" w:type="pct"/>
            <w:shd w:val="clear" w:color="auto" w:fill="auto"/>
            <w:noWrap/>
            <w:vAlign w:val="center"/>
          </w:tcPr>
          <w:p w14:paraId="2925AC68">
            <w:pPr>
              <w:pStyle w:val="23"/>
              <w:jc w:val="center"/>
              <w:rPr>
                <w:rFonts w:ascii="宋体" w:hAnsi="宋体"/>
                <w:szCs w:val="21"/>
              </w:rPr>
            </w:pPr>
          </w:p>
        </w:tc>
        <w:tc>
          <w:tcPr>
            <w:tcW w:w="755" w:type="pct"/>
            <w:shd w:val="clear" w:color="auto" w:fill="auto"/>
            <w:noWrap/>
            <w:vAlign w:val="center"/>
          </w:tcPr>
          <w:p w14:paraId="58723610">
            <w:pPr>
              <w:pStyle w:val="23"/>
              <w:jc w:val="center"/>
              <w:rPr>
                <w:rFonts w:ascii="宋体" w:hAnsi="宋体"/>
                <w:szCs w:val="21"/>
              </w:rPr>
            </w:pPr>
          </w:p>
        </w:tc>
      </w:tr>
      <w:tr w14:paraId="5E4C085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766" w:type="pct"/>
            <w:shd w:val="clear" w:color="auto" w:fill="auto"/>
            <w:noWrap/>
            <w:vAlign w:val="center"/>
          </w:tcPr>
          <w:p w14:paraId="15EDEC35">
            <w:pPr>
              <w:pStyle w:val="23"/>
              <w:jc w:val="center"/>
              <w:rPr>
                <w:rFonts w:ascii="宋体" w:hAnsi="宋体"/>
                <w:szCs w:val="21"/>
              </w:rPr>
            </w:pPr>
            <w:r>
              <w:rPr>
                <w:rFonts w:ascii="宋体" w:hAnsi="宋体"/>
                <w:szCs w:val="21"/>
              </w:rPr>
              <w:t>民主社区</w:t>
            </w:r>
          </w:p>
        </w:tc>
        <w:tc>
          <w:tcPr>
            <w:tcW w:w="469" w:type="pct"/>
            <w:shd w:val="clear" w:color="auto" w:fill="auto"/>
            <w:noWrap/>
            <w:vAlign w:val="center"/>
          </w:tcPr>
          <w:p w14:paraId="5E89DF15">
            <w:pPr>
              <w:pStyle w:val="23"/>
              <w:jc w:val="center"/>
              <w:rPr>
                <w:rFonts w:ascii="宋体" w:hAnsi="宋体"/>
                <w:szCs w:val="21"/>
              </w:rPr>
            </w:pPr>
            <w:r>
              <w:rPr>
                <w:rFonts w:ascii="宋体" w:hAnsi="宋体"/>
                <w:szCs w:val="21"/>
              </w:rPr>
              <w:t>1.12</w:t>
            </w:r>
          </w:p>
        </w:tc>
        <w:tc>
          <w:tcPr>
            <w:tcW w:w="381" w:type="pct"/>
            <w:shd w:val="clear" w:color="auto" w:fill="auto"/>
            <w:noWrap/>
            <w:vAlign w:val="center"/>
          </w:tcPr>
          <w:p w14:paraId="37D4A237">
            <w:pPr>
              <w:pStyle w:val="23"/>
              <w:jc w:val="center"/>
              <w:rPr>
                <w:rFonts w:ascii="宋体" w:hAnsi="宋体"/>
                <w:szCs w:val="21"/>
              </w:rPr>
            </w:pPr>
            <w:r>
              <w:rPr>
                <w:rFonts w:ascii="宋体" w:hAnsi="宋体"/>
                <w:szCs w:val="21"/>
              </w:rPr>
              <w:t>4619</w:t>
            </w:r>
          </w:p>
        </w:tc>
        <w:tc>
          <w:tcPr>
            <w:tcW w:w="381" w:type="pct"/>
            <w:shd w:val="clear" w:color="auto" w:fill="auto"/>
            <w:noWrap/>
            <w:vAlign w:val="center"/>
          </w:tcPr>
          <w:p w14:paraId="703B9510">
            <w:pPr>
              <w:pStyle w:val="23"/>
              <w:jc w:val="center"/>
              <w:rPr>
                <w:rFonts w:ascii="宋体" w:hAnsi="宋体"/>
                <w:szCs w:val="21"/>
              </w:rPr>
            </w:pPr>
            <w:r>
              <w:rPr>
                <w:rFonts w:ascii="宋体" w:hAnsi="宋体"/>
                <w:szCs w:val="21"/>
              </w:rPr>
              <w:t>7277</w:t>
            </w:r>
          </w:p>
        </w:tc>
        <w:tc>
          <w:tcPr>
            <w:tcW w:w="506" w:type="pct"/>
            <w:shd w:val="clear" w:color="auto" w:fill="auto"/>
            <w:noWrap/>
            <w:vAlign w:val="center"/>
          </w:tcPr>
          <w:p w14:paraId="41874C99">
            <w:pPr>
              <w:pStyle w:val="23"/>
              <w:jc w:val="center"/>
              <w:rPr>
                <w:rFonts w:ascii="宋体" w:hAnsi="宋体"/>
                <w:szCs w:val="21"/>
              </w:rPr>
            </w:pPr>
          </w:p>
        </w:tc>
        <w:tc>
          <w:tcPr>
            <w:tcW w:w="531" w:type="pct"/>
            <w:shd w:val="clear" w:color="auto" w:fill="auto"/>
            <w:noWrap/>
            <w:vAlign w:val="center"/>
          </w:tcPr>
          <w:p w14:paraId="6719E8E1">
            <w:pPr>
              <w:pStyle w:val="23"/>
              <w:jc w:val="center"/>
              <w:rPr>
                <w:rFonts w:ascii="宋体" w:hAnsi="宋体"/>
                <w:szCs w:val="21"/>
              </w:rPr>
            </w:pPr>
          </w:p>
        </w:tc>
        <w:tc>
          <w:tcPr>
            <w:tcW w:w="531" w:type="pct"/>
            <w:shd w:val="clear" w:color="auto" w:fill="auto"/>
            <w:noWrap/>
            <w:vAlign w:val="center"/>
          </w:tcPr>
          <w:p w14:paraId="5E569416">
            <w:pPr>
              <w:pStyle w:val="23"/>
              <w:jc w:val="center"/>
              <w:rPr>
                <w:rFonts w:ascii="宋体" w:hAnsi="宋体"/>
                <w:szCs w:val="21"/>
              </w:rPr>
            </w:pPr>
            <w:r>
              <w:rPr>
                <w:rFonts w:ascii="宋体" w:hAnsi="宋体"/>
                <w:szCs w:val="21"/>
              </w:rPr>
              <w:t>13</w:t>
            </w:r>
          </w:p>
        </w:tc>
        <w:tc>
          <w:tcPr>
            <w:tcW w:w="680" w:type="pct"/>
            <w:shd w:val="clear" w:color="auto" w:fill="auto"/>
            <w:noWrap/>
            <w:vAlign w:val="center"/>
          </w:tcPr>
          <w:p w14:paraId="13561293">
            <w:pPr>
              <w:pStyle w:val="23"/>
              <w:jc w:val="center"/>
              <w:rPr>
                <w:rFonts w:ascii="宋体" w:hAnsi="宋体"/>
                <w:szCs w:val="21"/>
              </w:rPr>
            </w:pPr>
          </w:p>
        </w:tc>
        <w:tc>
          <w:tcPr>
            <w:tcW w:w="755" w:type="pct"/>
            <w:shd w:val="clear" w:color="auto" w:fill="auto"/>
            <w:noWrap/>
            <w:vAlign w:val="center"/>
          </w:tcPr>
          <w:p w14:paraId="7ECCC58C">
            <w:pPr>
              <w:pStyle w:val="23"/>
              <w:jc w:val="center"/>
              <w:rPr>
                <w:rFonts w:ascii="宋体" w:hAnsi="宋体"/>
                <w:szCs w:val="21"/>
              </w:rPr>
            </w:pPr>
          </w:p>
        </w:tc>
      </w:tr>
      <w:tr w14:paraId="7E5A91C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766" w:type="pct"/>
            <w:shd w:val="clear" w:color="auto" w:fill="auto"/>
            <w:noWrap/>
            <w:vAlign w:val="center"/>
          </w:tcPr>
          <w:p w14:paraId="43CB3DB0">
            <w:pPr>
              <w:pStyle w:val="23"/>
              <w:jc w:val="center"/>
              <w:rPr>
                <w:rFonts w:ascii="宋体" w:hAnsi="宋体"/>
                <w:szCs w:val="21"/>
              </w:rPr>
            </w:pPr>
            <w:r>
              <w:rPr>
                <w:rFonts w:ascii="宋体" w:hAnsi="宋体"/>
                <w:szCs w:val="21"/>
              </w:rPr>
              <w:t>建国社区</w:t>
            </w:r>
          </w:p>
        </w:tc>
        <w:tc>
          <w:tcPr>
            <w:tcW w:w="469" w:type="pct"/>
            <w:shd w:val="clear" w:color="auto" w:fill="auto"/>
            <w:noWrap/>
            <w:vAlign w:val="center"/>
          </w:tcPr>
          <w:p w14:paraId="26E5955F">
            <w:pPr>
              <w:pStyle w:val="23"/>
              <w:jc w:val="center"/>
              <w:rPr>
                <w:rFonts w:ascii="宋体" w:hAnsi="宋体"/>
                <w:szCs w:val="21"/>
              </w:rPr>
            </w:pPr>
            <w:r>
              <w:rPr>
                <w:rFonts w:ascii="宋体" w:hAnsi="宋体"/>
                <w:szCs w:val="21"/>
              </w:rPr>
              <w:t>1.07</w:t>
            </w:r>
          </w:p>
        </w:tc>
        <w:tc>
          <w:tcPr>
            <w:tcW w:w="381" w:type="pct"/>
            <w:shd w:val="clear" w:color="auto" w:fill="auto"/>
            <w:noWrap/>
            <w:vAlign w:val="center"/>
          </w:tcPr>
          <w:p w14:paraId="336BDF96">
            <w:pPr>
              <w:pStyle w:val="23"/>
              <w:jc w:val="center"/>
              <w:rPr>
                <w:rFonts w:ascii="宋体" w:hAnsi="宋体"/>
                <w:szCs w:val="21"/>
              </w:rPr>
            </w:pPr>
            <w:r>
              <w:rPr>
                <w:rFonts w:ascii="宋体" w:hAnsi="宋体"/>
                <w:szCs w:val="21"/>
              </w:rPr>
              <w:t>3379</w:t>
            </w:r>
          </w:p>
        </w:tc>
        <w:tc>
          <w:tcPr>
            <w:tcW w:w="381" w:type="pct"/>
            <w:shd w:val="clear" w:color="auto" w:fill="auto"/>
            <w:noWrap/>
            <w:vAlign w:val="center"/>
          </w:tcPr>
          <w:p w14:paraId="6AED338C">
            <w:pPr>
              <w:pStyle w:val="23"/>
              <w:jc w:val="center"/>
              <w:rPr>
                <w:rFonts w:ascii="宋体" w:hAnsi="宋体"/>
                <w:szCs w:val="21"/>
              </w:rPr>
            </w:pPr>
            <w:r>
              <w:rPr>
                <w:rFonts w:ascii="宋体" w:hAnsi="宋体"/>
                <w:szCs w:val="21"/>
              </w:rPr>
              <w:t>5605</w:t>
            </w:r>
          </w:p>
        </w:tc>
        <w:tc>
          <w:tcPr>
            <w:tcW w:w="506" w:type="pct"/>
            <w:shd w:val="clear" w:color="auto" w:fill="auto"/>
            <w:noWrap/>
            <w:vAlign w:val="center"/>
          </w:tcPr>
          <w:p w14:paraId="09BA06AC">
            <w:pPr>
              <w:pStyle w:val="23"/>
              <w:jc w:val="center"/>
              <w:rPr>
                <w:rFonts w:ascii="宋体" w:hAnsi="宋体"/>
                <w:szCs w:val="21"/>
              </w:rPr>
            </w:pPr>
          </w:p>
        </w:tc>
        <w:tc>
          <w:tcPr>
            <w:tcW w:w="531" w:type="pct"/>
            <w:shd w:val="clear" w:color="auto" w:fill="auto"/>
            <w:noWrap/>
            <w:vAlign w:val="center"/>
          </w:tcPr>
          <w:p w14:paraId="7521524E">
            <w:pPr>
              <w:pStyle w:val="23"/>
              <w:jc w:val="center"/>
              <w:rPr>
                <w:rFonts w:ascii="宋体" w:hAnsi="宋体"/>
                <w:szCs w:val="21"/>
              </w:rPr>
            </w:pPr>
          </w:p>
        </w:tc>
        <w:tc>
          <w:tcPr>
            <w:tcW w:w="531" w:type="pct"/>
            <w:shd w:val="clear" w:color="auto" w:fill="auto"/>
            <w:noWrap/>
            <w:vAlign w:val="center"/>
          </w:tcPr>
          <w:p w14:paraId="105116C0">
            <w:pPr>
              <w:pStyle w:val="23"/>
              <w:jc w:val="center"/>
              <w:rPr>
                <w:rFonts w:ascii="宋体" w:hAnsi="宋体"/>
                <w:szCs w:val="21"/>
              </w:rPr>
            </w:pPr>
            <w:r>
              <w:rPr>
                <w:rFonts w:ascii="宋体" w:hAnsi="宋体"/>
                <w:szCs w:val="21"/>
              </w:rPr>
              <w:t>11</w:t>
            </w:r>
          </w:p>
        </w:tc>
        <w:tc>
          <w:tcPr>
            <w:tcW w:w="680" w:type="pct"/>
            <w:shd w:val="clear" w:color="auto" w:fill="auto"/>
            <w:noWrap/>
            <w:vAlign w:val="center"/>
          </w:tcPr>
          <w:p w14:paraId="5436E12E">
            <w:pPr>
              <w:pStyle w:val="23"/>
              <w:jc w:val="center"/>
              <w:rPr>
                <w:rFonts w:ascii="宋体" w:hAnsi="宋体"/>
                <w:szCs w:val="21"/>
              </w:rPr>
            </w:pPr>
          </w:p>
        </w:tc>
        <w:tc>
          <w:tcPr>
            <w:tcW w:w="755" w:type="pct"/>
            <w:shd w:val="clear" w:color="auto" w:fill="auto"/>
            <w:noWrap/>
            <w:vAlign w:val="center"/>
          </w:tcPr>
          <w:p w14:paraId="74385833">
            <w:pPr>
              <w:pStyle w:val="23"/>
              <w:jc w:val="center"/>
              <w:rPr>
                <w:rFonts w:ascii="宋体" w:hAnsi="宋体"/>
                <w:szCs w:val="21"/>
              </w:rPr>
            </w:pPr>
          </w:p>
        </w:tc>
      </w:tr>
      <w:tr w14:paraId="245D582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766" w:type="pct"/>
            <w:shd w:val="clear" w:color="auto" w:fill="auto"/>
            <w:noWrap/>
            <w:vAlign w:val="center"/>
          </w:tcPr>
          <w:p w14:paraId="60DD6723">
            <w:pPr>
              <w:pStyle w:val="23"/>
              <w:jc w:val="center"/>
              <w:rPr>
                <w:rFonts w:ascii="宋体" w:hAnsi="宋体"/>
                <w:szCs w:val="21"/>
              </w:rPr>
            </w:pPr>
            <w:r>
              <w:rPr>
                <w:rFonts w:ascii="宋体" w:hAnsi="宋体"/>
                <w:szCs w:val="21"/>
              </w:rPr>
              <w:t>幸福社区</w:t>
            </w:r>
          </w:p>
        </w:tc>
        <w:tc>
          <w:tcPr>
            <w:tcW w:w="469" w:type="pct"/>
            <w:shd w:val="clear" w:color="auto" w:fill="auto"/>
            <w:noWrap/>
            <w:vAlign w:val="center"/>
          </w:tcPr>
          <w:p w14:paraId="5F76CD15">
            <w:pPr>
              <w:pStyle w:val="23"/>
              <w:jc w:val="center"/>
              <w:rPr>
                <w:rFonts w:ascii="宋体" w:hAnsi="宋体"/>
                <w:szCs w:val="21"/>
              </w:rPr>
            </w:pPr>
            <w:r>
              <w:rPr>
                <w:rFonts w:ascii="宋体" w:hAnsi="宋体"/>
                <w:szCs w:val="21"/>
              </w:rPr>
              <w:t>0.91</w:t>
            </w:r>
          </w:p>
        </w:tc>
        <w:tc>
          <w:tcPr>
            <w:tcW w:w="381" w:type="pct"/>
            <w:shd w:val="clear" w:color="auto" w:fill="auto"/>
            <w:noWrap/>
            <w:vAlign w:val="center"/>
          </w:tcPr>
          <w:p w14:paraId="5DAEBAEC">
            <w:pPr>
              <w:pStyle w:val="23"/>
              <w:jc w:val="center"/>
              <w:rPr>
                <w:rFonts w:ascii="宋体" w:hAnsi="宋体"/>
                <w:szCs w:val="21"/>
              </w:rPr>
            </w:pPr>
            <w:r>
              <w:rPr>
                <w:rFonts w:ascii="宋体" w:hAnsi="宋体"/>
                <w:szCs w:val="21"/>
              </w:rPr>
              <w:t>1775</w:t>
            </w:r>
          </w:p>
        </w:tc>
        <w:tc>
          <w:tcPr>
            <w:tcW w:w="381" w:type="pct"/>
            <w:shd w:val="clear" w:color="auto" w:fill="auto"/>
            <w:noWrap/>
            <w:vAlign w:val="center"/>
          </w:tcPr>
          <w:p w14:paraId="3CD37164">
            <w:pPr>
              <w:pStyle w:val="23"/>
              <w:jc w:val="center"/>
              <w:rPr>
                <w:rFonts w:ascii="宋体" w:hAnsi="宋体"/>
                <w:szCs w:val="21"/>
              </w:rPr>
            </w:pPr>
            <w:r>
              <w:rPr>
                <w:rFonts w:ascii="宋体" w:hAnsi="宋体"/>
                <w:szCs w:val="21"/>
              </w:rPr>
              <w:t>4199</w:t>
            </w:r>
          </w:p>
        </w:tc>
        <w:tc>
          <w:tcPr>
            <w:tcW w:w="506" w:type="pct"/>
            <w:shd w:val="clear" w:color="auto" w:fill="auto"/>
            <w:noWrap/>
            <w:vAlign w:val="center"/>
          </w:tcPr>
          <w:p w14:paraId="0C37CC08">
            <w:pPr>
              <w:pStyle w:val="23"/>
              <w:jc w:val="center"/>
              <w:rPr>
                <w:rFonts w:ascii="宋体" w:hAnsi="宋体"/>
                <w:szCs w:val="21"/>
              </w:rPr>
            </w:pPr>
          </w:p>
        </w:tc>
        <w:tc>
          <w:tcPr>
            <w:tcW w:w="531" w:type="pct"/>
            <w:shd w:val="clear" w:color="auto" w:fill="auto"/>
            <w:noWrap/>
            <w:vAlign w:val="center"/>
          </w:tcPr>
          <w:p w14:paraId="7712527B">
            <w:pPr>
              <w:pStyle w:val="23"/>
              <w:jc w:val="center"/>
              <w:rPr>
                <w:rFonts w:ascii="宋体" w:hAnsi="宋体"/>
                <w:szCs w:val="21"/>
              </w:rPr>
            </w:pPr>
          </w:p>
        </w:tc>
        <w:tc>
          <w:tcPr>
            <w:tcW w:w="531" w:type="pct"/>
            <w:shd w:val="clear" w:color="auto" w:fill="auto"/>
            <w:noWrap/>
            <w:vAlign w:val="center"/>
          </w:tcPr>
          <w:p w14:paraId="71F78F67">
            <w:pPr>
              <w:pStyle w:val="23"/>
              <w:jc w:val="center"/>
              <w:rPr>
                <w:rFonts w:ascii="宋体" w:hAnsi="宋体"/>
                <w:szCs w:val="21"/>
              </w:rPr>
            </w:pPr>
            <w:r>
              <w:rPr>
                <w:rFonts w:ascii="宋体" w:hAnsi="宋体"/>
                <w:szCs w:val="21"/>
              </w:rPr>
              <w:t>10</w:t>
            </w:r>
          </w:p>
        </w:tc>
        <w:tc>
          <w:tcPr>
            <w:tcW w:w="680" w:type="pct"/>
            <w:shd w:val="clear" w:color="auto" w:fill="auto"/>
            <w:noWrap/>
            <w:vAlign w:val="center"/>
          </w:tcPr>
          <w:p w14:paraId="275B90C3">
            <w:pPr>
              <w:pStyle w:val="23"/>
              <w:jc w:val="center"/>
              <w:rPr>
                <w:rFonts w:ascii="宋体" w:hAnsi="宋体"/>
                <w:szCs w:val="21"/>
              </w:rPr>
            </w:pPr>
          </w:p>
        </w:tc>
        <w:tc>
          <w:tcPr>
            <w:tcW w:w="755" w:type="pct"/>
            <w:shd w:val="clear" w:color="auto" w:fill="auto"/>
            <w:noWrap/>
            <w:vAlign w:val="center"/>
          </w:tcPr>
          <w:p w14:paraId="22BE6D93">
            <w:pPr>
              <w:pStyle w:val="23"/>
              <w:jc w:val="center"/>
              <w:rPr>
                <w:rFonts w:ascii="宋体" w:hAnsi="宋体"/>
                <w:szCs w:val="21"/>
              </w:rPr>
            </w:pPr>
          </w:p>
        </w:tc>
      </w:tr>
      <w:tr w14:paraId="4377C83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766" w:type="pct"/>
            <w:shd w:val="clear" w:color="auto" w:fill="auto"/>
            <w:noWrap/>
            <w:vAlign w:val="center"/>
          </w:tcPr>
          <w:p w14:paraId="59BC9B0D">
            <w:pPr>
              <w:pStyle w:val="23"/>
              <w:jc w:val="center"/>
              <w:rPr>
                <w:rFonts w:ascii="宋体" w:hAnsi="宋体"/>
                <w:szCs w:val="21"/>
              </w:rPr>
            </w:pPr>
            <w:r>
              <w:rPr>
                <w:rFonts w:ascii="宋体" w:hAnsi="宋体"/>
                <w:szCs w:val="21"/>
              </w:rPr>
              <w:t>新城东社区</w:t>
            </w:r>
          </w:p>
        </w:tc>
        <w:tc>
          <w:tcPr>
            <w:tcW w:w="469" w:type="pct"/>
            <w:shd w:val="clear" w:color="auto" w:fill="auto"/>
            <w:noWrap/>
            <w:vAlign w:val="center"/>
          </w:tcPr>
          <w:p w14:paraId="5EE9FA43">
            <w:pPr>
              <w:pStyle w:val="23"/>
              <w:jc w:val="center"/>
              <w:rPr>
                <w:rFonts w:ascii="宋体" w:hAnsi="宋体"/>
                <w:szCs w:val="21"/>
              </w:rPr>
            </w:pPr>
            <w:r>
              <w:rPr>
                <w:rFonts w:ascii="宋体" w:hAnsi="宋体"/>
                <w:szCs w:val="21"/>
              </w:rPr>
              <w:t>0.92</w:t>
            </w:r>
          </w:p>
        </w:tc>
        <w:tc>
          <w:tcPr>
            <w:tcW w:w="381" w:type="pct"/>
            <w:shd w:val="clear" w:color="auto" w:fill="auto"/>
            <w:noWrap/>
            <w:vAlign w:val="center"/>
          </w:tcPr>
          <w:p w14:paraId="4998FB36">
            <w:pPr>
              <w:pStyle w:val="23"/>
              <w:jc w:val="center"/>
              <w:rPr>
                <w:rFonts w:ascii="宋体" w:hAnsi="宋体"/>
                <w:szCs w:val="21"/>
              </w:rPr>
            </w:pPr>
            <w:r>
              <w:rPr>
                <w:rFonts w:ascii="宋体" w:hAnsi="宋体"/>
                <w:szCs w:val="21"/>
              </w:rPr>
              <w:t>2948</w:t>
            </w:r>
          </w:p>
        </w:tc>
        <w:tc>
          <w:tcPr>
            <w:tcW w:w="381" w:type="pct"/>
            <w:shd w:val="clear" w:color="auto" w:fill="auto"/>
            <w:noWrap/>
            <w:vAlign w:val="center"/>
          </w:tcPr>
          <w:p w14:paraId="0A3A014B">
            <w:pPr>
              <w:pStyle w:val="23"/>
              <w:jc w:val="center"/>
              <w:rPr>
                <w:rFonts w:ascii="宋体" w:hAnsi="宋体"/>
                <w:szCs w:val="21"/>
              </w:rPr>
            </w:pPr>
            <w:r>
              <w:rPr>
                <w:rFonts w:ascii="宋体" w:hAnsi="宋体"/>
                <w:szCs w:val="21"/>
              </w:rPr>
              <w:t>7602</w:t>
            </w:r>
          </w:p>
        </w:tc>
        <w:tc>
          <w:tcPr>
            <w:tcW w:w="506" w:type="pct"/>
            <w:shd w:val="clear" w:color="auto" w:fill="auto"/>
            <w:noWrap/>
            <w:vAlign w:val="center"/>
          </w:tcPr>
          <w:p w14:paraId="6B83372A">
            <w:pPr>
              <w:pStyle w:val="23"/>
              <w:jc w:val="center"/>
              <w:rPr>
                <w:rFonts w:ascii="宋体" w:hAnsi="宋体"/>
                <w:szCs w:val="21"/>
              </w:rPr>
            </w:pPr>
          </w:p>
        </w:tc>
        <w:tc>
          <w:tcPr>
            <w:tcW w:w="531" w:type="pct"/>
            <w:shd w:val="clear" w:color="auto" w:fill="auto"/>
            <w:noWrap/>
            <w:vAlign w:val="center"/>
          </w:tcPr>
          <w:p w14:paraId="0C267264">
            <w:pPr>
              <w:pStyle w:val="23"/>
              <w:jc w:val="center"/>
              <w:rPr>
                <w:rFonts w:ascii="宋体" w:hAnsi="宋体"/>
                <w:szCs w:val="21"/>
              </w:rPr>
            </w:pPr>
          </w:p>
        </w:tc>
        <w:tc>
          <w:tcPr>
            <w:tcW w:w="531" w:type="pct"/>
            <w:shd w:val="clear" w:color="auto" w:fill="auto"/>
            <w:noWrap/>
            <w:vAlign w:val="center"/>
          </w:tcPr>
          <w:p w14:paraId="062C7C91">
            <w:pPr>
              <w:pStyle w:val="23"/>
              <w:jc w:val="center"/>
              <w:rPr>
                <w:rFonts w:ascii="宋体" w:hAnsi="宋体"/>
                <w:szCs w:val="21"/>
              </w:rPr>
            </w:pPr>
            <w:r>
              <w:rPr>
                <w:rFonts w:ascii="宋体" w:hAnsi="宋体"/>
                <w:szCs w:val="21"/>
              </w:rPr>
              <w:t>8</w:t>
            </w:r>
          </w:p>
        </w:tc>
        <w:tc>
          <w:tcPr>
            <w:tcW w:w="680" w:type="pct"/>
            <w:shd w:val="clear" w:color="auto" w:fill="auto"/>
            <w:noWrap/>
            <w:vAlign w:val="center"/>
          </w:tcPr>
          <w:p w14:paraId="3561F322">
            <w:pPr>
              <w:pStyle w:val="23"/>
              <w:jc w:val="center"/>
              <w:rPr>
                <w:rFonts w:ascii="宋体" w:hAnsi="宋体"/>
                <w:szCs w:val="21"/>
              </w:rPr>
            </w:pPr>
          </w:p>
        </w:tc>
        <w:tc>
          <w:tcPr>
            <w:tcW w:w="755" w:type="pct"/>
            <w:shd w:val="clear" w:color="auto" w:fill="auto"/>
            <w:noWrap/>
            <w:vAlign w:val="center"/>
          </w:tcPr>
          <w:p w14:paraId="58DCA134">
            <w:pPr>
              <w:pStyle w:val="23"/>
              <w:jc w:val="center"/>
              <w:rPr>
                <w:rFonts w:ascii="宋体" w:hAnsi="宋体"/>
                <w:szCs w:val="21"/>
              </w:rPr>
            </w:pPr>
          </w:p>
        </w:tc>
      </w:tr>
      <w:tr w14:paraId="3DCDA09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766" w:type="pct"/>
            <w:shd w:val="clear" w:color="auto" w:fill="auto"/>
            <w:noWrap/>
            <w:vAlign w:val="center"/>
          </w:tcPr>
          <w:p w14:paraId="4C17AC8D">
            <w:pPr>
              <w:pStyle w:val="23"/>
              <w:jc w:val="center"/>
              <w:rPr>
                <w:rFonts w:ascii="宋体" w:hAnsi="宋体"/>
                <w:szCs w:val="21"/>
              </w:rPr>
            </w:pPr>
            <w:r>
              <w:rPr>
                <w:rFonts w:ascii="宋体" w:hAnsi="宋体"/>
                <w:szCs w:val="21"/>
              </w:rPr>
              <w:t>新城西社区</w:t>
            </w:r>
          </w:p>
        </w:tc>
        <w:tc>
          <w:tcPr>
            <w:tcW w:w="469" w:type="pct"/>
            <w:shd w:val="clear" w:color="auto" w:fill="auto"/>
            <w:noWrap/>
            <w:vAlign w:val="center"/>
          </w:tcPr>
          <w:p w14:paraId="52F83D1E">
            <w:pPr>
              <w:pStyle w:val="23"/>
              <w:jc w:val="center"/>
              <w:rPr>
                <w:rFonts w:ascii="宋体" w:hAnsi="宋体"/>
                <w:szCs w:val="21"/>
              </w:rPr>
            </w:pPr>
            <w:r>
              <w:rPr>
                <w:rFonts w:ascii="宋体" w:hAnsi="宋体"/>
                <w:szCs w:val="21"/>
              </w:rPr>
              <w:t>0.96</w:t>
            </w:r>
          </w:p>
        </w:tc>
        <w:tc>
          <w:tcPr>
            <w:tcW w:w="381" w:type="pct"/>
            <w:shd w:val="clear" w:color="auto" w:fill="auto"/>
            <w:noWrap/>
            <w:vAlign w:val="center"/>
          </w:tcPr>
          <w:p w14:paraId="3E64324F">
            <w:pPr>
              <w:pStyle w:val="23"/>
              <w:jc w:val="center"/>
              <w:rPr>
                <w:rFonts w:ascii="宋体" w:hAnsi="宋体"/>
                <w:szCs w:val="21"/>
              </w:rPr>
            </w:pPr>
            <w:r>
              <w:rPr>
                <w:rFonts w:ascii="宋体" w:hAnsi="宋体"/>
                <w:szCs w:val="21"/>
              </w:rPr>
              <w:t>2414</w:t>
            </w:r>
          </w:p>
        </w:tc>
        <w:tc>
          <w:tcPr>
            <w:tcW w:w="381" w:type="pct"/>
            <w:shd w:val="clear" w:color="auto" w:fill="auto"/>
            <w:noWrap/>
            <w:vAlign w:val="center"/>
          </w:tcPr>
          <w:p w14:paraId="43339EED">
            <w:pPr>
              <w:pStyle w:val="23"/>
              <w:jc w:val="center"/>
              <w:rPr>
                <w:rFonts w:ascii="宋体" w:hAnsi="宋体"/>
                <w:szCs w:val="21"/>
              </w:rPr>
            </w:pPr>
            <w:r>
              <w:rPr>
                <w:rFonts w:ascii="宋体" w:hAnsi="宋体"/>
                <w:szCs w:val="21"/>
              </w:rPr>
              <w:t>6067</w:t>
            </w:r>
          </w:p>
        </w:tc>
        <w:tc>
          <w:tcPr>
            <w:tcW w:w="506" w:type="pct"/>
            <w:shd w:val="clear" w:color="auto" w:fill="auto"/>
            <w:noWrap/>
            <w:vAlign w:val="center"/>
          </w:tcPr>
          <w:p w14:paraId="362AD668">
            <w:pPr>
              <w:pStyle w:val="23"/>
              <w:jc w:val="center"/>
              <w:rPr>
                <w:rFonts w:ascii="宋体" w:hAnsi="宋体"/>
                <w:szCs w:val="21"/>
              </w:rPr>
            </w:pPr>
          </w:p>
        </w:tc>
        <w:tc>
          <w:tcPr>
            <w:tcW w:w="531" w:type="pct"/>
            <w:shd w:val="clear" w:color="auto" w:fill="auto"/>
            <w:noWrap/>
            <w:vAlign w:val="center"/>
          </w:tcPr>
          <w:p w14:paraId="405FC2A1">
            <w:pPr>
              <w:pStyle w:val="23"/>
              <w:jc w:val="center"/>
              <w:rPr>
                <w:rFonts w:ascii="宋体" w:hAnsi="宋体"/>
                <w:szCs w:val="21"/>
              </w:rPr>
            </w:pPr>
          </w:p>
        </w:tc>
        <w:tc>
          <w:tcPr>
            <w:tcW w:w="531" w:type="pct"/>
            <w:shd w:val="clear" w:color="auto" w:fill="auto"/>
            <w:noWrap/>
            <w:vAlign w:val="center"/>
          </w:tcPr>
          <w:p w14:paraId="582DE9B3">
            <w:pPr>
              <w:pStyle w:val="23"/>
              <w:jc w:val="center"/>
              <w:rPr>
                <w:rFonts w:ascii="宋体" w:hAnsi="宋体"/>
                <w:szCs w:val="21"/>
              </w:rPr>
            </w:pPr>
            <w:r>
              <w:rPr>
                <w:rFonts w:ascii="宋体" w:hAnsi="宋体"/>
                <w:szCs w:val="21"/>
              </w:rPr>
              <w:t>12</w:t>
            </w:r>
          </w:p>
        </w:tc>
        <w:tc>
          <w:tcPr>
            <w:tcW w:w="680" w:type="pct"/>
            <w:shd w:val="clear" w:color="auto" w:fill="auto"/>
            <w:noWrap/>
            <w:vAlign w:val="center"/>
          </w:tcPr>
          <w:p w14:paraId="3B13CF7D">
            <w:pPr>
              <w:pStyle w:val="23"/>
              <w:jc w:val="center"/>
              <w:rPr>
                <w:rFonts w:ascii="宋体" w:hAnsi="宋体"/>
                <w:szCs w:val="21"/>
              </w:rPr>
            </w:pPr>
          </w:p>
        </w:tc>
        <w:tc>
          <w:tcPr>
            <w:tcW w:w="755" w:type="pct"/>
            <w:shd w:val="clear" w:color="auto" w:fill="auto"/>
            <w:noWrap/>
            <w:vAlign w:val="center"/>
          </w:tcPr>
          <w:p w14:paraId="59B3DE20">
            <w:pPr>
              <w:pStyle w:val="23"/>
              <w:jc w:val="center"/>
              <w:rPr>
                <w:rFonts w:ascii="宋体" w:hAnsi="宋体"/>
                <w:szCs w:val="21"/>
              </w:rPr>
            </w:pPr>
          </w:p>
        </w:tc>
      </w:tr>
      <w:tr w14:paraId="7F9FD66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766" w:type="pct"/>
            <w:shd w:val="clear" w:color="auto" w:fill="auto"/>
            <w:noWrap/>
            <w:vAlign w:val="center"/>
          </w:tcPr>
          <w:p w14:paraId="0FB8226E">
            <w:pPr>
              <w:pStyle w:val="23"/>
              <w:jc w:val="center"/>
              <w:rPr>
                <w:rFonts w:ascii="宋体" w:hAnsi="宋体"/>
                <w:szCs w:val="21"/>
              </w:rPr>
            </w:pPr>
            <w:r>
              <w:rPr>
                <w:rFonts w:ascii="宋体" w:hAnsi="宋体"/>
                <w:szCs w:val="21"/>
              </w:rPr>
              <w:t>合计</w:t>
            </w:r>
          </w:p>
        </w:tc>
        <w:tc>
          <w:tcPr>
            <w:tcW w:w="469" w:type="pct"/>
            <w:shd w:val="clear" w:color="auto" w:fill="auto"/>
            <w:noWrap/>
            <w:vAlign w:val="center"/>
          </w:tcPr>
          <w:p w14:paraId="431ABBE6">
            <w:pPr>
              <w:pStyle w:val="23"/>
              <w:jc w:val="center"/>
              <w:rPr>
                <w:rFonts w:ascii="宋体" w:hAnsi="宋体"/>
                <w:szCs w:val="21"/>
              </w:rPr>
            </w:pPr>
            <w:r>
              <w:rPr>
                <w:rFonts w:ascii="宋体" w:hAnsi="宋体"/>
                <w:szCs w:val="21"/>
              </w:rPr>
              <w:t>96.88</w:t>
            </w:r>
          </w:p>
        </w:tc>
        <w:tc>
          <w:tcPr>
            <w:tcW w:w="381" w:type="pct"/>
            <w:shd w:val="clear" w:color="auto" w:fill="auto"/>
            <w:noWrap/>
            <w:vAlign w:val="center"/>
          </w:tcPr>
          <w:p w14:paraId="159A80F4">
            <w:pPr>
              <w:pStyle w:val="23"/>
              <w:jc w:val="center"/>
              <w:rPr>
                <w:rFonts w:ascii="宋体" w:hAnsi="宋体"/>
                <w:szCs w:val="21"/>
              </w:rPr>
            </w:pPr>
            <w:r>
              <w:rPr>
                <w:rFonts w:ascii="宋体" w:hAnsi="宋体"/>
                <w:szCs w:val="21"/>
              </w:rPr>
              <w:t>31624</w:t>
            </w:r>
          </w:p>
        </w:tc>
        <w:tc>
          <w:tcPr>
            <w:tcW w:w="381" w:type="pct"/>
            <w:shd w:val="clear" w:color="auto" w:fill="auto"/>
            <w:noWrap/>
            <w:vAlign w:val="center"/>
          </w:tcPr>
          <w:p w14:paraId="171CA9D6">
            <w:pPr>
              <w:pStyle w:val="23"/>
              <w:jc w:val="center"/>
              <w:rPr>
                <w:rFonts w:ascii="宋体" w:hAnsi="宋体"/>
                <w:szCs w:val="21"/>
              </w:rPr>
            </w:pPr>
            <w:r>
              <w:rPr>
                <w:rFonts w:ascii="宋体" w:hAnsi="宋体"/>
                <w:szCs w:val="21"/>
              </w:rPr>
              <w:t>83830</w:t>
            </w:r>
          </w:p>
        </w:tc>
        <w:tc>
          <w:tcPr>
            <w:tcW w:w="506" w:type="pct"/>
            <w:shd w:val="clear" w:color="auto" w:fill="auto"/>
            <w:noWrap/>
            <w:vAlign w:val="center"/>
          </w:tcPr>
          <w:p w14:paraId="3FAA2708">
            <w:pPr>
              <w:pStyle w:val="23"/>
              <w:jc w:val="center"/>
              <w:rPr>
                <w:rFonts w:ascii="宋体" w:hAnsi="宋体"/>
                <w:szCs w:val="21"/>
              </w:rPr>
            </w:pPr>
            <w:r>
              <w:rPr>
                <w:rFonts w:ascii="宋体" w:hAnsi="宋体"/>
                <w:szCs w:val="21"/>
              </w:rPr>
              <w:t>33161</w:t>
            </w:r>
          </w:p>
        </w:tc>
        <w:tc>
          <w:tcPr>
            <w:tcW w:w="531" w:type="pct"/>
            <w:shd w:val="clear" w:color="auto" w:fill="auto"/>
            <w:noWrap/>
            <w:vAlign w:val="center"/>
          </w:tcPr>
          <w:p w14:paraId="02B434B9">
            <w:pPr>
              <w:pStyle w:val="23"/>
              <w:jc w:val="center"/>
              <w:rPr>
                <w:rFonts w:ascii="宋体" w:hAnsi="宋体"/>
                <w:szCs w:val="21"/>
              </w:rPr>
            </w:pPr>
            <w:r>
              <w:rPr>
                <w:rFonts w:ascii="宋体" w:hAnsi="宋体"/>
                <w:szCs w:val="21"/>
              </w:rPr>
              <w:t>21801</w:t>
            </w:r>
          </w:p>
        </w:tc>
        <w:tc>
          <w:tcPr>
            <w:tcW w:w="531" w:type="pct"/>
            <w:shd w:val="clear" w:color="auto" w:fill="auto"/>
            <w:noWrap/>
            <w:vAlign w:val="center"/>
          </w:tcPr>
          <w:p w14:paraId="1A250132">
            <w:pPr>
              <w:pStyle w:val="23"/>
              <w:jc w:val="center"/>
              <w:rPr>
                <w:rFonts w:ascii="宋体" w:hAnsi="宋体"/>
                <w:szCs w:val="21"/>
              </w:rPr>
            </w:pPr>
            <w:r>
              <w:rPr>
                <w:rFonts w:ascii="宋体" w:hAnsi="宋体"/>
                <w:szCs w:val="21"/>
              </w:rPr>
              <w:t>277</w:t>
            </w:r>
          </w:p>
        </w:tc>
        <w:tc>
          <w:tcPr>
            <w:tcW w:w="680" w:type="pct"/>
            <w:shd w:val="clear" w:color="auto" w:fill="auto"/>
            <w:noWrap/>
            <w:vAlign w:val="center"/>
          </w:tcPr>
          <w:p w14:paraId="02C97409">
            <w:pPr>
              <w:pStyle w:val="23"/>
              <w:jc w:val="center"/>
              <w:rPr>
                <w:rFonts w:ascii="宋体" w:hAnsi="宋体"/>
                <w:szCs w:val="21"/>
              </w:rPr>
            </w:pPr>
            <w:r>
              <w:rPr>
                <w:rFonts w:ascii="宋体" w:hAnsi="宋体"/>
                <w:szCs w:val="21"/>
              </w:rPr>
              <w:t>74424</w:t>
            </w:r>
          </w:p>
        </w:tc>
        <w:tc>
          <w:tcPr>
            <w:tcW w:w="755" w:type="pct"/>
            <w:shd w:val="clear" w:color="auto" w:fill="auto"/>
            <w:noWrap/>
            <w:vAlign w:val="center"/>
          </w:tcPr>
          <w:p w14:paraId="5AB5AA1D">
            <w:pPr>
              <w:pStyle w:val="23"/>
              <w:jc w:val="center"/>
              <w:rPr>
                <w:rFonts w:ascii="宋体" w:hAnsi="宋体"/>
                <w:szCs w:val="21"/>
              </w:rPr>
            </w:pPr>
            <w:r>
              <w:rPr>
                <w:rFonts w:ascii="宋体" w:hAnsi="宋体"/>
                <w:szCs w:val="21"/>
              </w:rPr>
              <w:t>6433</w:t>
            </w:r>
          </w:p>
        </w:tc>
      </w:tr>
    </w:tbl>
    <w:p w14:paraId="213E3987">
      <w:pPr>
        <w:ind w:firstLine="0" w:firstLineChars="0"/>
        <w:jc w:val="right"/>
        <w:rPr>
          <w:rFonts w:ascii="宋体" w:hAnsi="宋体"/>
        </w:rPr>
      </w:pPr>
      <w:r>
        <w:rPr>
          <w:rFonts w:hint="eastAsia" w:ascii="宋体" w:hAnsi="宋体"/>
        </w:rPr>
        <w:t>（曾庆权）</w:t>
      </w:r>
    </w:p>
    <w:p w14:paraId="179FF1EB">
      <w:pPr>
        <w:ind w:firstLine="0" w:firstLineChars="0"/>
        <w:rPr>
          <w:rFonts w:ascii="宋体" w:hAnsi="宋体"/>
          <w:szCs w:val="21"/>
        </w:rPr>
      </w:pPr>
      <w:r>
        <w:rPr>
          <w:rFonts w:hint="eastAsia" w:ascii="宋体" w:hAnsi="宋体"/>
          <w:b/>
          <w:szCs w:val="21"/>
        </w:rPr>
        <w:t>附：2011年雄州街道领导班子成员名单</w:t>
      </w:r>
    </w:p>
    <w:p w14:paraId="4758D4FF">
      <w:pPr>
        <w:ind w:firstLine="0" w:firstLineChars="0"/>
        <w:rPr>
          <w:rFonts w:ascii="宋体" w:hAnsi="宋体"/>
          <w:szCs w:val="21"/>
        </w:rPr>
      </w:pPr>
      <w:r>
        <w:rPr>
          <w:rFonts w:hint="eastAsia" w:ascii="宋体" w:hAnsi="宋体"/>
          <w:szCs w:val="21"/>
        </w:rPr>
        <w:t>党工委书记、人大工委主任：苏德椿</w:t>
      </w:r>
    </w:p>
    <w:p w14:paraId="68CBEC6D">
      <w:pPr>
        <w:ind w:firstLine="0" w:firstLineChars="0"/>
        <w:rPr>
          <w:rFonts w:ascii="宋体" w:hAnsi="宋体"/>
          <w:szCs w:val="21"/>
        </w:rPr>
      </w:pPr>
      <w:r>
        <w:rPr>
          <w:rFonts w:hint="eastAsia" w:ascii="宋体" w:hAnsi="宋体"/>
          <w:szCs w:val="21"/>
        </w:rPr>
        <w:t>党工委副书记、办事处主任：王高峰</w:t>
      </w:r>
    </w:p>
    <w:p w14:paraId="16E356CD">
      <w:pPr>
        <w:ind w:firstLine="0" w:firstLineChars="0"/>
        <w:rPr>
          <w:rFonts w:ascii="宋体" w:hAnsi="宋体"/>
          <w:szCs w:val="21"/>
        </w:rPr>
      </w:pPr>
      <w:r>
        <w:rPr>
          <w:rFonts w:hint="eastAsia" w:ascii="宋体" w:hAnsi="宋体"/>
          <w:szCs w:val="21"/>
        </w:rPr>
        <w:t>纪工委书记：刘均</w:t>
      </w:r>
    </w:p>
    <w:p w14:paraId="3C701ECD">
      <w:pPr>
        <w:ind w:firstLine="0" w:firstLineChars="0"/>
        <w:rPr>
          <w:rFonts w:ascii="宋体" w:hAnsi="宋体"/>
          <w:szCs w:val="21"/>
        </w:rPr>
      </w:pPr>
      <w:r>
        <w:rPr>
          <w:rFonts w:hint="eastAsia" w:ascii="宋体" w:hAnsi="宋体"/>
          <w:szCs w:val="21"/>
        </w:rPr>
        <w:t>党工委副书记：杨志峰</w:t>
      </w:r>
    </w:p>
    <w:p w14:paraId="58DEAA31">
      <w:pPr>
        <w:ind w:firstLine="0" w:firstLineChars="0"/>
        <w:rPr>
          <w:rFonts w:ascii="宋体" w:hAnsi="宋体"/>
          <w:szCs w:val="21"/>
        </w:rPr>
      </w:pPr>
      <w:r>
        <w:rPr>
          <w:rFonts w:hint="eastAsia" w:ascii="宋体" w:hAnsi="宋体"/>
          <w:szCs w:val="21"/>
        </w:rPr>
        <w:t>组织委员：陈冬生</w:t>
      </w:r>
    </w:p>
    <w:p w14:paraId="417BFF9E">
      <w:pPr>
        <w:ind w:firstLine="0" w:firstLineChars="0"/>
        <w:rPr>
          <w:rFonts w:ascii="宋体" w:hAnsi="宋体"/>
          <w:szCs w:val="21"/>
        </w:rPr>
      </w:pPr>
      <w:r>
        <w:rPr>
          <w:rFonts w:hint="eastAsia" w:ascii="宋体" w:hAnsi="宋体"/>
          <w:szCs w:val="21"/>
        </w:rPr>
        <w:t>宣传委员：徐春林</w:t>
      </w:r>
    </w:p>
    <w:p w14:paraId="1CCC7FC6">
      <w:pPr>
        <w:ind w:firstLine="0" w:firstLineChars="0"/>
        <w:rPr>
          <w:rFonts w:ascii="宋体" w:hAnsi="宋体"/>
          <w:szCs w:val="21"/>
        </w:rPr>
      </w:pPr>
      <w:r>
        <w:rPr>
          <w:rFonts w:hint="eastAsia" w:ascii="宋体" w:hAnsi="宋体"/>
          <w:szCs w:val="21"/>
        </w:rPr>
        <w:t>人大工委副主任：雷会信</w:t>
      </w:r>
    </w:p>
    <w:p w14:paraId="2B870A58">
      <w:pPr>
        <w:ind w:firstLine="0" w:firstLineChars="0"/>
        <w:rPr>
          <w:rFonts w:ascii="宋体" w:hAnsi="宋体"/>
          <w:szCs w:val="21"/>
        </w:rPr>
      </w:pPr>
      <w:r>
        <w:rPr>
          <w:rFonts w:hint="eastAsia" w:ascii="宋体" w:hAnsi="宋体"/>
          <w:szCs w:val="21"/>
        </w:rPr>
        <w:t>党委委员、武装部长：刘烈斌</w:t>
      </w:r>
    </w:p>
    <w:p w14:paraId="042DE103">
      <w:pPr>
        <w:ind w:firstLine="0" w:firstLineChars="0"/>
        <w:rPr>
          <w:rFonts w:ascii="宋体" w:hAnsi="宋体"/>
          <w:szCs w:val="21"/>
        </w:rPr>
      </w:pPr>
      <w:r>
        <w:rPr>
          <w:rFonts w:hint="eastAsia" w:ascii="宋体" w:hAnsi="宋体"/>
          <w:szCs w:val="21"/>
        </w:rPr>
        <w:t>党委委员、综治办专职副主任：戴满萍</w:t>
      </w:r>
    </w:p>
    <w:p w14:paraId="56926A81">
      <w:pPr>
        <w:ind w:firstLine="0" w:firstLineChars="0"/>
        <w:rPr>
          <w:rFonts w:ascii="宋体" w:hAnsi="宋体"/>
          <w:szCs w:val="21"/>
        </w:rPr>
      </w:pPr>
      <w:r>
        <w:rPr>
          <w:rFonts w:hint="eastAsia" w:ascii="宋体" w:hAnsi="宋体"/>
          <w:szCs w:val="21"/>
        </w:rPr>
        <w:t>党工委委员：严日秀</w:t>
      </w:r>
    </w:p>
    <w:p w14:paraId="2C3F2B6C">
      <w:pPr>
        <w:ind w:firstLine="0" w:firstLineChars="0"/>
        <w:rPr>
          <w:rFonts w:ascii="宋体" w:hAnsi="宋体"/>
          <w:szCs w:val="21"/>
        </w:rPr>
      </w:pPr>
      <w:r>
        <w:rPr>
          <w:rFonts w:hint="eastAsia" w:ascii="宋体" w:hAnsi="宋体"/>
          <w:szCs w:val="21"/>
        </w:rPr>
        <w:t>党委委员办事处副主任：黄历生</w:t>
      </w:r>
    </w:p>
    <w:p w14:paraId="7FF8B377">
      <w:pPr>
        <w:ind w:firstLine="0" w:firstLineChars="0"/>
        <w:rPr>
          <w:rFonts w:ascii="宋体" w:hAnsi="宋体"/>
          <w:szCs w:val="21"/>
        </w:rPr>
      </w:pPr>
      <w:r>
        <w:rPr>
          <w:rFonts w:hint="eastAsia" w:ascii="宋体" w:hAnsi="宋体"/>
          <w:szCs w:val="21"/>
        </w:rPr>
        <w:t>办事处副主任：马南  海黄德忠</w:t>
      </w:r>
    </w:p>
    <w:p w14:paraId="5B5B26D8">
      <w:pPr>
        <w:pStyle w:val="3"/>
      </w:pPr>
      <w:r>
        <w:rPr>
          <w:rFonts w:hint="eastAsia"/>
        </w:rPr>
        <w:t>坪田镇</w:t>
      </w:r>
    </w:p>
    <w:p w14:paraId="07ABF435">
      <w:pPr>
        <w:pStyle w:val="4"/>
      </w:pPr>
      <w:r>
        <w:rPr>
          <w:rFonts w:hint="eastAsia"/>
        </w:rPr>
        <w:t>【概况】</w:t>
      </w:r>
    </w:p>
    <w:p w14:paraId="4E3C2A4D">
      <w:pPr>
        <w:ind w:firstLine="420"/>
        <w:rPr>
          <w:rFonts w:ascii="宋体" w:hAnsi="宋体"/>
          <w:szCs w:val="21"/>
        </w:rPr>
      </w:pPr>
      <w:r>
        <w:rPr>
          <w:rFonts w:hint="eastAsia" w:ascii="宋体" w:hAnsi="宋体"/>
          <w:szCs w:val="21"/>
        </w:rPr>
        <w:t>南雄市坪田镇位于南雄市东部，东邻乌迳、界址两镇，南与江西省信丰县万隆乡、全南县社迳乡交界，西邻南亩镇，北邻乌迳镇。镇政府驻地距南雄市区43公里，辖区内有14个村委会和老龙社区1个居委会，共179个村民小组。2011年全镇总人口24682人，其中农业人口24214人，辖区面积142.39平方公里，耕地面积为3.9万亩，山林面积142971.1亩，省级生态公益林31419亩，集体统一经营山林87203.9亩。被评为广东省白果科技创新专业镇。</w:t>
      </w:r>
    </w:p>
    <w:p w14:paraId="5346CE77">
      <w:pPr>
        <w:ind w:firstLine="420"/>
        <w:rPr>
          <w:rFonts w:ascii="宋体" w:hAnsi="宋体"/>
          <w:szCs w:val="21"/>
        </w:rPr>
      </w:pPr>
      <w:r>
        <w:rPr>
          <w:rFonts w:hint="eastAsia" w:ascii="宋体" w:hAnsi="宋体"/>
          <w:szCs w:val="21"/>
        </w:rPr>
        <w:t>坪田镇的特产有白果（银杏果实）和油茶。其中，坪田白果历史悠久，其粒大壳薄、肉糯柔软、胚芽细小、清香无苦味的特点是其他产地白果所无法具备的。在港澳、东南亚、日本等国家和地区享有很高的市场声誉，有的港澳经销店挂牌“南雄坪田白果”以示正宗。每年9月份开始为白果出产时节，2011年坪田镇产优质白果423吨，远销海内外，需要提前预定才能买到正宗坪田白果。</w:t>
      </w:r>
    </w:p>
    <w:p w14:paraId="45EE7F2F">
      <w:pPr>
        <w:ind w:firstLine="420"/>
        <w:rPr>
          <w:rFonts w:ascii="宋体" w:hAnsi="宋体"/>
          <w:szCs w:val="21"/>
        </w:rPr>
      </w:pPr>
      <w:r>
        <w:rPr>
          <w:rFonts w:hint="eastAsia" w:ascii="宋体" w:hAnsi="宋体"/>
          <w:szCs w:val="21"/>
        </w:rPr>
        <w:t>通过整合中坪水库、军营寨等景区资源，完善景区配套设施，“银杏染秋”已成为南雄秋冬时节的一个重要的旅游观光景点。</w:t>
      </w:r>
    </w:p>
    <w:p w14:paraId="12C1A735">
      <w:pPr>
        <w:pStyle w:val="4"/>
      </w:pPr>
      <w:r>
        <w:rPr>
          <w:rFonts w:hint="eastAsia"/>
        </w:rPr>
        <w:t>【经济社会发展】</w:t>
      </w:r>
    </w:p>
    <w:p w14:paraId="0DAF4DAA">
      <w:pPr>
        <w:ind w:firstLine="420"/>
        <w:rPr>
          <w:rFonts w:ascii="宋体" w:hAnsi="宋体"/>
          <w:szCs w:val="21"/>
        </w:rPr>
      </w:pPr>
      <w:r>
        <w:rPr>
          <w:rFonts w:hint="eastAsia" w:ascii="宋体" w:hAnsi="宋体"/>
          <w:szCs w:val="21"/>
        </w:rPr>
        <w:t>坪田镇地处粤北山区，属中亚热带季风性山地湿润气候，全镇50%以上面积在海拔400米以上，农业主产以黄烟、水稻、花生为主，黄烟是该镇的传统支柱产业。主要经济林木有银杏、油茶、板栗、毛竹，用材林有马尾松、杉树、枫树、樟树等。2011年，该镇实现国民生产总值2.23亿元，农村居民人均纯收入5970元，财政收入137.4万元。</w:t>
      </w:r>
    </w:p>
    <w:p w14:paraId="7E4BC7D9">
      <w:pPr>
        <w:ind w:firstLine="420"/>
        <w:rPr>
          <w:rFonts w:ascii="宋体" w:hAnsi="宋体"/>
          <w:szCs w:val="21"/>
        </w:rPr>
      </w:pPr>
      <w:r>
        <w:rPr>
          <w:rFonts w:hint="eastAsia" w:ascii="宋体" w:hAnsi="宋体"/>
          <w:szCs w:val="21"/>
        </w:rPr>
        <w:t>坪田镇坚持走特色农业产业化发展道路。在种植业发展方面：一是大力推进村集约化烤烟房建设，积极推广水淋肥技术，黄烟产业化发展迅速2011年，实现收购烟叶11859担，收购资金1083.16万元，收购均价为10.63元/市斤，同比去年每市斤增加1.5元，均价上升给种烟户增收300多元/户；二是大力发展经济林种植，坚持深化集体林权制度改革，调整林业产业结构，进一步解放林业发展生产力，积极引进外商到坪田承包山地，开办股份制林场6家，林地面积3万多亩，新造林2万多亩；三是与金友集团合作，发展优质稻基地2处，种植优质稻200多亩。结合扶贫开发“双到”工作，大力发展辣椒产业和油茶基地。</w:t>
      </w:r>
    </w:p>
    <w:p w14:paraId="2A9C9E5C">
      <w:pPr>
        <w:pStyle w:val="4"/>
      </w:pPr>
      <w:r>
        <w:rPr>
          <w:rFonts w:hint="eastAsia"/>
        </w:rPr>
        <w:t>【社会事业发展】</w:t>
      </w:r>
    </w:p>
    <w:p w14:paraId="47AEE56E">
      <w:pPr>
        <w:ind w:firstLine="420"/>
        <w:rPr>
          <w:rFonts w:ascii="宋体" w:hAnsi="宋体"/>
          <w:szCs w:val="21"/>
        </w:rPr>
      </w:pPr>
      <w:r>
        <w:rPr>
          <w:rFonts w:hint="eastAsia" w:ascii="宋体" w:hAnsi="宋体"/>
          <w:szCs w:val="21"/>
        </w:rPr>
        <w:t>坪田镇政府坚持走教育强镇路线，多方筹资，新建学校综合大楼、修缮危旧教学楼、添置教育教学设备、提升教师待遇水平，教育布局调整日趋合理科学，教育事业发展迅速。目前，全镇有初级中学1所、完全小学2所，在校学生1288人，普通九年义务教育毛入学率达100%，巩固率100%。农村医疗服务保障体系不断完善。2011年9月1日，坪田镇召开新农村社会养老保险试点工作动员大会，开始全面启动新农村社会养老保险试点工作，在3个月时间里采取多种措施宣传动员，完成参保人员6538人，其中参保缴费4229人，参保金额达到68.72万元，超额完成2011年40%覆盖任务。积极加强农村合作医疗管理，全面推进城镇居民基本医疗保险工作，2011年实现参加新农合人员23575人，参保金额31.57万元，覆盖率达到95%。生态建设成效显著坚持科学发展、绿色发展，深入开展“三项整治”行动，以实行“动态巡查”、“干群联防”制度，制止、打击滥砍乱伐行为；以大力推行土地资源集约节约利用，确保耕地占补平衡，复耕复绿土地510亩；以高压态势，及时制止和依法打击非法开采稀土矿行为，7月，查处迳洞长亨、背迳柳林坝非法开采稀土矿点2个。</w:t>
      </w:r>
    </w:p>
    <w:p w14:paraId="69896B3B">
      <w:pPr>
        <w:pStyle w:val="4"/>
      </w:pPr>
      <w:r>
        <w:rPr>
          <w:rFonts w:hint="eastAsia"/>
        </w:rPr>
        <w:t>【两委换届】</w:t>
      </w:r>
    </w:p>
    <w:p w14:paraId="6B54CF46">
      <w:pPr>
        <w:ind w:firstLine="420"/>
        <w:rPr>
          <w:rFonts w:ascii="宋体" w:hAnsi="宋体"/>
          <w:szCs w:val="21"/>
        </w:rPr>
      </w:pPr>
      <w:r>
        <w:rPr>
          <w:rFonts w:hint="eastAsia" w:ascii="宋体" w:hAnsi="宋体"/>
          <w:szCs w:val="21"/>
        </w:rPr>
        <w:t>2011年3月，坪田镇顺利完成14个村村级两委干部换届选举工作，新一届村（居）委会支书主任全部一次选举成功、“一肩挑”比例达到100%，14个村配齐妇女干部比例达到100%。</w:t>
      </w:r>
    </w:p>
    <w:p w14:paraId="66BAF886">
      <w:pPr>
        <w:pStyle w:val="4"/>
      </w:pPr>
      <w:r>
        <w:rPr>
          <w:rFonts w:hint="eastAsia"/>
        </w:rPr>
        <w:t>【扶贫开发】</w:t>
      </w:r>
    </w:p>
    <w:p w14:paraId="3E9C5413">
      <w:pPr>
        <w:ind w:firstLine="420"/>
        <w:rPr>
          <w:rFonts w:ascii="宋体" w:hAnsi="宋体"/>
          <w:szCs w:val="21"/>
        </w:rPr>
      </w:pPr>
      <w:r>
        <w:rPr>
          <w:rFonts w:hint="eastAsia" w:ascii="宋体" w:hAnsi="宋体"/>
          <w:szCs w:val="21"/>
        </w:rPr>
        <w:t>在各扶贫单位的积极帮扶下，至2011年底，全镇落实扶贫专项资金2718.2万元，直接帮扶到户累计资金420.01万元，569户贫困户共2052人实现了脱贫，脱贫率达到100%。以产业扶贫为主，大力扶持七个贫困村发展优势主导产业，结合各级帮扶资金有效开展扶贫项目，主要有：韶关学院帮扶新圩村发展百香果种植项目；东莞莞城街道办帮扶迳洞、坪湖开拓生猪养殖项目；韶关外经局、物价局帮扶中坪、老宅、龙头村开展辣椒培育、生产、销售工作。南雄财政局启动了首个帮扶项目——五黑鸡养殖南雄机关事务中心因村制宜，了龙头村的深入调研与了解，利用7.8万元承包200亩山地种植油茶雄气象局及交通局利用5万元帮扶资金发展五黑鸡养殖产为，同时进一步抚育已种植的油菜，杉树及辣椒等。免费农技培训劳动力605人，农业产业项目带动有劳动力贫困户501户，236名贫困户子女全部实现九年义务教育入学就读，贫困户全部参加了新型农村合作医疗，60岁以上人员全部参加新型农村社会养老保险，享受补贴。</w:t>
      </w:r>
    </w:p>
    <w:p w14:paraId="75CB39CE">
      <w:pPr>
        <w:pStyle w:val="4"/>
      </w:pPr>
      <w:r>
        <w:rPr>
          <w:rFonts w:hint="eastAsia"/>
        </w:rPr>
        <w:t>【基础设施】</w:t>
      </w:r>
    </w:p>
    <w:p w14:paraId="5C41596F">
      <w:pPr>
        <w:ind w:firstLine="420"/>
        <w:rPr>
          <w:rFonts w:ascii="宋体" w:hAnsi="宋体"/>
          <w:szCs w:val="21"/>
        </w:rPr>
      </w:pPr>
      <w:r>
        <w:rPr>
          <w:rFonts w:hint="eastAsia" w:ascii="宋体" w:hAnsi="宋体"/>
          <w:szCs w:val="21"/>
        </w:rPr>
        <w:t>2011年完成了乌迳黄泥井至坪田21公里县道水泥硬化工程，完成了坪田军营寨至江西社迳塔下村村道4公里水泥硬化工程、小塘枫树下村道1.6公里水泥硬化工程，以及中坪乐得塘村道3.9公里水泥硬化工程。同时，积极争取资金，不断完善农田水利设施。完成了横岭洞1000多亩的省人大议案水坝三面光工程、杨梅坑山塘除险加固工程及老龙水坝三面光工程，农业水利基础设施建设进展顺利。</w:t>
      </w:r>
    </w:p>
    <w:p w14:paraId="133B68BE">
      <w:pPr>
        <w:pStyle w:val="4"/>
      </w:pPr>
      <w:r>
        <w:rPr>
          <w:rFonts w:hint="eastAsia"/>
        </w:rPr>
        <w:t>【市政建设】</w:t>
      </w:r>
    </w:p>
    <w:p w14:paraId="3326BA74">
      <w:pPr>
        <w:ind w:firstLine="420"/>
        <w:rPr>
          <w:rFonts w:ascii="宋体" w:hAnsi="宋体"/>
          <w:szCs w:val="21"/>
        </w:rPr>
      </w:pPr>
      <w:r>
        <w:rPr>
          <w:rFonts w:hint="eastAsia" w:ascii="宋体" w:hAnsi="宋体"/>
          <w:szCs w:val="21"/>
        </w:rPr>
        <w:t>加大农村饮水安全工作力度，解决本镇农村饮水安全问题，改善农村生活条件。截止2011年，共投入120多万元完成了坪湖、背迳、龙头、小塘、老龙五个自然村饮水安全工程，让群众喝上干净卫生的放心水。2011年，坪田镇投入资金25万元完成街道亮化工程，在老龙社区街道和坪田圩街道每50米安装一盏路灯，改变本镇街道夜晚没有路灯的情况，保障群众夜晚出行安全。10月，投入30多万元加大交通设施设备建设力度，重新修缮新圩公交车站。</w:t>
      </w:r>
    </w:p>
    <w:p w14:paraId="27E171C8">
      <w:pPr>
        <w:pStyle w:val="4"/>
      </w:pPr>
      <w:r>
        <w:rPr>
          <w:rFonts w:hint="eastAsia"/>
        </w:rPr>
        <w:t>【银杏染秋】</w:t>
      </w:r>
    </w:p>
    <w:p w14:paraId="466F33F0">
      <w:pPr>
        <w:ind w:firstLine="420"/>
        <w:rPr>
          <w:rFonts w:ascii="宋体" w:hAnsi="宋体"/>
          <w:szCs w:val="21"/>
        </w:rPr>
      </w:pPr>
      <w:r>
        <w:rPr>
          <w:rFonts w:hint="eastAsia" w:ascii="宋体" w:hAnsi="宋体"/>
          <w:szCs w:val="21"/>
        </w:rPr>
        <w:t>坪田“银杏染秋”名闻遐迩，境内拥有结果银杏树2200余株，其中百年以上433株，分布情况为：迳洞村139株、坪田村51株、龙头村134株、坪湖村58株、老宅村19株、中坪村10株、新圩村52株，境内拥有大量百龄以上的银杏古树，是欣赏银杏的理想之处。山村房屋周围都是高低错落自然生长的银杏古树，苍劲的老树搭配斑驳简朴的土房是摄影爱好者们的至爱。每年11月中旬到12月中旬，银杏染秋，遍地金黄，宛若童话仙境。在新墟坳背村，有一株1100多年的雄性银杏，高达50米，树冠面积超过600多平方米，胸径约8米，需要五六个成年人手拉手才能将其合围，被称为“银杏王”。</w:t>
      </w:r>
    </w:p>
    <w:p w14:paraId="07DCBDCE">
      <w:pPr>
        <w:pStyle w:val="4"/>
      </w:pPr>
      <w:r>
        <w:rPr>
          <w:rFonts w:hint="eastAsia"/>
        </w:rPr>
        <w:t>【坪田新龙塔】</w:t>
      </w:r>
    </w:p>
    <w:p w14:paraId="49907D88">
      <w:pPr>
        <w:ind w:firstLine="420"/>
        <w:rPr>
          <w:rFonts w:ascii="宋体" w:hAnsi="宋体"/>
          <w:szCs w:val="21"/>
        </w:rPr>
      </w:pPr>
      <w:r>
        <w:rPr>
          <w:rFonts w:hint="eastAsia" w:ascii="宋体" w:hAnsi="宋体"/>
          <w:szCs w:val="21"/>
        </w:rPr>
        <w:t>坐落在龙口村，建于宋朝，是南雄十塔之一，属南雄市重点保护文物。古塔高五层，塔平面呈六角形，为楼阁式五层空心砖塔，每层六面均开一圭形门，古塔垂直21.4米，基围19.2米，直径5.6米。2011年，古塔经修缮后更显挺拔苍劲。</w:t>
      </w:r>
    </w:p>
    <w:p w14:paraId="268BF4C4">
      <w:pPr>
        <w:pStyle w:val="4"/>
      </w:pPr>
      <w:r>
        <w:rPr>
          <w:rFonts w:hint="eastAsia"/>
        </w:rPr>
        <w:t>【各村（居）委会基本情况】</w:t>
      </w:r>
    </w:p>
    <w:p w14:paraId="7335E1F5">
      <w:pPr>
        <w:ind w:firstLine="422"/>
        <w:rPr>
          <w:rFonts w:ascii="宋体" w:hAnsi="宋体"/>
          <w:szCs w:val="21"/>
        </w:rPr>
      </w:pPr>
      <w:r>
        <w:rPr>
          <w:rFonts w:hint="eastAsia" w:ascii="宋体" w:hAnsi="宋体"/>
          <w:b/>
          <w:szCs w:val="21"/>
        </w:rPr>
        <w:t>老龙村委会</w:t>
      </w:r>
      <w:r>
        <w:rPr>
          <w:rFonts w:hint="eastAsia" w:ascii="宋体" w:hAnsi="宋体"/>
          <w:szCs w:val="21"/>
        </w:rPr>
        <w:t xml:space="preserve">  位于镇政府旁，有村民小组11个，538户，2397人，耕地面积224.13公顷，有生态公益林164.8公顷，主要经济作物为黄烟；</w:t>
      </w:r>
    </w:p>
    <w:p w14:paraId="5416C4F3">
      <w:pPr>
        <w:ind w:firstLine="422"/>
        <w:rPr>
          <w:rFonts w:ascii="宋体" w:hAnsi="宋体"/>
          <w:szCs w:val="21"/>
        </w:rPr>
      </w:pPr>
      <w:r>
        <w:rPr>
          <w:rFonts w:hint="eastAsia" w:ascii="宋体" w:hAnsi="宋体"/>
          <w:b/>
          <w:szCs w:val="21"/>
        </w:rPr>
        <w:t xml:space="preserve">长坑村委会  </w:t>
      </w:r>
      <w:r>
        <w:rPr>
          <w:rFonts w:hint="eastAsia" w:ascii="宋体" w:hAnsi="宋体"/>
          <w:szCs w:val="21"/>
        </w:rPr>
        <w:t>位于镇政府东北方向，距离镇政府约2公里，有村民小组7个，468户，2290人耕地面积220.5公顷，主要经济作物为黄烟；</w:t>
      </w:r>
    </w:p>
    <w:p w14:paraId="518AC576">
      <w:pPr>
        <w:ind w:firstLine="422"/>
        <w:rPr>
          <w:rFonts w:ascii="宋体" w:hAnsi="宋体"/>
          <w:szCs w:val="21"/>
        </w:rPr>
      </w:pPr>
      <w:r>
        <w:rPr>
          <w:rFonts w:hint="eastAsia" w:ascii="宋体" w:hAnsi="宋体"/>
          <w:b/>
          <w:szCs w:val="21"/>
        </w:rPr>
        <w:t xml:space="preserve">背迳村委会  </w:t>
      </w:r>
      <w:r>
        <w:rPr>
          <w:rFonts w:hint="eastAsia" w:ascii="宋体" w:hAnsi="宋体"/>
          <w:szCs w:val="21"/>
        </w:rPr>
        <w:t>位于镇政府南偏东方向，距离镇政府约2公里，有村民小组14个，446户，1799人，耕地面积127.5公顷，有生态公益林319.6公顷，大量出产辣椒；</w:t>
      </w:r>
    </w:p>
    <w:p w14:paraId="6FDD5378">
      <w:pPr>
        <w:ind w:firstLine="422"/>
        <w:rPr>
          <w:rFonts w:ascii="宋体" w:hAnsi="宋体"/>
          <w:szCs w:val="21"/>
        </w:rPr>
      </w:pPr>
      <w:r>
        <w:rPr>
          <w:rFonts w:hint="eastAsia" w:ascii="宋体" w:hAnsi="宋体"/>
          <w:b/>
          <w:szCs w:val="21"/>
        </w:rPr>
        <w:t>龙口村委会</w:t>
      </w:r>
      <w:r>
        <w:rPr>
          <w:rFonts w:hint="eastAsia" w:ascii="宋体" w:hAnsi="宋体"/>
          <w:szCs w:val="21"/>
        </w:rPr>
        <w:t xml:space="preserve">  位于镇政府南方，距离镇政府约4公里，有村民小组10个，306户，1362人，耕地面积104.8公顷，有生态公益林171.1公顷，主要经济作物为黄烟；</w:t>
      </w:r>
    </w:p>
    <w:p w14:paraId="46458191">
      <w:pPr>
        <w:ind w:firstLine="422"/>
        <w:rPr>
          <w:rFonts w:ascii="宋体" w:hAnsi="宋体"/>
          <w:szCs w:val="21"/>
        </w:rPr>
      </w:pPr>
      <w:r>
        <w:rPr>
          <w:rFonts w:hint="eastAsia" w:ascii="宋体" w:hAnsi="宋体"/>
          <w:b/>
          <w:szCs w:val="21"/>
        </w:rPr>
        <w:t xml:space="preserve">横岭村委会  </w:t>
      </w:r>
      <w:r>
        <w:rPr>
          <w:rFonts w:hint="eastAsia" w:ascii="宋体" w:hAnsi="宋体"/>
          <w:szCs w:val="21"/>
        </w:rPr>
        <w:t>位于镇政府西南方向，距离镇政府约5公里，有村民小组11个，335户，1515人，耕地面积125.7公顷，经济作物有黄烟、油茶等；</w:t>
      </w:r>
    </w:p>
    <w:p w14:paraId="7EE624DE">
      <w:pPr>
        <w:ind w:firstLine="422"/>
        <w:rPr>
          <w:rFonts w:ascii="宋体" w:hAnsi="宋体"/>
          <w:szCs w:val="21"/>
        </w:rPr>
      </w:pPr>
      <w:r>
        <w:rPr>
          <w:rFonts w:hint="eastAsia" w:ascii="宋体" w:hAnsi="宋体"/>
          <w:b/>
          <w:szCs w:val="21"/>
        </w:rPr>
        <w:t xml:space="preserve">小塘村委会  </w:t>
      </w:r>
      <w:r>
        <w:rPr>
          <w:rFonts w:hint="eastAsia" w:ascii="宋体" w:hAnsi="宋体"/>
          <w:szCs w:val="21"/>
        </w:rPr>
        <w:t>位于镇政府西方，直线距离镇政府约2公里，有村民小组9个，306户，1263人，耕地面积79.3公顷，有生态公益林172.2公顷，主要经济作物为黄烟；</w:t>
      </w:r>
    </w:p>
    <w:p w14:paraId="70C2D1D4">
      <w:pPr>
        <w:ind w:firstLine="422"/>
        <w:rPr>
          <w:rFonts w:ascii="宋体" w:hAnsi="宋体"/>
          <w:szCs w:val="21"/>
        </w:rPr>
      </w:pPr>
      <w:r>
        <w:rPr>
          <w:rFonts w:hint="eastAsia" w:ascii="宋体" w:hAnsi="宋体"/>
          <w:b/>
          <w:szCs w:val="21"/>
        </w:rPr>
        <w:t>官陂村委会</w:t>
      </w:r>
      <w:r>
        <w:rPr>
          <w:rFonts w:hint="eastAsia" w:ascii="宋体" w:hAnsi="宋体"/>
          <w:szCs w:val="21"/>
        </w:rPr>
        <w:t xml:space="preserve">  位于镇政府西方，直线距离镇政府约3公里，有村民小组11个，377户，1786人，耕地面积185.6公顷，有生态公益林223.1公顷，主要经济作物为黄烟；</w:t>
      </w:r>
    </w:p>
    <w:p w14:paraId="1C6DF70A">
      <w:pPr>
        <w:ind w:firstLine="422"/>
        <w:rPr>
          <w:rFonts w:ascii="宋体" w:hAnsi="宋体"/>
          <w:szCs w:val="21"/>
        </w:rPr>
      </w:pPr>
      <w:r>
        <w:rPr>
          <w:rFonts w:hint="eastAsia" w:ascii="宋体" w:hAnsi="宋体"/>
          <w:b/>
          <w:szCs w:val="21"/>
        </w:rPr>
        <w:t xml:space="preserve">坪湖村委会  </w:t>
      </w:r>
      <w:r>
        <w:rPr>
          <w:rFonts w:hint="eastAsia" w:ascii="宋体" w:hAnsi="宋体"/>
          <w:szCs w:val="21"/>
        </w:rPr>
        <w:t>位于镇政府南方，直线距离镇政府约5公里，有村民小组8个，400户，1858人，耕地面积75.6公顷，主要经济作物有黄烟、油茶、辣椒等；</w:t>
      </w:r>
    </w:p>
    <w:p w14:paraId="746806E3">
      <w:pPr>
        <w:ind w:firstLine="422"/>
        <w:rPr>
          <w:rFonts w:ascii="宋体" w:hAnsi="宋体"/>
          <w:szCs w:val="21"/>
        </w:rPr>
      </w:pPr>
      <w:r>
        <w:rPr>
          <w:rFonts w:hint="eastAsia" w:ascii="宋体" w:hAnsi="宋体"/>
          <w:b/>
          <w:szCs w:val="21"/>
        </w:rPr>
        <w:t xml:space="preserve">坪田村委会  </w:t>
      </w:r>
      <w:r>
        <w:rPr>
          <w:rFonts w:hint="eastAsia" w:ascii="宋体" w:hAnsi="宋体"/>
          <w:szCs w:val="21"/>
        </w:rPr>
        <w:t>位于镇政府南方，直线距离镇政府约8公里，有村民小组12个，362户，1697人，耕地面积67.4公顷，有生态公益林319.6公顷，坪田村的军营寨也是坪田“银杏染秋”的主要观赏景点之一；</w:t>
      </w:r>
    </w:p>
    <w:p w14:paraId="4D7D8968">
      <w:pPr>
        <w:ind w:firstLine="422"/>
        <w:rPr>
          <w:rFonts w:ascii="宋体" w:hAnsi="宋体"/>
          <w:szCs w:val="21"/>
        </w:rPr>
      </w:pPr>
      <w:r>
        <w:rPr>
          <w:rFonts w:hint="eastAsia" w:ascii="宋体" w:hAnsi="宋体"/>
          <w:b/>
          <w:szCs w:val="21"/>
        </w:rPr>
        <w:t>龙头村委会</w:t>
      </w:r>
      <w:r>
        <w:rPr>
          <w:rFonts w:hint="eastAsia" w:ascii="宋体" w:hAnsi="宋体"/>
          <w:szCs w:val="21"/>
        </w:rPr>
        <w:t xml:space="preserve">  位于镇政府东南方向，距离镇政府约10公里，有村民小组7个，198户，931人，耕地面积79.6公顷，主要经济作物有黄烟、辣椒、板栗等；</w:t>
      </w:r>
    </w:p>
    <w:p w14:paraId="11BCCE86">
      <w:pPr>
        <w:ind w:firstLine="422"/>
        <w:rPr>
          <w:rFonts w:ascii="宋体" w:hAnsi="宋体"/>
          <w:szCs w:val="21"/>
        </w:rPr>
      </w:pPr>
      <w:r>
        <w:rPr>
          <w:rFonts w:hint="eastAsia" w:ascii="宋体" w:hAnsi="宋体"/>
          <w:b/>
          <w:szCs w:val="21"/>
        </w:rPr>
        <w:t xml:space="preserve">迳洞村委会  </w:t>
      </w:r>
      <w:r>
        <w:rPr>
          <w:rFonts w:hint="eastAsia" w:ascii="宋体" w:hAnsi="宋体"/>
          <w:szCs w:val="21"/>
        </w:rPr>
        <w:t>位于镇政府东南方向，距离镇政府约11公里，有村民小组18个，438户，2033人，耕地面积91.8公顷。迳洞出产香菇，迳洞的冯屋村也是坪田银杏旅游的主要景点之一；</w:t>
      </w:r>
    </w:p>
    <w:p w14:paraId="2C4928D0">
      <w:pPr>
        <w:ind w:firstLine="422"/>
        <w:rPr>
          <w:rFonts w:ascii="宋体" w:hAnsi="宋体"/>
          <w:szCs w:val="21"/>
        </w:rPr>
      </w:pPr>
      <w:r>
        <w:rPr>
          <w:rFonts w:hint="eastAsia" w:ascii="宋体" w:hAnsi="宋体"/>
          <w:b/>
          <w:szCs w:val="21"/>
        </w:rPr>
        <w:t>新圩村委会</w:t>
      </w:r>
      <w:r>
        <w:rPr>
          <w:rFonts w:hint="eastAsia" w:ascii="宋体" w:hAnsi="宋体"/>
          <w:szCs w:val="21"/>
        </w:rPr>
        <w:t xml:space="preserve">  位于镇政府南偏东方向，距离镇政府约6公里，有村民小组25个，302户，1351人，耕地面积132.4公顷。新圩的坳背村，有成片大量古银杏，其中有一株千年雄性银杏树，树高达50多米，树冠覆盖面积超过600多平方米，胸径约8米，需好五六个成年人手拉手才能将其合围，被称为“银杏王”，是坪田“银杏染秋”的重要景点之一；</w:t>
      </w:r>
    </w:p>
    <w:p w14:paraId="2D56CA0C">
      <w:pPr>
        <w:ind w:firstLine="422"/>
        <w:rPr>
          <w:rFonts w:ascii="宋体" w:hAnsi="宋体"/>
          <w:szCs w:val="21"/>
        </w:rPr>
      </w:pPr>
      <w:r>
        <w:rPr>
          <w:rFonts w:hint="eastAsia" w:ascii="宋体" w:hAnsi="宋体"/>
          <w:b/>
          <w:szCs w:val="21"/>
        </w:rPr>
        <w:t>老宅村委会</w:t>
      </w:r>
      <w:r>
        <w:rPr>
          <w:rFonts w:hint="eastAsia" w:ascii="宋体" w:hAnsi="宋体"/>
          <w:szCs w:val="21"/>
        </w:rPr>
        <w:t xml:space="preserve">  位于镇政府东南方向，距离镇政府约5公里，有村民小组15个，314户，1470人，耕地面积100.9公顷，特色经济作物有油茶，有大型养殖场老宅引居坑生态农场；</w:t>
      </w:r>
    </w:p>
    <w:p w14:paraId="7FEF17A3">
      <w:pPr>
        <w:ind w:firstLine="422"/>
        <w:rPr>
          <w:rFonts w:ascii="宋体" w:hAnsi="宋体"/>
          <w:szCs w:val="21"/>
        </w:rPr>
      </w:pPr>
      <w:r>
        <w:rPr>
          <w:rFonts w:hint="eastAsia" w:ascii="宋体" w:hAnsi="宋体"/>
          <w:b/>
          <w:szCs w:val="21"/>
        </w:rPr>
        <w:t>中坪村委会</w:t>
      </w:r>
      <w:r>
        <w:rPr>
          <w:rFonts w:hint="eastAsia" w:ascii="宋体" w:hAnsi="宋体"/>
          <w:szCs w:val="21"/>
        </w:rPr>
        <w:t xml:space="preserve">  位于镇政府东南方向，距离镇政府约4公里，有村民小组21个，399户，1815人，耕地面积108.6公顷，中坪的老围也是坪田银杏旅游的景点；</w:t>
      </w:r>
    </w:p>
    <w:p w14:paraId="102D451F">
      <w:pPr>
        <w:ind w:firstLine="422"/>
        <w:rPr>
          <w:rFonts w:ascii="宋体" w:hAnsi="宋体"/>
          <w:szCs w:val="21"/>
        </w:rPr>
      </w:pPr>
      <w:r>
        <w:rPr>
          <w:rFonts w:hint="eastAsia" w:ascii="宋体" w:hAnsi="宋体"/>
          <w:b/>
          <w:szCs w:val="21"/>
        </w:rPr>
        <w:t xml:space="preserve">老龙居委会  </w:t>
      </w:r>
      <w:r>
        <w:rPr>
          <w:rFonts w:hint="eastAsia" w:ascii="宋体" w:hAnsi="宋体"/>
          <w:szCs w:val="21"/>
        </w:rPr>
        <w:t>镇政府所在地，有82户，1118人。胡世璋）</w:t>
      </w:r>
    </w:p>
    <w:p w14:paraId="4F24CBDA">
      <w:pPr>
        <w:ind w:firstLine="0" w:firstLineChars="0"/>
        <w:rPr>
          <w:rFonts w:ascii="宋体" w:hAnsi="宋体"/>
          <w:b/>
          <w:szCs w:val="21"/>
        </w:rPr>
      </w:pPr>
      <w:r>
        <w:rPr>
          <w:rFonts w:hint="eastAsia" w:ascii="宋体" w:hAnsi="宋体"/>
          <w:b/>
          <w:szCs w:val="21"/>
        </w:rPr>
        <w:t>附：2011年坪田镇领导班子成员名单</w:t>
      </w:r>
    </w:p>
    <w:p w14:paraId="52364DC9">
      <w:pPr>
        <w:ind w:firstLine="0" w:firstLineChars="0"/>
        <w:rPr>
          <w:rFonts w:ascii="宋体" w:hAnsi="宋体"/>
          <w:szCs w:val="21"/>
        </w:rPr>
      </w:pPr>
      <w:r>
        <w:rPr>
          <w:rFonts w:hint="eastAsia" w:ascii="宋体" w:hAnsi="宋体"/>
          <w:szCs w:val="21"/>
        </w:rPr>
        <w:t>党委书记，人大主席：何少波</w:t>
      </w:r>
    </w:p>
    <w:p w14:paraId="2755626F">
      <w:pPr>
        <w:ind w:firstLine="0" w:firstLineChars="0"/>
        <w:rPr>
          <w:rFonts w:ascii="宋体" w:hAnsi="宋体"/>
          <w:szCs w:val="21"/>
        </w:rPr>
      </w:pPr>
      <w:r>
        <w:rPr>
          <w:rFonts w:hint="eastAsia" w:ascii="宋体" w:hAnsi="宋体"/>
          <w:szCs w:val="21"/>
        </w:rPr>
        <w:t>党委副书记、镇长：邱昌金</w:t>
      </w:r>
    </w:p>
    <w:p w14:paraId="2B813BEB">
      <w:pPr>
        <w:ind w:firstLine="0" w:firstLineChars="0"/>
        <w:rPr>
          <w:rFonts w:ascii="宋体" w:hAnsi="宋体"/>
          <w:szCs w:val="21"/>
        </w:rPr>
      </w:pPr>
      <w:r>
        <w:rPr>
          <w:rFonts w:hint="eastAsia" w:ascii="宋体" w:hAnsi="宋体"/>
          <w:szCs w:val="21"/>
        </w:rPr>
        <w:t>党委副书记：陈如华</w:t>
      </w:r>
    </w:p>
    <w:p w14:paraId="2B1604B5">
      <w:pPr>
        <w:ind w:firstLine="0" w:firstLineChars="0"/>
        <w:rPr>
          <w:rFonts w:ascii="宋体" w:hAnsi="宋体"/>
          <w:szCs w:val="21"/>
        </w:rPr>
      </w:pPr>
      <w:r>
        <w:rPr>
          <w:rFonts w:hint="eastAsia" w:ascii="宋体" w:hAnsi="宋体"/>
          <w:szCs w:val="21"/>
        </w:rPr>
        <w:t>纪委书记：张朝凤</w:t>
      </w:r>
    </w:p>
    <w:p w14:paraId="3F015F2A">
      <w:pPr>
        <w:ind w:firstLine="0" w:firstLineChars="0"/>
        <w:rPr>
          <w:rFonts w:ascii="宋体" w:hAnsi="宋体"/>
          <w:szCs w:val="21"/>
        </w:rPr>
      </w:pPr>
      <w:r>
        <w:rPr>
          <w:rFonts w:hint="eastAsia" w:ascii="宋体" w:hAnsi="宋体"/>
          <w:szCs w:val="21"/>
        </w:rPr>
        <w:t>组织委员：杜嗣卿</w:t>
      </w:r>
    </w:p>
    <w:p w14:paraId="7423D208">
      <w:pPr>
        <w:ind w:firstLine="0" w:firstLineChars="0"/>
        <w:rPr>
          <w:rFonts w:ascii="宋体" w:hAnsi="宋体"/>
          <w:szCs w:val="21"/>
        </w:rPr>
      </w:pPr>
      <w:r>
        <w:rPr>
          <w:rFonts w:hint="eastAsia" w:ascii="宋体" w:hAnsi="宋体"/>
          <w:szCs w:val="21"/>
        </w:rPr>
        <w:t>宣传委员：黄得林</w:t>
      </w:r>
    </w:p>
    <w:p w14:paraId="13A4102C">
      <w:pPr>
        <w:ind w:firstLine="0" w:firstLineChars="0"/>
        <w:rPr>
          <w:rFonts w:ascii="宋体" w:hAnsi="宋体"/>
          <w:szCs w:val="21"/>
        </w:rPr>
      </w:pPr>
      <w:r>
        <w:rPr>
          <w:rFonts w:hint="eastAsia" w:ascii="宋体" w:hAnsi="宋体"/>
          <w:szCs w:val="21"/>
        </w:rPr>
        <w:t>人大副主席：叶银华</w:t>
      </w:r>
    </w:p>
    <w:p w14:paraId="5B7CCAAF">
      <w:pPr>
        <w:ind w:firstLine="0" w:firstLineChars="0"/>
        <w:rPr>
          <w:rFonts w:ascii="宋体" w:hAnsi="宋体"/>
          <w:szCs w:val="21"/>
        </w:rPr>
      </w:pPr>
      <w:r>
        <w:rPr>
          <w:rFonts w:hint="eastAsia" w:ascii="宋体" w:hAnsi="宋体"/>
          <w:szCs w:val="21"/>
        </w:rPr>
        <w:t>武装部长：陈军良</w:t>
      </w:r>
    </w:p>
    <w:p w14:paraId="4C5BD898">
      <w:pPr>
        <w:ind w:firstLine="0" w:firstLineChars="0"/>
        <w:rPr>
          <w:rFonts w:ascii="宋体" w:hAnsi="宋体"/>
          <w:szCs w:val="21"/>
        </w:rPr>
      </w:pPr>
      <w:r>
        <w:rPr>
          <w:rFonts w:hint="eastAsia" w:ascii="宋体" w:hAnsi="宋体"/>
          <w:szCs w:val="21"/>
        </w:rPr>
        <w:t>副镇长：杨  忠  张  旭  陈日军</w:t>
      </w:r>
    </w:p>
    <w:p w14:paraId="12689E72">
      <w:pPr>
        <w:pStyle w:val="3"/>
      </w:pPr>
      <w:r>
        <w:rPr>
          <w:rFonts w:hint="eastAsia"/>
        </w:rPr>
        <w:t>水口镇</w:t>
      </w:r>
    </w:p>
    <w:p w14:paraId="39E142A8">
      <w:pPr>
        <w:pStyle w:val="4"/>
      </w:pPr>
      <w:r>
        <w:rPr>
          <w:rFonts w:hint="eastAsia"/>
        </w:rPr>
        <w:t>【概况】</w:t>
      </w:r>
    </w:p>
    <w:p w14:paraId="1601321B">
      <w:pPr>
        <w:ind w:firstLine="420"/>
        <w:rPr>
          <w:rFonts w:ascii="宋体" w:hAnsi="宋体"/>
          <w:szCs w:val="21"/>
        </w:rPr>
      </w:pPr>
      <w:r>
        <w:rPr>
          <w:rFonts w:hint="eastAsia" w:ascii="宋体" w:hAnsi="宋体"/>
          <w:szCs w:val="21"/>
        </w:rPr>
        <w:t>水口镇位于南雄市东南部，属革命老区镇，是1932年发生的著名的水口战役所在地。镇政府驻地水口墟，距南雄市区21千米，与本市江头、南亩、黄坑、湖口等镇及雄州街道相邻，西南面与江西省全南县接壤。辖区面积114平方千米。2011年末辖13个村委会和水口社区1个居委会；下设184个村民小组和1个居民小组。2011年末辖区总人口6065户，24757人，其中农业人口23318人，城镇人口1439人，城镇化率5.8%。总人口中，男性12634人，占51%；女性12123人，占49%。65岁以上2470人，占10%。总人口中，以汉族为主，达24430人，占98.7%；有畬族、壮族、瑶族、苗族、土家族、垌族、布依族、水族等8个少数民族，共326人，占1.3%。除畲族外其他7个少数民族以外来婚进女性为主。2011年人口出生率12.11‰，人口死亡率5.25‰，人口自然增长率6.86‰。</w:t>
      </w:r>
    </w:p>
    <w:p w14:paraId="0A4E4FA1">
      <w:pPr>
        <w:pStyle w:val="4"/>
      </w:pPr>
      <w:r>
        <w:rPr>
          <w:rFonts w:hint="eastAsia"/>
        </w:rPr>
        <w:t>【自然条件】</w:t>
      </w:r>
    </w:p>
    <w:p w14:paraId="16301C3A">
      <w:pPr>
        <w:ind w:firstLine="420"/>
        <w:rPr>
          <w:rFonts w:ascii="宋体" w:hAnsi="宋体"/>
          <w:szCs w:val="21"/>
        </w:rPr>
      </w:pPr>
      <w:r>
        <w:rPr>
          <w:rFonts w:hint="eastAsia" w:ascii="宋体" w:hAnsi="宋体"/>
          <w:szCs w:val="21"/>
        </w:rPr>
        <w:t>水口镇地势东南高西北低。除泷头村属山区外，其余12个村属丘陵地带。地质属红色砂砾岩。属亚热带季风湿润气候，四季分明。常年平均气温19℃，年平均降雨量1345毫米左右，年平均日照1850小时，无霜期285天。矿产资源有稀土。浈江河穿镇而过。境内有1宗中型水库，8宗小（二）型水库，万方以上山塘63宗，陂头电排众多，灌溉水源充足，水利设施完善。境内有国营泷头林场，林木资源较为丰富。</w:t>
      </w:r>
    </w:p>
    <w:p w14:paraId="3618E202">
      <w:pPr>
        <w:pStyle w:val="4"/>
      </w:pPr>
      <w:r>
        <w:rPr>
          <w:rFonts w:hint="eastAsia"/>
        </w:rPr>
        <w:t>【经济社会发展】</w:t>
      </w:r>
    </w:p>
    <w:p w14:paraId="2D007B0F">
      <w:pPr>
        <w:ind w:firstLine="420"/>
        <w:rPr>
          <w:rFonts w:ascii="宋体" w:hAnsi="宋体"/>
          <w:szCs w:val="21"/>
        </w:rPr>
      </w:pPr>
      <w:r>
        <w:rPr>
          <w:rFonts w:hint="eastAsia" w:ascii="宋体" w:hAnsi="宋体"/>
          <w:szCs w:val="21"/>
        </w:rPr>
        <w:t>农业占绝大比重。全镇耕地面积26910亩，农业科学技术得到广泛应用。主要经济作物有黄烟、花生等，烤烟漂浮育苗、地膜覆盖种植、密集式电烤房烘烤烟叶等新科技日益普及，地膜花生栽培技术全面普及。2011年，烟叶收购量1062.3吨，花生产量1067吨。粮食作物以水稻、番薯、大豆、玉米为主，2011年，生产粮食14277吨，其中水稻12717吨，番薯899吨、大豆374吨，玉米243吨。水产业主要为鲩鱼、鲢鱼、鳙鱼养殖，2011年末，水产养殖面积3026亩，总产876吨。林果业主要为丛生竹、毛竹、松树、杉树，乔灌杂树和桃、柑、桔、李、梅等果树种植。生猪饲养量3.87万头，出栏量2.09万头。三鸟出栏量31万羽。辖区林地总面积9.04万亩，其中生态公益林面积4.4万亩，商品林面积4.56万亩，森林覆盖率62.8%，活立木蓄积量33.6万立方米。2011年末镇级财政总收入202万元，总支出198万元，农民人均纯收入5909元。</w:t>
      </w:r>
    </w:p>
    <w:p w14:paraId="2E05F831">
      <w:pPr>
        <w:pStyle w:val="4"/>
      </w:pPr>
      <w:r>
        <w:rPr>
          <w:rFonts w:hint="eastAsia"/>
        </w:rPr>
        <w:t>【社会事业发展】</w:t>
      </w:r>
    </w:p>
    <w:p w14:paraId="68F809DB">
      <w:pPr>
        <w:ind w:firstLine="420"/>
        <w:rPr>
          <w:rFonts w:ascii="宋体" w:hAnsi="宋体"/>
          <w:szCs w:val="21"/>
        </w:rPr>
      </w:pPr>
      <w:r>
        <w:rPr>
          <w:rFonts w:hint="eastAsia" w:ascii="宋体" w:hAnsi="宋体"/>
          <w:szCs w:val="21"/>
        </w:rPr>
        <w:t>2011年12月，成功创建广东省教育强镇，办学条件得到极大改善，教学布局得到优化。2011年末，镇内有幼儿园（所）4所，在园幼儿480人，专任教师21人；小学4所，在校生1020人，专任教师102人，小学适龄儿童入学率100%。初中1所，在校生663人，专任教师52人，初中适龄人口入学率100%，小升初升学率100%，九年义务教育覆盖率达100%。</w:t>
      </w:r>
    </w:p>
    <w:p w14:paraId="10B66B22">
      <w:pPr>
        <w:ind w:firstLine="420"/>
        <w:rPr>
          <w:rFonts w:ascii="宋体" w:hAnsi="宋体"/>
          <w:szCs w:val="21"/>
        </w:rPr>
      </w:pPr>
      <w:r>
        <w:rPr>
          <w:rFonts w:hint="eastAsia" w:ascii="宋体" w:hAnsi="宋体"/>
          <w:szCs w:val="21"/>
        </w:rPr>
        <w:t>镇级卫生院1所、村级卫生站15个，镇、村医疗机构标准规范化建设工作全面推进，产妇住院分娩率、儿童强制预防接种免疫率分别达100%，妇幼保健水平不断提高，农村初级保健目标基本实现。2011年末，新型农村合作医疗参保人数22466人，参保率96.3%。6779人参加新型农村养老保险。2011年人口与计划生育工作成绩显著，扎实推进层级动态管理目标责任制和“两无”创建工作，计划生育率达96%，上级下达的人口与计划生育目标管理工作任务全面完成。重大动物疫病防控机制不断完善，预防工作取得阶段性成果。2011年发放种粮补贴140万元，家电下乡补贴42.8万元。全镇享受农村最低生活保障有478户，1117人，年发放低保经费87.1万元；农村五保集体、分散供养108人；农村医疗救助65人次，救助资金11.9万元。全镇13个村委会和1个居委会实现了砖混办公大楼。镇文化综合大楼可容纳600人就座，有线电视网络覆盖全镇。</w:t>
      </w:r>
    </w:p>
    <w:p w14:paraId="333523DF">
      <w:pPr>
        <w:pStyle w:val="4"/>
      </w:pPr>
      <w:r>
        <w:rPr>
          <w:rFonts w:hint="eastAsia"/>
        </w:rPr>
        <w:t>【基础设施建设】</w:t>
      </w:r>
    </w:p>
    <w:p w14:paraId="1CD2DE11">
      <w:pPr>
        <w:ind w:firstLine="420"/>
        <w:rPr>
          <w:rFonts w:ascii="宋体" w:hAnsi="宋体"/>
          <w:szCs w:val="21"/>
        </w:rPr>
      </w:pPr>
      <w:r>
        <w:rPr>
          <w:rFonts w:hint="eastAsia" w:ascii="宋体" w:hAnsi="宋体"/>
          <w:szCs w:val="21"/>
        </w:rPr>
        <w:t>全镇境内交通便利，有县道342线、338线纵横贯穿，镇通行政村、周边乡镇全面实现了水泥硬底化公路。土地的合理利用和耕地保护工作日益加强，全镇基本农田得到切实保护，耕地实现动态平衡。国家农业综合开发土地治理项目建设顺利完成，共改造中低产田9700亩，修建了一大批机耕路、引水渠，受益农户2165户，受益人口8675人。现代烟草农业示范基地项目建设顺利完工，共修建沟渠、管网3万多米，新建密集式烤房100多座，维修衬砌渠道80公里，建设和维修机耕路40公里，修建一大批水圳三面光工程，农业生产条件得到进一步的改善。</w:t>
      </w:r>
    </w:p>
    <w:p w14:paraId="2F728D99">
      <w:pPr>
        <w:ind w:firstLine="420"/>
        <w:rPr>
          <w:rFonts w:ascii="宋体" w:hAnsi="宋体"/>
          <w:szCs w:val="21"/>
        </w:rPr>
      </w:pPr>
      <w:r>
        <w:rPr>
          <w:rFonts w:hint="eastAsia" w:ascii="宋体" w:hAnsi="宋体"/>
          <w:szCs w:val="21"/>
        </w:rPr>
        <w:t>镇级客运站一座，配有班车9辆，年客运量31万人次。邮政事业持续发展，2011年末有邮政网点1个，投递点63个，乡村通邮率100%。程控电话、移动电话实现了村村通，国内、国际通讯便利，固定电话用户2190户。形成带宽宽、高速率、大容量的信息网络平台，实现了宽带接入覆盖全镇。</w:t>
      </w:r>
    </w:p>
    <w:p w14:paraId="2180AA03">
      <w:pPr>
        <w:ind w:firstLine="420"/>
        <w:rPr>
          <w:rFonts w:ascii="宋体" w:hAnsi="宋体"/>
          <w:szCs w:val="21"/>
        </w:rPr>
      </w:pPr>
      <w:r>
        <w:rPr>
          <w:rFonts w:hint="eastAsia" w:ascii="宋体" w:hAnsi="宋体"/>
          <w:szCs w:val="21"/>
        </w:rPr>
        <w:t>2011年末水口圩有十字形街道2条，总长1千米。安装水口中学到水口战役纪念公园，水口信用社到水口工商所路灯23盏。引进外资，建自来水厂一座，铺设干线水管45千米，自来水普及率80%。镇内建有水口战役纪念公园1座，是南雄市主要爱国主义教育基地之一。</w:t>
      </w:r>
    </w:p>
    <w:p w14:paraId="3DA5DDB0">
      <w:pPr>
        <w:pStyle w:val="4"/>
      </w:pPr>
      <w:r>
        <w:rPr>
          <w:rFonts w:hint="eastAsia"/>
        </w:rPr>
        <w:t>【扶贫双到】</w:t>
      </w:r>
    </w:p>
    <w:p w14:paraId="24ED9AAB">
      <w:pPr>
        <w:ind w:firstLine="420"/>
        <w:rPr>
          <w:rFonts w:ascii="宋体" w:hAnsi="宋体"/>
          <w:szCs w:val="21"/>
        </w:rPr>
      </w:pPr>
      <w:r>
        <w:rPr>
          <w:rFonts w:hint="eastAsia" w:ascii="宋体" w:hAnsi="宋体"/>
          <w:szCs w:val="21"/>
        </w:rPr>
        <w:t>2011年末改造低收入家庭住房88户，超额完成本年度低收入家庭住房改造任务。</w:t>
      </w:r>
    </w:p>
    <w:p w14:paraId="4A3D8FC2">
      <w:pPr>
        <w:pStyle w:val="4"/>
      </w:pPr>
      <w:r>
        <w:rPr>
          <w:rFonts w:hint="eastAsia"/>
        </w:rPr>
        <w:t>【维稳综治工作】</w:t>
      </w:r>
    </w:p>
    <w:p w14:paraId="03E241BD">
      <w:pPr>
        <w:ind w:firstLine="420"/>
        <w:rPr>
          <w:rFonts w:ascii="宋体" w:hAnsi="宋体"/>
          <w:szCs w:val="21"/>
        </w:rPr>
      </w:pPr>
      <w:r>
        <w:rPr>
          <w:rFonts w:hint="eastAsia" w:ascii="宋体" w:hAnsi="宋体"/>
          <w:szCs w:val="21"/>
        </w:rPr>
        <w:t>认真落实领导接访制度，领导信访包案责任制度，2011年排查各类矛盾纠纷37宗，调处成功36宗，矛盾纠纷调处率达97%。妥善处理群体性事件、突发性事件3起，没有造成不良后果，全镇社会治安形势良好。</w:t>
      </w:r>
    </w:p>
    <w:p w14:paraId="341C2377">
      <w:pPr>
        <w:pStyle w:val="4"/>
      </w:pPr>
      <w:r>
        <w:rPr>
          <w:rFonts w:hint="eastAsia"/>
        </w:rPr>
        <w:t>【镇、村换届选举情况】</w:t>
      </w:r>
    </w:p>
    <w:p w14:paraId="6AA1B629">
      <w:pPr>
        <w:ind w:firstLine="420"/>
        <w:rPr>
          <w:rFonts w:ascii="宋体" w:hAnsi="宋体"/>
          <w:szCs w:val="21"/>
        </w:rPr>
      </w:pPr>
      <w:r>
        <w:rPr>
          <w:rFonts w:hint="eastAsia" w:ascii="宋体" w:hAnsi="宋体"/>
          <w:szCs w:val="21"/>
        </w:rPr>
        <w:t>2011年8月23日召开中共水口镇第十三次代表大会，选举产生新一届党委书记1名、副书记2名；选举纪委书记1名、副书记2名。</w:t>
      </w:r>
    </w:p>
    <w:p w14:paraId="28BBB4D3">
      <w:pPr>
        <w:ind w:firstLine="420"/>
        <w:rPr>
          <w:rFonts w:ascii="宋体" w:hAnsi="宋体"/>
          <w:szCs w:val="21"/>
        </w:rPr>
      </w:pPr>
      <w:r>
        <w:rPr>
          <w:rFonts w:hint="eastAsia" w:ascii="宋体" w:hAnsi="宋体"/>
          <w:szCs w:val="21"/>
        </w:rPr>
        <w:t>2011年9月22日召开水口镇第十五届人民代表大会第一次会议，选举产生镇人大主席1名，人大副主席1名；选举镇长1名，副镇长3名。</w:t>
      </w:r>
    </w:p>
    <w:p w14:paraId="359D8907">
      <w:pPr>
        <w:ind w:firstLine="420"/>
        <w:rPr>
          <w:rFonts w:ascii="宋体" w:hAnsi="宋体"/>
          <w:szCs w:val="21"/>
        </w:rPr>
      </w:pPr>
      <w:r>
        <w:rPr>
          <w:rFonts w:hint="eastAsia" w:ascii="宋体" w:hAnsi="宋体"/>
          <w:szCs w:val="21"/>
        </w:rPr>
        <w:t>2011年3月23日至30日，对13个行政村进行了第五届、1个社区居委会进行了第四届的换届选举，共选举产生了新一届的村（居委会）“两委”干部60人。其中支书、主任14人，100%实现了支书、主任一肩挑；党员54人，占90%；连任干部46人，占76.67%；35岁以下的干部2人，占3.33%；妇女干部14人，占23.33%；新当选的村支书、主任有5人。有村（居委会）民代表386人。</w:t>
      </w:r>
    </w:p>
    <w:p w14:paraId="7A357D62">
      <w:pPr>
        <w:pStyle w:val="4"/>
      </w:pPr>
      <w:r>
        <w:rPr>
          <w:rFonts w:hint="eastAsia"/>
        </w:rPr>
        <w:t>【各村（居）委会基本情况】</w:t>
      </w:r>
    </w:p>
    <w:p w14:paraId="21A90DE0">
      <w:pPr>
        <w:ind w:firstLine="422"/>
        <w:rPr>
          <w:rFonts w:ascii="宋体" w:hAnsi="宋体"/>
          <w:szCs w:val="21"/>
        </w:rPr>
      </w:pPr>
      <w:r>
        <w:rPr>
          <w:rFonts w:hint="eastAsia" w:ascii="宋体" w:hAnsi="宋体"/>
          <w:b/>
          <w:szCs w:val="21"/>
        </w:rPr>
        <w:t>云西村村民委员会</w:t>
      </w:r>
      <w:r>
        <w:rPr>
          <w:rFonts w:hint="eastAsia" w:ascii="宋体" w:hAnsi="宋体"/>
          <w:szCs w:val="21"/>
        </w:rPr>
        <w:t xml:space="preserve">  位于水口镇东部。全村耕地1473.6亩，林地8340亩，辖17个村民小组，268户，1005人，现有村“两委”干部4人。全村主要产业以农业为主，主要经济作物有黄烟、水稻、花生等。2011年人均收入5901元。</w:t>
      </w:r>
    </w:p>
    <w:p w14:paraId="1AA7B6F9">
      <w:pPr>
        <w:ind w:firstLine="422"/>
        <w:rPr>
          <w:rFonts w:ascii="宋体" w:hAnsi="宋体"/>
          <w:szCs w:val="21"/>
        </w:rPr>
      </w:pPr>
      <w:r>
        <w:rPr>
          <w:rFonts w:hint="eastAsia" w:ascii="宋体" w:hAnsi="宋体"/>
          <w:b/>
          <w:szCs w:val="21"/>
        </w:rPr>
        <w:t>篛过村村民委员会</w:t>
      </w:r>
      <w:r>
        <w:rPr>
          <w:rFonts w:hint="eastAsia" w:ascii="宋体" w:hAnsi="宋体"/>
          <w:szCs w:val="21"/>
        </w:rPr>
        <w:t xml:space="preserve">  位于水口镇东北部，是革命老区村。全村耕地2611亩，林地2962亩，辖18个村民小组，565户，2253人，现有村“两委”干部5人，党员48人。全村主要产业以农业为主，主要经济作物有黄烟、水稻、花生等。2011年人均收入5910元。</w:t>
      </w:r>
    </w:p>
    <w:p w14:paraId="39EB0184">
      <w:pPr>
        <w:ind w:firstLine="422"/>
        <w:rPr>
          <w:rFonts w:ascii="宋体" w:hAnsi="宋体"/>
          <w:szCs w:val="21"/>
        </w:rPr>
      </w:pPr>
      <w:r>
        <w:rPr>
          <w:rFonts w:hint="eastAsia" w:ascii="宋体" w:hAnsi="宋体"/>
          <w:b/>
          <w:szCs w:val="21"/>
        </w:rPr>
        <w:t>水口村村民委员会</w:t>
      </w:r>
      <w:r>
        <w:rPr>
          <w:rFonts w:hint="eastAsia" w:ascii="宋体" w:hAnsi="宋体"/>
          <w:szCs w:val="21"/>
        </w:rPr>
        <w:t xml:space="preserve">  位于水口镇中心，是革命老区村。全村总面积约5平方公里，耕地4086亩，林地15916亩，辖30个村民小组，1118户，3867人，现有村“两委”干部5人。全村主要产业以农业为主，主要经济作物有黄烟、水稻、花生等。2011年人均收入5912元。</w:t>
      </w:r>
    </w:p>
    <w:p w14:paraId="56F0EF76">
      <w:pPr>
        <w:ind w:firstLine="422"/>
        <w:rPr>
          <w:rFonts w:ascii="宋体" w:hAnsi="宋体"/>
          <w:szCs w:val="21"/>
        </w:rPr>
      </w:pPr>
      <w:r>
        <w:rPr>
          <w:rFonts w:hint="eastAsia" w:ascii="宋体" w:hAnsi="宋体"/>
          <w:b/>
          <w:szCs w:val="21"/>
        </w:rPr>
        <w:t>大部村村民委员会</w:t>
      </w:r>
      <w:r>
        <w:rPr>
          <w:rFonts w:hint="eastAsia" w:ascii="宋体" w:hAnsi="宋体"/>
          <w:szCs w:val="21"/>
        </w:rPr>
        <w:t xml:space="preserve">  位于水口镇北部，是革命老区村。全村耕地3315亩，林地2619亩，辖16个村民小组，637户，2369人，现有村“两委”干部5人。全村主要产业以农业为主，主要经济作物有黄烟、水稻、花生等。2011年人均收入5909元。</w:t>
      </w:r>
    </w:p>
    <w:p w14:paraId="4F6923A6">
      <w:pPr>
        <w:ind w:firstLine="422"/>
        <w:rPr>
          <w:rFonts w:ascii="宋体" w:hAnsi="宋体"/>
          <w:szCs w:val="21"/>
        </w:rPr>
      </w:pPr>
      <w:r>
        <w:rPr>
          <w:rFonts w:hint="eastAsia" w:ascii="宋体" w:hAnsi="宋体"/>
          <w:b/>
          <w:szCs w:val="21"/>
        </w:rPr>
        <w:t xml:space="preserve">河村村民委员会  </w:t>
      </w:r>
      <w:r>
        <w:rPr>
          <w:rFonts w:hint="eastAsia" w:ascii="宋体" w:hAnsi="宋体"/>
          <w:szCs w:val="21"/>
        </w:rPr>
        <w:t>位于水口镇西部。全村总面积3平方公里，耕地1844亩，林地791亩，辖13个村民小组，501户，2069人，现有村“两委”干部5人。全村主要产业以农业为主，主要经济作物有黄烟、水稻、花生等。2011年人均收入5908元。</w:t>
      </w:r>
    </w:p>
    <w:p w14:paraId="4D15CB04">
      <w:pPr>
        <w:ind w:firstLine="422"/>
        <w:rPr>
          <w:rFonts w:ascii="宋体" w:hAnsi="宋体"/>
          <w:szCs w:val="21"/>
        </w:rPr>
      </w:pPr>
      <w:r>
        <w:rPr>
          <w:rFonts w:hint="eastAsia" w:ascii="宋体" w:hAnsi="宋体"/>
          <w:b/>
          <w:szCs w:val="21"/>
        </w:rPr>
        <w:t>大坪村村民委员会</w:t>
      </w:r>
      <w:r>
        <w:rPr>
          <w:rFonts w:hint="eastAsia" w:ascii="宋体" w:hAnsi="宋体"/>
          <w:szCs w:val="21"/>
        </w:rPr>
        <w:t xml:space="preserve">  位于水口镇中部。全村耕地1355亩，林地1326亩，辖7个村民小组，310户，1217人，现有村“两委”干部4人。全村主要产业以农业为主，主要经济作物有黄烟、水稻、花生等。2011年人均收入5902元。</w:t>
      </w:r>
    </w:p>
    <w:p w14:paraId="73EEA2F3">
      <w:pPr>
        <w:ind w:firstLine="422"/>
        <w:rPr>
          <w:rFonts w:ascii="宋体" w:hAnsi="宋体"/>
          <w:szCs w:val="21"/>
        </w:rPr>
      </w:pPr>
      <w:r>
        <w:rPr>
          <w:rFonts w:hint="eastAsia" w:ascii="宋体" w:hAnsi="宋体"/>
          <w:b/>
          <w:szCs w:val="21"/>
        </w:rPr>
        <w:t>沙头村村民委员会</w:t>
      </w:r>
      <w:r>
        <w:rPr>
          <w:rFonts w:hint="eastAsia" w:ascii="宋体" w:hAnsi="宋体"/>
          <w:szCs w:val="21"/>
        </w:rPr>
        <w:t xml:space="preserve">  位于水口镇西南部，是革命老区村。全村耕地2575亩，林地980亩，辖15个村民小组，457户，2252人，现有村“两委”干部5人。全村主要产业以农业为主，主要经济作物有黄烟、水稻、花生等。2011年人均收入5908元。</w:t>
      </w:r>
    </w:p>
    <w:p w14:paraId="3B04AC44">
      <w:pPr>
        <w:ind w:firstLine="422"/>
        <w:rPr>
          <w:rFonts w:ascii="宋体" w:hAnsi="宋体"/>
          <w:szCs w:val="21"/>
        </w:rPr>
      </w:pPr>
      <w:r>
        <w:rPr>
          <w:rFonts w:hint="eastAsia" w:ascii="宋体" w:hAnsi="宋体"/>
          <w:b/>
          <w:szCs w:val="21"/>
        </w:rPr>
        <w:t xml:space="preserve">下湖村村民委员会  </w:t>
      </w:r>
      <w:r>
        <w:rPr>
          <w:rFonts w:hint="eastAsia" w:ascii="宋体" w:hAnsi="宋体"/>
          <w:szCs w:val="21"/>
        </w:rPr>
        <w:t>位于水口镇西南部，是革命老区村。全村耕地727亩，林地823亩，辖7个村民小组，263户，1062人，现有村“两委”干部4人。全村主要产业以农业为主，主要经济作物有黄烟、水稻、花生等。2011年人均收入5909元。</w:t>
      </w:r>
    </w:p>
    <w:p w14:paraId="7EAF1434">
      <w:pPr>
        <w:ind w:firstLine="420"/>
        <w:rPr>
          <w:rFonts w:ascii="宋体" w:hAnsi="宋体"/>
          <w:szCs w:val="21"/>
        </w:rPr>
      </w:pPr>
      <w:r>
        <w:rPr>
          <w:rFonts w:hint="eastAsia" w:ascii="宋体" w:hAnsi="宋体"/>
          <w:szCs w:val="21"/>
        </w:rPr>
        <w:t>赤岭村村民委员会位于水口镇南部，是革命老区村。全村耕地1360亩，林地1155亩，辖12个村民小组，332户，1342人，现有村“两委”干部4人。全村主要产业以农业为主，主要经济作物有黄烟、水稻、花生等。2011年人均收入5907元。</w:t>
      </w:r>
    </w:p>
    <w:p w14:paraId="40C3B4F8">
      <w:pPr>
        <w:ind w:firstLine="422"/>
        <w:rPr>
          <w:rFonts w:ascii="宋体" w:hAnsi="宋体"/>
          <w:szCs w:val="21"/>
        </w:rPr>
      </w:pPr>
      <w:r>
        <w:rPr>
          <w:rFonts w:hint="eastAsia" w:ascii="宋体" w:hAnsi="宋体"/>
          <w:b/>
          <w:szCs w:val="21"/>
        </w:rPr>
        <w:t>群星村村民委员会</w:t>
      </w:r>
      <w:r>
        <w:rPr>
          <w:rFonts w:hint="eastAsia" w:ascii="宋体" w:hAnsi="宋体"/>
          <w:szCs w:val="21"/>
        </w:rPr>
        <w:t xml:space="preserve">  位于水口镇南部。全村耕地755亩，林地2426亩，辖6个村民小组，333户，1001人，现有村“两委”干部4人。全村主要产业以农业为主，主要经济作物有黄烟、水稻、花生等。2011年人均收入5901元。</w:t>
      </w:r>
    </w:p>
    <w:p w14:paraId="60702400">
      <w:pPr>
        <w:ind w:firstLine="422"/>
        <w:rPr>
          <w:rFonts w:ascii="宋体" w:hAnsi="宋体"/>
          <w:szCs w:val="21"/>
        </w:rPr>
      </w:pPr>
      <w:r>
        <w:rPr>
          <w:rFonts w:hint="eastAsia" w:ascii="宋体" w:hAnsi="宋体"/>
          <w:b/>
          <w:szCs w:val="21"/>
        </w:rPr>
        <w:t xml:space="preserve">石庄村村民委员会  </w:t>
      </w:r>
      <w:r>
        <w:rPr>
          <w:rFonts w:hint="eastAsia" w:ascii="宋体" w:hAnsi="宋体"/>
          <w:szCs w:val="21"/>
        </w:rPr>
        <w:t>位于水口镇东南部，是革命老区村。全村耕地1490亩，林地3000亩，辖20个村民小组，449户，1680人，现有村“两委”干部4人。全村主要产业以农业为主，主要经济作物有黄烟、水稻、花生等。2011年人均收入5904元。</w:t>
      </w:r>
    </w:p>
    <w:p w14:paraId="14EBB8F1">
      <w:pPr>
        <w:ind w:firstLine="422"/>
        <w:rPr>
          <w:rFonts w:ascii="宋体" w:hAnsi="宋体"/>
          <w:szCs w:val="21"/>
        </w:rPr>
      </w:pPr>
      <w:r>
        <w:rPr>
          <w:rFonts w:hint="eastAsia" w:ascii="宋体" w:hAnsi="宋体"/>
          <w:b/>
          <w:szCs w:val="21"/>
        </w:rPr>
        <w:t xml:space="preserve">下楼村村民委员会  </w:t>
      </w:r>
      <w:r>
        <w:rPr>
          <w:rFonts w:hint="eastAsia" w:ascii="宋体" w:hAnsi="宋体"/>
          <w:szCs w:val="21"/>
        </w:rPr>
        <w:t>位于水口镇东部。全村耕地748亩，林地8664亩，辖15个村民小组，323户，1333人，现有村“两委”干部4人。全村主要产业以农业为主，主要经济作物有黄烟、水稻、花生等。2011年人均收入5905元。</w:t>
      </w:r>
    </w:p>
    <w:p w14:paraId="0FBACB09">
      <w:pPr>
        <w:ind w:firstLine="422"/>
        <w:rPr>
          <w:rFonts w:ascii="宋体" w:hAnsi="宋体"/>
          <w:szCs w:val="21"/>
        </w:rPr>
      </w:pPr>
      <w:r>
        <w:rPr>
          <w:rFonts w:hint="eastAsia" w:ascii="宋体" w:hAnsi="宋体"/>
          <w:b/>
          <w:szCs w:val="21"/>
        </w:rPr>
        <w:t xml:space="preserve">泷头村村民委员会  </w:t>
      </w:r>
      <w:r>
        <w:rPr>
          <w:rFonts w:hint="eastAsia" w:ascii="宋体" w:hAnsi="宋体"/>
          <w:szCs w:val="21"/>
        </w:rPr>
        <w:t>位于水口镇东南部，是革命老区村。全村耕地1026亩，林地24112亩，辖8个村民小组，362户，1548人，现有村“两委”干部4人。全村主要产业以农、林业为主，农业经济作物主要有水稻、花生、西瓜等，林业主要有丛生竹、毛竹、松树、杉树，乔灌杂树等。2011年人均收入5903元。</w:t>
      </w:r>
    </w:p>
    <w:p w14:paraId="3FFE2D5A">
      <w:pPr>
        <w:ind w:firstLine="422"/>
        <w:rPr>
          <w:rFonts w:ascii="宋体" w:hAnsi="宋体"/>
          <w:szCs w:val="21"/>
        </w:rPr>
      </w:pPr>
      <w:r>
        <w:rPr>
          <w:rFonts w:hint="eastAsia" w:ascii="宋体" w:hAnsi="宋体"/>
          <w:b/>
          <w:szCs w:val="21"/>
        </w:rPr>
        <w:t xml:space="preserve">水口社区居民委员会  </w:t>
      </w:r>
      <w:r>
        <w:rPr>
          <w:rFonts w:hint="eastAsia" w:ascii="宋体" w:hAnsi="宋体"/>
          <w:szCs w:val="21"/>
        </w:rPr>
        <w:t>位于水口镇中部，全社区有362户，1439人，现有社区“两委”干部4人。</w:t>
      </w:r>
    </w:p>
    <w:p w14:paraId="71921DF1">
      <w:pPr>
        <w:ind w:firstLine="420"/>
        <w:jc w:val="right"/>
        <w:rPr>
          <w:rFonts w:ascii="宋体" w:hAnsi="宋体"/>
          <w:szCs w:val="21"/>
        </w:rPr>
      </w:pPr>
      <w:r>
        <w:rPr>
          <w:rFonts w:hint="eastAsia" w:ascii="宋体" w:hAnsi="宋体"/>
          <w:szCs w:val="21"/>
        </w:rPr>
        <w:t>（曾志明）</w:t>
      </w:r>
    </w:p>
    <w:p w14:paraId="7FE2F36B">
      <w:pPr>
        <w:ind w:firstLine="0" w:firstLineChars="0"/>
        <w:rPr>
          <w:rFonts w:ascii="宋体" w:hAnsi="宋体"/>
          <w:szCs w:val="21"/>
        </w:rPr>
      </w:pPr>
      <w:r>
        <w:rPr>
          <w:rFonts w:hint="eastAsia" w:ascii="宋体" w:hAnsi="宋体"/>
          <w:b/>
          <w:szCs w:val="21"/>
        </w:rPr>
        <w:t>附：2011年水口镇领导班子成员名单</w:t>
      </w:r>
    </w:p>
    <w:p w14:paraId="7E745F4B">
      <w:pPr>
        <w:ind w:firstLine="0" w:firstLineChars="0"/>
        <w:rPr>
          <w:rFonts w:ascii="宋体" w:hAnsi="宋体"/>
          <w:szCs w:val="21"/>
        </w:rPr>
      </w:pPr>
      <w:r>
        <w:rPr>
          <w:rFonts w:hint="eastAsia" w:ascii="宋体" w:hAnsi="宋体"/>
          <w:szCs w:val="21"/>
        </w:rPr>
        <w:t>党委书记、人大主席：范桂全</w:t>
      </w:r>
    </w:p>
    <w:p w14:paraId="11500254">
      <w:pPr>
        <w:ind w:firstLine="0" w:firstLineChars="0"/>
        <w:rPr>
          <w:rFonts w:ascii="宋体" w:hAnsi="宋体"/>
          <w:szCs w:val="21"/>
        </w:rPr>
      </w:pPr>
      <w:r>
        <w:rPr>
          <w:rFonts w:hint="eastAsia" w:ascii="宋体" w:hAnsi="宋体"/>
          <w:szCs w:val="21"/>
        </w:rPr>
        <w:t>党委副书记、镇长：温春花</w:t>
      </w:r>
    </w:p>
    <w:p w14:paraId="59B4253B">
      <w:pPr>
        <w:ind w:firstLine="0" w:firstLineChars="0"/>
        <w:rPr>
          <w:rFonts w:ascii="宋体" w:hAnsi="宋体"/>
          <w:szCs w:val="21"/>
        </w:rPr>
      </w:pPr>
      <w:r>
        <w:rPr>
          <w:rFonts w:hint="eastAsia" w:ascii="宋体" w:hAnsi="宋体"/>
          <w:szCs w:val="21"/>
        </w:rPr>
        <w:t>党委副书记：刘光煌</w:t>
      </w:r>
    </w:p>
    <w:p w14:paraId="5BA8009F">
      <w:pPr>
        <w:ind w:firstLine="0" w:firstLineChars="0"/>
        <w:rPr>
          <w:rFonts w:ascii="宋体" w:hAnsi="宋体"/>
          <w:szCs w:val="21"/>
        </w:rPr>
      </w:pPr>
      <w:r>
        <w:rPr>
          <w:rFonts w:hint="eastAsia" w:ascii="宋体" w:hAnsi="宋体"/>
          <w:szCs w:val="21"/>
        </w:rPr>
        <w:t>纪委书记：邓煜煜</w:t>
      </w:r>
    </w:p>
    <w:p w14:paraId="19BC3D6B">
      <w:pPr>
        <w:ind w:firstLine="0" w:firstLineChars="0"/>
        <w:rPr>
          <w:rFonts w:ascii="宋体" w:hAnsi="宋体"/>
          <w:szCs w:val="21"/>
        </w:rPr>
      </w:pPr>
      <w:r>
        <w:rPr>
          <w:rFonts w:hint="eastAsia" w:ascii="宋体" w:hAnsi="宋体"/>
          <w:szCs w:val="21"/>
        </w:rPr>
        <w:t>组织委员：刘  畅</w:t>
      </w:r>
    </w:p>
    <w:p w14:paraId="48559994">
      <w:pPr>
        <w:ind w:firstLine="0" w:firstLineChars="0"/>
        <w:rPr>
          <w:rFonts w:ascii="宋体" w:hAnsi="宋体"/>
          <w:szCs w:val="21"/>
        </w:rPr>
      </w:pPr>
      <w:r>
        <w:rPr>
          <w:rFonts w:hint="eastAsia" w:ascii="宋体" w:hAnsi="宋体"/>
          <w:szCs w:val="21"/>
        </w:rPr>
        <w:t>宣传委员：吴英琪</w:t>
      </w:r>
    </w:p>
    <w:p w14:paraId="0C53261F">
      <w:pPr>
        <w:ind w:firstLine="0" w:firstLineChars="0"/>
        <w:rPr>
          <w:rFonts w:ascii="宋体" w:hAnsi="宋体"/>
          <w:szCs w:val="21"/>
        </w:rPr>
      </w:pPr>
      <w:r>
        <w:rPr>
          <w:rFonts w:hint="eastAsia" w:ascii="宋体" w:hAnsi="宋体"/>
          <w:szCs w:val="21"/>
        </w:rPr>
        <w:t>人大副主席：邓国荣</w:t>
      </w:r>
    </w:p>
    <w:p w14:paraId="045D4E1B">
      <w:pPr>
        <w:ind w:firstLine="0" w:firstLineChars="0"/>
        <w:rPr>
          <w:rFonts w:ascii="宋体" w:hAnsi="宋体"/>
          <w:szCs w:val="21"/>
        </w:rPr>
      </w:pPr>
      <w:r>
        <w:rPr>
          <w:rFonts w:hint="eastAsia" w:ascii="宋体" w:hAnsi="宋体"/>
          <w:szCs w:val="21"/>
        </w:rPr>
        <w:t>武装部长：杨庆安</w:t>
      </w:r>
    </w:p>
    <w:p w14:paraId="3503C18E">
      <w:pPr>
        <w:ind w:firstLine="0" w:firstLineChars="0"/>
        <w:rPr>
          <w:rFonts w:ascii="宋体" w:hAnsi="宋体"/>
          <w:szCs w:val="21"/>
        </w:rPr>
      </w:pPr>
      <w:r>
        <w:rPr>
          <w:rFonts w:hint="eastAsia" w:ascii="宋体" w:hAnsi="宋体"/>
          <w:szCs w:val="21"/>
        </w:rPr>
        <w:t>党委委员：欧阳锋</w:t>
      </w:r>
    </w:p>
    <w:p w14:paraId="5CDFF0C9">
      <w:pPr>
        <w:ind w:firstLine="0" w:firstLineChars="0"/>
        <w:rPr>
          <w:rFonts w:ascii="宋体" w:hAnsi="宋体"/>
          <w:szCs w:val="21"/>
        </w:rPr>
      </w:pPr>
      <w:r>
        <w:rPr>
          <w:rFonts w:hint="eastAsia" w:ascii="宋体" w:hAnsi="宋体"/>
          <w:szCs w:val="21"/>
        </w:rPr>
        <w:t>副镇长：陈  文  王衍明  王  冠</w:t>
      </w:r>
    </w:p>
    <w:p w14:paraId="76EE7E76">
      <w:pPr>
        <w:pStyle w:val="3"/>
      </w:pPr>
      <w:r>
        <w:rPr>
          <w:rFonts w:hint="eastAsia"/>
        </w:rPr>
        <w:t>界址镇</w:t>
      </w:r>
    </w:p>
    <w:p w14:paraId="147DBED4">
      <w:pPr>
        <w:pStyle w:val="4"/>
      </w:pPr>
      <w:r>
        <w:rPr>
          <w:rFonts w:hint="eastAsia"/>
        </w:rPr>
        <w:t>【概况】</w:t>
      </w:r>
    </w:p>
    <w:p w14:paraId="24C4D7B0">
      <w:pPr>
        <w:ind w:firstLine="420"/>
        <w:rPr>
          <w:rFonts w:ascii="宋体" w:hAnsi="宋体"/>
          <w:szCs w:val="21"/>
        </w:rPr>
      </w:pPr>
      <w:r>
        <w:rPr>
          <w:rFonts w:hint="eastAsia" w:ascii="宋体" w:hAnsi="宋体"/>
          <w:szCs w:val="21"/>
        </w:rPr>
        <w:t>界址，原名界至，因处在广东省与江西省交界地带而得名。位于广东省南雄市东北部，南部与坪田镇相邻，西部与乌迳接壤，东、北部与江西省信丰县交界，距南雄市区47公里，总面积62.5平方公里，其中耕地面积20434亩（常用耕地面积10322亩，其中水田8386亩，水浇地1936亩），山林面积4396公顷。民国18年（1929年）废约建乡，属第六区崇化乡、大坊乡。1950年设立界址乡，属第三区（乌迳）。1958年人民公社化，属乌迳人民公社。1962年设立界址人民公社。1980年实行政社分开，改为界址区。1986年设立界址镇至今。全镇现辖有界址、下屋、赵屋、崇化、百罗、大坑、大坊、马芫8个村委会和界址圩社区居委会，77个村民小组，户数3555户，户籍人口15036人，其中农业人口14071人，常住人口8142人。</w:t>
      </w:r>
    </w:p>
    <w:p w14:paraId="732499A8">
      <w:pPr>
        <w:ind w:firstLine="420"/>
        <w:rPr>
          <w:rFonts w:ascii="宋体" w:hAnsi="宋体"/>
          <w:szCs w:val="21"/>
        </w:rPr>
      </w:pPr>
      <w:r>
        <w:rPr>
          <w:rFonts w:hint="eastAsia" w:ascii="宋体" w:hAnsi="宋体"/>
          <w:szCs w:val="21"/>
        </w:rPr>
        <w:t>2011年，全镇实现地方财政总收入423万元，同比增长5%；农村经济总收入11266万元，同比增长7.2%；农民人均纯收入5001元，同比增长7.4%；居民各项储蓄存款计1300多万元。</w:t>
      </w:r>
    </w:p>
    <w:p w14:paraId="0D4F7280">
      <w:pPr>
        <w:pStyle w:val="4"/>
      </w:pPr>
      <w:r>
        <w:rPr>
          <w:rFonts w:hint="eastAsia"/>
        </w:rPr>
        <w:t>【农业和农村经济】</w:t>
      </w:r>
    </w:p>
    <w:p w14:paraId="359D6BF4">
      <w:pPr>
        <w:ind w:firstLine="420"/>
        <w:rPr>
          <w:rFonts w:ascii="宋体" w:hAnsi="宋体"/>
          <w:szCs w:val="21"/>
        </w:rPr>
      </w:pPr>
      <w:r>
        <w:rPr>
          <w:rFonts w:hint="eastAsia" w:ascii="宋体" w:hAnsi="宋体"/>
          <w:szCs w:val="21"/>
        </w:rPr>
        <w:t>2011年，农作物总播种面积20797亩，其中朝天椒（俗称“霸王椒”）3000多亩，总产量突破3300吨；稻谷10925多亩，总产量4407吨；花生2389多亩，总产量480吨；大豆684亩，总产量134吨；蕃薯761多亩，总产量223吨；</w:t>
      </w:r>
    </w:p>
    <w:p w14:paraId="20DCB329">
      <w:pPr>
        <w:ind w:firstLine="420"/>
        <w:rPr>
          <w:rFonts w:ascii="宋体" w:hAnsi="宋体"/>
          <w:szCs w:val="21"/>
        </w:rPr>
      </w:pPr>
      <w:r>
        <w:rPr>
          <w:rFonts w:hint="eastAsia" w:ascii="宋体" w:hAnsi="宋体"/>
          <w:szCs w:val="21"/>
        </w:rPr>
        <w:t>2011年，生猪出栏量16090头，年末存栏量7080头；牛出栏量192头，年末存栏量1305头；鸡出栏量190036多只，年末存栏量46480只；鸭出栏量70368多只，年末存栏量14102只，鹅出栏量1663只，年末存栏量113只；</w:t>
      </w:r>
    </w:p>
    <w:p w14:paraId="08B36067">
      <w:pPr>
        <w:ind w:firstLine="420"/>
        <w:rPr>
          <w:rFonts w:ascii="宋体" w:hAnsi="宋体"/>
          <w:szCs w:val="21"/>
        </w:rPr>
      </w:pPr>
      <w:r>
        <w:rPr>
          <w:rFonts w:hint="eastAsia" w:ascii="宋体" w:hAnsi="宋体"/>
          <w:szCs w:val="21"/>
        </w:rPr>
        <w:t>2011年，开展金银花种植技术培训6000多人次；开展外出农民工技术培训2300人次，向珠三角地区输送农村剩余劳动力3251人，4910人次。</w:t>
      </w:r>
    </w:p>
    <w:p w14:paraId="41984C0B">
      <w:pPr>
        <w:pStyle w:val="4"/>
      </w:pPr>
      <w:r>
        <w:rPr>
          <w:rFonts w:hint="eastAsia"/>
        </w:rPr>
        <w:t>【特色产业】</w:t>
      </w:r>
    </w:p>
    <w:p w14:paraId="688123A6">
      <w:pPr>
        <w:ind w:firstLine="420"/>
        <w:rPr>
          <w:rFonts w:ascii="宋体" w:hAnsi="宋体"/>
          <w:szCs w:val="21"/>
        </w:rPr>
      </w:pPr>
      <w:r>
        <w:rPr>
          <w:rFonts w:hint="eastAsia" w:ascii="宋体" w:hAnsi="宋体"/>
          <w:szCs w:val="21"/>
        </w:rPr>
        <w:t>推进以金银花为主、以半夏、茯苓等为辅的中药材产业基地建设。2010年，界址镇组织人员远赴山东、湖南实地考察、深入调研，引进金银花特色农业项目，成功建立金银花种植园基地。通过与东莞市南城区和韶关市建设银行等帮扶单位协调，累计为金银花产业项目注入资金106.67万元。一年间，共悬挂宣传横幅15条，免费发放宣传画册2000套，金银花种植面积达2000多亩，半夏1000多亩，茯苓300多亩，初步形成以金银花为主导的中草药生产基地。</w:t>
      </w:r>
    </w:p>
    <w:p w14:paraId="73700459">
      <w:pPr>
        <w:pStyle w:val="4"/>
      </w:pPr>
      <w:r>
        <w:rPr>
          <w:rFonts w:hint="eastAsia"/>
        </w:rPr>
        <w:t>【林业情况】</w:t>
      </w:r>
    </w:p>
    <w:p w14:paraId="55C73EF5">
      <w:pPr>
        <w:ind w:firstLine="420"/>
        <w:rPr>
          <w:rFonts w:ascii="宋体" w:hAnsi="宋体"/>
          <w:szCs w:val="21"/>
        </w:rPr>
      </w:pPr>
      <w:r>
        <w:rPr>
          <w:rFonts w:hint="eastAsia" w:ascii="宋体" w:hAnsi="宋体"/>
          <w:szCs w:val="21"/>
        </w:rPr>
        <w:t>全年造林更新总面积2400亩，其中营造用材林300亩，经济林2100亩。零星植树38000株，幼林抚育作业面积3495亩次。勘界、测量、林改工作全面展开。</w:t>
      </w:r>
    </w:p>
    <w:p w14:paraId="62CD33F7">
      <w:pPr>
        <w:pStyle w:val="4"/>
      </w:pPr>
      <w:r>
        <w:rPr>
          <w:rFonts w:hint="eastAsia"/>
        </w:rPr>
        <w:t>【招商引资】</w:t>
      </w:r>
    </w:p>
    <w:p w14:paraId="61763304">
      <w:pPr>
        <w:ind w:firstLine="420"/>
        <w:rPr>
          <w:rFonts w:ascii="宋体" w:hAnsi="宋体"/>
          <w:szCs w:val="21"/>
        </w:rPr>
      </w:pPr>
      <w:r>
        <w:rPr>
          <w:rFonts w:hint="eastAsia" w:ascii="宋体" w:hAnsi="宋体"/>
          <w:szCs w:val="21"/>
        </w:rPr>
        <w:t>引进金源铝业实业有限公司、下屋林场等多个投资项目，累计实现招商引资金额1500多万元。为适应“双转移”，镇党委、政府积极规划、独辟工业园区，打造承接珠三角及市、县企业产业转移平台。</w:t>
      </w:r>
    </w:p>
    <w:p w14:paraId="6E5A6EF6">
      <w:pPr>
        <w:pStyle w:val="4"/>
      </w:pPr>
      <w:r>
        <w:rPr>
          <w:rFonts w:hint="eastAsia"/>
        </w:rPr>
        <w:t>【民营经济】</w:t>
      </w:r>
    </w:p>
    <w:p w14:paraId="069D4B69">
      <w:pPr>
        <w:ind w:firstLine="420"/>
        <w:rPr>
          <w:rFonts w:ascii="宋体" w:hAnsi="宋体"/>
          <w:szCs w:val="21"/>
        </w:rPr>
      </w:pPr>
      <w:r>
        <w:rPr>
          <w:rFonts w:hint="eastAsia" w:ascii="宋体" w:hAnsi="宋体"/>
          <w:szCs w:val="21"/>
        </w:rPr>
        <w:t>2011年，镇政府通过提供低息贷款、提高服务能力、协助办理手续等措施鼓励发展民营经济，至2011年年底，全镇个体工商户达300多户，从业人员1600多人，营业收入7500多万元。</w:t>
      </w:r>
    </w:p>
    <w:p w14:paraId="6873EA97">
      <w:pPr>
        <w:pStyle w:val="4"/>
      </w:pPr>
      <w:r>
        <w:rPr>
          <w:rFonts w:hint="eastAsia"/>
        </w:rPr>
        <w:t>【扶贫“双到”工作】</w:t>
      </w:r>
    </w:p>
    <w:p w14:paraId="12FA91D5">
      <w:pPr>
        <w:ind w:firstLine="420"/>
        <w:rPr>
          <w:rFonts w:ascii="宋体" w:hAnsi="宋体"/>
          <w:szCs w:val="21"/>
        </w:rPr>
      </w:pPr>
      <w:r>
        <w:rPr>
          <w:rFonts w:hint="eastAsia" w:ascii="宋体" w:hAnsi="宋体"/>
          <w:szCs w:val="21"/>
        </w:rPr>
        <w:t>截</w:t>
      </w:r>
      <w:r>
        <w:rPr>
          <w:rFonts w:hint="eastAsia" w:ascii="宋体" w:hAnsi="宋体"/>
          <w:szCs w:val="21"/>
          <w:lang w:val="en-US" w:eastAsia="zh-CN"/>
        </w:rPr>
        <w:t>至</w:t>
      </w:r>
      <w:r>
        <w:rPr>
          <w:rFonts w:hint="eastAsia" w:ascii="宋体" w:hAnsi="宋体"/>
          <w:szCs w:val="21"/>
        </w:rPr>
        <w:t>目前，5个贫困村共脱贫552户贫困户，脱贫率85%。</w:t>
      </w:r>
    </w:p>
    <w:p w14:paraId="79F53315">
      <w:pPr>
        <w:ind w:firstLine="420"/>
        <w:rPr>
          <w:rFonts w:ascii="宋体" w:hAnsi="宋体"/>
          <w:szCs w:val="21"/>
        </w:rPr>
      </w:pPr>
      <w:r>
        <w:rPr>
          <w:rFonts w:hint="eastAsia" w:ascii="宋体" w:hAnsi="宋体"/>
          <w:szCs w:val="21"/>
        </w:rPr>
        <w:t>2011年，完成界址、百罗、下屋村道路硬底化2公里；投资280万元，启动东莞市南城区帮扶南雄市界址镇大坑村委会安全应用水工程；完成下屋、界址、大坑等村农田灌溉饮水三面光工程；兴建百罗村大治坝桥，并完成该村危房改造25户；完成大坑荷树坑新农村文化广场建设。</w:t>
      </w:r>
    </w:p>
    <w:p w14:paraId="594BA318">
      <w:pPr>
        <w:pStyle w:val="4"/>
      </w:pPr>
      <w:r>
        <w:rPr>
          <w:rFonts w:hint="eastAsia"/>
        </w:rPr>
        <w:t>【镇区建设】</w:t>
      </w:r>
    </w:p>
    <w:p w14:paraId="70A1776B">
      <w:pPr>
        <w:ind w:firstLine="420"/>
        <w:rPr>
          <w:rFonts w:ascii="宋体" w:hAnsi="宋体"/>
          <w:szCs w:val="21"/>
        </w:rPr>
      </w:pPr>
      <w:r>
        <w:rPr>
          <w:rFonts w:hint="eastAsia" w:ascii="宋体" w:hAnsi="宋体"/>
          <w:szCs w:val="21"/>
        </w:rPr>
        <w:t>界址老镇区基础设施建设稳步发展，小城镇化进程加快，集贸市场设施进一步完善。新修筑公路4.3公里、民房2600平方米，安装路灯8盏，摆放垃圾桶10个，建立垃圾清理场1个。</w:t>
      </w:r>
    </w:p>
    <w:p w14:paraId="510187F7">
      <w:pPr>
        <w:ind w:firstLine="420"/>
        <w:rPr>
          <w:rFonts w:ascii="宋体" w:hAnsi="宋体"/>
          <w:szCs w:val="21"/>
        </w:rPr>
      </w:pPr>
      <w:r>
        <w:rPr>
          <w:rFonts w:hint="eastAsia" w:ascii="宋体" w:hAnsi="宋体"/>
          <w:szCs w:val="21"/>
        </w:rPr>
        <w:t>2011年12月5日，派出所顺利搬迁到大坊办公，至此政府各部门全部实现搬迁，机关的办公条件，干部职工的生活条件得到整体改善，不仅提升了招商引资竞争力，而且为群众办事提供更优良的环境。完善政府大院绿化、兴建羽毛球场、兵乓球室，另外多功能会议厅、高标准篮球场、金银花文体广场正在规划建设中。</w:t>
      </w:r>
    </w:p>
    <w:p w14:paraId="7B5E1259">
      <w:pPr>
        <w:pStyle w:val="4"/>
      </w:pPr>
      <w:r>
        <w:rPr>
          <w:rFonts w:hint="eastAsia"/>
        </w:rPr>
        <w:t>【农村农业基础设施建设】</w:t>
      </w:r>
    </w:p>
    <w:p w14:paraId="2B41EE1B">
      <w:pPr>
        <w:ind w:firstLine="420"/>
        <w:rPr>
          <w:rFonts w:ascii="宋体" w:hAnsi="宋体"/>
          <w:szCs w:val="21"/>
        </w:rPr>
      </w:pPr>
      <w:r>
        <w:rPr>
          <w:rFonts w:hint="eastAsia" w:ascii="宋体" w:hAnsi="宋体"/>
          <w:szCs w:val="21"/>
        </w:rPr>
        <w:t>积极争取上级资金加快县道改造工程，持续推进村道路硬底化工作。道路硬底化率达90%，通汽车村委（社区）9个，通车率100%。</w:t>
      </w:r>
    </w:p>
    <w:p w14:paraId="7837852D">
      <w:pPr>
        <w:ind w:firstLine="420"/>
        <w:rPr>
          <w:rFonts w:ascii="宋体" w:hAnsi="宋体"/>
          <w:szCs w:val="21"/>
        </w:rPr>
      </w:pPr>
      <w:r>
        <w:rPr>
          <w:rFonts w:hint="eastAsia" w:ascii="宋体" w:hAnsi="宋体"/>
          <w:szCs w:val="21"/>
        </w:rPr>
        <w:t>至2011年底，完成崇化松寺萌水库、赵屋大坑水库、大坊烟丝筒水库的地质勘探、水圳测量、水圳设计工作。现已完成松寺萌水库三面光工程85米，大坊老虎坑山塘水圳三面光工程1200米，赵屋十八斗坑水圳塌方除险加固；完成界址老墟片饮水工程前期勘探、水质送检化验等工作。</w:t>
      </w:r>
    </w:p>
    <w:p w14:paraId="7D230EBF">
      <w:pPr>
        <w:pStyle w:val="4"/>
      </w:pPr>
      <w:r>
        <w:rPr>
          <w:rFonts w:hint="eastAsia"/>
        </w:rPr>
        <w:t>【教育】</w:t>
      </w:r>
    </w:p>
    <w:p w14:paraId="27F5A0B0">
      <w:pPr>
        <w:ind w:firstLine="420"/>
        <w:rPr>
          <w:rFonts w:ascii="宋体" w:hAnsi="宋体"/>
          <w:szCs w:val="21"/>
        </w:rPr>
      </w:pPr>
      <w:r>
        <w:rPr>
          <w:rFonts w:hint="eastAsia" w:ascii="宋体" w:hAnsi="宋体"/>
          <w:szCs w:val="21"/>
        </w:rPr>
        <w:t>全镇有中小学校9所，其中中学1所，小学8所。在校中小学生1728人，其中中学生732人，小学生996人，全体教职工107人。全镇小学适龄儿童入学率、初中阶段入学率分别达995%和97.2%；</w:t>
      </w:r>
    </w:p>
    <w:p w14:paraId="64D65B99">
      <w:pPr>
        <w:ind w:firstLine="420"/>
        <w:rPr>
          <w:rFonts w:ascii="宋体" w:hAnsi="宋体"/>
          <w:szCs w:val="21"/>
        </w:rPr>
      </w:pPr>
      <w:r>
        <w:rPr>
          <w:rFonts w:hint="eastAsia" w:ascii="宋体" w:hAnsi="宋体"/>
          <w:szCs w:val="21"/>
        </w:rPr>
        <w:t>2009-2011学年度参加中招考试人数208人，考取普通高中95人，职业高中108人，升学率98.6%；</w:t>
      </w:r>
    </w:p>
    <w:p w14:paraId="22616C5B">
      <w:pPr>
        <w:pStyle w:val="4"/>
      </w:pPr>
      <w:r>
        <w:rPr>
          <w:rFonts w:hint="eastAsia"/>
        </w:rPr>
        <w:t>【医疗】</w:t>
      </w:r>
    </w:p>
    <w:p w14:paraId="697D3489">
      <w:pPr>
        <w:ind w:firstLine="420"/>
        <w:rPr>
          <w:rFonts w:ascii="宋体" w:hAnsi="宋体"/>
          <w:szCs w:val="21"/>
        </w:rPr>
      </w:pPr>
      <w:r>
        <w:rPr>
          <w:rFonts w:hint="eastAsia" w:ascii="宋体" w:hAnsi="宋体"/>
          <w:szCs w:val="21"/>
        </w:rPr>
        <w:t>实行镇、村级干部包村包户责任制，广泛宣传农村合作医疗政策，发放新型合作医疗宣传资料3000多份，参加农村合作医疗人数12669人，覆盖率达98%。“四苗”接种率达到98%，住院分娩率达到96%以上。强化医疗卫生体系建设，至2011年底，共有村卫生站9个，现代化镇级卫生院1个。</w:t>
      </w:r>
    </w:p>
    <w:p w14:paraId="554407CB">
      <w:pPr>
        <w:pStyle w:val="4"/>
      </w:pPr>
      <w:r>
        <w:rPr>
          <w:rFonts w:hint="eastAsia"/>
        </w:rPr>
        <w:t>【民生】</w:t>
      </w:r>
    </w:p>
    <w:p w14:paraId="181B2C8A">
      <w:pPr>
        <w:ind w:firstLine="420"/>
        <w:rPr>
          <w:rFonts w:ascii="宋体" w:hAnsi="宋体"/>
          <w:szCs w:val="21"/>
        </w:rPr>
      </w:pPr>
      <w:r>
        <w:rPr>
          <w:rFonts w:hint="eastAsia" w:ascii="宋体" w:hAnsi="宋体"/>
          <w:szCs w:val="21"/>
        </w:rPr>
        <w:t>农村居民收入提高，农村最低生活保障制度进一步完善，救灾救济、五保户、孤儿供养、民政优抚、助残等各项工作扎实开展，全部低保户、五保户及时足额领到生活补助；做好救助金、慰问金和大米、衣物等物资的发放，民生质量不断改善。2011年，界址农村剩余劳动力先后有5021人次到珠三角地区务工，大量的劳务输出有利地促进就业和再就业工作。</w:t>
      </w:r>
    </w:p>
    <w:p w14:paraId="4D3B84EB">
      <w:pPr>
        <w:pStyle w:val="4"/>
      </w:pPr>
      <w:r>
        <w:rPr>
          <w:rFonts w:hint="eastAsia"/>
        </w:rPr>
        <w:t>【计划生育】</w:t>
      </w:r>
    </w:p>
    <w:p w14:paraId="7FDAD82F">
      <w:pPr>
        <w:ind w:firstLine="420"/>
        <w:rPr>
          <w:rFonts w:ascii="宋体" w:hAnsi="宋体"/>
          <w:szCs w:val="21"/>
        </w:rPr>
      </w:pPr>
      <w:r>
        <w:rPr>
          <w:rFonts w:hint="eastAsia" w:ascii="宋体" w:hAnsi="宋体"/>
          <w:szCs w:val="21"/>
        </w:rPr>
        <w:t>2011年，镇人口自然增长率6.6‰、人口出生率在11.82‰以下、计划生育率达到90.77%以上，全面完成南雄市下达各项指标任务。</w:t>
      </w:r>
    </w:p>
    <w:p w14:paraId="5E3E0D5C">
      <w:pPr>
        <w:pStyle w:val="4"/>
      </w:pPr>
      <w:r>
        <w:rPr>
          <w:rFonts w:hint="eastAsia"/>
        </w:rPr>
        <w:t>【基层组织建设】</w:t>
      </w:r>
    </w:p>
    <w:p w14:paraId="0717500A">
      <w:pPr>
        <w:ind w:firstLine="420"/>
        <w:rPr>
          <w:rFonts w:ascii="宋体" w:hAnsi="宋体"/>
          <w:szCs w:val="21"/>
        </w:rPr>
      </w:pPr>
      <w:r>
        <w:rPr>
          <w:rFonts w:hint="eastAsia" w:ascii="宋体" w:hAnsi="宋体"/>
          <w:szCs w:val="21"/>
        </w:rPr>
        <w:t>全镇党员总数396名，其中35岁以下的青年党员88名，占党员总数的22.22%；党员队伍中具有高中以上学历的192名，占总数的48.48%，其中大学专科以上学历的有80名，占总数的20.2%；女党员49名，占党员总数的12.37%；少数民族党员9名，占党员总数的2.27%。党员队伍中包括工人、农民、牧民、渔民、知识分子、机关干部、企事业单位管理人员及专业技术人员等诸多社会阶层人士；完善基层组织基础设施、设备配备工程工作，实现各村委会（社区）现代化办公条件；强化基层组织建设和党风廉政建设，推进党务公开，打造透明阳光政务。</w:t>
      </w:r>
    </w:p>
    <w:p w14:paraId="175E12DE">
      <w:pPr>
        <w:pStyle w:val="4"/>
      </w:pPr>
      <w:r>
        <w:rPr>
          <w:rFonts w:hint="eastAsia"/>
        </w:rPr>
        <w:t>【政务信息公开】</w:t>
      </w:r>
    </w:p>
    <w:p w14:paraId="6A25072F">
      <w:pPr>
        <w:ind w:firstLine="420"/>
        <w:rPr>
          <w:rFonts w:ascii="宋体" w:hAnsi="宋体"/>
          <w:szCs w:val="21"/>
        </w:rPr>
      </w:pPr>
      <w:r>
        <w:rPr>
          <w:rFonts w:hint="eastAsia" w:ascii="宋体" w:hAnsi="宋体"/>
          <w:szCs w:val="21"/>
        </w:rPr>
        <w:t>2011年度，主动公开的政府信息约179条，提供服务类信息167条，其中网上咨询人数20人次，现场接待人数112人次，咨询电话接听数132人次，网站专栏页面访问量12人次。</w:t>
      </w:r>
    </w:p>
    <w:p w14:paraId="433A3AC4">
      <w:pPr>
        <w:pStyle w:val="4"/>
      </w:pPr>
      <w:r>
        <w:rPr>
          <w:rFonts w:hint="eastAsia"/>
        </w:rPr>
        <w:t>【社会主义新农村建设】</w:t>
      </w:r>
    </w:p>
    <w:p w14:paraId="3332F371">
      <w:pPr>
        <w:ind w:firstLine="420"/>
        <w:rPr>
          <w:rFonts w:ascii="宋体" w:hAnsi="宋体"/>
          <w:szCs w:val="21"/>
        </w:rPr>
      </w:pPr>
      <w:r>
        <w:rPr>
          <w:rFonts w:hint="eastAsia" w:ascii="宋体" w:hAnsi="宋体"/>
          <w:szCs w:val="21"/>
        </w:rPr>
        <w:t>界址镇按照“生产发展、生活富裕、乡风文明、村容整洁、管理民主”的总体要求，推进社会主义新农村建设。一、开展年久失修危房改造工程，对存在安全隐患的居民住房进行统一整改。二、对新筑居民住房积极规划，合理布局，农村脏、乱、差局面得到治理，村容村貌得到改善。三、开展“三旧”改造、“空心村”拆除工作，利用南城帮扶单位力量解决25户贫困家庭住房问题。启动崇化新村、汶井、新屋俚、叶坑申报市级卫生村、园下新村申报省级卫生村工作。</w:t>
      </w:r>
    </w:p>
    <w:p w14:paraId="0482D441">
      <w:pPr>
        <w:pStyle w:val="4"/>
      </w:pPr>
      <w:r>
        <w:rPr>
          <w:rFonts w:hint="eastAsia"/>
        </w:rPr>
        <w:t>【精神文明建设】</w:t>
      </w:r>
    </w:p>
    <w:p w14:paraId="36CA150F">
      <w:pPr>
        <w:ind w:firstLine="420"/>
        <w:rPr>
          <w:rFonts w:ascii="宋体" w:hAnsi="宋体"/>
          <w:szCs w:val="21"/>
        </w:rPr>
      </w:pPr>
      <w:r>
        <w:rPr>
          <w:rFonts w:hint="eastAsia" w:ascii="宋体" w:hAnsi="宋体"/>
          <w:szCs w:val="21"/>
        </w:rPr>
        <w:t>2011年，加强农村法制化管理体系，推进依法治镇、治村进程，用法律的武器管理农村各项事务，开展大型普法宣传教育活动4次，在各村开展法制教育进家庭活动22次；投入使用乡村图书馆9个、文化馆1个；投入60万元，兴建文化中心大楼；规划界址文化广场，完成土地测量、费用预算工作。</w:t>
      </w:r>
    </w:p>
    <w:p w14:paraId="320FD77C">
      <w:pPr>
        <w:pStyle w:val="4"/>
      </w:pPr>
      <w:r>
        <w:rPr>
          <w:rFonts w:hint="eastAsia"/>
        </w:rPr>
        <w:t>【各村（社区）委会基本情况】</w:t>
      </w:r>
    </w:p>
    <w:p w14:paraId="5E3A398C">
      <w:pPr>
        <w:ind w:firstLine="0" w:firstLineChars="0"/>
        <w:jc w:val="center"/>
        <w:rPr>
          <w:b/>
        </w:rPr>
      </w:pPr>
      <w:r>
        <w:rPr>
          <w:rFonts w:hint="eastAsia" w:ascii="宋体" w:hAnsi="宋体"/>
          <w:b/>
          <w:szCs w:val="21"/>
        </w:rPr>
        <w:t>表33 2011年界址镇</w:t>
      </w:r>
      <w:r>
        <w:rPr>
          <w:rFonts w:hint="eastAsia"/>
          <w:b/>
        </w:rPr>
        <w:t>各村（社区）委会基本情况</w:t>
      </w:r>
    </w:p>
    <w:tbl>
      <w:tblPr>
        <w:tblStyle w:val="14"/>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53"/>
        <w:gridCol w:w="1112"/>
        <w:gridCol w:w="1221"/>
        <w:gridCol w:w="1333"/>
        <w:gridCol w:w="2218"/>
        <w:gridCol w:w="2439"/>
        <w:gridCol w:w="86"/>
      </w:tblGrid>
      <w:tr w14:paraId="0A7E09B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43" w:type="pct"/>
          <w:trHeight w:val="255" w:hRule="atLeast"/>
        </w:trPr>
        <w:tc>
          <w:tcPr>
            <w:tcW w:w="780" w:type="pct"/>
            <w:shd w:val="clear" w:color="auto" w:fill="auto"/>
            <w:noWrap/>
            <w:vAlign w:val="center"/>
          </w:tcPr>
          <w:p w14:paraId="3C28161C">
            <w:pPr>
              <w:pStyle w:val="23"/>
              <w:jc w:val="center"/>
              <w:rPr>
                <w:b/>
              </w:rPr>
            </w:pPr>
            <w:r>
              <w:rPr>
                <w:b/>
              </w:rPr>
              <w:t>村(社区)委会</w:t>
            </w:r>
          </w:p>
        </w:tc>
        <w:tc>
          <w:tcPr>
            <w:tcW w:w="558" w:type="pct"/>
            <w:shd w:val="clear" w:color="auto" w:fill="auto"/>
            <w:noWrap/>
            <w:vAlign w:val="center"/>
          </w:tcPr>
          <w:p w14:paraId="2C055C75">
            <w:pPr>
              <w:pStyle w:val="23"/>
              <w:jc w:val="center"/>
              <w:rPr>
                <w:b/>
              </w:rPr>
            </w:pPr>
            <w:r>
              <w:rPr>
                <w:b/>
              </w:rPr>
              <w:t>村民小组</w:t>
            </w:r>
          </w:p>
        </w:tc>
        <w:tc>
          <w:tcPr>
            <w:tcW w:w="613" w:type="pct"/>
            <w:shd w:val="clear" w:color="auto" w:fill="auto"/>
            <w:noWrap/>
            <w:vAlign w:val="center"/>
          </w:tcPr>
          <w:p w14:paraId="3CFCA740">
            <w:pPr>
              <w:pStyle w:val="23"/>
              <w:jc w:val="center"/>
              <w:rPr>
                <w:b/>
              </w:rPr>
            </w:pPr>
            <w:r>
              <w:rPr>
                <w:b/>
              </w:rPr>
              <w:t>总户数(户</w:t>
            </w:r>
          </w:p>
        </w:tc>
        <w:tc>
          <w:tcPr>
            <w:tcW w:w="669" w:type="pct"/>
            <w:shd w:val="clear" w:color="auto" w:fill="auto"/>
            <w:noWrap/>
            <w:vAlign w:val="center"/>
          </w:tcPr>
          <w:p w14:paraId="5D5D8ED6">
            <w:pPr>
              <w:pStyle w:val="23"/>
              <w:jc w:val="center"/>
              <w:rPr>
                <w:b/>
              </w:rPr>
            </w:pPr>
            <w:r>
              <w:rPr>
                <w:b/>
              </w:rPr>
              <w:t>总人口(人)</w:t>
            </w:r>
          </w:p>
        </w:tc>
        <w:tc>
          <w:tcPr>
            <w:tcW w:w="1113" w:type="pct"/>
            <w:shd w:val="clear" w:color="auto" w:fill="auto"/>
            <w:noWrap/>
            <w:vAlign w:val="center"/>
          </w:tcPr>
          <w:p w14:paraId="7F65DE3E">
            <w:pPr>
              <w:pStyle w:val="23"/>
              <w:jc w:val="center"/>
              <w:rPr>
                <w:b/>
              </w:rPr>
            </w:pPr>
            <w:r>
              <w:rPr>
                <w:b/>
              </w:rPr>
              <w:t>农民人均纯收入(元)</w:t>
            </w:r>
          </w:p>
        </w:tc>
        <w:tc>
          <w:tcPr>
            <w:tcW w:w="1224" w:type="pct"/>
            <w:shd w:val="clear" w:color="auto" w:fill="auto"/>
            <w:noWrap/>
            <w:vAlign w:val="center"/>
          </w:tcPr>
          <w:p w14:paraId="56065AFC">
            <w:pPr>
              <w:pStyle w:val="23"/>
              <w:jc w:val="center"/>
              <w:rPr>
                <w:b/>
              </w:rPr>
            </w:pPr>
            <w:r>
              <w:rPr>
                <w:b/>
              </w:rPr>
              <w:t>农村经济总收入(万元)</w:t>
            </w:r>
          </w:p>
        </w:tc>
      </w:tr>
      <w:tr w14:paraId="4293EBD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780" w:type="pct"/>
            <w:shd w:val="clear" w:color="auto" w:fill="auto"/>
            <w:noWrap/>
            <w:vAlign w:val="center"/>
          </w:tcPr>
          <w:p w14:paraId="47758B2D">
            <w:pPr>
              <w:pStyle w:val="23"/>
              <w:jc w:val="center"/>
              <w:rPr>
                <w:rFonts w:ascii="宋体" w:hAnsi="宋体"/>
                <w:szCs w:val="21"/>
              </w:rPr>
            </w:pPr>
            <w:r>
              <w:rPr>
                <w:rFonts w:ascii="宋体" w:hAnsi="宋体"/>
                <w:szCs w:val="21"/>
              </w:rPr>
              <w:t>界址</w:t>
            </w:r>
          </w:p>
        </w:tc>
        <w:tc>
          <w:tcPr>
            <w:tcW w:w="558" w:type="pct"/>
            <w:shd w:val="clear" w:color="auto" w:fill="auto"/>
            <w:noWrap/>
            <w:vAlign w:val="center"/>
          </w:tcPr>
          <w:p w14:paraId="295E5F56">
            <w:pPr>
              <w:pStyle w:val="23"/>
              <w:jc w:val="center"/>
              <w:rPr>
                <w:rFonts w:ascii="宋体" w:hAnsi="宋体"/>
                <w:szCs w:val="21"/>
              </w:rPr>
            </w:pPr>
            <w:r>
              <w:rPr>
                <w:rFonts w:ascii="宋体" w:hAnsi="宋体"/>
                <w:szCs w:val="21"/>
              </w:rPr>
              <w:t>12</w:t>
            </w:r>
          </w:p>
        </w:tc>
        <w:tc>
          <w:tcPr>
            <w:tcW w:w="613" w:type="pct"/>
            <w:shd w:val="clear" w:color="auto" w:fill="auto"/>
            <w:noWrap/>
            <w:vAlign w:val="center"/>
          </w:tcPr>
          <w:p w14:paraId="780A6F5D">
            <w:pPr>
              <w:pStyle w:val="23"/>
              <w:jc w:val="center"/>
              <w:rPr>
                <w:rFonts w:ascii="宋体" w:hAnsi="宋体"/>
                <w:szCs w:val="21"/>
              </w:rPr>
            </w:pPr>
            <w:r>
              <w:rPr>
                <w:rFonts w:ascii="宋体" w:hAnsi="宋体"/>
                <w:szCs w:val="21"/>
              </w:rPr>
              <w:t>594</w:t>
            </w:r>
          </w:p>
        </w:tc>
        <w:tc>
          <w:tcPr>
            <w:tcW w:w="669" w:type="pct"/>
            <w:shd w:val="clear" w:color="auto" w:fill="auto"/>
            <w:noWrap/>
            <w:vAlign w:val="center"/>
          </w:tcPr>
          <w:p w14:paraId="009381EC">
            <w:pPr>
              <w:pStyle w:val="23"/>
              <w:jc w:val="center"/>
              <w:rPr>
                <w:rFonts w:ascii="宋体" w:hAnsi="宋体"/>
                <w:szCs w:val="21"/>
              </w:rPr>
            </w:pPr>
            <w:r>
              <w:rPr>
                <w:rFonts w:ascii="宋体" w:hAnsi="宋体"/>
                <w:szCs w:val="21"/>
              </w:rPr>
              <w:t>2478</w:t>
            </w:r>
          </w:p>
        </w:tc>
        <w:tc>
          <w:tcPr>
            <w:tcW w:w="1113" w:type="pct"/>
            <w:shd w:val="clear" w:color="auto" w:fill="auto"/>
            <w:noWrap/>
            <w:vAlign w:val="center"/>
          </w:tcPr>
          <w:p w14:paraId="49158A26">
            <w:pPr>
              <w:pStyle w:val="23"/>
              <w:jc w:val="center"/>
              <w:rPr>
                <w:rFonts w:ascii="宋体" w:hAnsi="宋体"/>
                <w:szCs w:val="21"/>
              </w:rPr>
            </w:pPr>
            <w:r>
              <w:rPr>
                <w:rFonts w:ascii="宋体" w:hAnsi="宋体"/>
                <w:szCs w:val="21"/>
              </w:rPr>
              <w:t>4886</w:t>
            </w:r>
          </w:p>
        </w:tc>
        <w:tc>
          <w:tcPr>
            <w:tcW w:w="1267" w:type="pct"/>
            <w:gridSpan w:val="2"/>
            <w:shd w:val="clear" w:color="auto" w:fill="auto"/>
            <w:noWrap/>
            <w:vAlign w:val="center"/>
          </w:tcPr>
          <w:p w14:paraId="5C70E231">
            <w:pPr>
              <w:pStyle w:val="23"/>
              <w:jc w:val="center"/>
              <w:rPr>
                <w:rFonts w:ascii="宋体" w:hAnsi="宋体"/>
                <w:szCs w:val="21"/>
              </w:rPr>
            </w:pPr>
            <w:r>
              <w:rPr>
                <w:rFonts w:ascii="宋体" w:hAnsi="宋体"/>
                <w:szCs w:val="21"/>
              </w:rPr>
              <w:t>1393</w:t>
            </w:r>
          </w:p>
        </w:tc>
      </w:tr>
      <w:tr w14:paraId="206A52D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780" w:type="pct"/>
            <w:shd w:val="clear" w:color="auto" w:fill="auto"/>
            <w:noWrap/>
            <w:vAlign w:val="center"/>
          </w:tcPr>
          <w:p w14:paraId="5D414512">
            <w:pPr>
              <w:pStyle w:val="23"/>
              <w:jc w:val="center"/>
              <w:rPr>
                <w:rFonts w:ascii="宋体" w:hAnsi="宋体"/>
                <w:szCs w:val="21"/>
              </w:rPr>
            </w:pPr>
            <w:r>
              <w:rPr>
                <w:rFonts w:ascii="宋体" w:hAnsi="宋体"/>
                <w:szCs w:val="21"/>
              </w:rPr>
              <w:t>百罗</w:t>
            </w:r>
          </w:p>
        </w:tc>
        <w:tc>
          <w:tcPr>
            <w:tcW w:w="558" w:type="pct"/>
            <w:shd w:val="clear" w:color="auto" w:fill="auto"/>
            <w:noWrap/>
            <w:vAlign w:val="center"/>
          </w:tcPr>
          <w:p w14:paraId="2F6FFF5B">
            <w:pPr>
              <w:pStyle w:val="23"/>
              <w:jc w:val="center"/>
              <w:rPr>
                <w:rFonts w:ascii="宋体" w:hAnsi="宋体"/>
                <w:szCs w:val="21"/>
              </w:rPr>
            </w:pPr>
            <w:r>
              <w:rPr>
                <w:rFonts w:ascii="宋体" w:hAnsi="宋体"/>
                <w:szCs w:val="21"/>
              </w:rPr>
              <w:t>8</w:t>
            </w:r>
          </w:p>
        </w:tc>
        <w:tc>
          <w:tcPr>
            <w:tcW w:w="613" w:type="pct"/>
            <w:shd w:val="clear" w:color="auto" w:fill="auto"/>
            <w:noWrap/>
            <w:vAlign w:val="center"/>
          </w:tcPr>
          <w:p w14:paraId="3AE18055">
            <w:pPr>
              <w:pStyle w:val="23"/>
              <w:jc w:val="center"/>
              <w:rPr>
                <w:rFonts w:ascii="宋体" w:hAnsi="宋体"/>
                <w:szCs w:val="21"/>
              </w:rPr>
            </w:pPr>
            <w:r>
              <w:rPr>
                <w:rFonts w:ascii="宋体" w:hAnsi="宋体"/>
                <w:szCs w:val="21"/>
              </w:rPr>
              <w:t>289</w:t>
            </w:r>
          </w:p>
        </w:tc>
        <w:tc>
          <w:tcPr>
            <w:tcW w:w="669" w:type="pct"/>
            <w:shd w:val="clear" w:color="auto" w:fill="auto"/>
            <w:noWrap/>
            <w:vAlign w:val="center"/>
          </w:tcPr>
          <w:p w14:paraId="6F37BE78">
            <w:pPr>
              <w:pStyle w:val="23"/>
              <w:jc w:val="center"/>
              <w:rPr>
                <w:rFonts w:ascii="宋体" w:hAnsi="宋体"/>
                <w:szCs w:val="21"/>
              </w:rPr>
            </w:pPr>
            <w:r>
              <w:rPr>
                <w:rFonts w:ascii="宋体" w:hAnsi="宋体"/>
                <w:szCs w:val="21"/>
              </w:rPr>
              <w:t>1228</w:t>
            </w:r>
          </w:p>
        </w:tc>
        <w:tc>
          <w:tcPr>
            <w:tcW w:w="1113" w:type="pct"/>
            <w:shd w:val="clear" w:color="auto" w:fill="auto"/>
            <w:noWrap/>
            <w:vAlign w:val="center"/>
          </w:tcPr>
          <w:p w14:paraId="17746E4A">
            <w:pPr>
              <w:pStyle w:val="23"/>
              <w:jc w:val="center"/>
              <w:rPr>
                <w:rFonts w:ascii="宋体" w:hAnsi="宋体"/>
                <w:szCs w:val="21"/>
              </w:rPr>
            </w:pPr>
            <w:r>
              <w:rPr>
                <w:rFonts w:ascii="宋体" w:hAnsi="宋体"/>
                <w:szCs w:val="21"/>
              </w:rPr>
              <w:t>4889</w:t>
            </w:r>
          </w:p>
        </w:tc>
        <w:tc>
          <w:tcPr>
            <w:tcW w:w="1267" w:type="pct"/>
            <w:gridSpan w:val="2"/>
            <w:shd w:val="clear" w:color="auto" w:fill="auto"/>
            <w:noWrap/>
            <w:vAlign w:val="center"/>
          </w:tcPr>
          <w:p w14:paraId="7073909F">
            <w:pPr>
              <w:pStyle w:val="23"/>
              <w:jc w:val="center"/>
              <w:rPr>
                <w:rFonts w:ascii="宋体" w:hAnsi="宋体"/>
                <w:szCs w:val="21"/>
              </w:rPr>
            </w:pPr>
            <w:r>
              <w:rPr>
                <w:rFonts w:ascii="宋体" w:hAnsi="宋体"/>
                <w:szCs w:val="21"/>
              </w:rPr>
              <w:t>904</w:t>
            </w:r>
          </w:p>
        </w:tc>
      </w:tr>
      <w:tr w14:paraId="2BF479E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780" w:type="pct"/>
            <w:shd w:val="clear" w:color="auto" w:fill="auto"/>
            <w:noWrap/>
            <w:vAlign w:val="center"/>
          </w:tcPr>
          <w:p w14:paraId="133FBB61">
            <w:pPr>
              <w:pStyle w:val="23"/>
              <w:jc w:val="center"/>
              <w:rPr>
                <w:rFonts w:ascii="宋体" w:hAnsi="宋体"/>
                <w:szCs w:val="21"/>
              </w:rPr>
            </w:pPr>
            <w:r>
              <w:rPr>
                <w:rFonts w:ascii="宋体" w:hAnsi="宋体"/>
                <w:szCs w:val="21"/>
              </w:rPr>
              <w:t>赵屋</w:t>
            </w:r>
          </w:p>
        </w:tc>
        <w:tc>
          <w:tcPr>
            <w:tcW w:w="558" w:type="pct"/>
            <w:shd w:val="clear" w:color="auto" w:fill="auto"/>
            <w:noWrap/>
            <w:vAlign w:val="center"/>
          </w:tcPr>
          <w:p w14:paraId="27EC31D6">
            <w:pPr>
              <w:pStyle w:val="23"/>
              <w:jc w:val="center"/>
              <w:rPr>
                <w:rFonts w:ascii="宋体" w:hAnsi="宋体"/>
                <w:szCs w:val="21"/>
              </w:rPr>
            </w:pPr>
            <w:r>
              <w:rPr>
                <w:rFonts w:ascii="宋体" w:hAnsi="宋体"/>
                <w:szCs w:val="21"/>
              </w:rPr>
              <w:t>13</w:t>
            </w:r>
          </w:p>
        </w:tc>
        <w:tc>
          <w:tcPr>
            <w:tcW w:w="613" w:type="pct"/>
            <w:shd w:val="clear" w:color="auto" w:fill="auto"/>
            <w:noWrap/>
            <w:vAlign w:val="center"/>
          </w:tcPr>
          <w:p w14:paraId="426C497D">
            <w:pPr>
              <w:pStyle w:val="23"/>
              <w:jc w:val="center"/>
              <w:rPr>
                <w:rFonts w:ascii="宋体" w:hAnsi="宋体"/>
                <w:szCs w:val="21"/>
              </w:rPr>
            </w:pPr>
            <w:r>
              <w:rPr>
                <w:rFonts w:ascii="宋体" w:hAnsi="宋体"/>
                <w:szCs w:val="21"/>
              </w:rPr>
              <w:t>505</w:t>
            </w:r>
          </w:p>
        </w:tc>
        <w:tc>
          <w:tcPr>
            <w:tcW w:w="669" w:type="pct"/>
            <w:shd w:val="clear" w:color="auto" w:fill="auto"/>
            <w:noWrap/>
            <w:vAlign w:val="center"/>
          </w:tcPr>
          <w:p w14:paraId="1A3EC70B">
            <w:pPr>
              <w:pStyle w:val="23"/>
              <w:jc w:val="center"/>
              <w:rPr>
                <w:rFonts w:ascii="宋体" w:hAnsi="宋体"/>
                <w:szCs w:val="21"/>
              </w:rPr>
            </w:pPr>
            <w:r>
              <w:rPr>
                <w:rFonts w:ascii="宋体" w:hAnsi="宋体"/>
                <w:szCs w:val="21"/>
              </w:rPr>
              <w:t>2303</w:t>
            </w:r>
          </w:p>
        </w:tc>
        <w:tc>
          <w:tcPr>
            <w:tcW w:w="1113" w:type="pct"/>
            <w:shd w:val="clear" w:color="auto" w:fill="auto"/>
            <w:noWrap/>
            <w:vAlign w:val="center"/>
          </w:tcPr>
          <w:p w14:paraId="7BC0609D">
            <w:pPr>
              <w:pStyle w:val="23"/>
              <w:jc w:val="center"/>
              <w:rPr>
                <w:rFonts w:ascii="宋体" w:hAnsi="宋体"/>
                <w:szCs w:val="21"/>
              </w:rPr>
            </w:pPr>
            <w:r>
              <w:rPr>
                <w:rFonts w:ascii="宋体" w:hAnsi="宋体"/>
                <w:szCs w:val="21"/>
              </w:rPr>
              <w:t>4910</w:t>
            </w:r>
          </w:p>
        </w:tc>
        <w:tc>
          <w:tcPr>
            <w:tcW w:w="1267" w:type="pct"/>
            <w:gridSpan w:val="2"/>
            <w:shd w:val="clear" w:color="auto" w:fill="auto"/>
            <w:noWrap/>
            <w:vAlign w:val="center"/>
          </w:tcPr>
          <w:p w14:paraId="77144A14">
            <w:pPr>
              <w:pStyle w:val="23"/>
              <w:jc w:val="center"/>
              <w:rPr>
                <w:rFonts w:ascii="宋体" w:hAnsi="宋体"/>
                <w:szCs w:val="21"/>
              </w:rPr>
            </w:pPr>
            <w:r>
              <w:rPr>
                <w:rFonts w:ascii="宋体" w:hAnsi="宋体"/>
                <w:szCs w:val="21"/>
              </w:rPr>
              <w:t>1311</w:t>
            </w:r>
          </w:p>
        </w:tc>
      </w:tr>
      <w:tr w14:paraId="10768AD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780" w:type="pct"/>
            <w:shd w:val="clear" w:color="auto" w:fill="auto"/>
            <w:noWrap/>
            <w:vAlign w:val="center"/>
          </w:tcPr>
          <w:p w14:paraId="6834CAFF">
            <w:pPr>
              <w:pStyle w:val="23"/>
              <w:jc w:val="center"/>
              <w:rPr>
                <w:rFonts w:ascii="宋体" w:hAnsi="宋体"/>
                <w:szCs w:val="21"/>
              </w:rPr>
            </w:pPr>
            <w:r>
              <w:rPr>
                <w:rFonts w:ascii="宋体" w:hAnsi="宋体"/>
                <w:szCs w:val="21"/>
              </w:rPr>
              <w:t>下屋</w:t>
            </w:r>
          </w:p>
        </w:tc>
        <w:tc>
          <w:tcPr>
            <w:tcW w:w="558" w:type="pct"/>
            <w:shd w:val="clear" w:color="auto" w:fill="auto"/>
            <w:noWrap/>
            <w:vAlign w:val="center"/>
          </w:tcPr>
          <w:p w14:paraId="089B6FE1">
            <w:pPr>
              <w:pStyle w:val="23"/>
              <w:jc w:val="center"/>
              <w:rPr>
                <w:rFonts w:ascii="宋体" w:hAnsi="宋体"/>
                <w:szCs w:val="21"/>
              </w:rPr>
            </w:pPr>
            <w:r>
              <w:rPr>
                <w:rFonts w:ascii="宋体" w:hAnsi="宋体"/>
                <w:szCs w:val="21"/>
              </w:rPr>
              <w:t>9</w:t>
            </w:r>
          </w:p>
        </w:tc>
        <w:tc>
          <w:tcPr>
            <w:tcW w:w="613" w:type="pct"/>
            <w:shd w:val="clear" w:color="auto" w:fill="auto"/>
            <w:noWrap/>
            <w:vAlign w:val="center"/>
          </w:tcPr>
          <w:p w14:paraId="1FEBFBB8">
            <w:pPr>
              <w:pStyle w:val="23"/>
              <w:jc w:val="center"/>
              <w:rPr>
                <w:rFonts w:ascii="宋体" w:hAnsi="宋体"/>
                <w:szCs w:val="21"/>
              </w:rPr>
            </w:pPr>
            <w:r>
              <w:rPr>
                <w:rFonts w:ascii="宋体" w:hAnsi="宋体"/>
                <w:szCs w:val="21"/>
              </w:rPr>
              <w:t>288</w:t>
            </w:r>
          </w:p>
        </w:tc>
        <w:tc>
          <w:tcPr>
            <w:tcW w:w="669" w:type="pct"/>
            <w:shd w:val="clear" w:color="auto" w:fill="auto"/>
            <w:noWrap/>
            <w:vAlign w:val="center"/>
          </w:tcPr>
          <w:p w14:paraId="753C0C0C">
            <w:pPr>
              <w:pStyle w:val="23"/>
              <w:jc w:val="center"/>
              <w:rPr>
                <w:rFonts w:ascii="宋体" w:hAnsi="宋体"/>
                <w:szCs w:val="21"/>
              </w:rPr>
            </w:pPr>
            <w:r>
              <w:rPr>
                <w:rFonts w:ascii="宋体" w:hAnsi="宋体"/>
                <w:szCs w:val="21"/>
              </w:rPr>
              <w:t>1200</w:t>
            </w:r>
          </w:p>
        </w:tc>
        <w:tc>
          <w:tcPr>
            <w:tcW w:w="1113" w:type="pct"/>
            <w:shd w:val="clear" w:color="auto" w:fill="auto"/>
            <w:noWrap/>
            <w:vAlign w:val="center"/>
          </w:tcPr>
          <w:p w14:paraId="083426DC">
            <w:pPr>
              <w:pStyle w:val="23"/>
              <w:jc w:val="center"/>
              <w:rPr>
                <w:rFonts w:ascii="宋体" w:hAnsi="宋体"/>
                <w:szCs w:val="21"/>
              </w:rPr>
            </w:pPr>
            <w:r>
              <w:rPr>
                <w:rFonts w:ascii="宋体" w:hAnsi="宋体"/>
                <w:szCs w:val="21"/>
              </w:rPr>
              <w:t>4913</w:t>
            </w:r>
          </w:p>
        </w:tc>
        <w:tc>
          <w:tcPr>
            <w:tcW w:w="1267" w:type="pct"/>
            <w:gridSpan w:val="2"/>
            <w:shd w:val="clear" w:color="auto" w:fill="auto"/>
            <w:noWrap/>
            <w:vAlign w:val="center"/>
          </w:tcPr>
          <w:p w14:paraId="6CF58C70">
            <w:pPr>
              <w:pStyle w:val="23"/>
              <w:jc w:val="center"/>
              <w:rPr>
                <w:rFonts w:ascii="宋体" w:hAnsi="宋体"/>
                <w:szCs w:val="21"/>
              </w:rPr>
            </w:pPr>
            <w:r>
              <w:rPr>
                <w:rFonts w:ascii="宋体" w:hAnsi="宋体"/>
                <w:szCs w:val="21"/>
              </w:rPr>
              <w:t>838</w:t>
            </w:r>
          </w:p>
        </w:tc>
      </w:tr>
      <w:tr w14:paraId="77A665F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780" w:type="pct"/>
            <w:shd w:val="clear" w:color="auto" w:fill="auto"/>
            <w:noWrap/>
            <w:vAlign w:val="center"/>
          </w:tcPr>
          <w:p w14:paraId="658B0D88">
            <w:pPr>
              <w:pStyle w:val="23"/>
              <w:jc w:val="center"/>
              <w:rPr>
                <w:rFonts w:ascii="宋体" w:hAnsi="宋体"/>
                <w:szCs w:val="21"/>
              </w:rPr>
            </w:pPr>
            <w:r>
              <w:rPr>
                <w:rFonts w:ascii="宋体" w:hAnsi="宋体"/>
                <w:szCs w:val="21"/>
              </w:rPr>
              <w:t>崇化</w:t>
            </w:r>
          </w:p>
        </w:tc>
        <w:tc>
          <w:tcPr>
            <w:tcW w:w="558" w:type="pct"/>
            <w:shd w:val="clear" w:color="auto" w:fill="auto"/>
            <w:noWrap/>
            <w:vAlign w:val="center"/>
          </w:tcPr>
          <w:p w14:paraId="208ED370">
            <w:pPr>
              <w:pStyle w:val="23"/>
              <w:jc w:val="center"/>
              <w:rPr>
                <w:rFonts w:ascii="宋体" w:hAnsi="宋体"/>
                <w:szCs w:val="21"/>
              </w:rPr>
            </w:pPr>
            <w:r>
              <w:rPr>
                <w:rFonts w:ascii="宋体" w:hAnsi="宋体"/>
                <w:szCs w:val="21"/>
              </w:rPr>
              <w:t>5</w:t>
            </w:r>
          </w:p>
        </w:tc>
        <w:tc>
          <w:tcPr>
            <w:tcW w:w="613" w:type="pct"/>
            <w:shd w:val="clear" w:color="auto" w:fill="auto"/>
            <w:noWrap/>
            <w:vAlign w:val="center"/>
          </w:tcPr>
          <w:p w14:paraId="15FD4A77">
            <w:pPr>
              <w:pStyle w:val="23"/>
              <w:jc w:val="center"/>
              <w:rPr>
                <w:rFonts w:ascii="宋体" w:hAnsi="宋体"/>
                <w:szCs w:val="21"/>
              </w:rPr>
            </w:pPr>
            <w:r>
              <w:rPr>
                <w:rFonts w:ascii="宋体" w:hAnsi="宋体"/>
                <w:szCs w:val="21"/>
              </w:rPr>
              <w:t>463</w:t>
            </w:r>
          </w:p>
        </w:tc>
        <w:tc>
          <w:tcPr>
            <w:tcW w:w="669" w:type="pct"/>
            <w:shd w:val="clear" w:color="auto" w:fill="auto"/>
            <w:noWrap/>
            <w:vAlign w:val="center"/>
          </w:tcPr>
          <w:p w14:paraId="65A83F31">
            <w:pPr>
              <w:pStyle w:val="23"/>
              <w:jc w:val="center"/>
              <w:rPr>
                <w:rFonts w:ascii="宋体" w:hAnsi="宋体"/>
                <w:szCs w:val="21"/>
              </w:rPr>
            </w:pPr>
            <w:r>
              <w:rPr>
                <w:rFonts w:ascii="宋体" w:hAnsi="宋体"/>
                <w:szCs w:val="21"/>
              </w:rPr>
              <w:t>1960</w:t>
            </w:r>
          </w:p>
        </w:tc>
        <w:tc>
          <w:tcPr>
            <w:tcW w:w="1113" w:type="pct"/>
            <w:shd w:val="clear" w:color="auto" w:fill="auto"/>
            <w:noWrap/>
            <w:vAlign w:val="center"/>
          </w:tcPr>
          <w:p w14:paraId="6AFD5127">
            <w:pPr>
              <w:pStyle w:val="23"/>
              <w:jc w:val="center"/>
              <w:rPr>
                <w:rFonts w:ascii="宋体" w:hAnsi="宋体"/>
                <w:szCs w:val="21"/>
              </w:rPr>
            </w:pPr>
            <w:r>
              <w:rPr>
                <w:rFonts w:ascii="宋体" w:hAnsi="宋体"/>
                <w:szCs w:val="21"/>
              </w:rPr>
              <w:t>4904</w:t>
            </w:r>
          </w:p>
        </w:tc>
        <w:tc>
          <w:tcPr>
            <w:tcW w:w="1267" w:type="pct"/>
            <w:gridSpan w:val="2"/>
            <w:shd w:val="clear" w:color="auto" w:fill="auto"/>
            <w:noWrap/>
            <w:vAlign w:val="center"/>
          </w:tcPr>
          <w:p w14:paraId="0FFBC1E8">
            <w:pPr>
              <w:pStyle w:val="23"/>
              <w:jc w:val="center"/>
              <w:rPr>
                <w:rFonts w:ascii="宋体" w:hAnsi="宋体"/>
                <w:szCs w:val="21"/>
              </w:rPr>
            </w:pPr>
            <w:r>
              <w:rPr>
                <w:rFonts w:ascii="宋体" w:hAnsi="宋体"/>
                <w:szCs w:val="21"/>
              </w:rPr>
              <w:t>1188</w:t>
            </w:r>
          </w:p>
        </w:tc>
      </w:tr>
      <w:tr w14:paraId="69AEDCF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780" w:type="pct"/>
            <w:shd w:val="clear" w:color="auto" w:fill="auto"/>
            <w:noWrap/>
            <w:vAlign w:val="center"/>
          </w:tcPr>
          <w:p w14:paraId="492A4623">
            <w:pPr>
              <w:pStyle w:val="23"/>
              <w:jc w:val="center"/>
              <w:rPr>
                <w:rFonts w:ascii="宋体" w:hAnsi="宋体"/>
                <w:szCs w:val="21"/>
              </w:rPr>
            </w:pPr>
            <w:r>
              <w:rPr>
                <w:rFonts w:ascii="宋体" w:hAnsi="宋体"/>
                <w:szCs w:val="21"/>
              </w:rPr>
              <w:t>大坊</w:t>
            </w:r>
          </w:p>
        </w:tc>
        <w:tc>
          <w:tcPr>
            <w:tcW w:w="558" w:type="pct"/>
            <w:shd w:val="clear" w:color="auto" w:fill="auto"/>
            <w:noWrap/>
            <w:vAlign w:val="center"/>
          </w:tcPr>
          <w:p w14:paraId="29371579">
            <w:pPr>
              <w:pStyle w:val="23"/>
              <w:jc w:val="center"/>
              <w:rPr>
                <w:rFonts w:ascii="宋体" w:hAnsi="宋体"/>
                <w:szCs w:val="21"/>
              </w:rPr>
            </w:pPr>
            <w:r>
              <w:rPr>
                <w:rFonts w:ascii="宋体" w:hAnsi="宋体"/>
                <w:szCs w:val="21"/>
              </w:rPr>
              <w:t>12</w:t>
            </w:r>
          </w:p>
        </w:tc>
        <w:tc>
          <w:tcPr>
            <w:tcW w:w="613" w:type="pct"/>
            <w:shd w:val="clear" w:color="auto" w:fill="auto"/>
            <w:noWrap/>
            <w:vAlign w:val="center"/>
          </w:tcPr>
          <w:p w14:paraId="6EA66236">
            <w:pPr>
              <w:pStyle w:val="23"/>
              <w:jc w:val="center"/>
              <w:rPr>
                <w:rFonts w:ascii="宋体" w:hAnsi="宋体"/>
                <w:szCs w:val="21"/>
              </w:rPr>
            </w:pPr>
            <w:r>
              <w:rPr>
                <w:rFonts w:ascii="宋体" w:hAnsi="宋体"/>
                <w:szCs w:val="21"/>
              </w:rPr>
              <w:t>512</w:t>
            </w:r>
          </w:p>
        </w:tc>
        <w:tc>
          <w:tcPr>
            <w:tcW w:w="669" w:type="pct"/>
            <w:shd w:val="clear" w:color="auto" w:fill="auto"/>
            <w:noWrap/>
            <w:vAlign w:val="center"/>
          </w:tcPr>
          <w:p w14:paraId="4E55BB57">
            <w:pPr>
              <w:pStyle w:val="23"/>
              <w:jc w:val="center"/>
              <w:rPr>
                <w:rFonts w:ascii="宋体" w:hAnsi="宋体"/>
                <w:szCs w:val="21"/>
              </w:rPr>
            </w:pPr>
            <w:r>
              <w:rPr>
                <w:rFonts w:ascii="宋体" w:hAnsi="宋体"/>
                <w:szCs w:val="21"/>
              </w:rPr>
              <w:t>2052</w:t>
            </w:r>
          </w:p>
        </w:tc>
        <w:tc>
          <w:tcPr>
            <w:tcW w:w="1113" w:type="pct"/>
            <w:shd w:val="clear" w:color="auto" w:fill="auto"/>
            <w:noWrap/>
            <w:vAlign w:val="center"/>
          </w:tcPr>
          <w:p w14:paraId="3C0B46C2">
            <w:pPr>
              <w:pStyle w:val="23"/>
              <w:jc w:val="center"/>
              <w:rPr>
                <w:rFonts w:ascii="宋体" w:hAnsi="宋体"/>
                <w:szCs w:val="21"/>
              </w:rPr>
            </w:pPr>
            <w:r>
              <w:rPr>
                <w:rFonts w:ascii="宋体" w:hAnsi="宋体"/>
                <w:szCs w:val="21"/>
              </w:rPr>
              <w:t>4842</w:t>
            </w:r>
          </w:p>
        </w:tc>
        <w:tc>
          <w:tcPr>
            <w:tcW w:w="1267" w:type="pct"/>
            <w:gridSpan w:val="2"/>
            <w:shd w:val="clear" w:color="auto" w:fill="auto"/>
            <w:noWrap/>
            <w:vAlign w:val="center"/>
          </w:tcPr>
          <w:p w14:paraId="4AC95F11">
            <w:pPr>
              <w:pStyle w:val="23"/>
              <w:jc w:val="center"/>
              <w:rPr>
                <w:rFonts w:ascii="宋体" w:hAnsi="宋体"/>
                <w:szCs w:val="21"/>
              </w:rPr>
            </w:pPr>
            <w:r>
              <w:rPr>
                <w:rFonts w:ascii="宋体" w:hAnsi="宋体"/>
                <w:szCs w:val="21"/>
              </w:rPr>
              <w:t>1156</w:t>
            </w:r>
          </w:p>
        </w:tc>
      </w:tr>
      <w:tr w14:paraId="3358058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780" w:type="pct"/>
            <w:shd w:val="clear" w:color="auto" w:fill="auto"/>
            <w:noWrap/>
            <w:vAlign w:val="center"/>
          </w:tcPr>
          <w:p w14:paraId="0D77157F">
            <w:pPr>
              <w:pStyle w:val="23"/>
              <w:jc w:val="center"/>
              <w:rPr>
                <w:rFonts w:ascii="宋体" w:hAnsi="宋体"/>
                <w:szCs w:val="21"/>
              </w:rPr>
            </w:pPr>
            <w:r>
              <w:rPr>
                <w:rFonts w:ascii="宋体" w:hAnsi="宋体"/>
                <w:szCs w:val="21"/>
              </w:rPr>
              <w:t>大坑</w:t>
            </w:r>
          </w:p>
        </w:tc>
        <w:tc>
          <w:tcPr>
            <w:tcW w:w="558" w:type="pct"/>
            <w:shd w:val="clear" w:color="auto" w:fill="auto"/>
            <w:noWrap/>
            <w:vAlign w:val="center"/>
          </w:tcPr>
          <w:p w14:paraId="4014BA34">
            <w:pPr>
              <w:pStyle w:val="23"/>
              <w:jc w:val="center"/>
              <w:rPr>
                <w:rFonts w:ascii="宋体" w:hAnsi="宋体"/>
                <w:szCs w:val="21"/>
              </w:rPr>
            </w:pPr>
            <w:r>
              <w:rPr>
                <w:rFonts w:ascii="宋体" w:hAnsi="宋体"/>
                <w:szCs w:val="21"/>
              </w:rPr>
              <w:t>8</w:t>
            </w:r>
          </w:p>
        </w:tc>
        <w:tc>
          <w:tcPr>
            <w:tcW w:w="613" w:type="pct"/>
            <w:shd w:val="clear" w:color="auto" w:fill="auto"/>
            <w:noWrap/>
            <w:vAlign w:val="center"/>
          </w:tcPr>
          <w:p w14:paraId="747DBB1F">
            <w:pPr>
              <w:pStyle w:val="23"/>
              <w:jc w:val="center"/>
              <w:rPr>
                <w:rFonts w:ascii="宋体" w:hAnsi="宋体"/>
                <w:szCs w:val="21"/>
              </w:rPr>
            </w:pPr>
            <w:r>
              <w:rPr>
                <w:rFonts w:ascii="宋体" w:hAnsi="宋体"/>
                <w:szCs w:val="21"/>
              </w:rPr>
              <w:t>411</w:t>
            </w:r>
          </w:p>
        </w:tc>
        <w:tc>
          <w:tcPr>
            <w:tcW w:w="669" w:type="pct"/>
            <w:shd w:val="clear" w:color="auto" w:fill="auto"/>
            <w:noWrap/>
            <w:vAlign w:val="center"/>
          </w:tcPr>
          <w:p w14:paraId="187639DD">
            <w:pPr>
              <w:pStyle w:val="23"/>
              <w:jc w:val="center"/>
              <w:rPr>
                <w:rFonts w:ascii="宋体" w:hAnsi="宋体"/>
                <w:szCs w:val="21"/>
              </w:rPr>
            </w:pPr>
            <w:r>
              <w:rPr>
                <w:rFonts w:ascii="宋体" w:hAnsi="宋体"/>
                <w:szCs w:val="21"/>
              </w:rPr>
              <w:t>1770</w:t>
            </w:r>
          </w:p>
        </w:tc>
        <w:tc>
          <w:tcPr>
            <w:tcW w:w="1113" w:type="pct"/>
            <w:shd w:val="clear" w:color="auto" w:fill="auto"/>
            <w:noWrap/>
            <w:vAlign w:val="center"/>
          </w:tcPr>
          <w:p w14:paraId="6A70A66B">
            <w:pPr>
              <w:pStyle w:val="23"/>
              <w:jc w:val="center"/>
              <w:rPr>
                <w:rFonts w:ascii="宋体" w:hAnsi="宋体"/>
                <w:szCs w:val="21"/>
              </w:rPr>
            </w:pPr>
            <w:r>
              <w:rPr>
                <w:rFonts w:ascii="宋体" w:hAnsi="宋体"/>
                <w:szCs w:val="21"/>
              </w:rPr>
              <w:t>4886</w:t>
            </w:r>
          </w:p>
        </w:tc>
        <w:tc>
          <w:tcPr>
            <w:tcW w:w="1267" w:type="pct"/>
            <w:gridSpan w:val="2"/>
            <w:shd w:val="clear" w:color="auto" w:fill="auto"/>
            <w:noWrap/>
            <w:vAlign w:val="center"/>
          </w:tcPr>
          <w:p w14:paraId="488334EB">
            <w:pPr>
              <w:pStyle w:val="23"/>
              <w:jc w:val="center"/>
              <w:rPr>
                <w:rFonts w:ascii="宋体" w:hAnsi="宋体"/>
                <w:szCs w:val="21"/>
              </w:rPr>
            </w:pPr>
            <w:r>
              <w:rPr>
                <w:rFonts w:ascii="宋体" w:hAnsi="宋体"/>
                <w:szCs w:val="21"/>
              </w:rPr>
              <w:t>1013</w:t>
            </w:r>
          </w:p>
        </w:tc>
      </w:tr>
      <w:tr w14:paraId="338A2BC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780" w:type="pct"/>
            <w:shd w:val="clear" w:color="auto" w:fill="auto"/>
            <w:noWrap/>
            <w:vAlign w:val="center"/>
          </w:tcPr>
          <w:p w14:paraId="31366066">
            <w:pPr>
              <w:pStyle w:val="23"/>
              <w:jc w:val="center"/>
              <w:rPr>
                <w:rFonts w:ascii="宋体" w:hAnsi="宋体"/>
                <w:szCs w:val="21"/>
              </w:rPr>
            </w:pPr>
            <w:r>
              <w:rPr>
                <w:rFonts w:ascii="宋体" w:hAnsi="宋体"/>
                <w:szCs w:val="21"/>
              </w:rPr>
              <w:t>马芫</w:t>
            </w:r>
          </w:p>
        </w:tc>
        <w:tc>
          <w:tcPr>
            <w:tcW w:w="558" w:type="pct"/>
            <w:shd w:val="clear" w:color="auto" w:fill="auto"/>
            <w:noWrap/>
            <w:vAlign w:val="center"/>
          </w:tcPr>
          <w:p w14:paraId="70D27845">
            <w:pPr>
              <w:pStyle w:val="23"/>
              <w:jc w:val="center"/>
              <w:rPr>
                <w:rFonts w:ascii="宋体" w:hAnsi="宋体"/>
                <w:szCs w:val="21"/>
              </w:rPr>
            </w:pPr>
            <w:r>
              <w:rPr>
                <w:rFonts w:ascii="宋体" w:hAnsi="宋体"/>
                <w:szCs w:val="21"/>
              </w:rPr>
              <w:t>10</w:t>
            </w:r>
          </w:p>
        </w:tc>
        <w:tc>
          <w:tcPr>
            <w:tcW w:w="613" w:type="pct"/>
            <w:shd w:val="clear" w:color="auto" w:fill="auto"/>
            <w:noWrap/>
            <w:vAlign w:val="center"/>
          </w:tcPr>
          <w:p w14:paraId="3A3D288A">
            <w:pPr>
              <w:pStyle w:val="23"/>
              <w:jc w:val="center"/>
              <w:rPr>
                <w:rFonts w:ascii="宋体" w:hAnsi="宋体"/>
                <w:szCs w:val="21"/>
              </w:rPr>
            </w:pPr>
            <w:r>
              <w:rPr>
                <w:rFonts w:ascii="宋体" w:hAnsi="宋体"/>
                <w:szCs w:val="21"/>
              </w:rPr>
              <w:t>264</w:t>
            </w:r>
          </w:p>
        </w:tc>
        <w:tc>
          <w:tcPr>
            <w:tcW w:w="669" w:type="pct"/>
            <w:shd w:val="clear" w:color="auto" w:fill="auto"/>
            <w:noWrap/>
            <w:vAlign w:val="center"/>
          </w:tcPr>
          <w:p w14:paraId="176A7FF8">
            <w:pPr>
              <w:pStyle w:val="23"/>
              <w:jc w:val="center"/>
              <w:rPr>
                <w:rFonts w:ascii="宋体" w:hAnsi="宋体"/>
                <w:szCs w:val="21"/>
              </w:rPr>
            </w:pPr>
            <w:r>
              <w:rPr>
                <w:rFonts w:ascii="宋体" w:hAnsi="宋体"/>
                <w:szCs w:val="21"/>
              </w:rPr>
              <w:t>1080</w:t>
            </w:r>
          </w:p>
        </w:tc>
        <w:tc>
          <w:tcPr>
            <w:tcW w:w="1113" w:type="pct"/>
            <w:shd w:val="clear" w:color="auto" w:fill="auto"/>
            <w:noWrap/>
            <w:vAlign w:val="center"/>
          </w:tcPr>
          <w:p w14:paraId="5D91A7AB">
            <w:pPr>
              <w:pStyle w:val="23"/>
              <w:jc w:val="center"/>
              <w:rPr>
                <w:rFonts w:ascii="宋体" w:hAnsi="宋体"/>
                <w:szCs w:val="21"/>
              </w:rPr>
            </w:pPr>
            <w:r>
              <w:rPr>
                <w:rFonts w:ascii="宋体" w:hAnsi="宋体"/>
                <w:szCs w:val="21"/>
              </w:rPr>
              <w:t>4896</w:t>
            </w:r>
          </w:p>
        </w:tc>
        <w:tc>
          <w:tcPr>
            <w:tcW w:w="1267" w:type="pct"/>
            <w:gridSpan w:val="2"/>
            <w:shd w:val="clear" w:color="auto" w:fill="auto"/>
            <w:noWrap/>
            <w:vAlign w:val="center"/>
          </w:tcPr>
          <w:p w14:paraId="1E9363B5">
            <w:pPr>
              <w:pStyle w:val="23"/>
              <w:jc w:val="center"/>
              <w:rPr>
                <w:rFonts w:ascii="宋体" w:hAnsi="宋体"/>
                <w:szCs w:val="21"/>
              </w:rPr>
            </w:pPr>
            <w:r>
              <w:rPr>
                <w:rFonts w:ascii="宋体" w:hAnsi="宋体"/>
                <w:szCs w:val="21"/>
              </w:rPr>
              <w:t>772</w:t>
            </w:r>
          </w:p>
        </w:tc>
      </w:tr>
      <w:tr w14:paraId="69F3F1E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780" w:type="pct"/>
            <w:shd w:val="clear" w:color="auto" w:fill="auto"/>
            <w:noWrap/>
            <w:vAlign w:val="center"/>
          </w:tcPr>
          <w:p w14:paraId="455EA96C">
            <w:pPr>
              <w:pStyle w:val="23"/>
              <w:jc w:val="center"/>
              <w:rPr>
                <w:rFonts w:ascii="宋体" w:hAnsi="宋体"/>
                <w:szCs w:val="21"/>
              </w:rPr>
            </w:pPr>
            <w:r>
              <w:rPr>
                <w:rFonts w:ascii="宋体" w:hAnsi="宋体"/>
                <w:szCs w:val="21"/>
              </w:rPr>
              <w:t>社区</w:t>
            </w:r>
          </w:p>
        </w:tc>
        <w:tc>
          <w:tcPr>
            <w:tcW w:w="558" w:type="pct"/>
            <w:shd w:val="clear" w:color="auto" w:fill="auto"/>
            <w:noWrap/>
            <w:vAlign w:val="center"/>
          </w:tcPr>
          <w:p w14:paraId="5F5C9702">
            <w:pPr>
              <w:pStyle w:val="23"/>
              <w:jc w:val="center"/>
              <w:rPr>
                <w:rFonts w:ascii="宋体" w:hAnsi="宋体"/>
                <w:szCs w:val="21"/>
              </w:rPr>
            </w:pPr>
          </w:p>
        </w:tc>
        <w:tc>
          <w:tcPr>
            <w:tcW w:w="613" w:type="pct"/>
            <w:shd w:val="clear" w:color="auto" w:fill="auto"/>
            <w:noWrap/>
            <w:vAlign w:val="center"/>
          </w:tcPr>
          <w:p w14:paraId="4A136E17">
            <w:pPr>
              <w:pStyle w:val="23"/>
              <w:jc w:val="center"/>
              <w:rPr>
                <w:rFonts w:ascii="宋体" w:hAnsi="宋体"/>
                <w:szCs w:val="21"/>
              </w:rPr>
            </w:pPr>
            <w:r>
              <w:rPr>
                <w:rFonts w:ascii="宋体" w:hAnsi="宋体"/>
                <w:szCs w:val="21"/>
              </w:rPr>
              <w:t>229</w:t>
            </w:r>
          </w:p>
        </w:tc>
        <w:tc>
          <w:tcPr>
            <w:tcW w:w="669" w:type="pct"/>
            <w:shd w:val="clear" w:color="auto" w:fill="auto"/>
            <w:noWrap/>
            <w:vAlign w:val="center"/>
          </w:tcPr>
          <w:p w14:paraId="38F1AEC4">
            <w:pPr>
              <w:pStyle w:val="23"/>
              <w:jc w:val="center"/>
              <w:rPr>
                <w:rFonts w:ascii="宋体" w:hAnsi="宋体"/>
                <w:szCs w:val="21"/>
              </w:rPr>
            </w:pPr>
            <w:r>
              <w:rPr>
                <w:rFonts w:ascii="宋体" w:hAnsi="宋体"/>
                <w:szCs w:val="21"/>
              </w:rPr>
              <w:t>965</w:t>
            </w:r>
          </w:p>
        </w:tc>
        <w:tc>
          <w:tcPr>
            <w:tcW w:w="1113" w:type="pct"/>
            <w:shd w:val="clear" w:color="auto" w:fill="auto"/>
            <w:noWrap/>
            <w:vAlign w:val="center"/>
          </w:tcPr>
          <w:p w14:paraId="4C8A4F56">
            <w:pPr>
              <w:pStyle w:val="23"/>
              <w:jc w:val="center"/>
              <w:rPr>
                <w:rFonts w:ascii="宋体" w:hAnsi="宋体"/>
                <w:szCs w:val="21"/>
              </w:rPr>
            </w:pPr>
          </w:p>
        </w:tc>
        <w:tc>
          <w:tcPr>
            <w:tcW w:w="1267" w:type="pct"/>
            <w:gridSpan w:val="2"/>
            <w:shd w:val="clear" w:color="auto" w:fill="auto"/>
            <w:noWrap/>
            <w:vAlign w:val="center"/>
          </w:tcPr>
          <w:p w14:paraId="4FF3A547">
            <w:pPr>
              <w:pStyle w:val="23"/>
              <w:jc w:val="center"/>
              <w:rPr>
                <w:rFonts w:ascii="宋体" w:hAnsi="宋体"/>
                <w:szCs w:val="21"/>
              </w:rPr>
            </w:pPr>
          </w:p>
        </w:tc>
      </w:tr>
      <w:tr w14:paraId="6A52AAF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780" w:type="pct"/>
            <w:shd w:val="clear" w:color="auto" w:fill="auto"/>
            <w:noWrap/>
            <w:vAlign w:val="center"/>
          </w:tcPr>
          <w:p w14:paraId="23725EEB">
            <w:pPr>
              <w:pStyle w:val="23"/>
              <w:jc w:val="center"/>
              <w:rPr>
                <w:rFonts w:ascii="宋体" w:hAnsi="宋体"/>
                <w:szCs w:val="21"/>
              </w:rPr>
            </w:pPr>
            <w:r>
              <w:rPr>
                <w:rFonts w:ascii="宋体" w:hAnsi="宋体"/>
                <w:szCs w:val="21"/>
              </w:rPr>
              <w:t>合计</w:t>
            </w:r>
          </w:p>
        </w:tc>
        <w:tc>
          <w:tcPr>
            <w:tcW w:w="558" w:type="pct"/>
            <w:shd w:val="clear" w:color="auto" w:fill="auto"/>
            <w:noWrap/>
            <w:vAlign w:val="center"/>
          </w:tcPr>
          <w:p w14:paraId="0E4B20EB">
            <w:pPr>
              <w:pStyle w:val="23"/>
              <w:jc w:val="center"/>
              <w:rPr>
                <w:rFonts w:ascii="宋体" w:hAnsi="宋体"/>
                <w:szCs w:val="21"/>
              </w:rPr>
            </w:pPr>
            <w:r>
              <w:rPr>
                <w:rFonts w:ascii="宋体" w:hAnsi="宋体"/>
                <w:szCs w:val="21"/>
              </w:rPr>
              <w:t>77</w:t>
            </w:r>
          </w:p>
        </w:tc>
        <w:tc>
          <w:tcPr>
            <w:tcW w:w="613" w:type="pct"/>
            <w:shd w:val="clear" w:color="auto" w:fill="auto"/>
            <w:noWrap/>
            <w:vAlign w:val="center"/>
          </w:tcPr>
          <w:p w14:paraId="60330CEA">
            <w:pPr>
              <w:pStyle w:val="23"/>
              <w:jc w:val="center"/>
              <w:rPr>
                <w:rFonts w:ascii="宋体" w:hAnsi="宋体"/>
                <w:szCs w:val="21"/>
              </w:rPr>
            </w:pPr>
            <w:r>
              <w:rPr>
                <w:rFonts w:ascii="宋体" w:hAnsi="宋体"/>
                <w:szCs w:val="21"/>
              </w:rPr>
              <w:t>3555</w:t>
            </w:r>
          </w:p>
        </w:tc>
        <w:tc>
          <w:tcPr>
            <w:tcW w:w="669" w:type="pct"/>
            <w:shd w:val="clear" w:color="auto" w:fill="auto"/>
            <w:noWrap/>
            <w:vAlign w:val="center"/>
          </w:tcPr>
          <w:p w14:paraId="41C9F996">
            <w:pPr>
              <w:pStyle w:val="23"/>
              <w:jc w:val="center"/>
              <w:rPr>
                <w:rFonts w:ascii="宋体" w:hAnsi="宋体"/>
                <w:szCs w:val="21"/>
              </w:rPr>
            </w:pPr>
            <w:r>
              <w:rPr>
                <w:rFonts w:ascii="宋体" w:hAnsi="宋体"/>
                <w:szCs w:val="21"/>
              </w:rPr>
              <w:t>15036</w:t>
            </w:r>
          </w:p>
        </w:tc>
        <w:tc>
          <w:tcPr>
            <w:tcW w:w="1113" w:type="pct"/>
            <w:shd w:val="clear" w:color="auto" w:fill="auto"/>
            <w:noWrap/>
            <w:vAlign w:val="center"/>
          </w:tcPr>
          <w:p w14:paraId="3CE6057F">
            <w:pPr>
              <w:pStyle w:val="23"/>
              <w:jc w:val="center"/>
              <w:rPr>
                <w:rFonts w:ascii="宋体" w:hAnsi="宋体"/>
                <w:szCs w:val="21"/>
              </w:rPr>
            </w:pPr>
          </w:p>
        </w:tc>
        <w:tc>
          <w:tcPr>
            <w:tcW w:w="1267" w:type="pct"/>
            <w:gridSpan w:val="2"/>
            <w:shd w:val="clear" w:color="auto" w:fill="auto"/>
            <w:noWrap/>
            <w:vAlign w:val="center"/>
          </w:tcPr>
          <w:p w14:paraId="474DC4D0">
            <w:pPr>
              <w:pStyle w:val="23"/>
              <w:jc w:val="center"/>
              <w:rPr>
                <w:rFonts w:ascii="宋体" w:hAnsi="宋体"/>
                <w:szCs w:val="21"/>
              </w:rPr>
            </w:pPr>
            <w:r>
              <w:rPr>
                <w:rFonts w:ascii="宋体" w:hAnsi="宋体"/>
                <w:szCs w:val="21"/>
              </w:rPr>
              <w:t>9205</w:t>
            </w:r>
          </w:p>
        </w:tc>
      </w:tr>
    </w:tbl>
    <w:p w14:paraId="21F498CF">
      <w:pPr>
        <w:ind w:firstLine="0" w:firstLineChars="0"/>
        <w:jc w:val="right"/>
        <w:rPr>
          <w:b/>
        </w:rPr>
      </w:pPr>
      <w:r>
        <w:rPr>
          <w:rFonts w:hint="eastAsia" w:ascii="宋体" w:hAnsi="宋体"/>
          <w:szCs w:val="21"/>
        </w:rPr>
        <w:t>（黄勇红）</w:t>
      </w:r>
    </w:p>
    <w:p w14:paraId="01327F5C">
      <w:pPr>
        <w:ind w:firstLine="0" w:firstLineChars="0"/>
        <w:rPr>
          <w:rFonts w:ascii="宋体" w:hAnsi="宋体"/>
          <w:szCs w:val="21"/>
        </w:rPr>
      </w:pPr>
      <w:r>
        <w:rPr>
          <w:rFonts w:hint="eastAsia" w:ascii="宋体" w:hAnsi="宋体"/>
          <w:b/>
          <w:szCs w:val="21"/>
        </w:rPr>
        <w:t>附：2011年界址镇领导班子成员名单</w:t>
      </w:r>
    </w:p>
    <w:p w14:paraId="56622824">
      <w:pPr>
        <w:ind w:firstLine="0" w:firstLineChars="0"/>
        <w:rPr>
          <w:rFonts w:ascii="宋体" w:hAnsi="宋体"/>
          <w:szCs w:val="21"/>
        </w:rPr>
      </w:pPr>
      <w:r>
        <w:rPr>
          <w:rFonts w:hint="eastAsia" w:ascii="宋体" w:hAnsi="宋体"/>
          <w:szCs w:val="21"/>
        </w:rPr>
        <w:t>党委书记、人大主席：陈华林</w:t>
      </w:r>
    </w:p>
    <w:p w14:paraId="10B8C903">
      <w:pPr>
        <w:ind w:firstLine="0" w:firstLineChars="0"/>
        <w:rPr>
          <w:rFonts w:ascii="宋体" w:hAnsi="宋体"/>
          <w:szCs w:val="21"/>
        </w:rPr>
      </w:pPr>
      <w:r>
        <w:rPr>
          <w:rFonts w:hint="eastAsia" w:ascii="宋体" w:hAnsi="宋体"/>
          <w:szCs w:val="21"/>
        </w:rPr>
        <w:t>党委副书记、镇长：雷明峰</w:t>
      </w:r>
    </w:p>
    <w:p w14:paraId="74FC93D7">
      <w:pPr>
        <w:ind w:firstLine="0" w:firstLineChars="0"/>
        <w:rPr>
          <w:rFonts w:ascii="宋体" w:hAnsi="宋体"/>
          <w:szCs w:val="21"/>
        </w:rPr>
      </w:pPr>
      <w:r>
        <w:rPr>
          <w:rFonts w:hint="eastAsia" w:ascii="宋体" w:hAnsi="宋体"/>
          <w:szCs w:val="21"/>
        </w:rPr>
        <w:t>党委副书记：李绍林</w:t>
      </w:r>
    </w:p>
    <w:p w14:paraId="1C246AFA">
      <w:pPr>
        <w:ind w:firstLine="0" w:firstLineChars="0"/>
        <w:rPr>
          <w:rFonts w:ascii="宋体" w:hAnsi="宋体"/>
          <w:szCs w:val="21"/>
        </w:rPr>
      </w:pPr>
      <w:r>
        <w:rPr>
          <w:rFonts w:hint="eastAsia" w:ascii="宋体" w:hAnsi="宋体"/>
          <w:szCs w:val="21"/>
        </w:rPr>
        <w:t>党委委员、纪委书记：徐  帆</w:t>
      </w:r>
    </w:p>
    <w:p w14:paraId="32FCAD78">
      <w:pPr>
        <w:ind w:firstLine="0" w:firstLineChars="0"/>
        <w:rPr>
          <w:rFonts w:ascii="宋体" w:hAnsi="宋体"/>
          <w:szCs w:val="21"/>
        </w:rPr>
      </w:pPr>
      <w:r>
        <w:rPr>
          <w:rFonts w:hint="eastAsia" w:ascii="宋体" w:hAnsi="宋体"/>
          <w:szCs w:val="21"/>
        </w:rPr>
        <w:t>党委组织委员：郭亿华</w:t>
      </w:r>
    </w:p>
    <w:p w14:paraId="3299443B">
      <w:pPr>
        <w:ind w:firstLine="0" w:firstLineChars="0"/>
        <w:rPr>
          <w:rFonts w:ascii="宋体" w:hAnsi="宋体"/>
          <w:szCs w:val="21"/>
        </w:rPr>
      </w:pPr>
      <w:r>
        <w:rPr>
          <w:rFonts w:hint="eastAsia" w:ascii="宋体" w:hAnsi="宋体"/>
          <w:szCs w:val="21"/>
        </w:rPr>
        <w:t>党委宣传委员：陈永春</w:t>
      </w:r>
    </w:p>
    <w:p w14:paraId="4F2358D7">
      <w:pPr>
        <w:ind w:firstLine="0" w:firstLineChars="0"/>
        <w:rPr>
          <w:rFonts w:ascii="宋体" w:hAnsi="宋体"/>
          <w:szCs w:val="21"/>
        </w:rPr>
      </w:pPr>
      <w:r>
        <w:rPr>
          <w:rFonts w:hint="eastAsia" w:ascii="宋体" w:hAnsi="宋体"/>
          <w:szCs w:val="21"/>
        </w:rPr>
        <w:t>党委委员、人大副主席：唐泉涌</w:t>
      </w:r>
    </w:p>
    <w:p w14:paraId="4D00DE6E">
      <w:pPr>
        <w:ind w:firstLine="0" w:firstLineChars="0"/>
        <w:rPr>
          <w:rFonts w:ascii="宋体" w:hAnsi="宋体"/>
          <w:szCs w:val="21"/>
        </w:rPr>
      </w:pPr>
      <w:r>
        <w:rPr>
          <w:rFonts w:hint="eastAsia" w:ascii="宋体" w:hAnsi="宋体"/>
          <w:szCs w:val="21"/>
        </w:rPr>
        <w:t>党委委员、武装部长：邓荣林</w:t>
      </w:r>
    </w:p>
    <w:p w14:paraId="7F232732">
      <w:pPr>
        <w:ind w:firstLine="0" w:firstLineChars="0"/>
        <w:rPr>
          <w:rFonts w:ascii="宋体" w:hAnsi="宋体"/>
          <w:szCs w:val="21"/>
        </w:rPr>
      </w:pPr>
      <w:r>
        <w:rPr>
          <w:rFonts w:hint="eastAsia" w:ascii="宋体" w:hAnsi="宋体"/>
          <w:szCs w:val="21"/>
        </w:rPr>
        <w:t>党委委员、综治办专职副主任：卢江南</w:t>
      </w:r>
    </w:p>
    <w:p w14:paraId="7EAAA6D5">
      <w:pPr>
        <w:ind w:firstLine="0" w:firstLineChars="0"/>
        <w:rPr>
          <w:rFonts w:ascii="宋体" w:hAnsi="宋体"/>
          <w:szCs w:val="21"/>
        </w:rPr>
      </w:pPr>
      <w:r>
        <w:rPr>
          <w:rFonts w:hint="eastAsia" w:ascii="宋体" w:hAnsi="宋体"/>
          <w:szCs w:val="21"/>
        </w:rPr>
        <w:t>副镇长：张万敏  何少连  钟俊红</w:t>
      </w:r>
    </w:p>
    <w:p w14:paraId="1FF07476">
      <w:pPr>
        <w:pStyle w:val="3"/>
      </w:pPr>
      <w:r>
        <w:rPr>
          <w:rFonts w:hint="eastAsia"/>
        </w:rPr>
        <w:t>黄坑镇</w:t>
      </w:r>
    </w:p>
    <w:p w14:paraId="2ECA967F">
      <w:pPr>
        <w:pStyle w:val="4"/>
      </w:pPr>
      <w:r>
        <w:rPr>
          <w:rFonts w:hint="eastAsia"/>
        </w:rPr>
        <w:t>【概况】</w:t>
      </w:r>
    </w:p>
    <w:p w14:paraId="36F9C86B">
      <w:pPr>
        <w:ind w:firstLine="420"/>
        <w:rPr>
          <w:rFonts w:ascii="宋体" w:hAnsi="宋体"/>
          <w:szCs w:val="21"/>
        </w:rPr>
      </w:pPr>
      <w:r>
        <w:rPr>
          <w:rFonts w:hint="eastAsia" w:ascii="宋体" w:hAnsi="宋体"/>
          <w:szCs w:val="21"/>
        </w:rPr>
        <w:t>黄坑镇位于北纬25°13′55″，东经114°29′155″，东与大塘、乌迳两镇毗连，南与南亩、水口两镇接壤，西与湖口镇相邻，北与邓坊镇连接。省道342线贯穿黄坑镇，往东至江西信丰县城44公里，与国道105线和京九铁路连接；西至南雄市区21公里，接国道323线至韶关124公里；南经南亩镇可达江西省全南县；北经邓坊、珠玑镇可达江西省大余县，属广东省273个中心镇之一。黄坑因黄泥土多而得名，明代属望检乡杨律都。清咸丰四年（1854年）废都建约。民国初期沿清制。民国21年（1932年）属第六区黄平乡。民国29年（1940年）属第二区黄平乡。1951年建立黄坑乡。1958年属火箭（黄坑）人民公社。1962年建立黄坑人民公社。1984年改为区，1986年改为镇。镇政府驻地黄坑墟。黄坑镇地处南雄市东北部，属红砂岩丘陵地，海拔高度200米以下，大部分山岭属红砂岭，地质属白垩纪紫红色泥质砂岩和老第三纪紫红色泥质砂岩等，属亚热带季风湿润气候，年降雨量1550毫米，平均气温19.6℃，全年无霜期296天，主要河流有黄坑河，年径流量0.394亿立方米，丰水期径流量0.63毫米，还有溪塘河和枫坑河，许村河等，都流入浈江河。四周群山环抱，区内丘陵起伏，林木茂盛，四季分明，冬短夏长，日照充足，雨量充沛，气候温湿，水体洁净，空气清新，生态良好，自然气候和土壤条件十分适宜黄烟的种植和高产。黄坑镇辖区面积55.75平方公里，其中耕地面积2056.7公顷，林地面积1357.4公顷，其中松林面积1211.5公顷，森林覆盖率19.9%。水面面积121.1公顷，年蓄水量714万立方米。黄坑镇辖10个村委会和黄坑社区居委会，124个村民小组，总户数6178户，常住人口24811人，绝大多数为汉族，有一个少数民族（畬族）。黄坑自然资源丰富，矿产资源主要有溪塘红石，水利资源主要有围背水库，月亮水库、大门口水库和312口山塘。农产品主要有黄烟、水稻、花生、毛竹、百草鹅、小辣椒等，其中以黄烟最为出名，有“广东黄烟看南雄，南雄黄烟看黄坑”的美誉。两个国家替代进口优质烟叶示范基地和一个现代烟草农业示范园区，烟、粮、果、畜、渔等特色农业的发展，罗坑创业园区的兴建，商贸城的繁荣，推动黄坑经济的快速发展。</w:t>
      </w:r>
    </w:p>
    <w:p w14:paraId="613B211F">
      <w:pPr>
        <w:pStyle w:val="4"/>
      </w:pPr>
      <w:r>
        <w:rPr>
          <w:rFonts w:hint="eastAsia"/>
        </w:rPr>
        <w:t>【经济发展】</w:t>
      </w:r>
    </w:p>
    <w:p w14:paraId="53128C19">
      <w:pPr>
        <w:ind w:firstLine="420"/>
        <w:rPr>
          <w:rFonts w:ascii="宋体" w:hAnsi="宋体"/>
          <w:szCs w:val="21"/>
        </w:rPr>
      </w:pPr>
      <w:r>
        <w:rPr>
          <w:rFonts w:hint="eastAsia" w:ascii="宋体" w:hAnsi="宋体"/>
          <w:szCs w:val="21"/>
        </w:rPr>
        <w:t>2011年全镇工农业总产值4.16亿元，财政收入365万元，农村人均收入6106元比2010年分别增长21.2%，12.6%和9.4%。</w:t>
      </w:r>
    </w:p>
    <w:p w14:paraId="226BABFB">
      <w:pPr>
        <w:pStyle w:val="4"/>
      </w:pPr>
      <w:r>
        <w:rPr>
          <w:rFonts w:hint="eastAsia"/>
        </w:rPr>
        <w:t>【农业】</w:t>
      </w:r>
    </w:p>
    <w:p w14:paraId="34AE1CC2">
      <w:pPr>
        <w:ind w:firstLine="420"/>
        <w:rPr>
          <w:rFonts w:ascii="宋体" w:hAnsi="宋体"/>
          <w:szCs w:val="21"/>
        </w:rPr>
      </w:pPr>
      <w:r>
        <w:rPr>
          <w:rFonts w:hint="eastAsia" w:ascii="宋体" w:hAnsi="宋体"/>
          <w:szCs w:val="21"/>
        </w:rPr>
        <w:t>2011年全镇黄烟种植面积1083.8公顷，总产量达2687吨；种植水稻1645.5公顷，其中优质稻1120公顷，总产量10908吨，花生，总产1572吨，大豆，总产584吨，番薯，总产1330吨。还种植红瓜子，小辣椒。出栏肉猪23013头，出售和自宰家禽286134只。</w:t>
      </w:r>
    </w:p>
    <w:p w14:paraId="1717756C">
      <w:pPr>
        <w:pStyle w:val="4"/>
      </w:pPr>
      <w:r>
        <w:rPr>
          <w:rFonts w:hint="eastAsia"/>
        </w:rPr>
        <w:t>【扶贫双到】</w:t>
      </w:r>
    </w:p>
    <w:p w14:paraId="5A91E964">
      <w:pPr>
        <w:ind w:firstLine="420"/>
        <w:rPr>
          <w:rFonts w:ascii="宋体" w:hAnsi="宋体"/>
          <w:szCs w:val="21"/>
        </w:rPr>
      </w:pPr>
      <w:r>
        <w:rPr>
          <w:rFonts w:hint="eastAsia" w:ascii="宋体" w:hAnsi="宋体"/>
          <w:szCs w:val="21"/>
        </w:rPr>
        <w:t>2011年，东莞莞城街道办事处共投入帮扶资金70.6万元，建设贫困村溪塘村月亮水库综合养殖场，完善烤烟房群供电及周边排水设施，搞好坪岗水渠部分渠道回填加固及清淤、村容村貌整治、建设垃圾收集池、下水道、安装村道路灯等，并认真落实“一户一法”脱贫措施，大力扶持贫困户发展种养业，全镇79户帮扶贫困户全部脱贫。</w:t>
      </w:r>
    </w:p>
    <w:p w14:paraId="5D681475">
      <w:pPr>
        <w:pStyle w:val="4"/>
      </w:pPr>
      <w:r>
        <w:rPr>
          <w:rFonts w:hint="eastAsia"/>
        </w:rPr>
        <w:t>【新型农村养老保险】</w:t>
      </w:r>
    </w:p>
    <w:p w14:paraId="0E663FCC">
      <w:pPr>
        <w:ind w:firstLine="420"/>
        <w:rPr>
          <w:rFonts w:ascii="宋体" w:hAnsi="宋体"/>
          <w:szCs w:val="21"/>
        </w:rPr>
      </w:pPr>
      <w:r>
        <w:rPr>
          <w:rFonts w:hint="eastAsia" w:ascii="宋体" w:hAnsi="宋体"/>
          <w:szCs w:val="21"/>
        </w:rPr>
        <w:t>黄坑镇新型农村养老保险目标任务9890人。至2011年12月31日新型农村养老保险参保人数达8061人，任务完成比为81.5%，60周岁以上享受待遇人数为2119人。</w:t>
      </w:r>
    </w:p>
    <w:p w14:paraId="235CDBAB">
      <w:pPr>
        <w:pStyle w:val="4"/>
      </w:pPr>
      <w:r>
        <w:rPr>
          <w:rFonts w:hint="eastAsia"/>
        </w:rPr>
        <w:t>【国土工作】</w:t>
      </w:r>
    </w:p>
    <w:p w14:paraId="2D950592">
      <w:pPr>
        <w:ind w:firstLine="420"/>
        <w:rPr>
          <w:rFonts w:ascii="宋体" w:hAnsi="宋体"/>
          <w:szCs w:val="21"/>
        </w:rPr>
      </w:pPr>
      <w:r>
        <w:rPr>
          <w:rFonts w:hint="eastAsia" w:ascii="宋体" w:hAnsi="宋体"/>
          <w:szCs w:val="21"/>
        </w:rPr>
        <w:t>建立和完善国土资源动态巡查制度与地质灾害险情巡查制度，查处各种违法用地20宗，调解土地纠纷148宗，配合市国土资源局开展空心村增减挂钩工作，以上象田心村等3个村小组作为试点，目前已完成改造的前期工作。</w:t>
      </w:r>
    </w:p>
    <w:p w14:paraId="6FAC3DC2">
      <w:pPr>
        <w:pStyle w:val="4"/>
      </w:pPr>
      <w:r>
        <w:rPr>
          <w:rFonts w:hint="eastAsia"/>
        </w:rPr>
        <w:t>【小城镇建设】</w:t>
      </w:r>
    </w:p>
    <w:p w14:paraId="60ACF770">
      <w:pPr>
        <w:ind w:firstLine="420"/>
        <w:rPr>
          <w:rFonts w:ascii="宋体" w:hAnsi="宋体"/>
          <w:szCs w:val="21"/>
        </w:rPr>
      </w:pPr>
      <w:r>
        <w:rPr>
          <w:rFonts w:hint="eastAsia" w:ascii="宋体" w:hAnsi="宋体"/>
          <w:szCs w:val="21"/>
        </w:rPr>
        <w:t>完善黄坑圩镇的基础设施建设，2011年5月从南亩引进自来水，铺设自来水管道，解决居民饮水难问题，预计2012年5月竣工投入使用。加强对河滨公园以及文化广场的管理，为居民提供良好的休闲场所。居民生活水平得到提高，圩镇新增住户300户。</w:t>
      </w:r>
    </w:p>
    <w:p w14:paraId="6FB56BDC">
      <w:pPr>
        <w:pStyle w:val="4"/>
      </w:pPr>
      <w:r>
        <w:rPr>
          <w:rFonts w:hint="eastAsia"/>
        </w:rPr>
        <w:t>【计划生育】</w:t>
      </w:r>
    </w:p>
    <w:p w14:paraId="7283DC2C">
      <w:pPr>
        <w:ind w:firstLine="420"/>
        <w:rPr>
          <w:rFonts w:ascii="宋体" w:hAnsi="宋体"/>
          <w:szCs w:val="21"/>
        </w:rPr>
      </w:pPr>
      <w:r>
        <w:rPr>
          <w:rFonts w:hint="eastAsia" w:ascii="宋体" w:hAnsi="宋体"/>
          <w:szCs w:val="21"/>
        </w:rPr>
        <w:t>切实稳定低生育水平，把任务分解、动态跟踪、阶段预警、奖优罚劣有机结合起来，推动落实层级动态管理责任制，深化人口与计划生育综合改革，狠抓各项指标落实。2011年，人口出生率11.73%，人口自然增长率7.92%，计划生育率达到96.03%。</w:t>
      </w:r>
    </w:p>
    <w:p w14:paraId="0E018000">
      <w:pPr>
        <w:pStyle w:val="4"/>
      </w:pPr>
      <w:r>
        <w:rPr>
          <w:rFonts w:hint="eastAsia"/>
        </w:rPr>
        <w:t>【社会治安综合治理】</w:t>
      </w:r>
    </w:p>
    <w:p w14:paraId="7CFCF2A8">
      <w:pPr>
        <w:ind w:firstLine="420"/>
        <w:rPr>
          <w:rFonts w:ascii="宋体" w:hAnsi="宋体"/>
          <w:szCs w:val="21"/>
        </w:rPr>
      </w:pPr>
      <w:r>
        <w:rPr>
          <w:rFonts w:hint="eastAsia" w:ascii="宋体" w:hAnsi="宋体"/>
          <w:szCs w:val="21"/>
        </w:rPr>
        <w:t>加强对综治工作的领导，健全群防群治网络，落实行政执法责任制，提高依法行政水平，及时解决群众热点、难点问题，努力化解社会矛盾，调处社会矛盾84宗，调处率达100%。全镇未发生群体性突出事件和越级上访案件。</w:t>
      </w:r>
    </w:p>
    <w:p w14:paraId="694F2194">
      <w:pPr>
        <w:pStyle w:val="4"/>
      </w:pPr>
      <w:r>
        <w:rPr>
          <w:rFonts w:hint="eastAsia"/>
        </w:rPr>
        <w:t>【文教卫生】</w:t>
      </w:r>
    </w:p>
    <w:p w14:paraId="519043CC">
      <w:pPr>
        <w:ind w:firstLine="420"/>
        <w:rPr>
          <w:rFonts w:ascii="宋体" w:hAnsi="宋体"/>
          <w:szCs w:val="21"/>
        </w:rPr>
      </w:pPr>
      <w:r>
        <w:rPr>
          <w:rFonts w:hint="eastAsia" w:ascii="宋体" w:hAnsi="宋体"/>
          <w:szCs w:val="21"/>
        </w:rPr>
        <w:t>该镇有省一级学校的完全中学1所，成人文化技术学校1所，韶关市一级学校中心小学1所，村小学教学点3个，公办幼儿园1所，民办幼儿园2所。高中在校学生1482人，初中在校学生1555人，小学在校学生1559人，入园幼儿739人，中小学在职教职工386人。初中毕业生优秀率达25%以上，合格率达95%以上。2011年，入重点线2人，本科上线85人，入大专线306人。镇内办有5家农家书屋。黄坑镇有二级甲等医疗卫生院，医技人员28人，有较先进的B超、X光机、CT等先进设备，具有较高的诊疗水平。还有18个村卫生站，医务人员20多名，医疗和预防工作取得显著成效。</w:t>
      </w:r>
    </w:p>
    <w:p w14:paraId="6D6B2347">
      <w:pPr>
        <w:pStyle w:val="4"/>
      </w:pPr>
      <w:r>
        <w:rPr>
          <w:rFonts w:hint="eastAsia"/>
        </w:rPr>
        <w:t>【武装工作】</w:t>
      </w:r>
    </w:p>
    <w:p w14:paraId="61E826F3">
      <w:pPr>
        <w:ind w:firstLine="420"/>
        <w:rPr>
          <w:rFonts w:ascii="宋体" w:hAnsi="宋体"/>
          <w:szCs w:val="21"/>
        </w:rPr>
      </w:pPr>
      <w:r>
        <w:rPr>
          <w:rFonts w:hint="eastAsia" w:ascii="宋体" w:hAnsi="宋体"/>
          <w:szCs w:val="21"/>
        </w:rPr>
        <w:t>认真贯彻执行《兵役法》，2011年原计划征兵7人，实际完成任务18人，已超额完成分配任务11人，被南雄市评为武装工作“先进单位”。</w:t>
      </w:r>
    </w:p>
    <w:p w14:paraId="5C7B2077">
      <w:pPr>
        <w:pStyle w:val="4"/>
      </w:pPr>
      <w:r>
        <w:rPr>
          <w:rFonts w:hint="eastAsia"/>
        </w:rPr>
        <w:t>【消防工作】</w:t>
      </w:r>
    </w:p>
    <w:p w14:paraId="0DD9E4EA">
      <w:pPr>
        <w:ind w:firstLine="420"/>
        <w:rPr>
          <w:rFonts w:ascii="宋体" w:hAnsi="宋体"/>
          <w:szCs w:val="21"/>
        </w:rPr>
      </w:pPr>
      <w:r>
        <w:rPr>
          <w:rFonts w:hint="eastAsia" w:ascii="宋体" w:hAnsi="宋体"/>
          <w:szCs w:val="21"/>
        </w:rPr>
        <w:t>2011年，黄坑镇被列为韶关市第三批火灾隐患重点整治地区，在整治工作中，镇党委、镇政府加大人力、物力、财力投入，落实消防监管责任，完善各村（居）、各单位、企业、门店消防设施，全面开展火灾隐患排查和整治，有效控制了火灾事故的发生，顺利通过韶关市的考核验收，被韶关市评为消防安全工作先进单位。</w:t>
      </w:r>
    </w:p>
    <w:p w14:paraId="21CDAB07">
      <w:pPr>
        <w:pStyle w:val="4"/>
      </w:pPr>
      <w:r>
        <w:rPr>
          <w:rFonts w:hint="eastAsia"/>
        </w:rPr>
        <w:t>【人文名胜】</w:t>
      </w:r>
    </w:p>
    <w:p w14:paraId="0B4827A2">
      <w:pPr>
        <w:ind w:firstLine="420"/>
        <w:rPr>
          <w:rFonts w:ascii="宋体" w:hAnsi="宋体"/>
          <w:szCs w:val="21"/>
        </w:rPr>
      </w:pPr>
      <w:r>
        <w:rPr>
          <w:rFonts w:hint="eastAsia" w:ascii="宋体" w:hAnsi="宋体"/>
          <w:szCs w:val="21"/>
        </w:rPr>
        <w:t>黄坑人文历史源远流长，始建于公元920年的雄州第一城古溪塘村2009年被评为广东省古村落，村内至今保留了许多古建筑、古雕刻等文化遗产。杨梅坑恐龙化石遗址是省自然保护区。1928年2月，南雄第一届苏维埃政府成立万人大会在黄坑墟召开。镇内18个村落至今保留完好的进士拴马石、板桥文化节、墟镇骄阳采茶剧团、5个农家书屋。</w:t>
      </w:r>
    </w:p>
    <w:p w14:paraId="36610B00">
      <w:pPr>
        <w:pStyle w:val="4"/>
      </w:pPr>
      <w:r>
        <w:rPr>
          <w:rFonts w:hint="eastAsia"/>
        </w:rPr>
        <w:t>【各村基本情况】</w:t>
      </w:r>
    </w:p>
    <w:p w14:paraId="6FE02EF1">
      <w:pPr>
        <w:ind w:firstLine="422"/>
        <w:rPr>
          <w:rFonts w:ascii="宋体" w:hAnsi="宋体"/>
          <w:szCs w:val="21"/>
        </w:rPr>
      </w:pPr>
      <w:r>
        <w:rPr>
          <w:rFonts w:hint="eastAsia" w:ascii="宋体" w:hAnsi="宋体"/>
          <w:b/>
          <w:szCs w:val="21"/>
        </w:rPr>
        <w:t>黄坑村</w:t>
      </w:r>
      <w:r>
        <w:rPr>
          <w:rFonts w:hint="eastAsia" w:ascii="宋体" w:hAnsi="宋体"/>
          <w:szCs w:val="21"/>
        </w:rPr>
        <w:t xml:space="preserve">  位于南雄市黄坑镇西部，距离市区23公里，有7个自然村、14个村小组，有沈、何、余等5个姓氏。村集体经济收入3.5万元，人均纯收入6157元。全村共有农户576户，总人口2399人，耕地面积2540亩，其中水田面积1227亩，旱地1313亩。农业以种植黄烟、水稻、花生为主。</w:t>
      </w:r>
    </w:p>
    <w:p w14:paraId="34F5FB57">
      <w:pPr>
        <w:ind w:firstLine="422"/>
        <w:rPr>
          <w:rFonts w:ascii="宋体" w:hAnsi="宋体"/>
          <w:szCs w:val="21"/>
        </w:rPr>
      </w:pPr>
      <w:r>
        <w:rPr>
          <w:rFonts w:hint="eastAsia" w:ascii="宋体" w:hAnsi="宋体"/>
          <w:b/>
          <w:szCs w:val="21"/>
        </w:rPr>
        <w:t xml:space="preserve">社前村  </w:t>
      </w:r>
      <w:r>
        <w:rPr>
          <w:rFonts w:hint="eastAsia" w:ascii="宋体" w:hAnsi="宋体"/>
          <w:szCs w:val="21"/>
        </w:rPr>
        <w:t>位于南雄市黄坑镇北部，距离市区25公里，与镇政府所在地相距2公里，有8个自然村、8个村小组，有何、黄、杨、雷、卢、李6个姓氏。村集体经济收入4.8万元，人均纯收入6201元。全村共有农户567户，总人口2032人，耕地面积2632亩，其中水田面积1072亩，旱地1560亩。农业以种植黄烟、水稻、花生为主。</w:t>
      </w:r>
    </w:p>
    <w:p w14:paraId="08BAB38B">
      <w:pPr>
        <w:ind w:firstLine="422"/>
        <w:rPr>
          <w:rFonts w:ascii="宋体" w:hAnsi="宋体"/>
          <w:szCs w:val="21"/>
        </w:rPr>
      </w:pPr>
      <w:r>
        <w:rPr>
          <w:rFonts w:hint="eastAsia" w:ascii="宋体" w:hAnsi="宋体"/>
          <w:b/>
          <w:szCs w:val="21"/>
        </w:rPr>
        <w:t xml:space="preserve">小陂村  </w:t>
      </w:r>
      <w:r>
        <w:rPr>
          <w:rFonts w:hint="eastAsia" w:ascii="宋体" w:hAnsi="宋体"/>
          <w:szCs w:val="21"/>
        </w:rPr>
        <w:t>位于南雄市黄坑镇东北方向，距离市区26公里，与镇政府所在地相距2.5公里，有8个自然村、10个村小组，有沈、张、雷、刘、陈、卢6个姓氏。村集体经济收入3.5万元，人均纯收入6168元。全村共有农户510户，总人口2231人，耕地面积3479亩，其中水田面积1633亩，旱地1846亩。农业以种植黄烟、水稻、花生为主。</w:t>
      </w:r>
    </w:p>
    <w:p w14:paraId="725A3F2B">
      <w:pPr>
        <w:ind w:firstLine="422"/>
        <w:rPr>
          <w:rFonts w:ascii="宋体" w:hAnsi="宋体"/>
          <w:szCs w:val="21"/>
        </w:rPr>
      </w:pPr>
      <w:r>
        <w:rPr>
          <w:rFonts w:hint="eastAsia" w:ascii="宋体" w:hAnsi="宋体"/>
          <w:b/>
          <w:szCs w:val="21"/>
        </w:rPr>
        <w:t xml:space="preserve">塘源村  </w:t>
      </w:r>
      <w:r>
        <w:rPr>
          <w:rFonts w:hint="eastAsia" w:ascii="宋体" w:hAnsi="宋体"/>
          <w:szCs w:val="21"/>
        </w:rPr>
        <w:t>位于南雄市黄坑镇东部，距离市区25公里，与镇政府所在地相距1公里，是黄坑镇的人口大村，有13个自然村、18个村小组，有沈、蓝、马、叶、陈、李、廖、温、吴等11个姓氏。村集体经济收入4.5万元，人均纯收入6025元。全村共有农户786户，总人口3132人，耕地面积4841亩，其中水田面积2258亩，旱地2583亩。农业以种植黄烟、水稻、花生为主。</w:t>
      </w:r>
    </w:p>
    <w:p w14:paraId="027033C2">
      <w:pPr>
        <w:ind w:firstLine="422"/>
        <w:rPr>
          <w:rFonts w:ascii="宋体" w:hAnsi="宋体"/>
          <w:szCs w:val="21"/>
        </w:rPr>
      </w:pPr>
      <w:r>
        <w:rPr>
          <w:rFonts w:hint="eastAsia" w:ascii="宋体" w:hAnsi="宋体"/>
          <w:b/>
          <w:szCs w:val="21"/>
        </w:rPr>
        <w:t>溪塘村</w:t>
      </w:r>
      <w:r>
        <w:rPr>
          <w:rFonts w:hint="eastAsia" w:ascii="宋体" w:hAnsi="宋体"/>
          <w:szCs w:val="21"/>
        </w:rPr>
        <w:t xml:space="preserve">  位于南雄市黄坑镇东南方向，距离市区28公里，与镇政府所在地相距5公里，是黄坑镇的人口大村，有6个自然村、15个村小组，有陈、范、周、李、董、阳、郭、沈、张等11个姓氏。村集体经济收入3.1万元，人均纯收入5939元。全村共有农户682户，总人口2917人，耕地面积3714亩，其中水田面积2036亩，旱地1678亩。农业以种植黄烟、水稻、花生、柿子为主。</w:t>
      </w:r>
    </w:p>
    <w:p w14:paraId="02AADCD9">
      <w:pPr>
        <w:ind w:firstLine="422"/>
        <w:rPr>
          <w:rFonts w:ascii="宋体" w:hAnsi="宋体"/>
          <w:szCs w:val="21"/>
        </w:rPr>
      </w:pPr>
      <w:r>
        <w:rPr>
          <w:rFonts w:hint="eastAsia" w:ascii="宋体" w:hAnsi="宋体"/>
          <w:b/>
          <w:szCs w:val="21"/>
        </w:rPr>
        <w:t xml:space="preserve">耶溪村  </w:t>
      </w:r>
      <w:r>
        <w:rPr>
          <w:rFonts w:hint="eastAsia" w:ascii="宋体" w:hAnsi="宋体"/>
          <w:szCs w:val="21"/>
        </w:rPr>
        <w:t>位于南雄市黄坑镇西南方向，距离市区21公里，与镇政府所在地相距3公里，有5个自然村、14个村小组，有沈、陈、林、黄、阳、何、肖7个姓氏。村集体经济收入5万元，人均纯收入6219元。全村共有农户512户，总人口2187人，耕地面积3400亩，其中水田面积1855亩，旱地1545亩，林地面积1900亩，鱼塘水面面积260亩。农业以种植黄烟、水稻、花生、柿子为主。</w:t>
      </w:r>
    </w:p>
    <w:p w14:paraId="33A4212F">
      <w:pPr>
        <w:ind w:firstLine="422"/>
        <w:rPr>
          <w:rFonts w:ascii="宋体" w:hAnsi="宋体"/>
          <w:szCs w:val="21"/>
        </w:rPr>
      </w:pPr>
      <w:r>
        <w:rPr>
          <w:rFonts w:hint="eastAsia" w:ascii="宋体" w:hAnsi="宋体"/>
          <w:b/>
          <w:szCs w:val="21"/>
        </w:rPr>
        <w:t>中心村</w:t>
      </w:r>
      <w:r>
        <w:rPr>
          <w:rFonts w:hint="eastAsia" w:ascii="宋体" w:hAnsi="宋体"/>
          <w:szCs w:val="21"/>
        </w:rPr>
        <w:t xml:space="preserve">  位于南雄市黄坑镇南部，距离市区26公里，与镇政府所在地相距3公里，有13个自然村、13个村小组，有周、杨、刘、曾、陈、沈等11个姓氏。村集体经济收入3.5万元，人均纯收入6104元。全村共有农户475户，总人口1997人，耕地面积3108亩，其中水田面积1503亩，旱地1605亩。农业以种植黄烟、水稻为主。</w:t>
      </w:r>
    </w:p>
    <w:p w14:paraId="200661F3">
      <w:pPr>
        <w:ind w:firstLine="422"/>
        <w:rPr>
          <w:rFonts w:ascii="宋体" w:hAnsi="宋体"/>
          <w:szCs w:val="21"/>
        </w:rPr>
      </w:pPr>
      <w:r>
        <w:rPr>
          <w:rFonts w:hint="eastAsia" w:ascii="宋体" w:hAnsi="宋体"/>
          <w:b/>
          <w:szCs w:val="21"/>
        </w:rPr>
        <w:t xml:space="preserve">园岭村  </w:t>
      </w:r>
      <w:r>
        <w:rPr>
          <w:rFonts w:hint="eastAsia" w:ascii="宋体" w:hAnsi="宋体"/>
          <w:szCs w:val="21"/>
        </w:rPr>
        <w:t>位于南雄市黄坑镇南部，距离市区28公里，与镇政府所在地相距5公里，有6个自然村、9个村小组，有沈、廖、周、刘4个姓氏。村集体经济收入3.2万元，人均纯收入6073元。全村共有农户333户，总人口1460人，耕地面积2601亩，其中水田面积1013亩，旱地1588亩。农业以种植黄烟、水稻、花生为主。</w:t>
      </w:r>
    </w:p>
    <w:p w14:paraId="639BF38C">
      <w:pPr>
        <w:ind w:firstLine="422"/>
        <w:rPr>
          <w:rFonts w:ascii="宋体" w:hAnsi="宋体"/>
          <w:szCs w:val="21"/>
        </w:rPr>
      </w:pPr>
      <w:r>
        <w:rPr>
          <w:rFonts w:hint="eastAsia" w:ascii="宋体" w:hAnsi="宋体"/>
          <w:b/>
          <w:szCs w:val="21"/>
        </w:rPr>
        <w:t xml:space="preserve">许村村  </w:t>
      </w:r>
      <w:r>
        <w:rPr>
          <w:rFonts w:hint="eastAsia" w:ascii="宋体" w:hAnsi="宋体"/>
          <w:szCs w:val="21"/>
        </w:rPr>
        <w:t>位于南雄市黄坑镇西部，距离市区21公里，与镇政府所在地相距2公里，有5个自然村、12个村小组，有蓝、刘、赖、陈、沈等8个姓氏。村集体经济收入3.6万元，人均纯收入6143元。全村共有农户546户，总人口2318人，耕地面积2642亩，其中水田面积1867亩，旱地775亩。农业以种植黄烟、水稻、花生为主，以优质鱼、山地鸡、鸭为主的水库综合养殖已具规模。</w:t>
      </w:r>
    </w:p>
    <w:p w14:paraId="4F9134F3">
      <w:pPr>
        <w:ind w:firstLine="422"/>
        <w:rPr>
          <w:rFonts w:ascii="宋体" w:hAnsi="宋体"/>
          <w:szCs w:val="21"/>
        </w:rPr>
      </w:pPr>
      <w:r>
        <w:rPr>
          <w:rFonts w:hint="eastAsia" w:ascii="宋体" w:hAnsi="宋体"/>
          <w:b/>
          <w:szCs w:val="21"/>
        </w:rPr>
        <w:t>上象村</w:t>
      </w:r>
      <w:r>
        <w:rPr>
          <w:rFonts w:hint="eastAsia" w:ascii="宋体" w:hAnsi="宋体"/>
          <w:szCs w:val="21"/>
        </w:rPr>
        <w:t xml:space="preserve">  位于南雄市黄坑镇南部，距离市区23公里，与镇政府所在地相距2公里，有8个自然村、10个村小组，有沈、刘、卢3个姓氏。村集体经济收入3.3万元，人均纯收入6117元。全村共有农户386户，总人口1643人，耕地面积2205亩，其中水田面积1101亩，旱地1104亩。农业以种植黄烟、水稻、花生为主。                                                                               （朱光晃）</w:t>
      </w:r>
    </w:p>
    <w:p w14:paraId="0E8C97E5">
      <w:pPr>
        <w:ind w:firstLine="0" w:firstLineChars="0"/>
        <w:rPr>
          <w:rFonts w:ascii="宋体" w:hAnsi="宋体"/>
          <w:szCs w:val="21"/>
        </w:rPr>
      </w:pPr>
      <w:r>
        <w:rPr>
          <w:rFonts w:hint="eastAsia" w:ascii="宋体" w:hAnsi="宋体"/>
          <w:b/>
          <w:szCs w:val="21"/>
        </w:rPr>
        <w:t>附：2011年黄坑镇领导班子成员名单</w:t>
      </w:r>
    </w:p>
    <w:p w14:paraId="18C10A2D">
      <w:pPr>
        <w:ind w:firstLine="0" w:firstLineChars="0"/>
        <w:rPr>
          <w:rFonts w:ascii="宋体" w:hAnsi="宋体"/>
          <w:szCs w:val="21"/>
        </w:rPr>
      </w:pPr>
      <w:r>
        <w:rPr>
          <w:rFonts w:hint="eastAsia" w:ascii="宋体" w:hAnsi="宋体"/>
          <w:szCs w:val="21"/>
        </w:rPr>
        <w:t>党委书记、人大主席：沈文昌</w:t>
      </w:r>
    </w:p>
    <w:p w14:paraId="60CD25A5">
      <w:pPr>
        <w:ind w:firstLine="0" w:firstLineChars="0"/>
        <w:rPr>
          <w:rFonts w:ascii="宋体" w:hAnsi="宋体"/>
          <w:szCs w:val="21"/>
        </w:rPr>
      </w:pPr>
      <w:r>
        <w:rPr>
          <w:rFonts w:hint="eastAsia" w:ascii="宋体" w:hAnsi="宋体"/>
          <w:szCs w:val="21"/>
        </w:rPr>
        <w:t>党委副书记、镇长：钟祥文</w:t>
      </w:r>
    </w:p>
    <w:p w14:paraId="1CFEDE17">
      <w:pPr>
        <w:ind w:firstLine="0" w:firstLineChars="0"/>
        <w:rPr>
          <w:rFonts w:ascii="宋体" w:hAnsi="宋体"/>
          <w:szCs w:val="21"/>
        </w:rPr>
      </w:pPr>
      <w:r>
        <w:rPr>
          <w:rFonts w:hint="eastAsia" w:ascii="宋体" w:hAnsi="宋体"/>
          <w:szCs w:val="21"/>
        </w:rPr>
        <w:t>党委副书记：陈光文</w:t>
      </w:r>
    </w:p>
    <w:p w14:paraId="5AFD70F5">
      <w:pPr>
        <w:ind w:firstLine="0" w:firstLineChars="0"/>
        <w:rPr>
          <w:rFonts w:ascii="宋体" w:hAnsi="宋体"/>
          <w:szCs w:val="21"/>
        </w:rPr>
      </w:pPr>
      <w:r>
        <w:rPr>
          <w:rFonts w:hint="eastAsia" w:ascii="宋体" w:hAnsi="宋体"/>
          <w:szCs w:val="21"/>
        </w:rPr>
        <w:t>纪委书记：叶培兰</w:t>
      </w:r>
    </w:p>
    <w:p w14:paraId="53E0CCFB">
      <w:pPr>
        <w:ind w:firstLine="0" w:firstLineChars="0"/>
        <w:rPr>
          <w:rFonts w:ascii="宋体" w:hAnsi="宋体"/>
          <w:szCs w:val="21"/>
        </w:rPr>
      </w:pPr>
      <w:r>
        <w:rPr>
          <w:rFonts w:hint="eastAsia" w:ascii="宋体" w:hAnsi="宋体"/>
          <w:szCs w:val="21"/>
        </w:rPr>
        <w:t>副镇长：戴明海  刘  洪  蓝北华</w:t>
      </w:r>
    </w:p>
    <w:p w14:paraId="05F8DC1C">
      <w:pPr>
        <w:ind w:firstLine="0" w:firstLineChars="0"/>
        <w:rPr>
          <w:rFonts w:ascii="宋体" w:hAnsi="宋体"/>
          <w:szCs w:val="21"/>
        </w:rPr>
      </w:pPr>
      <w:r>
        <w:rPr>
          <w:rFonts w:hint="eastAsia" w:ascii="宋体" w:hAnsi="宋体"/>
          <w:szCs w:val="21"/>
        </w:rPr>
        <w:t>人大副主席：林祥辉</w:t>
      </w:r>
    </w:p>
    <w:p w14:paraId="135634B6">
      <w:pPr>
        <w:ind w:firstLine="0" w:firstLineChars="0"/>
        <w:rPr>
          <w:rFonts w:ascii="宋体" w:hAnsi="宋体"/>
          <w:szCs w:val="21"/>
        </w:rPr>
      </w:pPr>
      <w:r>
        <w:rPr>
          <w:rFonts w:hint="eastAsia" w:ascii="宋体" w:hAnsi="宋体"/>
          <w:szCs w:val="21"/>
        </w:rPr>
        <w:t>武装部长：谭章洪</w:t>
      </w:r>
    </w:p>
    <w:p w14:paraId="6EE42619">
      <w:pPr>
        <w:ind w:firstLine="0" w:firstLineChars="0"/>
        <w:rPr>
          <w:rFonts w:ascii="宋体" w:hAnsi="宋体"/>
          <w:szCs w:val="21"/>
        </w:rPr>
      </w:pPr>
      <w:r>
        <w:rPr>
          <w:rFonts w:hint="eastAsia" w:ascii="宋体" w:hAnsi="宋体"/>
          <w:szCs w:val="21"/>
        </w:rPr>
        <w:t>组织委员：罗惠琴</w:t>
      </w:r>
    </w:p>
    <w:p w14:paraId="32433A89">
      <w:pPr>
        <w:ind w:firstLine="0" w:firstLineChars="0"/>
        <w:rPr>
          <w:rFonts w:ascii="宋体" w:hAnsi="宋体"/>
          <w:szCs w:val="21"/>
        </w:rPr>
      </w:pPr>
      <w:r>
        <w:rPr>
          <w:rFonts w:hint="eastAsia" w:ascii="宋体" w:hAnsi="宋体"/>
          <w:szCs w:val="21"/>
        </w:rPr>
        <w:t>宣传委员：叶细芳</w:t>
      </w:r>
    </w:p>
    <w:p w14:paraId="16F8B5D1">
      <w:pPr>
        <w:ind w:firstLine="0" w:firstLineChars="0"/>
        <w:rPr>
          <w:rFonts w:ascii="宋体" w:hAnsi="宋体"/>
          <w:szCs w:val="21"/>
        </w:rPr>
      </w:pPr>
      <w:r>
        <w:rPr>
          <w:rFonts w:hint="eastAsia" w:ascii="宋体" w:hAnsi="宋体"/>
          <w:szCs w:val="21"/>
        </w:rPr>
        <w:t>党委委员、综治办专职副主任：谢俊南</w:t>
      </w:r>
    </w:p>
    <w:p w14:paraId="04BF1340">
      <w:pPr>
        <w:pStyle w:val="3"/>
      </w:pPr>
      <w:r>
        <w:rPr>
          <w:rFonts w:hint="eastAsia"/>
        </w:rPr>
        <w:t>古市镇</w:t>
      </w:r>
    </w:p>
    <w:p w14:paraId="0F5F42D4">
      <w:pPr>
        <w:pStyle w:val="4"/>
      </w:pPr>
      <w:r>
        <w:rPr>
          <w:rFonts w:hint="eastAsia"/>
        </w:rPr>
        <w:t>【概况】</w:t>
      </w:r>
    </w:p>
    <w:p w14:paraId="3ED6B069">
      <w:pPr>
        <w:ind w:firstLine="420"/>
        <w:rPr>
          <w:rFonts w:ascii="宋体" w:hAnsi="宋体"/>
          <w:szCs w:val="21"/>
        </w:rPr>
      </w:pPr>
      <w:r>
        <w:rPr>
          <w:rFonts w:hint="eastAsia" w:ascii="宋体" w:hAnsi="宋体"/>
          <w:szCs w:val="21"/>
        </w:rPr>
        <w:t>古市镇位于南雄市的南部，东邻主田，南与始兴交接，北与全安、雄州交接。距市区8公里，有8个村委会和1个社区居委会，123个村小组，总人口20733人，总户数4730户，其中农业人口19371人，总面积100.4平方公里，其中耕地1695.9亩。交通四通八达，国道323线穿镇而过，8个村通公路，各村委会均实现办公用房楼房化。农业生产主要是以种植黄烟、水稻、花生为主。2011年，全镇农村人均收入6380元，比2010年增加6120元，年均增长4%，是南雄黄烟生产大镇，2011年获得南雄市“黄烟收购综合一等奖”。</w:t>
      </w:r>
    </w:p>
    <w:p w14:paraId="43703A4E">
      <w:pPr>
        <w:pStyle w:val="4"/>
      </w:pPr>
      <w:r>
        <w:rPr>
          <w:rFonts w:hint="eastAsia"/>
        </w:rPr>
        <w:t>【农业和农村工作】</w:t>
      </w:r>
    </w:p>
    <w:p w14:paraId="0F279B7C">
      <w:pPr>
        <w:ind w:firstLine="420"/>
        <w:rPr>
          <w:rFonts w:ascii="宋体" w:hAnsi="宋体"/>
          <w:szCs w:val="21"/>
        </w:rPr>
      </w:pPr>
      <w:r>
        <w:rPr>
          <w:rFonts w:hint="eastAsia" w:ascii="宋体" w:hAnsi="宋体"/>
          <w:szCs w:val="21"/>
        </w:rPr>
        <w:t>一是不断加强黄烟生产。2011年收购黄烟3.57万担，年产值3000多万元。古市镇获“南雄市黄烟收购综合一等奖”荣誉称号，溪口村连续5年获“黄烟交售万担村”荣誉称号；二是粮食产量持续增加。2011年粮食总产11000多吨。花生、大豆等经济作物连年获得丰收，养殖业向专业化、规模化发展，成为农村经济发展新的增长点。三是农业生产条件有较大改善。农业先进实用技术和农业机械得到广泛应用，加大农田水利基础设施建设力度，极大地提高农业生产的效率。四是惠农政策得到全面落实。全镇种粮综补、直补资金全部补贴到位，2011年共发放种粮补贴资金100多万元。</w:t>
      </w:r>
    </w:p>
    <w:p w14:paraId="189EE8CE">
      <w:pPr>
        <w:pStyle w:val="4"/>
      </w:pPr>
      <w:r>
        <w:rPr>
          <w:rFonts w:hint="eastAsia"/>
        </w:rPr>
        <w:t>【新农村建设】</w:t>
      </w:r>
    </w:p>
    <w:p w14:paraId="622314DA">
      <w:pPr>
        <w:ind w:firstLine="420"/>
        <w:rPr>
          <w:rFonts w:ascii="宋体" w:hAnsi="宋体"/>
          <w:szCs w:val="21"/>
        </w:rPr>
      </w:pPr>
      <w:r>
        <w:rPr>
          <w:rFonts w:hint="eastAsia" w:ascii="宋体" w:hAnsi="宋体"/>
          <w:szCs w:val="21"/>
        </w:rPr>
        <w:t>作为南雄市实施乡村“清洁美”工程的三个试点镇之一，古市镇投入970万元新建姚塘、修仁新村点，对天子印村庄进行整治，按照建设社会主义新农村要求配备保洁员、垃圾运输车等设备，重点整治公共场所，建立健全卫生保洁机制，推动新农村建设的稳步发展，其中，天子印村庄的"清洁美"工程通过了韶关市的验收。</w:t>
      </w:r>
    </w:p>
    <w:p w14:paraId="56DDCF50">
      <w:pPr>
        <w:pStyle w:val="4"/>
      </w:pPr>
      <w:r>
        <w:rPr>
          <w:rFonts w:hint="eastAsia"/>
        </w:rPr>
        <w:t>【农村农业基础设施建设】</w:t>
      </w:r>
    </w:p>
    <w:p w14:paraId="3FB54A5F">
      <w:pPr>
        <w:ind w:firstLine="420"/>
        <w:rPr>
          <w:rFonts w:ascii="宋体" w:hAnsi="宋体"/>
          <w:szCs w:val="21"/>
        </w:rPr>
      </w:pPr>
      <w:r>
        <w:rPr>
          <w:rFonts w:hint="eastAsia" w:ascii="宋体" w:hAnsi="宋体"/>
          <w:szCs w:val="21"/>
        </w:rPr>
        <w:t>2011年，投资360多万元建设105间黄烟烤房，增强农业可持续发展的后劲。</w:t>
      </w:r>
    </w:p>
    <w:p w14:paraId="139836B2">
      <w:pPr>
        <w:pStyle w:val="4"/>
      </w:pPr>
      <w:r>
        <w:rPr>
          <w:rFonts w:hint="eastAsia"/>
        </w:rPr>
        <w:t>【农村合作医疗】</w:t>
      </w:r>
    </w:p>
    <w:p w14:paraId="35D97174">
      <w:pPr>
        <w:ind w:firstLine="420"/>
        <w:rPr>
          <w:rFonts w:ascii="宋体" w:hAnsi="宋体"/>
          <w:szCs w:val="21"/>
        </w:rPr>
      </w:pPr>
      <w:r>
        <w:rPr>
          <w:rFonts w:hint="eastAsia" w:ascii="宋体" w:hAnsi="宋体"/>
          <w:szCs w:val="21"/>
        </w:rPr>
        <w:t>积极开展新型农村合作医疗的宣传、服务等工作，切实抓好新型农村合作医疗工作推进过程，始终坚持一个利民便民原则，通过利用宣传车、标语、横幅等形式进行全面宣传，农村新型合作医疗覆盖面达到100%，加大新型农村合作医疗工作的管理力度，做到资金到位，运转正常。2011年，报销参合农民60多万元，有效缓解农民因病返贫的问题。</w:t>
      </w:r>
    </w:p>
    <w:p w14:paraId="545E2ADC">
      <w:pPr>
        <w:pStyle w:val="4"/>
      </w:pPr>
      <w:r>
        <w:rPr>
          <w:rFonts w:hint="eastAsia"/>
        </w:rPr>
        <w:t>【教育】</w:t>
      </w:r>
    </w:p>
    <w:p w14:paraId="44AE8E61">
      <w:pPr>
        <w:ind w:firstLine="420"/>
        <w:rPr>
          <w:rFonts w:ascii="宋体" w:hAnsi="宋体"/>
          <w:szCs w:val="21"/>
        </w:rPr>
      </w:pPr>
      <w:r>
        <w:rPr>
          <w:rFonts w:hint="eastAsia" w:ascii="宋体" w:hAnsi="宋体"/>
          <w:szCs w:val="21"/>
        </w:rPr>
        <w:t>切实抓紧抓好全镇学校、幼儿园的安全管理工作，加强学校周边环境的整治，认真开展学校安全隐患排查工作，消除安全隐患，确保师生安全，确保社会稳定。2011年古市中心小学升中考入南雄中学和南雄市一中共29人。</w:t>
      </w:r>
    </w:p>
    <w:p w14:paraId="171F777D">
      <w:pPr>
        <w:pStyle w:val="4"/>
      </w:pPr>
      <w:r>
        <w:rPr>
          <w:rFonts w:hint="eastAsia"/>
        </w:rPr>
        <w:t>【计划生育】</w:t>
      </w:r>
    </w:p>
    <w:p w14:paraId="1DBCA71E">
      <w:pPr>
        <w:ind w:firstLine="420"/>
        <w:rPr>
          <w:rFonts w:ascii="宋体" w:hAnsi="宋体"/>
          <w:szCs w:val="21"/>
        </w:rPr>
      </w:pPr>
      <w:r>
        <w:rPr>
          <w:rFonts w:hint="eastAsia" w:ascii="宋体" w:hAnsi="宋体"/>
          <w:szCs w:val="21"/>
        </w:rPr>
        <w:t>按照一类镇的要求，重点抓好“双查”、节育措施、社会抚养费征收、计生例会等常规工作，加强流动人口管理，控制计划外生育。各项指标达到一类镇管理标准。2011年，全镇出生人口277人，计划生育为96.3%。</w:t>
      </w:r>
    </w:p>
    <w:p w14:paraId="5E214D18">
      <w:pPr>
        <w:pStyle w:val="4"/>
      </w:pPr>
      <w:r>
        <w:rPr>
          <w:rFonts w:hint="eastAsia"/>
        </w:rPr>
        <w:t>【扶贫工作】</w:t>
      </w:r>
    </w:p>
    <w:p w14:paraId="5816442A">
      <w:pPr>
        <w:ind w:firstLine="420"/>
        <w:rPr>
          <w:rFonts w:ascii="宋体" w:hAnsi="宋体"/>
          <w:szCs w:val="21"/>
        </w:rPr>
      </w:pPr>
      <w:r>
        <w:rPr>
          <w:rFonts w:hint="eastAsia" w:ascii="宋体" w:hAnsi="宋体"/>
          <w:szCs w:val="21"/>
        </w:rPr>
        <w:t>2011年，全镇共发放五保补助20多万元；发放农村低保补助40多万元；积极开展“帮项目、帮资金、帮技术、帮点子”活动，发动机关党员干部捐款3.4万元。帮助贫困户发展经济作物，三角岭、小坑的贫困户新种三华李100多亩。丹布、丰源等6个村以种植黄烟为主。</w:t>
      </w:r>
    </w:p>
    <w:p w14:paraId="0F72D55B">
      <w:pPr>
        <w:pStyle w:val="4"/>
      </w:pPr>
      <w:r>
        <w:rPr>
          <w:rFonts w:hint="eastAsia"/>
        </w:rPr>
        <w:t>【综治维稳】</w:t>
      </w:r>
    </w:p>
    <w:p w14:paraId="4D31151B">
      <w:pPr>
        <w:ind w:firstLine="420"/>
        <w:rPr>
          <w:rFonts w:ascii="宋体" w:hAnsi="宋体"/>
          <w:szCs w:val="21"/>
        </w:rPr>
      </w:pPr>
      <w:r>
        <w:rPr>
          <w:rFonts w:hint="eastAsia" w:ascii="宋体" w:hAnsi="宋体"/>
          <w:szCs w:val="21"/>
        </w:rPr>
        <w:t>建立健全安全生产管理制度，严格落实责任追究制度，把安全生产工作列政府的议事日程，实行安全生产重心下移，成立村级安全生产协管员，完善社会治安防控体系，建立了镇、村、组三级信访网络，成立了人民调解、司法调解、行政调解“三位一体”的社会矛盾纠纷排查调解组织，2011年获韶关市依法治市工作先进单位。</w:t>
      </w:r>
    </w:p>
    <w:p w14:paraId="13D67DE4">
      <w:pPr>
        <w:pStyle w:val="4"/>
      </w:pPr>
      <w:r>
        <w:rPr>
          <w:rFonts w:hint="eastAsia"/>
        </w:rPr>
        <w:t>【武装工作】</w:t>
      </w:r>
    </w:p>
    <w:p w14:paraId="58695D9C">
      <w:pPr>
        <w:ind w:firstLine="420"/>
        <w:rPr>
          <w:rFonts w:ascii="宋体" w:hAnsi="宋体"/>
          <w:szCs w:val="21"/>
        </w:rPr>
      </w:pPr>
      <w:r>
        <w:rPr>
          <w:rFonts w:hint="eastAsia" w:ascii="宋体" w:hAnsi="宋体"/>
          <w:szCs w:val="21"/>
        </w:rPr>
        <w:t>武装工作取得新成绩，完成市下达的征兵任务，被市人武部评为征兵工作先进单位。</w:t>
      </w:r>
    </w:p>
    <w:p w14:paraId="1134C0EF">
      <w:pPr>
        <w:pStyle w:val="4"/>
      </w:pPr>
      <w:r>
        <w:rPr>
          <w:rFonts w:hint="eastAsia"/>
        </w:rPr>
        <w:t>【各村基本情况】</w:t>
      </w:r>
    </w:p>
    <w:p w14:paraId="06FEA9CD">
      <w:pPr>
        <w:ind w:firstLine="422"/>
        <w:rPr>
          <w:rFonts w:ascii="宋体" w:hAnsi="宋体"/>
          <w:szCs w:val="21"/>
        </w:rPr>
      </w:pPr>
      <w:r>
        <w:rPr>
          <w:rFonts w:hint="eastAsia" w:ascii="宋体" w:hAnsi="宋体"/>
          <w:b/>
          <w:szCs w:val="21"/>
        </w:rPr>
        <w:t>古市村</w:t>
      </w:r>
      <w:r>
        <w:rPr>
          <w:rFonts w:hint="eastAsia" w:ascii="宋体" w:hAnsi="宋体"/>
          <w:szCs w:val="21"/>
        </w:rPr>
        <w:t xml:space="preserve">  古市村位于古市镇镇政府西偏北10°，距离镇政府约2公里。人口总数3765，共862户，其中劳动力总数为2335。耕地面积462.9公顷。主要农作物为黄烟、水稻、花生、番薯、主要禽畜鸡、鸭、猪、牛。</w:t>
      </w:r>
    </w:p>
    <w:p w14:paraId="6BBBAE8B">
      <w:pPr>
        <w:ind w:firstLine="422"/>
        <w:rPr>
          <w:rFonts w:ascii="宋体" w:hAnsi="宋体"/>
          <w:szCs w:val="21"/>
        </w:rPr>
      </w:pPr>
      <w:r>
        <w:rPr>
          <w:rFonts w:hint="eastAsia" w:ascii="宋体" w:hAnsi="宋体"/>
          <w:b/>
          <w:szCs w:val="21"/>
        </w:rPr>
        <w:t xml:space="preserve">丹布村  </w:t>
      </w:r>
      <w:r>
        <w:rPr>
          <w:rFonts w:hint="eastAsia" w:ascii="宋体" w:hAnsi="宋体"/>
          <w:szCs w:val="21"/>
        </w:rPr>
        <w:t>丹布村位于古市镇镇政府正北方，距离镇政府约1公里。人口总数3940，共725户，其中劳动力总数为2430。耕地面积261.8公顷。主要农作物为黄烟、水稻、花生、番薯、蔬菜。主要畜牲为鸡鸭、猪、牛。</w:t>
      </w:r>
    </w:p>
    <w:p w14:paraId="1012DB71">
      <w:pPr>
        <w:ind w:firstLine="422"/>
        <w:rPr>
          <w:rFonts w:ascii="宋体" w:hAnsi="宋体"/>
          <w:szCs w:val="21"/>
        </w:rPr>
      </w:pPr>
      <w:r>
        <w:rPr>
          <w:rFonts w:hint="eastAsia" w:ascii="宋体" w:hAnsi="宋体"/>
          <w:b/>
          <w:szCs w:val="21"/>
        </w:rPr>
        <w:t xml:space="preserve">溪口村  </w:t>
      </w:r>
      <w:r>
        <w:rPr>
          <w:rFonts w:hint="eastAsia" w:ascii="宋体" w:hAnsi="宋体"/>
          <w:szCs w:val="21"/>
        </w:rPr>
        <w:t>溪口村位于古市镇镇政府北偏东40°，距离镇政府约3公里。人口总数3516，共813户，其中劳动力总数为2180。耕地面积372.7公顷。主要农作物为黄烟、水稻、花生、番薯、蔬菜。主要为猪、鸡、鸭、牛。</w:t>
      </w:r>
    </w:p>
    <w:p w14:paraId="3F1D0957">
      <w:pPr>
        <w:ind w:firstLine="422"/>
        <w:rPr>
          <w:rFonts w:ascii="宋体" w:hAnsi="宋体"/>
          <w:szCs w:val="21"/>
        </w:rPr>
      </w:pPr>
      <w:r>
        <w:rPr>
          <w:rFonts w:hint="eastAsia" w:ascii="宋体" w:hAnsi="宋体"/>
          <w:b/>
          <w:szCs w:val="21"/>
        </w:rPr>
        <w:t>修仁村</w:t>
      </w:r>
      <w:r>
        <w:rPr>
          <w:rFonts w:hint="eastAsia" w:ascii="宋体" w:hAnsi="宋体"/>
          <w:szCs w:val="21"/>
        </w:rPr>
        <w:t xml:space="preserve">  修仁村位于古市镇镇政府北偏东15°，距离镇政府约5公里。人口总数2839，共729户，其中劳动力总数为1760。耕地面积254公顷。主要农作物为黄烟、水稻、花生、蔬菜。主要畜牲为猪、鸡、鸭、牛。</w:t>
      </w:r>
    </w:p>
    <w:p w14:paraId="0BDF7213">
      <w:pPr>
        <w:ind w:firstLine="422"/>
        <w:rPr>
          <w:rFonts w:ascii="宋体" w:hAnsi="宋体"/>
          <w:szCs w:val="21"/>
        </w:rPr>
      </w:pPr>
      <w:r>
        <w:rPr>
          <w:rFonts w:hint="eastAsia" w:ascii="宋体" w:hAnsi="宋体"/>
          <w:b/>
          <w:szCs w:val="21"/>
        </w:rPr>
        <w:t>丰源村</w:t>
      </w:r>
      <w:r>
        <w:rPr>
          <w:rFonts w:hint="eastAsia" w:ascii="宋体" w:hAnsi="宋体"/>
          <w:szCs w:val="21"/>
        </w:rPr>
        <w:t xml:space="preserve">  丰源村位于古市镇镇政府北偏东15°，距离镇政府约7公里。人口总数2777，共691户，其中劳动力人口数1722。耕地面积213.3公顷。主要农作物为黄烟、水稻、花生、蔬菜、番薯。主要畜牲为猪、鸡、鸭、牛。</w:t>
      </w:r>
    </w:p>
    <w:p w14:paraId="3A3D322A">
      <w:pPr>
        <w:ind w:firstLine="422"/>
        <w:rPr>
          <w:rFonts w:ascii="宋体" w:hAnsi="宋体"/>
          <w:szCs w:val="21"/>
        </w:rPr>
      </w:pPr>
      <w:r>
        <w:rPr>
          <w:rFonts w:hint="eastAsia" w:ascii="宋体" w:hAnsi="宋体"/>
          <w:b/>
          <w:szCs w:val="21"/>
        </w:rPr>
        <w:t>柴岭村</w:t>
      </w:r>
      <w:r>
        <w:rPr>
          <w:rFonts w:hint="eastAsia" w:ascii="宋体" w:hAnsi="宋体"/>
          <w:szCs w:val="21"/>
        </w:rPr>
        <w:t xml:space="preserve">  柴岭村位于古市镇镇政府正北方，距离镇政府约6公里。人口总数1532，共389户，其中劳动力人口数950。耕地面积205.1公顷。主要农作物为黄烟、水稻、花生、蔬菜、番薯。主要畜牲为猪、鸡、鸭、牛。</w:t>
      </w:r>
    </w:p>
    <w:p w14:paraId="2305CCC6">
      <w:pPr>
        <w:ind w:firstLine="422"/>
        <w:rPr>
          <w:rFonts w:ascii="宋体" w:hAnsi="宋体"/>
          <w:szCs w:val="21"/>
        </w:rPr>
      </w:pPr>
      <w:r>
        <w:rPr>
          <w:rFonts w:hint="eastAsia" w:ascii="宋体" w:hAnsi="宋体"/>
          <w:b/>
          <w:szCs w:val="21"/>
        </w:rPr>
        <w:t xml:space="preserve">小坑村  </w:t>
      </w:r>
      <w:r>
        <w:rPr>
          <w:rFonts w:hint="eastAsia" w:ascii="宋体" w:hAnsi="宋体"/>
          <w:szCs w:val="21"/>
        </w:rPr>
        <w:t>小坑村位于古市镇镇政府南偏东20°，距离镇政府约17公里。人口总数1467，共311户，其中劳动力人口数909。耕地面积186.7公顷。主要农作物为黄烟、水稻、花生、蔬菜、番薯。主要畜牲为猪、鸡、鸭、牛。</w:t>
      </w:r>
    </w:p>
    <w:p w14:paraId="7FF6C14B">
      <w:pPr>
        <w:ind w:firstLine="422"/>
        <w:rPr>
          <w:rFonts w:ascii="宋体" w:hAnsi="宋体"/>
          <w:szCs w:val="21"/>
        </w:rPr>
      </w:pPr>
      <w:r>
        <w:rPr>
          <w:rFonts w:hint="eastAsia" w:ascii="宋体" w:hAnsi="宋体"/>
          <w:b/>
          <w:szCs w:val="21"/>
        </w:rPr>
        <w:t xml:space="preserve">三角岭  </w:t>
      </w:r>
      <w:r>
        <w:rPr>
          <w:rFonts w:hint="eastAsia" w:ascii="宋体" w:hAnsi="宋体"/>
          <w:szCs w:val="21"/>
        </w:rPr>
        <w:t>村三角岭村位于古市镇镇政府南偏东20°，距离镇政府约15公里。人口总数897，共210户，其中劳动力人口数556.耕地面积146.1公顷。主要农作物为黄烟、水稻、花生番薯。主要畜牲为猪、鸡、鸭                                                                                   （沈钰英）</w:t>
      </w:r>
    </w:p>
    <w:p w14:paraId="0B788335">
      <w:pPr>
        <w:ind w:firstLine="0" w:firstLineChars="0"/>
        <w:rPr>
          <w:rFonts w:ascii="宋体" w:hAnsi="宋体"/>
          <w:szCs w:val="21"/>
        </w:rPr>
      </w:pPr>
      <w:r>
        <w:rPr>
          <w:rFonts w:hint="eastAsia" w:ascii="宋体" w:hAnsi="宋体"/>
          <w:b/>
          <w:szCs w:val="21"/>
        </w:rPr>
        <w:t>附：2011年古市镇领导班子成员名单</w:t>
      </w:r>
    </w:p>
    <w:p w14:paraId="07EF8965">
      <w:pPr>
        <w:ind w:firstLine="0" w:firstLineChars="0"/>
        <w:rPr>
          <w:rFonts w:ascii="宋体" w:hAnsi="宋体"/>
          <w:szCs w:val="21"/>
        </w:rPr>
      </w:pPr>
      <w:r>
        <w:rPr>
          <w:rFonts w:hint="eastAsia" w:ascii="宋体" w:hAnsi="宋体"/>
          <w:szCs w:val="21"/>
        </w:rPr>
        <w:t>党委书记、人大主席：李卫兰</w:t>
      </w:r>
    </w:p>
    <w:p w14:paraId="763A6DAF">
      <w:pPr>
        <w:ind w:firstLine="0" w:firstLineChars="0"/>
        <w:rPr>
          <w:rFonts w:ascii="宋体" w:hAnsi="宋体"/>
          <w:szCs w:val="21"/>
        </w:rPr>
      </w:pPr>
      <w:r>
        <w:rPr>
          <w:rFonts w:hint="eastAsia" w:ascii="宋体" w:hAnsi="宋体"/>
          <w:szCs w:val="21"/>
        </w:rPr>
        <w:t>党委副书记、镇长：曾  智</w:t>
      </w:r>
    </w:p>
    <w:p w14:paraId="26788485">
      <w:pPr>
        <w:ind w:firstLine="0" w:firstLineChars="0"/>
        <w:rPr>
          <w:rFonts w:ascii="宋体" w:hAnsi="宋体"/>
          <w:szCs w:val="21"/>
        </w:rPr>
      </w:pPr>
      <w:r>
        <w:rPr>
          <w:rFonts w:hint="eastAsia" w:ascii="宋体" w:hAnsi="宋体"/>
          <w:szCs w:val="21"/>
        </w:rPr>
        <w:t>党委副书记：李明贤</w:t>
      </w:r>
    </w:p>
    <w:p w14:paraId="76CC4FB3">
      <w:pPr>
        <w:ind w:firstLine="0" w:firstLineChars="0"/>
        <w:rPr>
          <w:rFonts w:ascii="宋体" w:hAnsi="宋体"/>
          <w:szCs w:val="21"/>
        </w:rPr>
      </w:pPr>
      <w:r>
        <w:rPr>
          <w:rFonts w:hint="eastAsia" w:ascii="宋体" w:hAnsi="宋体"/>
          <w:szCs w:val="21"/>
        </w:rPr>
        <w:t>党委委员、纪委书记：何腾林</w:t>
      </w:r>
    </w:p>
    <w:p w14:paraId="48D03F42">
      <w:pPr>
        <w:ind w:firstLine="0" w:firstLineChars="0"/>
        <w:rPr>
          <w:rFonts w:ascii="宋体" w:hAnsi="宋体"/>
          <w:szCs w:val="21"/>
        </w:rPr>
      </w:pPr>
      <w:r>
        <w:rPr>
          <w:rFonts w:hint="eastAsia" w:ascii="宋体" w:hAnsi="宋体"/>
          <w:szCs w:val="21"/>
        </w:rPr>
        <w:t>党委组织委员：周晓飞</w:t>
      </w:r>
    </w:p>
    <w:p w14:paraId="2EF6C3C2">
      <w:pPr>
        <w:ind w:firstLine="0" w:firstLineChars="0"/>
        <w:rPr>
          <w:rFonts w:ascii="宋体" w:hAnsi="宋体"/>
          <w:szCs w:val="21"/>
        </w:rPr>
      </w:pPr>
      <w:r>
        <w:rPr>
          <w:rFonts w:hint="eastAsia" w:ascii="宋体" w:hAnsi="宋体"/>
          <w:szCs w:val="21"/>
        </w:rPr>
        <w:t>党委宣传委员：吴道连</w:t>
      </w:r>
    </w:p>
    <w:p w14:paraId="59BB46CB">
      <w:pPr>
        <w:ind w:firstLine="0" w:firstLineChars="0"/>
        <w:rPr>
          <w:rFonts w:ascii="宋体" w:hAnsi="宋体"/>
          <w:szCs w:val="21"/>
        </w:rPr>
      </w:pPr>
      <w:r>
        <w:rPr>
          <w:rFonts w:hint="eastAsia" w:ascii="宋体" w:hAnsi="宋体"/>
          <w:szCs w:val="21"/>
        </w:rPr>
        <w:t>党委委员、人大副主席：刘光龙</w:t>
      </w:r>
    </w:p>
    <w:p w14:paraId="5B72E593">
      <w:pPr>
        <w:ind w:firstLine="0" w:firstLineChars="0"/>
        <w:rPr>
          <w:rFonts w:ascii="宋体" w:hAnsi="宋体"/>
          <w:szCs w:val="21"/>
        </w:rPr>
      </w:pPr>
      <w:r>
        <w:rPr>
          <w:rFonts w:hint="eastAsia" w:ascii="宋体" w:hAnsi="宋体"/>
          <w:szCs w:val="21"/>
        </w:rPr>
        <w:t>党委委员、武装部长：李祥宏</w:t>
      </w:r>
    </w:p>
    <w:p w14:paraId="50768CF3">
      <w:pPr>
        <w:ind w:firstLine="0" w:firstLineChars="0"/>
        <w:rPr>
          <w:rFonts w:ascii="宋体" w:hAnsi="宋体"/>
          <w:szCs w:val="21"/>
        </w:rPr>
      </w:pPr>
      <w:r>
        <w:rPr>
          <w:rFonts w:hint="eastAsia" w:ascii="宋体" w:hAnsi="宋体"/>
          <w:szCs w:val="21"/>
        </w:rPr>
        <w:t>副镇长：夏新坤  钟炎山  陈于军</w:t>
      </w:r>
    </w:p>
    <w:p w14:paraId="4AAB3DAA">
      <w:pPr>
        <w:pStyle w:val="3"/>
      </w:pPr>
      <w:r>
        <w:rPr>
          <w:rFonts w:hint="eastAsia"/>
        </w:rPr>
        <w:t>江头镇</w:t>
      </w:r>
    </w:p>
    <w:p w14:paraId="55F3D25E">
      <w:pPr>
        <w:pStyle w:val="4"/>
      </w:pPr>
      <w:r>
        <w:rPr>
          <w:rFonts w:hint="eastAsia"/>
        </w:rPr>
        <w:t>【概况】</w:t>
      </w:r>
    </w:p>
    <w:p w14:paraId="1A710133">
      <w:pPr>
        <w:ind w:firstLine="420"/>
        <w:rPr>
          <w:rFonts w:ascii="宋体" w:hAnsi="宋体"/>
          <w:szCs w:val="21"/>
        </w:rPr>
      </w:pPr>
      <w:r>
        <w:rPr>
          <w:rFonts w:hint="eastAsia" w:ascii="宋体" w:hAnsi="宋体"/>
          <w:szCs w:val="21"/>
        </w:rPr>
        <w:t>江头镇位于南雄市区东南面，距市区13公里，毗邻江西省全南县陂头镇以及本市的水口镇、主田镇和雄州街道。其东南面是高山峻岭，西北面是丘陵地带，是南雄的山区镇之一。镇辖9个村委会，1个社区居委会，97个村民小组，总户数2963户，人口12125人。区域面积164平方公里。山林面积11481公顷，其中生态公益林4667公顷。耕地面积955.6公顷，其中水田818.4公顷，旱地137.2公顷。</w:t>
      </w:r>
    </w:p>
    <w:p w14:paraId="5CC88D27">
      <w:pPr>
        <w:ind w:firstLine="420"/>
        <w:rPr>
          <w:rFonts w:ascii="宋体" w:hAnsi="宋体"/>
          <w:szCs w:val="21"/>
        </w:rPr>
      </w:pPr>
      <w:r>
        <w:rPr>
          <w:rFonts w:hint="eastAsia" w:ascii="宋体" w:hAnsi="宋体"/>
          <w:szCs w:val="21"/>
        </w:rPr>
        <w:t>主要资源有：竹木资源、矿产资源、水利资源、旅游资源。年产毛竹200多万条，年产冬笋2000多吨。活立木蓄积量50多万立方米，矿产主要有莹矿、钼矿、钨矿、稀土矿等。旅游资源主要有青嶂山省级自然保护区、保护区内有坐落在海拔917米处的“神秘天池”，有宋代的云峰寺遗址，有丹霞地貌的天然岩洞，有珍稀的高氡温泉，万亩“竹海”等旅游景点。区内还有许多珍稀的动植物。镇内有上千亩的金银花基地，可供游客观赏和具有较高的药用价值。全镇共有小型水电站21座。装机容量达8000千瓦，年发电2500多万度。</w:t>
      </w:r>
    </w:p>
    <w:p w14:paraId="51396159">
      <w:pPr>
        <w:pStyle w:val="4"/>
      </w:pPr>
      <w:r>
        <w:rPr>
          <w:rFonts w:hint="eastAsia"/>
        </w:rPr>
        <w:t>【经济社会发展】</w:t>
      </w:r>
    </w:p>
    <w:p w14:paraId="62E84FFF">
      <w:pPr>
        <w:ind w:firstLine="420"/>
        <w:rPr>
          <w:rFonts w:ascii="宋体" w:hAnsi="宋体"/>
          <w:szCs w:val="21"/>
        </w:rPr>
      </w:pPr>
      <w:r>
        <w:rPr>
          <w:rFonts w:hint="eastAsia" w:ascii="宋体" w:hAnsi="宋体"/>
          <w:szCs w:val="21"/>
        </w:rPr>
        <w:t>2011年，全镇工农业产值2.06亿元，比上年增加多824万元，增长4.16%，其中农村经济总收入1.164亿元，比上年增加480万元，增长4.3%。镇财政收入300万元，比上年增加15万元，增长5.2%。农村人均年纯收入5769元，比上年增加494元。全年种植水稻1108.3公顷，水稻总产7268吨，花生种植面积200多公顷，总产600吨。</w:t>
      </w:r>
    </w:p>
    <w:p w14:paraId="086A4F65">
      <w:pPr>
        <w:pStyle w:val="4"/>
      </w:pPr>
      <w:r>
        <w:rPr>
          <w:rFonts w:hint="eastAsia"/>
        </w:rPr>
        <w:t>【社会事业发展】</w:t>
      </w:r>
    </w:p>
    <w:p w14:paraId="12D2B918">
      <w:pPr>
        <w:ind w:firstLine="420"/>
        <w:rPr>
          <w:rFonts w:ascii="宋体" w:hAnsi="宋体"/>
          <w:szCs w:val="21"/>
        </w:rPr>
      </w:pPr>
      <w:r>
        <w:rPr>
          <w:rFonts w:hint="eastAsia" w:ascii="宋体" w:hAnsi="宋体"/>
          <w:szCs w:val="21"/>
        </w:rPr>
        <w:t>文教卫生事业稳步发展。创建广东省“教育强镇”工作扎实推进，九年义务教育得到巩固和发展，教学条件进一步得到改善，教学质量不断提高，中考人数125人，700分以上1人，600分以上13人，500分以上43人，450分以上65人，被韶关市1中录取1人，南雄中学录取18人，南雄市一中录取33人，镇、村医疗机构规范化建设工作全面推进，妇幼保健水平不断提高，初级卫生保健目标基本实现，疾病预防和控制工作进一步加强。农村合作医疗工作不断发展，参加新型农村合作医疗人数11073人，占总人口的97.7%。社会福利事业不断加强，居民最低生活保障落实到位，对符合条件的223户608名困难群众实现应保尽保。新型农村社会养老保险工作实现开门红，参保人数4708人，占市下达任务的157%，居全市第一名。人口与计划生育工作再上新台阶，全镇出生人数131人，出生率为10.8‰，计划生育率为96.18%落实“四术”130例，征收社会抚养费71万元。</w:t>
      </w:r>
    </w:p>
    <w:p w14:paraId="5EDECCE5">
      <w:pPr>
        <w:pStyle w:val="4"/>
      </w:pPr>
      <w:r>
        <w:rPr>
          <w:rFonts w:hint="eastAsia"/>
        </w:rPr>
        <w:t>【扶贫“双到”】</w:t>
      </w:r>
    </w:p>
    <w:p w14:paraId="076891EA">
      <w:pPr>
        <w:ind w:firstLine="420"/>
        <w:rPr>
          <w:rFonts w:ascii="宋体" w:hAnsi="宋体"/>
          <w:szCs w:val="21"/>
        </w:rPr>
      </w:pPr>
      <w:r>
        <w:rPr>
          <w:rFonts w:hint="eastAsia" w:ascii="宋体" w:hAnsi="宋体"/>
          <w:szCs w:val="21"/>
        </w:rPr>
        <w:t>全镇共有贫困户243户，贫困人口778人，年收入低于2500元以下的有174户540人。其中鱼仙村为省级贫困村，共有贫困户126户433人。累计投入110多万帮助贫困户脱贫致富，扶贫“双到”工作取得了阶段性的成果，顺利通过了省的考评验收。</w:t>
      </w:r>
    </w:p>
    <w:p w14:paraId="5FCEDF16">
      <w:pPr>
        <w:pStyle w:val="4"/>
      </w:pPr>
      <w:r>
        <w:rPr>
          <w:rFonts w:hint="eastAsia"/>
        </w:rPr>
        <w:t>【集体林权制度改革】</w:t>
      </w:r>
    </w:p>
    <w:p w14:paraId="3B60AD66">
      <w:pPr>
        <w:ind w:firstLine="420"/>
        <w:rPr>
          <w:rFonts w:ascii="宋体" w:hAnsi="宋体"/>
          <w:szCs w:val="21"/>
        </w:rPr>
      </w:pPr>
      <w:r>
        <w:rPr>
          <w:rFonts w:hint="eastAsia" w:ascii="宋体" w:hAnsi="宋体"/>
          <w:szCs w:val="21"/>
        </w:rPr>
        <w:t>根据中央、国务院、省、市《关于全面推进集体林权制度改革的意见》精神，以及《南雄市推进集体林权制度改革的实施方案》精神，按照“明晰产权、放活山林经营管理、规范山林流转”的要求，扎实推进集体林权制度改革工作。通过加强领导，精心组织，分步实施，完成了15万亩的山林权属换发证工作，林改工作基本完成。</w:t>
      </w:r>
    </w:p>
    <w:p w14:paraId="0B62F47F">
      <w:pPr>
        <w:pStyle w:val="4"/>
      </w:pPr>
      <w:r>
        <w:rPr>
          <w:rFonts w:hint="eastAsia"/>
        </w:rPr>
        <w:t>【基础设施建设】</w:t>
      </w:r>
    </w:p>
    <w:p w14:paraId="38B53D5A">
      <w:pPr>
        <w:ind w:firstLine="420"/>
        <w:rPr>
          <w:rFonts w:ascii="宋体" w:hAnsi="宋体"/>
          <w:szCs w:val="21"/>
        </w:rPr>
      </w:pPr>
      <w:r>
        <w:rPr>
          <w:rFonts w:hint="eastAsia" w:ascii="宋体" w:hAnsi="宋体"/>
          <w:szCs w:val="21"/>
        </w:rPr>
        <w:t>扎实推进安全饮水工程的建设，投资500多万元建设自来水厂。解决圩镇、江头、元甫、涌溪、坪岗等5000多人的安全饮水问题。投资700多万元完成坪岗、涌溪、元甫等村的田间整治工程。乡村道路不断得到改善，完成新塘坑、下湖、李峰山、坪岗山下、上小涌、大村等自然村的道路水泥硬底化工程，使全镇自然村公路水泥硬底化达到70多公里。墟镇基础设施建设不断完善，投资30多万元整治墟镇街道，进一步改善投资环境和居住环境。</w:t>
      </w:r>
    </w:p>
    <w:p w14:paraId="4D71A55B">
      <w:pPr>
        <w:pStyle w:val="4"/>
      </w:pPr>
      <w:r>
        <w:rPr>
          <w:rFonts w:hint="eastAsia"/>
        </w:rPr>
        <w:t>【特色产业发展】</w:t>
      </w:r>
    </w:p>
    <w:p w14:paraId="6DA759EE">
      <w:pPr>
        <w:ind w:firstLine="420"/>
        <w:rPr>
          <w:rFonts w:ascii="宋体" w:hAnsi="宋体"/>
          <w:szCs w:val="21"/>
        </w:rPr>
      </w:pPr>
      <w:r>
        <w:rPr>
          <w:rFonts w:hint="eastAsia" w:ascii="宋体" w:hAnsi="宋体"/>
          <w:szCs w:val="21"/>
        </w:rPr>
        <w:t>种植黄烟117.9公顷，收购烟叶4080担，收购资金320多万元。黑山羊年出栏量1000多头，生猪出栏量达6000多头，涌现出一大批养猪、养鱼、养鸡、养鹅、养鸭的专业大户。武岭创办的千亩金银花中草药材基地发展趋势良好，正在加快厂房建设和机械设备安装的进程，通表342011年江头镇过抓基地建设，采取公司+基地+农户的运作模式，带动山区农户大力发展金银花生产，实现全镇种植金银花3000多亩的目标。</w:t>
      </w:r>
    </w:p>
    <w:p w14:paraId="002DDA05">
      <w:pPr>
        <w:pStyle w:val="4"/>
      </w:pPr>
      <w:r>
        <w:rPr>
          <w:rFonts w:hint="eastAsia"/>
        </w:rPr>
        <w:t>【各村（居）委会基本情况】</w:t>
      </w:r>
    </w:p>
    <w:p w14:paraId="070E4645">
      <w:pPr>
        <w:ind w:firstLine="422"/>
        <w:jc w:val="center"/>
        <w:rPr>
          <w:rFonts w:ascii="宋体" w:hAnsi="宋体"/>
          <w:b/>
          <w:szCs w:val="21"/>
        </w:rPr>
      </w:pPr>
      <w:r>
        <w:rPr>
          <w:rFonts w:hint="eastAsia" w:ascii="宋体" w:hAnsi="宋体"/>
          <w:b/>
          <w:szCs w:val="21"/>
        </w:rPr>
        <w:t>表34 2011年江头镇各村（居）委会基本情况</w:t>
      </w:r>
    </w:p>
    <w:tbl>
      <w:tblPr>
        <w:tblStyle w:val="14"/>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45"/>
        <w:gridCol w:w="767"/>
        <w:gridCol w:w="436"/>
        <w:gridCol w:w="1258"/>
        <w:gridCol w:w="877"/>
        <w:gridCol w:w="1208"/>
        <w:gridCol w:w="877"/>
        <w:gridCol w:w="490"/>
        <w:gridCol w:w="436"/>
        <w:gridCol w:w="437"/>
        <w:gridCol w:w="768"/>
        <w:gridCol w:w="1863"/>
      </w:tblGrid>
      <w:tr w14:paraId="428276D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64" w:type="pct"/>
            <w:vMerge w:val="restart"/>
            <w:shd w:val="clear" w:color="auto" w:fill="auto"/>
            <w:noWrap/>
            <w:vAlign w:val="center"/>
          </w:tcPr>
          <w:p w14:paraId="581F810A">
            <w:pPr>
              <w:pStyle w:val="23"/>
              <w:jc w:val="center"/>
              <w:rPr>
                <w:rFonts w:ascii="宋体" w:hAnsi="宋体"/>
                <w:b/>
                <w:kern w:val="0"/>
                <w:szCs w:val="21"/>
              </w:rPr>
            </w:pPr>
            <w:r>
              <w:rPr>
                <w:rFonts w:ascii="宋体" w:hAnsi="宋体"/>
                <w:b/>
                <w:kern w:val="0"/>
                <w:szCs w:val="21"/>
              </w:rPr>
              <w:t>村别</w:t>
            </w:r>
          </w:p>
        </w:tc>
        <w:tc>
          <w:tcPr>
            <w:tcW w:w="368" w:type="pct"/>
            <w:vMerge w:val="restart"/>
            <w:shd w:val="clear" w:color="auto" w:fill="auto"/>
            <w:noWrap/>
            <w:vAlign w:val="center"/>
          </w:tcPr>
          <w:p w14:paraId="32A8DB4D">
            <w:pPr>
              <w:pStyle w:val="23"/>
              <w:jc w:val="center"/>
              <w:rPr>
                <w:rFonts w:ascii="宋体" w:hAnsi="宋体"/>
                <w:b/>
                <w:kern w:val="0"/>
                <w:szCs w:val="21"/>
              </w:rPr>
            </w:pPr>
            <w:r>
              <w:rPr>
                <w:rFonts w:ascii="宋体" w:hAnsi="宋体"/>
                <w:b/>
                <w:kern w:val="0"/>
                <w:szCs w:val="21"/>
              </w:rPr>
              <w:t>村小组(个)</w:t>
            </w:r>
          </w:p>
        </w:tc>
        <w:tc>
          <w:tcPr>
            <w:tcW w:w="212" w:type="pct"/>
            <w:vMerge w:val="restart"/>
            <w:shd w:val="clear" w:color="auto" w:fill="auto"/>
            <w:noWrap/>
            <w:vAlign w:val="center"/>
          </w:tcPr>
          <w:p w14:paraId="761A569C">
            <w:pPr>
              <w:pStyle w:val="23"/>
              <w:jc w:val="center"/>
              <w:rPr>
                <w:rFonts w:ascii="宋体" w:hAnsi="宋体"/>
                <w:b/>
                <w:kern w:val="0"/>
                <w:szCs w:val="21"/>
              </w:rPr>
            </w:pPr>
            <w:r>
              <w:rPr>
                <w:rFonts w:ascii="宋体" w:hAnsi="宋体"/>
                <w:b/>
                <w:kern w:val="0"/>
                <w:szCs w:val="21"/>
              </w:rPr>
              <w:t>户数</w:t>
            </w:r>
          </w:p>
        </w:tc>
        <w:tc>
          <w:tcPr>
            <w:tcW w:w="598" w:type="pct"/>
            <w:vMerge w:val="restart"/>
            <w:shd w:val="clear" w:color="auto" w:fill="auto"/>
            <w:noWrap/>
            <w:vAlign w:val="center"/>
          </w:tcPr>
          <w:p w14:paraId="549D2C6E">
            <w:pPr>
              <w:pStyle w:val="23"/>
              <w:jc w:val="center"/>
              <w:rPr>
                <w:rFonts w:ascii="宋体" w:hAnsi="宋体"/>
                <w:b/>
                <w:kern w:val="0"/>
                <w:szCs w:val="21"/>
              </w:rPr>
            </w:pPr>
            <w:r>
              <w:rPr>
                <w:rFonts w:ascii="宋体" w:hAnsi="宋体"/>
                <w:b/>
                <w:kern w:val="0"/>
                <w:szCs w:val="21"/>
              </w:rPr>
              <w:t>总人口(人)</w:t>
            </w:r>
          </w:p>
        </w:tc>
        <w:tc>
          <w:tcPr>
            <w:tcW w:w="598" w:type="pct"/>
            <w:vMerge w:val="restart"/>
            <w:shd w:val="clear" w:color="auto" w:fill="auto"/>
            <w:noWrap/>
            <w:vAlign w:val="center"/>
          </w:tcPr>
          <w:p w14:paraId="662C3B80">
            <w:pPr>
              <w:pStyle w:val="23"/>
              <w:jc w:val="center"/>
              <w:rPr>
                <w:rFonts w:ascii="宋体" w:hAnsi="宋体"/>
                <w:b/>
                <w:kern w:val="0"/>
                <w:szCs w:val="21"/>
              </w:rPr>
            </w:pPr>
            <w:r>
              <w:rPr>
                <w:rFonts w:ascii="宋体" w:hAnsi="宋体"/>
                <w:b/>
                <w:kern w:val="0"/>
                <w:szCs w:val="21"/>
              </w:rPr>
              <w:t>常住人口(人)</w:t>
            </w:r>
          </w:p>
        </w:tc>
        <w:tc>
          <w:tcPr>
            <w:tcW w:w="574" w:type="pct"/>
            <w:vMerge w:val="restart"/>
            <w:shd w:val="clear" w:color="auto" w:fill="auto"/>
            <w:noWrap/>
            <w:vAlign w:val="center"/>
          </w:tcPr>
          <w:p w14:paraId="1CE82D5B">
            <w:pPr>
              <w:pStyle w:val="23"/>
              <w:jc w:val="center"/>
              <w:rPr>
                <w:rFonts w:ascii="宋体" w:hAnsi="宋体"/>
                <w:b/>
                <w:kern w:val="0"/>
                <w:szCs w:val="21"/>
              </w:rPr>
            </w:pPr>
            <w:r>
              <w:rPr>
                <w:rFonts w:ascii="宋体" w:hAnsi="宋体"/>
                <w:b/>
                <w:kern w:val="0"/>
                <w:szCs w:val="21"/>
              </w:rPr>
              <w:t>劳动力资源总数(人)</w:t>
            </w:r>
          </w:p>
        </w:tc>
        <w:tc>
          <w:tcPr>
            <w:tcW w:w="419" w:type="pct"/>
            <w:vMerge w:val="restart"/>
            <w:shd w:val="clear" w:color="auto" w:fill="auto"/>
            <w:noWrap/>
            <w:vAlign w:val="center"/>
          </w:tcPr>
          <w:p w14:paraId="7390A708">
            <w:pPr>
              <w:pStyle w:val="23"/>
              <w:jc w:val="center"/>
              <w:rPr>
                <w:rFonts w:ascii="宋体" w:hAnsi="宋体"/>
                <w:b/>
                <w:kern w:val="0"/>
                <w:szCs w:val="21"/>
              </w:rPr>
            </w:pPr>
            <w:r>
              <w:rPr>
                <w:rFonts w:ascii="宋体" w:hAnsi="宋体"/>
                <w:b/>
                <w:kern w:val="0"/>
                <w:szCs w:val="21"/>
              </w:rPr>
              <w:t>外出务工(人)</w:t>
            </w:r>
          </w:p>
        </w:tc>
        <w:tc>
          <w:tcPr>
            <w:tcW w:w="660" w:type="pct"/>
            <w:gridSpan w:val="3"/>
            <w:shd w:val="clear" w:color="auto" w:fill="auto"/>
            <w:noWrap/>
            <w:vAlign w:val="center"/>
          </w:tcPr>
          <w:p w14:paraId="210EA41E">
            <w:pPr>
              <w:pStyle w:val="23"/>
              <w:jc w:val="center"/>
              <w:rPr>
                <w:rFonts w:ascii="宋体" w:hAnsi="宋体"/>
                <w:b/>
                <w:kern w:val="0"/>
                <w:szCs w:val="21"/>
              </w:rPr>
            </w:pPr>
            <w:r>
              <w:rPr>
                <w:rFonts w:ascii="宋体" w:hAnsi="宋体"/>
                <w:b/>
                <w:kern w:val="0"/>
                <w:szCs w:val="21"/>
              </w:rPr>
              <w:t>耕地面积(亩)</w:t>
            </w:r>
          </w:p>
        </w:tc>
        <w:tc>
          <w:tcPr>
            <w:tcW w:w="316" w:type="pct"/>
            <w:vMerge w:val="restart"/>
            <w:shd w:val="clear" w:color="auto" w:fill="auto"/>
            <w:noWrap/>
            <w:vAlign w:val="center"/>
          </w:tcPr>
          <w:p w14:paraId="2159622E">
            <w:pPr>
              <w:pStyle w:val="23"/>
              <w:jc w:val="center"/>
              <w:rPr>
                <w:rFonts w:ascii="宋体" w:hAnsi="宋体"/>
                <w:b/>
                <w:kern w:val="0"/>
                <w:szCs w:val="21"/>
              </w:rPr>
            </w:pPr>
            <w:r>
              <w:rPr>
                <w:rFonts w:ascii="宋体" w:hAnsi="宋体"/>
                <w:b/>
                <w:kern w:val="0"/>
                <w:szCs w:val="21"/>
              </w:rPr>
              <w:t>林面积(</w:t>
            </w:r>
            <w:r>
              <w:rPr>
                <w:rFonts w:hint="eastAsia" w:ascii="宋体" w:hAnsi="宋体"/>
                <w:b/>
                <w:kern w:val="0"/>
                <w:szCs w:val="21"/>
              </w:rPr>
              <w:t>亩</w:t>
            </w:r>
            <w:r>
              <w:rPr>
                <w:rFonts w:ascii="宋体" w:hAnsi="宋体"/>
                <w:b/>
                <w:kern w:val="0"/>
                <w:szCs w:val="21"/>
              </w:rPr>
              <w:t>)</w:t>
            </w:r>
          </w:p>
        </w:tc>
        <w:tc>
          <w:tcPr>
            <w:tcW w:w="992" w:type="pct"/>
            <w:vMerge w:val="restart"/>
            <w:shd w:val="clear" w:color="auto" w:fill="auto"/>
            <w:noWrap/>
            <w:vAlign w:val="center"/>
          </w:tcPr>
          <w:p w14:paraId="647A7617">
            <w:pPr>
              <w:pStyle w:val="23"/>
              <w:jc w:val="center"/>
              <w:rPr>
                <w:rFonts w:ascii="宋体" w:hAnsi="宋体"/>
                <w:kern w:val="0"/>
                <w:szCs w:val="21"/>
              </w:rPr>
            </w:pPr>
            <w:r>
              <w:rPr>
                <w:rFonts w:ascii="宋体" w:hAnsi="宋体"/>
                <w:b/>
                <w:kern w:val="0"/>
                <w:szCs w:val="21"/>
              </w:rPr>
              <w:t>主要经济作物</w:t>
            </w:r>
          </w:p>
        </w:tc>
      </w:tr>
      <w:tr w14:paraId="353FC84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64" w:type="pct"/>
            <w:vMerge w:val="continue"/>
            <w:vAlign w:val="center"/>
          </w:tcPr>
          <w:p w14:paraId="105B64DB">
            <w:pPr>
              <w:pStyle w:val="23"/>
              <w:jc w:val="center"/>
              <w:rPr>
                <w:rFonts w:ascii="宋体" w:hAnsi="宋体"/>
                <w:kern w:val="0"/>
                <w:szCs w:val="21"/>
              </w:rPr>
            </w:pPr>
          </w:p>
        </w:tc>
        <w:tc>
          <w:tcPr>
            <w:tcW w:w="368" w:type="pct"/>
            <w:vMerge w:val="continue"/>
            <w:vAlign w:val="center"/>
          </w:tcPr>
          <w:p w14:paraId="25E1B515">
            <w:pPr>
              <w:pStyle w:val="23"/>
              <w:jc w:val="center"/>
              <w:rPr>
                <w:rFonts w:ascii="宋体" w:hAnsi="宋体"/>
                <w:kern w:val="0"/>
                <w:szCs w:val="21"/>
              </w:rPr>
            </w:pPr>
          </w:p>
        </w:tc>
        <w:tc>
          <w:tcPr>
            <w:tcW w:w="212" w:type="pct"/>
            <w:vMerge w:val="continue"/>
            <w:vAlign w:val="center"/>
          </w:tcPr>
          <w:p w14:paraId="342278C9">
            <w:pPr>
              <w:pStyle w:val="23"/>
              <w:jc w:val="center"/>
              <w:rPr>
                <w:rFonts w:ascii="宋体" w:hAnsi="宋体"/>
                <w:kern w:val="0"/>
                <w:szCs w:val="21"/>
              </w:rPr>
            </w:pPr>
          </w:p>
        </w:tc>
        <w:tc>
          <w:tcPr>
            <w:tcW w:w="598" w:type="pct"/>
            <w:vMerge w:val="continue"/>
            <w:vAlign w:val="center"/>
          </w:tcPr>
          <w:p w14:paraId="767563EA">
            <w:pPr>
              <w:pStyle w:val="23"/>
              <w:jc w:val="center"/>
              <w:rPr>
                <w:rFonts w:ascii="宋体" w:hAnsi="宋体"/>
                <w:kern w:val="0"/>
                <w:szCs w:val="21"/>
              </w:rPr>
            </w:pPr>
          </w:p>
        </w:tc>
        <w:tc>
          <w:tcPr>
            <w:tcW w:w="598" w:type="pct"/>
            <w:vMerge w:val="continue"/>
            <w:vAlign w:val="center"/>
          </w:tcPr>
          <w:p w14:paraId="629A9D04">
            <w:pPr>
              <w:pStyle w:val="23"/>
              <w:jc w:val="center"/>
              <w:rPr>
                <w:rFonts w:ascii="宋体" w:hAnsi="宋体"/>
                <w:kern w:val="0"/>
                <w:szCs w:val="21"/>
              </w:rPr>
            </w:pPr>
          </w:p>
        </w:tc>
        <w:tc>
          <w:tcPr>
            <w:tcW w:w="574" w:type="pct"/>
            <w:vMerge w:val="continue"/>
            <w:vAlign w:val="center"/>
          </w:tcPr>
          <w:p w14:paraId="7FD8A34B">
            <w:pPr>
              <w:pStyle w:val="23"/>
              <w:jc w:val="center"/>
              <w:rPr>
                <w:rFonts w:ascii="宋体" w:hAnsi="宋体"/>
                <w:kern w:val="0"/>
                <w:szCs w:val="21"/>
              </w:rPr>
            </w:pPr>
          </w:p>
        </w:tc>
        <w:tc>
          <w:tcPr>
            <w:tcW w:w="419" w:type="pct"/>
            <w:vMerge w:val="continue"/>
            <w:vAlign w:val="center"/>
          </w:tcPr>
          <w:p w14:paraId="00533A24">
            <w:pPr>
              <w:pStyle w:val="23"/>
              <w:jc w:val="center"/>
              <w:rPr>
                <w:rFonts w:ascii="宋体" w:hAnsi="宋体"/>
                <w:kern w:val="0"/>
                <w:szCs w:val="21"/>
              </w:rPr>
            </w:pPr>
          </w:p>
        </w:tc>
        <w:tc>
          <w:tcPr>
            <w:tcW w:w="237" w:type="pct"/>
            <w:vMerge w:val="restart"/>
            <w:shd w:val="clear" w:color="auto" w:fill="auto"/>
            <w:noWrap/>
            <w:vAlign w:val="center"/>
          </w:tcPr>
          <w:p w14:paraId="1129A55B">
            <w:pPr>
              <w:pStyle w:val="23"/>
              <w:jc w:val="center"/>
              <w:rPr>
                <w:rFonts w:ascii="宋体" w:hAnsi="宋体"/>
                <w:b/>
                <w:kern w:val="0"/>
                <w:szCs w:val="21"/>
              </w:rPr>
            </w:pPr>
            <w:r>
              <w:rPr>
                <w:rFonts w:ascii="宋体" w:hAnsi="宋体"/>
                <w:b/>
                <w:kern w:val="0"/>
                <w:szCs w:val="21"/>
              </w:rPr>
              <w:t>合计</w:t>
            </w:r>
          </w:p>
        </w:tc>
        <w:tc>
          <w:tcPr>
            <w:tcW w:w="423" w:type="pct"/>
            <w:gridSpan w:val="2"/>
            <w:shd w:val="clear" w:color="auto" w:fill="auto"/>
            <w:noWrap/>
            <w:vAlign w:val="center"/>
          </w:tcPr>
          <w:p w14:paraId="25D9A472">
            <w:pPr>
              <w:pStyle w:val="23"/>
              <w:jc w:val="center"/>
              <w:rPr>
                <w:rFonts w:ascii="宋体" w:hAnsi="宋体"/>
                <w:b/>
                <w:kern w:val="0"/>
                <w:szCs w:val="21"/>
              </w:rPr>
            </w:pPr>
            <w:r>
              <w:rPr>
                <w:rFonts w:ascii="宋体" w:hAnsi="宋体"/>
                <w:b/>
                <w:kern w:val="0"/>
                <w:szCs w:val="21"/>
              </w:rPr>
              <w:t>其中</w:t>
            </w:r>
          </w:p>
        </w:tc>
        <w:tc>
          <w:tcPr>
            <w:tcW w:w="316" w:type="pct"/>
            <w:vMerge w:val="continue"/>
            <w:vAlign w:val="center"/>
          </w:tcPr>
          <w:p w14:paraId="0F2EBCB7">
            <w:pPr>
              <w:pStyle w:val="23"/>
              <w:jc w:val="center"/>
              <w:rPr>
                <w:rFonts w:ascii="宋体" w:hAnsi="宋体"/>
                <w:kern w:val="0"/>
                <w:szCs w:val="21"/>
              </w:rPr>
            </w:pPr>
          </w:p>
        </w:tc>
        <w:tc>
          <w:tcPr>
            <w:tcW w:w="992" w:type="pct"/>
            <w:vMerge w:val="continue"/>
            <w:vAlign w:val="center"/>
          </w:tcPr>
          <w:p w14:paraId="603F4B61">
            <w:pPr>
              <w:pStyle w:val="23"/>
              <w:jc w:val="center"/>
              <w:rPr>
                <w:rFonts w:ascii="宋体" w:hAnsi="宋体"/>
                <w:kern w:val="0"/>
                <w:szCs w:val="21"/>
              </w:rPr>
            </w:pPr>
          </w:p>
        </w:tc>
      </w:tr>
      <w:tr w14:paraId="68B296D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59" w:type="pct"/>
            <w:vMerge w:val="continue"/>
            <w:vAlign w:val="center"/>
          </w:tcPr>
          <w:p w14:paraId="25EEB89A">
            <w:pPr>
              <w:pStyle w:val="23"/>
              <w:jc w:val="center"/>
              <w:rPr>
                <w:rFonts w:ascii="宋体" w:hAnsi="宋体"/>
                <w:kern w:val="0"/>
                <w:szCs w:val="21"/>
              </w:rPr>
            </w:pPr>
          </w:p>
        </w:tc>
        <w:tc>
          <w:tcPr>
            <w:tcW w:w="361" w:type="pct"/>
            <w:vMerge w:val="continue"/>
            <w:vAlign w:val="center"/>
          </w:tcPr>
          <w:p w14:paraId="362F8FFF">
            <w:pPr>
              <w:pStyle w:val="23"/>
              <w:jc w:val="center"/>
              <w:rPr>
                <w:rFonts w:ascii="宋体" w:hAnsi="宋体"/>
                <w:kern w:val="0"/>
                <w:szCs w:val="21"/>
              </w:rPr>
            </w:pPr>
          </w:p>
        </w:tc>
        <w:tc>
          <w:tcPr>
            <w:tcW w:w="209" w:type="pct"/>
            <w:vMerge w:val="continue"/>
            <w:vAlign w:val="center"/>
          </w:tcPr>
          <w:p w14:paraId="62EDACF6">
            <w:pPr>
              <w:pStyle w:val="23"/>
              <w:jc w:val="center"/>
              <w:rPr>
                <w:rFonts w:ascii="宋体" w:hAnsi="宋体"/>
                <w:kern w:val="0"/>
                <w:szCs w:val="21"/>
              </w:rPr>
            </w:pPr>
          </w:p>
        </w:tc>
        <w:tc>
          <w:tcPr>
            <w:tcW w:w="586" w:type="pct"/>
            <w:vMerge w:val="continue"/>
            <w:vAlign w:val="center"/>
          </w:tcPr>
          <w:p w14:paraId="2D2B48F0">
            <w:pPr>
              <w:pStyle w:val="23"/>
              <w:jc w:val="center"/>
              <w:rPr>
                <w:rFonts w:ascii="宋体" w:hAnsi="宋体"/>
                <w:kern w:val="0"/>
                <w:szCs w:val="21"/>
              </w:rPr>
            </w:pPr>
          </w:p>
        </w:tc>
        <w:tc>
          <w:tcPr>
            <w:tcW w:w="586" w:type="pct"/>
            <w:vMerge w:val="continue"/>
            <w:vAlign w:val="center"/>
          </w:tcPr>
          <w:p w14:paraId="2486A035">
            <w:pPr>
              <w:pStyle w:val="23"/>
              <w:jc w:val="center"/>
              <w:rPr>
                <w:rFonts w:ascii="宋体" w:hAnsi="宋体"/>
                <w:kern w:val="0"/>
                <w:szCs w:val="21"/>
              </w:rPr>
            </w:pPr>
          </w:p>
        </w:tc>
        <w:tc>
          <w:tcPr>
            <w:tcW w:w="563" w:type="pct"/>
            <w:vMerge w:val="continue"/>
            <w:vAlign w:val="center"/>
          </w:tcPr>
          <w:p w14:paraId="5555D116">
            <w:pPr>
              <w:pStyle w:val="23"/>
              <w:jc w:val="center"/>
              <w:rPr>
                <w:rFonts w:ascii="宋体" w:hAnsi="宋体"/>
                <w:kern w:val="0"/>
                <w:szCs w:val="21"/>
              </w:rPr>
            </w:pPr>
          </w:p>
        </w:tc>
        <w:tc>
          <w:tcPr>
            <w:tcW w:w="412" w:type="pct"/>
            <w:vMerge w:val="continue"/>
            <w:vAlign w:val="center"/>
          </w:tcPr>
          <w:p w14:paraId="090E29F6">
            <w:pPr>
              <w:pStyle w:val="23"/>
              <w:jc w:val="center"/>
              <w:rPr>
                <w:rFonts w:ascii="宋体" w:hAnsi="宋体"/>
                <w:kern w:val="0"/>
                <w:szCs w:val="21"/>
              </w:rPr>
            </w:pPr>
          </w:p>
        </w:tc>
        <w:tc>
          <w:tcPr>
            <w:tcW w:w="234" w:type="pct"/>
            <w:vMerge w:val="continue"/>
            <w:vAlign w:val="center"/>
          </w:tcPr>
          <w:p w14:paraId="5F83EE06">
            <w:pPr>
              <w:pStyle w:val="23"/>
              <w:jc w:val="center"/>
              <w:rPr>
                <w:rFonts w:ascii="宋体" w:hAnsi="宋体"/>
                <w:b/>
                <w:kern w:val="0"/>
                <w:szCs w:val="21"/>
              </w:rPr>
            </w:pPr>
          </w:p>
        </w:tc>
        <w:tc>
          <w:tcPr>
            <w:tcW w:w="209" w:type="pct"/>
            <w:shd w:val="clear" w:color="auto" w:fill="auto"/>
            <w:noWrap/>
            <w:vAlign w:val="center"/>
          </w:tcPr>
          <w:p w14:paraId="7D428A4A">
            <w:pPr>
              <w:pStyle w:val="23"/>
              <w:jc w:val="center"/>
              <w:rPr>
                <w:rFonts w:ascii="宋体" w:hAnsi="宋体"/>
                <w:b/>
                <w:kern w:val="0"/>
                <w:szCs w:val="21"/>
              </w:rPr>
            </w:pPr>
            <w:r>
              <w:rPr>
                <w:rFonts w:ascii="宋体" w:hAnsi="宋体"/>
                <w:b/>
                <w:kern w:val="0"/>
                <w:szCs w:val="21"/>
              </w:rPr>
              <w:t>水田</w:t>
            </w:r>
          </w:p>
        </w:tc>
        <w:tc>
          <w:tcPr>
            <w:tcW w:w="209" w:type="pct"/>
            <w:shd w:val="clear" w:color="auto" w:fill="auto"/>
            <w:noWrap/>
            <w:vAlign w:val="center"/>
          </w:tcPr>
          <w:p w14:paraId="0BB7A674">
            <w:pPr>
              <w:pStyle w:val="23"/>
              <w:jc w:val="center"/>
              <w:rPr>
                <w:rFonts w:ascii="宋体" w:hAnsi="宋体"/>
                <w:b/>
                <w:kern w:val="0"/>
                <w:szCs w:val="21"/>
              </w:rPr>
            </w:pPr>
            <w:r>
              <w:rPr>
                <w:rFonts w:ascii="宋体" w:hAnsi="宋体"/>
                <w:b/>
                <w:kern w:val="0"/>
                <w:szCs w:val="21"/>
              </w:rPr>
              <w:t>旱地</w:t>
            </w:r>
          </w:p>
        </w:tc>
        <w:tc>
          <w:tcPr>
            <w:tcW w:w="311" w:type="pct"/>
            <w:vMerge w:val="continue"/>
            <w:vAlign w:val="center"/>
          </w:tcPr>
          <w:p w14:paraId="5EC38121">
            <w:pPr>
              <w:pStyle w:val="23"/>
              <w:jc w:val="center"/>
              <w:rPr>
                <w:rFonts w:ascii="宋体" w:hAnsi="宋体"/>
                <w:kern w:val="0"/>
                <w:szCs w:val="21"/>
              </w:rPr>
            </w:pPr>
          </w:p>
        </w:tc>
        <w:tc>
          <w:tcPr>
            <w:tcW w:w="1062" w:type="pct"/>
            <w:vMerge w:val="continue"/>
            <w:vAlign w:val="center"/>
          </w:tcPr>
          <w:p w14:paraId="206DC8EB">
            <w:pPr>
              <w:pStyle w:val="23"/>
              <w:jc w:val="center"/>
              <w:rPr>
                <w:rFonts w:ascii="宋体" w:hAnsi="宋体"/>
                <w:kern w:val="0"/>
                <w:szCs w:val="21"/>
              </w:rPr>
            </w:pPr>
          </w:p>
        </w:tc>
      </w:tr>
      <w:tr w14:paraId="462C9BD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59" w:type="pct"/>
            <w:shd w:val="clear" w:color="auto" w:fill="auto"/>
            <w:noWrap/>
            <w:vAlign w:val="center"/>
          </w:tcPr>
          <w:p w14:paraId="39120B11">
            <w:pPr>
              <w:pStyle w:val="23"/>
              <w:jc w:val="center"/>
              <w:rPr>
                <w:rFonts w:ascii="宋体" w:hAnsi="宋体"/>
                <w:kern w:val="0"/>
                <w:szCs w:val="21"/>
              </w:rPr>
            </w:pPr>
            <w:r>
              <w:rPr>
                <w:rFonts w:ascii="宋体" w:hAnsi="宋体"/>
                <w:kern w:val="0"/>
                <w:szCs w:val="21"/>
              </w:rPr>
              <w:t>合计</w:t>
            </w:r>
          </w:p>
        </w:tc>
        <w:tc>
          <w:tcPr>
            <w:tcW w:w="361" w:type="pct"/>
            <w:shd w:val="clear" w:color="auto" w:fill="auto"/>
            <w:noWrap/>
            <w:vAlign w:val="center"/>
          </w:tcPr>
          <w:p w14:paraId="5E25FF38">
            <w:pPr>
              <w:pStyle w:val="23"/>
              <w:jc w:val="center"/>
              <w:rPr>
                <w:rFonts w:ascii="宋体" w:hAnsi="宋体"/>
                <w:kern w:val="0"/>
                <w:szCs w:val="21"/>
              </w:rPr>
            </w:pPr>
            <w:r>
              <w:rPr>
                <w:rFonts w:ascii="宋体" w:hAnsi="宋体"/>
                <w:kern w:val="0"/>
                <w:szCs w:val="21"/>
              </w:rPr>
              <w:t>97</w:t>
            </w:r>
          </w:p>
        </w:tc>
        <w:tc>
          <w:tcPr>
            <w:tcW w:w="209" w:type="pct"/>
            <w:shd w:val="clear" w:color="auto" w:fill="auto"/>
            <w:noWrap/>
            <w:vAlign w:val="center"/>
          </w:tcPr>
          <w:p w14:paraId="034A3196">
            <w:pPr>
              <w:pStyle w:val="23"/>
              <w:jc w:val="center"/>
              <w:rPr>
                <w:rFonts w:ascii="宋体" w:hAnsi="宋体"/>
                <w:kern w:val="0"/>
                <w:szCs w:val="21"/>
              </w:rPr>
            </w:pPr>
            <w:r>
              <w:rPr>
                <w:rFonts w:ascii="宋体" w:hAnsi="宋体"/>
                <w:kern w:val="0"/>
                <w:szCs w:val="21"/>
              </w:rPr>
              <w:t>2963</w:t>
            </w:r>
          </w:p>
        </w:tc>
        <w:tc>
          <w:tcPr>
            <w:tcW w:w="586" w:type="pct"/>
            <w:shd w:val="clear" w:color="auto" w:fill="auto"/>
            <w:noWrap/>
            <w:vAlign w:val="center"/>
          </w:tcPr>
          <w:p w14:paraId="1B63A7BF">
            <w:pPr>
              <w:pStyle w:val="23"/>
              <w:jc w:val="center"/>
              <w:rPr>
                <w:rFonts w:ascii="宋体" w:hAnsi="宋体"/>
                <w:kern w:val="0"/>
                <w:szCs w:val="21"/>
              </w:rPr>
            </w:pPr>
            <w:r>
              <w:rPr>
                <w:rFonts w:ascii="宋体" w:hAnsi="宋体"/>
                <w:kern w:val="0"/>
                <w:szCs w:val="21"/>
              </w:rPr>
              <w:t>12125</w:t>
            </w:r>
          </w:p>
        </w:tc>
        <w:tc>
          <w:tcPr>
            <w:tcW w:w="586" w:type="pct"/>
            <w:shd w:val="clear" w:color="auto" w:fill="auto"/>
            <w:noWrap/>
            <w:vAlign w:val="center"/>
          </w:tcPr>
          <w:p w14:paraId="18FB46C8">
            <w:pPr>
              <w:pStyle w:val="23"/>
              <w:jc w:val="center"/>
              <w:rPr>
                <w:rFonts w:ascii="宋体" w:hAnsi="宋体"/>
                <w:kern w:val="0"/>
                <w:szCs w:val="21"/>
              </w:rPr>
            </w:pPr>
            <w:r>
              <w:rPr>
                <w:rFonts w:ascii="宋体" w:hAnsi="宋体"/>
                <w:kern w:val="0"/>
                <w:szCs w:val="21"/>
              </w:rPr>
              <w:t>9400</w:t>
            </w:r>
          </w:p>
        </w:tc>
        <w:tc>
          <w:tcPr>
            <w:tcW w:w="563" w:type="pct"/>
            <w:shd w:val="clear" w:color="auto" w:fill="auto"/>
            <w:noWrap/>
            <w:vAlign w:val="center"/>
          </w:tcPr>
          <w:p w14:paraId="5E21E4F4">
            <w:pPr>
              <w:pStyle w:val="23"/>
              <w:jc w:val="center"/>
              <w:rPr>
                <w:rFonts w:ascii="宋体" w:hAnsi="宋体"/>
                <w:kern w:val="0"/>
                <w:szCs w:val="21"/>
              </w:rPr>
            </w:pPr>
            <w:r>
              <w:rPr>
                <w:rFonts w:ascii="宋体" w:hAnsi="宋体"/>
                <w:kern w:val="0"/>
                <w:szCs w:val="21"/>
              </w:rPr>
              <w:t>6840</w:t>
            </w:r>
          </w:p>
        </w:tc>
        <w:tc>
          <w:tcPr>
            <w:tcW w:w="412" w:type="pct"/>
            <w:shd w:val="clear" w:color="auto" w:fill="auto"/>
            <w:noWrap/>
            <w:vAlign w:val="center"/>
          </w:tcPr>
          <w:p w14:paraId="71B476F9">
            <w:pPr>
              <w:pStyle w:val="23"/>
              <w:jc w:val="center"/>
              <w:rPr>
                <w:rFonts w:ascii="宋体" w:hAnsi="宋体"/>
                <w:kern w:val="0"/>
                <w:szCs w:val="21"/>
              </w:rPr>
            </w:pPr>
            <w:r>
              <w:rPr>
                <w:rFonts w:ascii="宋体" w:hAnsi="宋体"/>
                <w:kern w:val="0"/>
                <w:szCs w:val="21"/>
              </w:rPr>
              <w:t>3603</w:t>
            </w:r>
          </w:p>
        </w:tc>
        <w:tc>
          <w:tcPr>
            <w:tcW w:w="234" w:type="pct"/>
            <w:shd w:val="clear" w:color="auto" w:fill="auto"/>
            <w:noWrap/>
            <w:vAlign w:val="center"/>
          </w:tcPr>
          <w:p w14:paraId="33CF9EC5">
            <w:pPr>
              <w:pStyle w:val="23"/>
              <w:jc w:val="center"/>
              <w:rPr>
                <w:rFonts w:ascii="宋体" w:hAnsi="宋体"/>
                <w:kern w:val="0"/>
                <w:szCs w:val="21"/>
              </w:rPr>
            </w:pPr>
            <w:r>
              <w:rPr>
                <w:rFonts w:ascii="宋体" w:hAnsi="宋体"/>
                <w:kern w:val="0"/>
                <w:szCs w:val="21"/>
              </w:rPr>
              <w:t>14334</w:t>
            </w:r>
          </w:p>
        </w:tc>
        <w:tc>
          <w:tcPr>
            <w:tcW w:w="209" w:type="pct"/>
            <w:shd w:val="clear" w:color="auto" w:fill="auto"/>
            <w:noWrap/>
            <w:vAlign w:val="center"/>
          </w:tcPr>
          <w:p w14:paraId="7BE2159D">
            <w:pPr>
              <w:pStyle w:val="23"/>
              <w:jc w:val="center"/>
              <w:rPr>
                <w:rFonts w:ascii="宋体" w:hAnsi="宋体"/>
                <w:kern w:val="0"/>
                <w:szCs w:val="21"/>
              </w:rPr>
            </w:pPr>
            <w:r>
              <w:rPr>
                <w:rFonts w:ascii="宋体" w:hAnsi="宋体"/>
                <w:kern w:val="0"/>
                <w:szCs w:val="21"/>
              </w:rPr>
              <w:t>1226</w:t>
            </w:r>
          </w:p>
        </w:tc>
        <w:tc>
          <w:tcPr>
            <w:tcW w:w="209" w:type="pct"/>
            <w:shd w:val="clear" w:color="auto" w:fill="auto"/>
            <w:noWrap/>
            <w:vAlign w:val="center"/>
          </w:tcPr>
          <w:p w14:paraId="2D8D43CC">
            <w:pPr>
              <w:pStyle w:val="23"/>
              <w:jc w:val="center"/>
              <w:rPr>
                <w:rFonts w:ascii="宋体" w:hAnsi="宋体"/>
                <w:kern w:val="0"/>
                <w:szCs w:val="21"/>
              </w:rPr>
            </w:pPr>
            <w:r>
              <w:rPr>
                <w:rFonts w:ascii="宋体" w:hAnsi="宋体"/>
                <w:kern w:val="0"/>
                <w:szCs w:val="21"/>
              </w:rPr>
              <w:t>2058</w:t>
            </w:r>
          </w:p>
        </w:tc>
        <w:tc>
          <w:tcPr>
            <w:tcW w:w="311" w:type="pct"/>
            <w:shd w:val="clear" w:color="auto" w:fill="auto"/>
            <w:noWrap/>
            <w:vAlign w:val="center"/>
          </w:tcPr>
          <w:p w14:paraId="185D558F">
            <w:pPr>
              <w:pStyle w:val="23"/>
              <w:jc w:val="center"/>
              <w:rPr>
                <w:rFonts w:ascii="宋体" w:hAnsi="宋体"/>
                <w:kern w:val="0"/>
                <w:szCs w:val="21"/>
              </w:rPr>
            </w:pPr>
            <w:r>
              <w:rPr>
                <w:rFonts w:ascii="宋体" w:hAnsi="宋体"/>
                <w:kern w:val="0"/>
                <w:szCs w:val="21"/>
              </w:rPr>
              <w:t>172226.2</w:t>
            </w:r>
          </w:p>
        </w:tc>
        <w:tc>
          <w:tcPr>
            <w:tcW w:w="1" w:type="pct"/>
            <w:shd w:val="clear" w:color="auto" w:fill="auto"/>
            <w:noWrap/>
            <w:vAlign w:val="center"/>
          </w:tcPr>
          <w:p w14:paraId="75301362">
            <w:pPr>
              <w:pStyle w:val="23"/>
              <w:jc w:val="center"/>
              <w:rPr>
                <w:rFonts w:ascii="宋体" w:hAnsi="宋体"/>
                <w:kern w:val="0"/>
                <w:szCs w:val="21"/>
              </w:rPr>
            </w:pPr>
            <w:r>
              <w:rPr>
                <w:rFonts w:ascii="宋体" w:hAnsi="宋体"/>
                <w:kern w:val="0"/>
                <w:szCs w:val="21"/>
              </w:rPr>
              <w:t>/</w:t>
            </w:r>
          </w:p>
        </w:tc>
      </w:tr>
      <w:tr w14:paraId="3BB0ACD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64" w:type="pct"/>
            <w:shd w:val="clear" w:color="auto" w:fill="auto"/>
            <w:noWrap/>
            <w:vAlign w:val="center"/>
          </w:tcPr>
          <w:p w14:paraId="5D55A574">
            <w:pPr>
              <w:pStyle w:val="23"/>
              <w:jc w:val="center"/>
              <w:rPr>
                <w:rFonts w:ascii="宋体" w:hAnsi="宋体"/>
                <w:kern w:val="0"/>
                <w:szCs w:val="21"/>
              </w:rPr>
            </w:pPr>
            <w:r>
              <w:rPr>
                <w:rFonts w:ascii="宋体" w:hAnsi="宋体"/>
                <w:kern w:val="0"/>
                <w:szCs w:val="21"/>
              </w:rPr>
              <w:t>坪岗</w:t>
            </w:r>
          </w:p>
        </w:tc>
        <w:tc>
          <w:tcPr>
            <w:tcW w:w="368" w:type="pct"/>
            <w:shd w:val="clear" w:color="auto" w:fill="auto"/>
            <w:noWrap/>
            <w:vAlign w:val="center"/>
          </w:tcPr>
          <w:p w14:paraId="111F3607">
            <w:pPr>
              <w:pStyle w:val="23"/>
              <w:jc w:val="center"/>
              <w:rPr>
                <w:rFonts w:ascii="宋体" w:hAnsi="宋体"/>
                <w:kern w:val="0"/>
                <w:szCs w:val="21"/>
              </w:rPr>
            </w:pPr>
            <w:r>
              <w:rPr>
                <w:rFonts w:ascii="宋体" w:hAnsi="宋体"/>
                <w:kern w:val="0"/>
                <w:szCs w:val="21"/>
              </w:rPr>
              <w:t>12</w:t>
            </w:r>
          </w:p>
        </w:tc>
        <w:tc>
          <w:tcPr>
            <w:tcW w:w="212" w:type="pct"/>
            <w:shd w:val="clear" w:color="auto" w:fill="auto"/>
            <w:noWrap/>
            <w:vAlign w:val="center"/>
          </w:tcPr>
          <w:p w14:paraId="086DB351">
            <w:pPr>
              <w:pStyle w:val="23"/>
              <w:jc w:val="center"/>
              <w:rPr>
                <w:rFonts w:ascii="宋体" w:hAnsi="宋体"/>
                <w:kern w:val="0"/>
                <w:szCs w:val="21"/>
              </w:rPr>
            </w:pPr>
            <w:r>
              <w:rPr>
                <w:rFonts w:ascii="宋体" w:hAnsi="宋体"/>
                <w:kern w:val="0"/>
                <w:szCs w:val="21"/>
              </w:rPr>
              <w:t>350</w:t>
            </w:r>
          </w:p>
        </w:tc>
        <w:tc>
          <w:tcPr>
            <w:tcW w:w="598" w:type="pct"/>
            <w:shd w:val="clear" w:color="auto" w:fill="auto"/>
            <w:noWrap/>
            <w:vAlign w:val="center"/>
          </w:tcPr>
          <w:p w14:paraId="5A750630">
            <w:pPr>
              <w:pStyle w:val="23"/>
              <w:jc w:val="center"/>
              <w:rPr>
                <w:rFonts w:ascii="宋体" w:hAnsi="宋体"/>
                <w:kern w:val="0"/>
                <w:szCs w:val="21"/>
              </w:rPr>
            </w:pPr>
            <w:r>
              <w:rPr>
                <w:rFonts w:ascii="宋体" w:hAnsi="宋体"/>
                <w:kern w:val="0"/>
                <w:szCs w:val="21"/>
              </w:rPr>
              <w:t>1461</w:t>
            </w:r>
          </w:p>
        </w:tc>
        <w:tc>
          <w:tcPr>
            <w:tcW w:w="598" w:type="pct"/>
            <w:shd w:val="clear" w:color="auto" w:fill="auto"/>
            <w:noWrap/>
            <w:vAlign w:val="center"/>
          </w:tcPr>
          <w:p w14:paraId="232E5B3B">
            <w:pPr>
              <w:pStyle w:val="23"/>
              <w:jc w:val="center"/>
              <w:rPr>
                <w:rFonts w:ascii="宋体" w:hAnsi="宋体"/>
                <w:kern w:val="0"/>
                <w:szCs w:val="21"/>
              </w:rPr>
            </w:pPr>
            <w:r>
              <w:rPr>
                <w:rFonts w:ascii="宋体" w:hAnsi="宋体"/>
                <w:kern w:val="0"/>
                <w:szCs w:val="21"/>
              </w:rPr>
              <w:t>1201</w:t>
            </w:r>
          </w:p>
        </w:tc>
        <w:tc>
          <w:tcPr>
            <w:tcW w:w="574" w:type="pct"/>
            <w:shd w:val="clear" w:color="auto" w:fill="auto"/>
            <w:noWrap/>
            <w:vAlign w:val="center"/>
          </w:tcPr>
          <w:p w14:paraId="253E620D">
            <w:pPr>
              <w:pStyle w:val="23"/>
              <w:jc w:val="center"/>
              <w:rPr>
                <w:rFonts w:ascii="宋体" w:hAnsi="宋体"/>
                <w:kern w:val="0"/>
                <w:szCs w:val="21"/>
              </w:rPr>
            </w:pPr>
            <w:r>
              <w:rPr>
                <w:rFonts w:ascii="宋体" w:hAnsi="宋体"/>
                <w:kern w:val="0"/>
                <w:szCs w:val="21"/>
              </w:rPr>
              <w:t>819</w:t>
            </w:r>
          </w:p>
        </w:tc>
        <w:tc>
          <w:tcPr>
            <w:tcW w:w="419" w:type="pct"/>
            <w:shd w:val="clear" w:color="auto" w:fill="auto"/>
            <w:noWrap/>
            <w:vAlign w:val="center"/>
          </w:tcPr>
          <w:p w14:paraId="1B7EC98E">
            <w:pPr>
              <w:pStyle w:val="23"/>
              <w:jc w:val="center"/>
              <w:rPr>
                <w:rFonts w:ascii="宋体" w:hAnsi="宋体"/>
                <w:kern w:val="0"/>
                <w:szCs w:val="21"/>
              </w:rPr>
            </w:pPr>
            <w:r>
              <w:rPr>
                <w:rFonts w:ascii="宋体" w:hAnsi="宋体"/>
                <w:kern w:val="0"/>
                <w:szCs w:val="21"/>
              </w:rPr>
              <w:t>371</w:t>
            </w:r>
          </w:p>
        </w:tc>
        <w:tc>
          <w:tcPr>
            <w:tcW w:w="237" w:type="pct"/>
            <w:shd w:val="clear" w:color="auto" w:fill="auto"/>
            <w:noWrap/>
            <w:vAlign w:val="center"/>
          </w:tcPr>
          <w:p w14:paraId="2983C016">
            <w:pPr>
              <w:pStyle w:val="23"/>
              <w:jc w:val="center"/>
              <w:rPr>
                <w:rFonts w:ascii="宋体" w:hAnsi="宋体"/>
                <w:kern w:val="0"/>
                <w:szCs w:val="21"/>
              </w:rPr>
            </w:pPr>
            <w:r>
              <w:rPr>
                <w:rFonts w:ascii="宋体" w:hAnsi="宋体"/>
                <w:kern w:val="0"/>
                <w:szCs w:val="21"/>
              </w:rPr>
              <w:t>1887</w:t>
            </w:r>
          </w:p>
        </w:tc>
        <w:tc>
          <w:tcPr>
            <w:tcW w:w="211" w:type="pct"/>
            <w:shd w:val="clear" w:color="auto" w:fill="auto"/>
            <w:noWrap/>
            <w:vAlign w:val="center"/>
          </w:tcPr>
          <w:p w14:paraId="1ABC1968">
            <w:pPr>
              <w:pStyle w:val="23"/>
              <w:jc w:val="center"/>
              <w:rPr>
                <w:rFonts w:ascii="宋体" w:hAnsi="宋体"/>
                <w:kern w:val="0"/>
                <w:szCs w:val="21"/>
              </w:rPr>
            </w:pPr>
            <w:r>
              <w:rPr>
                <w:rFonts w:ascii="宋体" w:hAnsi="宋体"/>
                <w:kern w:val="0"/>
                <w:szCs w:val="21"/>
              </w:rPr>
              <w:t>1139</w:t>
            </w:r>
          </w:p>
        </w:tc>
        <w:tc>
          <w:tcPr>
            <w:tcW w:w="211" w:type="pct"/>
            <w:shd w:val="clear" w:color="auto" w:fill="auto"/>
            <w:noWrap/>
            <w:vAlign w:val="center"/>
          </w:tcPr>
          <w:p w14:paraId="6F816186">
            <w:pPr>
              <w:pStyle w:val="23"/>
              <w:jc w:val="center"/>
              <w:rPr>
                <w:rFonts w:ascii="宋体" w:hAnsi="宋体"/>
                <w:kern w:val="0"/>
                <w:szCs w:val="21"/>
              </w:rPr>
            </w:pPr>
            <w:r>
              <w:rPr>
                <w:rFonts w:ascii="宋体" w:hAnsi="宋体"/>
                <w:kern w:val="0"/>
                <w:szCs w:val="21"/>
              </w:rPr>
              <w:t>748</w:t>
            </w:r>
          </w:p>
        </w:tc>
        <w:tc>
          <w:tcPr>
            <w:tcW w:w="316" w:type="pct"/>
            <w:shd w:val="clear" w:color="auto" w:fill="auto"/>
            <w:noWrap/>
            <w:vAlign w:val="center"/>
          </w:tcPr>
          <w:p w14:paraId="7702EC63">
            <w:pPr>
              <w:pStyle w:val="23"/>
              <w:jc w:val="center"/>
              <w:rPr>
                <w:rFonts w:ascii="宋体" w:hAnsi="宋体"/>
                <w:kern w:val="0"/>
                <w:szCs w:val="21"/>
              </w:rPr>
            </w:pPr>
            <w:r>
              <w:rPr>
                <w:rFonts w:ascii="宋体" w:hAnsi="宋体"/>
                <w:kern w:val="0"/>
                <w:szCs w:val="21"/>
              </w:rPr>
              <w:t>3773</w:t>
            </w:r>
          </w:p>
        </w:tc>
        <w:tc>
          <w:tcPr>
            <w:tcW w:w="992" w:type="pct"/>
            <w:shd w:val="clear" w:color="auto" w:fill="auto"/>
            <w:noWrap/>
            <w:vAlign w:val="center"/>
          </w:tcPr>
          <w:p w14:paraId="43399659">
            <w:pPr>
              <w:pStyle w:val="23"/>
              <w:jc w:val="center"/>
              <w:rPr>
                <w:rFonts w:ascii="宋体" w:hAnsi="宋体"/>
                <w:kern w:val="0"/>
                <w:szCs w:val="21"/>
              </w:rPr>
            </w:pPr>
            <w:r>
              <w:rPr>
                <w:rFonts w:ascii="宋体" w:hAnsi="宋体"/>
                <w:kern w:val="0"/>
                <w:szCs w:val="21"/>
              </w:rPr>
              <w:t>水稻、黄烟、花生、蔬菜</w:t>
            </w:r>
          </w:p>
        </w:tc>
      </w:tr>
      <w:tr w14:paraId="58AE426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64" w:type="pct"/>
            <w:shd w:val="clear" w:color="auto" w:fill="auto"/>
            <w:noWrap/>
            <w:vAlign w:val="center"/>
          </w:tcPr>
          <w:p w14:paraId="7C2B45C4">
            <w:pPr>
              <w:pStyle w:val="23"/>
              <w:jc w:val="center"/>
              <w:rPr>
                <w:rFonts w:ascii="宋体" w:hAnsi="宋体"/>
                <w:kern w:val="0"/>
                <w:szCs w:val="21"/>
              </w:rPr>
            </w:pPr>
            <w:r>
              <w:rPr>
                <w:rFonts w:ascii="宋体" w:hAnsi="宋体"/>
                <w:kern w:val="0"/>
                <w:szCs w:val="21"/>
              </w:rPr>
              <w:t>涌溪</w:t>
            </w:r>
          </w:p>
        </w:tc>
        <w:tc>
          <w:tcPr>
            <w:tcW w:w="368" w:type="pct"/>
            <w:shd w:val="clear" w:color="auto" w:fill="auto"/>
            <w:noWrap/>
            <w:vAlign w:val="center"/>
          </w:tcPr>
          <w:p w14:paraId="49E9A2D9">
            <w:pPr>
              <w:pStyle w:val="23"/>
              <w:jc w:val="center"/>
              <w:rPr>
                <w:rFonts w:ascii="宋体" w:hAnsi="宋体"/>
                <w:kern w:val="0"/>
                <w:szCs w:val="21"/>
              </w:rPr>
            </w:pPr>
            <w:r>
              <w:rPr>
                <w:rFonts w:ascii="宋体" w:hAnsi="宋体"/>
                <w:kern w:val="0"/>
                <w:szCs w:val="21"/>
              </w:rPr>
              <w:t>11</w:t>
            </w:r>
          </w:p>
        </w:tc>
        <w:tc>
          <w:tcPr>
            <w:tcW w:w="212" w:type="pct"/>
            <w:shd w:val="clear" w:color="auto" w:fill="auto"/>
            <w:noWrap/>
            <w:vAlign w:val="center"/>
          </w:tcPr>
          <w:p w14:paraId="2F200D8F">
            <w:pPr>
              <w:pStyle w:val="23"/>
              <w:jc w:val="center"/>
              <w:rPr>
                <w:rFonts w:ascii="宋体" w:hAnsi="宋体"/>
                <w:kern w:val="0"/>
                <w:szCs w:val="21"/>
              </w:rPr>
            </w:pPr>
            <w:r>
              <w:rPr>
                <w:rFonts w:ascii="宋体" w:hAnsi="宋体"/>
                <w:kern w:val="0"/>
                <w:szCs w:val="21"/>
              </w:rPr>
              <w:t>370</w:t>
            </w:r>
          </w:p>
        </w:tc>
        <w:tc>
          <w:tcPr>
            <w:tcW w:w="598" w:type="pct"/>
            <w:shd w:val="clear" w:color="auto" w:fill="auto"/>
            <w:noWrap/>
            <w:vAlign w:val="center"/>
          </w:tcPr>
          <w:p w14:paraId="733B5ED9">
            <w:pPr>
              <w:pStyle w:val="23"/>
              <w:jc w:val="center"/>
              <w:rPr>
                <w:rFonts w:ascii="宋体" w:hAnsi="宋体"/>
                <w:kern w:val="0"/>
                <w:szCs w:val="21"/>
              </w:rPr>
            </w:pPr>
            <w:r>
              <w:rPr>
                <w:rFonts w:ascii="宋体" w:hAnsi="宋体"/>
                <w:kern w:val="0"/>
                <w:szCs w:val="21"/>
              </w:rPr>
              <w:t>1543</w:t>
            </w:r>
          </w:p>
        </w:tc>
        <w:tc>
          <w:tcPr>
            <w:tcW w:w="598" w:type="pct"/>
            <w:shd w:val="clear" w:color="auto" w:fill="auto"/>
            <w:noWrap/>
            <w:vAlign w:val="center"/>
          </w:tcPr>
          <w:p w14:paraId="3E6EC5EF">
            <w:pPr>
              <w:pStyle w:val="23"/>
              <w:jc w:val="center"/>
              <w:rPr>
                <w:rFonts w:ascii="宋体" w:hAnsi="宋体"/>
                <w:kern w:val="0"/>
                <w:szCs w:val="21"/>
              </w:rPr>
            </w:pPr>
            <w:r>
              <w:rPr>
                <w:rFonts w:ascii="宋体" w:hAnsi="宋体"/>
                <w:kern w:val="0"/>
                <w:szCs w:val="21"/>
              </w:rPr>
              <w:t>1261</w:t>
            </w:r>
          </w:p>
        </w:tc>
        <w:tc>
          <w:tcPr>
            <w:tcW w:w="574" w:type="pct"/>
            <w:shd w:val="clear" w:color="auto" w:fill="auto"/>
            <w:noWrap/>
            <w:vAlign w:val="center"/>
          </w:tcPr>
          <w:p w14:paraId="2AEB2734">
            <w:pPr>
              <w:pStyle w:val="23"/>
              <w:jc w:val="center"/>
              <w:rPr>
                <w:rFonts w:ascii="宋体" w:hAnsi="宋体"/>
                <w:kern w:val="0"/>
                <w:szCs w:val="21"/>
              </w:rPr>
            </w:pPr>
            <w:r>
              <w:rPr>
                <w:rFonts w:ascii="宋体" w:hAnsi="宋体"/>
                <w:kern w:val="0"/>
                <w:szCs w:val="21"/>
              </w:rPr>
              <w:t>862</w:t>
            </w:r>
          </w:p>
        </w:tc>
        <w:tc>
          <w:tcPr>
            <w:tcW w:w="419" w:type="pct"/>
            <w:shd w:val="clear" w:color="auto" w:fill="auto"/>
            <w:noWrap/>
            <w:vAlign w:val="center"/>
          </w:tcPr>
          <w:p w14:paraId="018A5BBB">
            <w:pPr>
              <w:pStyle w:val="23"/>
              <w:jc w:val="center"/>
              <w:rPr>
                <w:rFonts w:ascii="宋体" w:hAnsi="宋体"/>
                <w:kern w:val="0"/>
                <w:szCs w:val="21"/>
              </w:rPr>
            </w:pPr>
            <w:r>
              <w:rPr>
                <w:rFonts w:ascii="宋体" w:hAnsi="宋体"/>
                <w:kern w:val="0"/>
                <w:szCs w:val="21"/>
              </w:rPr>
              <w:t>337</w:t>
            </w:r>
          </w:p>
        </w:tc>
        <w:tc>
          <w:tcPr>
            <w:tcW w:w="237" w:type="pct"/>
            <w:shd w:val="clear" w:color="auto" w:fill="auto"/>
            <w:noWrap/>
            <w:vAlign w:val="center"/>
          </w:tcPr>
          <w:p w14:paraId="24D719EE">
            <w:pPr>
              <w:pStyle w:val="23"/>
              <w:jc w:val="center"/>
              <w:rPr>
                <w:rFonts w:ascii="宋体" w:hAnsi="宋体"/>
                <w:kern w:val="0"/>
                <w:szCs w:val="21"/>
              </w:rPr>
            </w:pPr>
            <w:r>
              <w:rPr>
                <w:rFonts w:ascii="宋体" w:hAnsi="宋体"/>
                <w:kern w:val="0"/>
                <w:szCs w:val="21"/>
              </w:rPr>
              <w:t>1776</w:t>
            </w:r>
          </w:p>
        </w:tc>
        <w:tc>
          <w:tcPr>
            <w:tcW w:w="211" w:type="pct"/>
            <w:shd w:val="clear" w:color="auto" w:fill="auto"/>
            <w:noWrap/>
            <w:vAlign w:val="center"/>
          </w:tcPr>
          <w:p w14:paraId="224914DE">
            <w:pPr>
              <w:pStyle w:val="23"/>
              <w:jc w:val="center"/>
              <w:rPr>
                <w:rFonts w:ascii="宋体" w:hAnsi="宋体"/>
                <w:kern w:val="0"/>
                <w:szCs w:val="21"/>
              </w:rPr>
            </w:pPr>
            <w:r>
              <w:rPr>
                <w:rFonts w:ascii="宋体" w:hAnsi="宋体"/>
                <w:kern w:val="0"/>
                <w:szCs w:val="21"/>
              </w:rPr>
              <w:t>1184</w:t>
            </w:r>
          </w:p>
        </w:tc>
        <w:tc>
          <w:tcPr>
            <w:tcW w:w="211" w:type="pct"/>
            <w:shd w:val="clear" w:color="auto" w:fill="auto"/>
            <w:noWrap/>
            <w:vAlign w:val="center"/>
          </w:tcPr>
          <w:p w14:paraId="078BA19B">
            <w:pPr>
              <w:pStyle w:val="23"/>
              <w:jc w:val="center"/>
              <w:rPr>
                <w:rFonts w:ascii="宋体" w:hAnsi="宋体"/>
                <w:kern w:val="0"/>
                <w:szCs w:val="21"/>
              </w:rPr>
            </w:pPr>
            <w:r>
              <w:rPr>
                <w:rFonts w:ascii="宋体" w:hAnsi="宋体"/>
                <w:kern w:val="0"/>
                <w:szCs w:val="21"/>
              </w:rPr>
              <w:t>592</w:t>
            </w:r>
          </w:p>
        </w:tc>
        <w:tc>
          <w:tcPr>
            <w:tcW w:w="316" w:type="pct"/>
            <w:shd w:val="clear" w:color="auto" w:fill="auto"/>
            <w:noWrap/>
            <w:vAlign w:val="center"/>
          </w:tcPr>
          <w:p w14:paraId="514E678A">
            <w:pPr>
              <w:pStyle w:val="23"/>
              <w:jc w:val="center"/>
              <w:rPr>
                <w:rFonts w:ascii="宋体" w:hAnsi="宋体"/>
                <w:kern w:val="0"/>
                <w:szCs w:val="21"/>
              </w:rPr>
            </w:pPr>
            <w:r>
              <w:rPr>
                <w:rFonts w:ascii="宋体" w:hAnsi="宋体"/>
                <w:kern w:val="0"/>
                <w:szCs w:val="21"/>
              </w:rPr>
              <w:t>5997.5</w:t>
            </w:r>
          </w:p>
        </w:tc>
        <w:tc>
          <w:tcPr>
            <w:tcW w:w="992" w:type="pct"/>
            <w:shd w:val="clear" w:color="auto" w:fill="auto"/>
            <w:noWrap/>
            <w:vAlign w:val="center"/>
          </w:tcPr>
          <w:p w14:paraId="0C0DD7C0">
            <w:pPr>
              <w:pStyle w:val="23"/>
              <w:jc w:val="center"/>
              <w:rPr>
                <w:rFonts w:ascii="宋体" w:hAnsi="宋体"/>
                <w:kern w:val="0"/>
                <w:szCs w:val="21"/>
              </w:rPr>
            </w:pPr>
            <w:r>
              <w:rPr>
                <w:rFonts w:ascii="宋体" w:hAnsi="宋体"/>
                <w:kern w:val="0"/>
                <w:szCs w:val="21"/>
              </w:rPr>
              <w:t>水稻、黄烟、花生、蔬菜</w:t>
            </w:r>
          </w:p>
        </w:tc>
      </w:tr>
      <w:tr w14:paraId="2307F3A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64" w:type="pct"/>
            <w:shd w:val="clear" w:color="auto" w:fill="auto"/>
            <w:noWrap/>
            <w:vAlign w:val="center"/>
          </w:tcPr>
          <w:p w14:paraId="3901CBBF">
            <w:pPr>
              <w:pStyle w:val="23"/>
              <w:jc w:val="center"/>
              <w:rPr>
                <w:rFonts w:ascii="宋体" w:hAnsi="宋体"/>
                <w:kern w:val="0"/>
                <w:szCs w:val="21"/>
              </w:rPr>
            </w:pPr>
            <w:r>
              <w:rPr>
                <w:rFonts w:ascii="宋体" w:hAnsi="宋体"/>
                <w:kern w:val="0"/>
                <w:szCs w:val="21"/>
              </w:rPr>
              <w:t>元甫</w:t>
            </w:r>
          </w:p>
        </w:tc>
        <w:tc>
          <w:tcPr>
            <w:tcW w:w="368" w:type="pct"/>
            <w:shd w:val="clear" w:color="auto" w:fill="auto"/>
            <w:noWrap/>
            <w:vAlign w:val="center"/>
          </w:tcPr>
          <w:p w14:paraId="2DEB97F9">
            <w:pPr>
              <w:pStyle w:val="23"/>
              <w:jc w:val="center"/>
              <w:rPr>
                <w:rFonts w:ascii="宋体" w:hAnsi="宋体"/>
                <w:kern w:val="0"/>
                <w:szCs w:val="21"/>
              </w:rPr>
            </w:pPr>
            <w:r>
              <w:rPr>
                <w:rFonts w:ascii="宋体" w:hAnsi="宋体"/>
                <w:kern w:val="0"/>
                <w:szCs w:val="21"/>
              </w:rPr>
              <w:t>12</w:t>
            </w:r>
          </w:p>
        </w:tc>
        <w:tc>
          <w:tcPr>
            <w:tcW w:w="212" w:type="pct"/>
            <w:shd w:val="clear" w:color="auto" w:fill="auto"/>
            <w:noWrap/>
            <w:vAlign w:val="center"/>
          </w:tcPr>
          <w:p w14:paraId="37332E3F">
            <w:pPr>
              <w:pStyle w:val="23"/>
              <w:jc w:val="center"/>
              <w:rPr>
                <w:rFonts w:ascii="宋体" w:hAnsi="宋体"/>
                <w:kern w:val="0"/>
                <w:szCs w:val="21"/>
              </w:rPr>
            </w:pPr>
            <w:r>
              <w:rPr>
                <w:rFonts w:ascii="宋体" w:hAnsi="宋体"/>
                <w:kern w:val="0"/>
                <w:szCs w:val="21"/>
              </w:rPr>
              <w:t>368</w:t>
            </w:r>
          </w:p>
        </w:tc>
        <w:tc>
          <w:tcPr>
            <w:tcW w:w="598" w:type="pct"/>
            <w:shd w:val="clear" w:color="auto" w:fill="auto"/>
            <w:noWrap/>
            <w:vAlign w:val="center"/>
          </w:tcPr>
          <w:p w14:paraId="196D77FB">
            <w:pPr>
              <w:pStyle w:val="23"/>
              <w:jc w:val="center"/>
              <w:rPr>
                <w:rFonts w:ascii="宋体" w:hAnsi="宋体"/>
                <w:kern w:val="0"/>
                <w:szCs w:val="21"/>
              </w:rPr>
            </w:pPr>
            <w:r>
              <w:rPr>
                <w:rFonts w:ascii="宋体" w:hAnsi="宋体"/>
                <w:kern w:val="0"/>
                <w:szCs w:val="21"/>
              </w:rPr>
              <w:t>1450</w:t>
            </w:r>
          </w:p>
        </w:tc>
        <w:tc>
          <w:tcPr>
            <w:tcW w:w="598" w:type="pct"/>
            <w:shd w:val="clear" w:color="auto" w:fill="auto"/>
            <w:noWrap/>
            <w:vAlign w:val="center"/>
          </w:tcPr>
          <w:p w14:paraId="0006CEDF">
            <w:pPr>
              <w:pStyle w:val="23"/>
              <w:jc w:val="center"/>
              <w:rPr>
                <w:rFonts w:ascii="宋体" w:hAnsi="宋体"/>
                <w:kern w:val="0"/>
                <w:szCs w:val="21"/>
              </w:rPr>
            </w:pPr>
            <w:r>
              <w:rPr>
                <w:rFonts w:ascii="宋体" w:hAnsi="宋体"/>
                <w:kern w:val="0"/>
                <w:szCs w:val="21"/>
              </w:rPr>
              <w:t>1182</w:t>
            </w:r>
          </w:p>
        </w:tc>
        <w:tc>
          <w:tcPr>
            <w:tcW w:w="574" w:type="pct"/>
            <w:shd w:val="clear" w:color="auto" w:fill="auto"/>
            <w:noWrap/>
            <w:vAlign w:val="center"/>
          </w:tcPr>
          <w:p w14:paraId="2096C569">
            <w:pPr>
              <w:pStyle w:val="23"/>
              <w:jc w:val="center"/>
              <w:rPr>
                <w:rFonts w:ascii="宋体" w:hAnsi="宋体"/>
                <w:kern w:val="0"/>
                <w:szCs w:val="21"/>
              </w:rPr>
            </w:pPr>
            <w:r>
              <w:rPr>
                <w:rFonts w:ascii="宋体" w:hAnsi="宋体"/>
                <w:kern w:val="0"/>
                <w:szCs w:val="21"/>
              </w:rPr>
              <w:t>807</w:t>
            </w:r>
          </w:p>
        </w:tc>
        <w:tc>
          <w:tcPr>
            <w:tcW w:w="419" w:type="pct"/>
            <w:shd w:val="clear" w:color="auto" w:fill="auto"/>
            <w:noWrap/>
            <w:vAlign w:val="center"/>
          </w:tcPr>
          <w:p w14:paraId="144E8FAF">
            <w:pPr>
              <w:pStyle w:val="23"/>
              <w:jc w:val="center"/>
              <w:rPr>
                <w:rFonts w:ascii="宋体" w:hAnsi="宋体"/>
                <w:kern w:val="0"/>
                <w:szCs w:val="21"/>
              </w:rPr>
            </w:pPr>
            <w:r>
              <w:rPr>
                <w:rFonts w:ascii="宋体" w:hAnsi="宋体"/>
                <w:kern w:val="0"/>
                <w:szCs w:val="21"/>
              </w:rPr>
              <w:t>366</w:t>
            </w:r>
          </w:p>
        </w:tc>
        <w:tc>
          <w:tcPr>
            <w:tcW w:w="237" w:type="pct"/>
            <w:shd w:val="clear" w:color="auto" w:fill="auto"/>
            <w:noWrap/>
            <w:vAlign w:val="center"/>
          </w:tcPr>
          <w:p w14:paraId="3CF5EFBF">
            <w:pPr>
              <w:pStyle w:val="23"/>
              <w:jc w:val="center"/>
              <w:rPr>
                <w:rFonts w:ascii="宋体" w:hAnsi="宋体"/>
                <w:kern w:val="0"/>
                <w:szCs w:val="21"/>
              </w:rPr>
            </w:pPr>
            <w:r>
              <w:rPr>
                <w:rFonts w:ascii="宋体" w:hAnsi="宋体"/>
                <w:kern w:val="0"/>
                <w:szCs w:val="21"/>
              </w:rPr>
              <w:t>2116</w:t>
            </w:r>
          </w:p>
        </w:tc>
        <w:tc>
          <w:tcPr>
            <w:tcW w:w="211" w:type="pct"/>
            <w:shd w:val="clear" w:color="auto" w:fill="auto"/>
            <w:noWrap/>
            <w:vAlign w:val="center"/>
          </w:tcPr>
          <w:p w14:paraId="18A04E54">
            <w:pPr>
              <w:pStyle w:val="23"/>
              <w:jc w:val="center"/>
              <w:rPr>
                <w:rFonts w:ascii="宋体" w:hAnsi="宋体"/>
                <w:kern w:val="0"/>
                <w:szCs w:val="21"/>
              </w:rPr>
            </w:pPr>
            <w:r>
              <w:rPr>
                <w:rFonts w:ascii="宋体" w:hAnsi="宋体"/>
                <w:kern w:val="0"/>
                <w:szCs w:val="21"/>
              </w:rPr>
              <w:t>1862</w:t>
            </w:r>
          </w:p>
        </w:tc>
        <w:tc>
          <w:tcPr>
            <w:tcW w:w="211" w:type="pct"/>
            <w:shd w:val="clear" w:color="auto" w:fill="auto"/>
            <w:noWrap/>
            <w:vAlign w:val="center"/>
          </w:tcPr>
          <w:p w14:paraId="480B25DE">
            <w:pPr>
              <w:pStyle w:val="23"/>
              <w:jc w:val="center"/>
              <w:rPr>
                <w:rFonts w:ascii="宋体" w:hAnsi="宋体"/>
                <w:kern w:val="0"/>
                <w:szCs w:val="21"/>
              </w:rPr>
            </w:pPr>
            <w:r>
              <w:rPr>
                <w:rFonts w:ascii="宋体" w:hAnsi="宋体"/>
                <w:kern w:val="0"/>
                <w:szCs w:val="21"/>
              </w:rPr>
              <w:t>254</w:t>
            </w:r>
          </w:p>
        </w:tc>
        <w:tc>
          <w:tcPr>
            <w:tcW w:w="316" w:type="pct"/>
            <w:shd w:val="clear" w:color="auto" w:fill="auto"/>
            <w:noWrap/>
            <w:vAlign w:val="center"/>
          </w:tcPr>
          <w:p w14:paraId="20084241">
            <w:pPr>
              <w:pStyle w:val="23"/>
              <w:jc w:val="center"/>
              <w:rPr>
                <w:rFonts w:ascii="宋体" w:hAnsi="宋体"/>
                <w:kern w:val="0"/>
                <w:szCs w:val="21"/>
              </w:rPr>
            </w:pPr>
            <w:r>
              <w:rPr>
                <w:rFonts w:ascii="宋体" w:hAnsi="宋体"/>
                <w:kern w:val="0"/>
                <w:szCs w:val="21"/>
              </w:rPr>
              <w:t>8232</w:t>
            </w:r>
          </w:p>
        </w:tc>
        <w:tc>
          <w:tcPr>
            <w:tcW w:w="992" w:type="pct"/>
            <w:shd w:val="clear" w:color="auto" w:fill="auto"/>
            <w:noWrap/>
            <w:vAlign w:val="center"/>
          </w:tcPr>
          <w:p w14:paraId="41BE659E">
            <w:pPr>
              <w:pStyle w:val="23"/>
              <w:jc w:val="center"/>
              <w:rPr>
                <w:rFonts w:ascii="宋体" w:hAnsi="宋体"/>
                <w:kern w:val="0"/>
                <w:szCs w:val="21"/>
              </w:rPr>
            </w:pPr>
            <w:r>
              <w:rPr>
                <w:rFonts w:ascii="宋体" w:hAnsi="宋体"/>
                <w:kern w:val="0"/>
                <w:szCs w:val="21"/>
              </w:rPr>
              <w:t>水稻、黄烟、花生、蔬菜</w:t>
            </w:r>
          </w:p>
        </w:tc>
      </w:tr>
      <w:tr w14:paraId="082A9BB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64" w:type="pct"/>
            <w:shd w:val="clear" w:color="auto" w:fill="auto"/>
            <w:noWrap/>
            <w:vAlign w:val="center"/>
          </w:tcPr>
          <w:p w14:paraId="1582C5F1">
            <w:pPr>
              <w:pStyle w:val="23"/>
              <w:jc w:val="center"/>
              <w:rPr>
                <w:rFonts w:ascii="宋体" w:hAnsi="宋体"/>
                <w:kern w:val="0"/>
                <w:szCs w:val="21"/>
              </w:rPr>
            </w:pPr>
            <w:r>
              <w:rPr>
                <w:rFonts w:ascii="宋体" w:hAnsi="宋体"/>
                <w:kern w:val="0"/>
                <w:szCs w:val="21"/>
              </w:rPr>
              <w:t>江头</w:t>
            </w:r>
          </w:p>
        </w:tc>
        <w:tc>
          <w:tcPr>
            <w:tcW w:w="368" w:type="pct"/>
            <w:shd w:val="clear" w:color="auto" w:fill="auto"/>
            <w:noWrap/>
            <w:vAlign w:val="center"/>
          </w:tcPr>
          <w:p w14:paraId="12A97CDD">
            <w:pPr>
              <w:pStyle w:val="23"/>
              <w:jc w:val="center"/>
              <w:rPr>
                <w:rFonts w:ascii="宋体" w:hAnsi="宋体"/>
                <w:kern w:val="0"/>
                <w:szCs w:val="21"/>
              </w:rPr>
            </w:pPr>
            <w:r>
              <w:rPr>
                <w:rFonts w:ascii="宋体" w:hAnsi="宋体"/>
                <w:kern w:val="0"/>
                <w:szCs w:val="21"/>
              </w:rPr>
              <w:t>11</w:t>
            </w:r>
          </w:p>
        </w:tc>
        <w:tc>
          <w:tcPr>
            <w:tcW w:w="212" w:type="pct"/>
            <w:shd w:val="clear" w:color="auto" w:fill="auto"/>
            <w:noWrap/>
            <w:vAlign w:val="center"/>
          </w:tcPr>
          <w:p w14:paraId="5F7613C4">
            <w:pPr>
              <w:pStyle w:val="23"/>
              <w:jc w:val="center"/>
              <w:rPr>
                <w:rFonts w:ascii="宋体" w:hAnsi="宋体"/>
                <w:kern w:val="0"/>
                <w:szCs w:val="21"/>
              </w:rPr>
            </w:pPr>
            <w:r>
              <w:rPr>
                <w:rFonts w:ascii="宋体" w:hAnsi="宋体"/>
                <w:kern w:val="0"/>
                <w:szCs w:val="21"/>
              </w:rPr>
              <w:t>319</w:t>
            </w:r>
          </w:p>
        </w:tc>
        <w:tc>
          <w:tcPr>
            <w:tcW w:w="598" w:type="pct"/>
            <w:shd w:val="clear" w:color="auto" w:fill="auto"/>
            <w:noWrap/>
            <w:vAlign w:val="center"/>
          </w:tcPr>
          <w:p w14:paraId="2969CF07">
            <w:pPr>
              <w:pStyle w:val="23"/>
              <w:jc w:val="center"/>
              <w:rPr>
                <w:rFonts w:ascii="宋体" w:hAnsi="宋体"/>
                <w:kern w:val="0"/>
                <w:szCs w:val="21"/>
              </w:rPr>
            </w:pPr>
            <w:r>
              <w:rPr>
                <w:rFonts w:ascii="宋体" w:hAnsi="宋体"/>
                <w:kern w:val="0"/>
                <w:szCs w:val="21"/>
              </w:rPr>
              <w:t>1366</w:t>
            </w:r>
          </w:p>
        </w:tc>
        <w:tc>
          <w:tcPr>
            <w:tcW w:w="598" w:type="pct"/>
            <w:shd w:val="clear" w:color="auto" w:fill="auto"/>
            <w:noWrap/>
            <w:vAlign w:val="center"/>
          </w:tcPr>
          <w:p w14:paraId="0957A2F5">
            <w:pPr>
              <w:pStyle w:val="23"/>
              <w:jc w:val="center"/>
              <w:rPr>
                <w:rFonts w:ascii="宋体" w:hAnsi="宋体"/>
                <w:kern w:val="0"/>
                <w:szCs w:val="21"/>
              </w:rPr>
            </w:pPr>
            <w:r>
              <w:rPr>
                <w:rFonts w:ascii="宋体" w:hAnsi="宋体"/>
                <w:kern w:val="0"/>
                <w:szCs w:val="21"/>
              </w:rPr>
              <w:t>1118</w:t>
            </w:r>
          </w:p>
        </w:tc>
        <w:tc>
          <w:tcPr>
            <w:tcW w:w="574" w:type="pct"/>
            <w:shd w:val="clear" w:color="auto" w:fill="auto"/>
            <w:noWrap/>
            <w:vAlign w:val="center"/>
          </w:tcPr>
          <w:p w14:paraId="0CF779C4">
            <w:pPr>
              <w:pStyle w:val="23"/>
              <w:jc w:val="center"/>
              <w:rPr>
                <w:rFonts w:ascii="宋体" w:hAnsi="宋体"/>
                <w:kern w:val="0"/>
                <w:szCs w:val="21"/>
              </w:rPr>
            </w:pPr>
            <w:r>
              <w:rPr>
                <w:rFonts w:ascii="宋体" w:hAnsi="宋体"/>
                <w:kern w:val="0"/>
                <w:szCs w:val="21"/>
              </w:rPr>
              <w:t>764</w:t>
            </w:r>
          </w:p>
        </w:tc>
        <w:tc>
          <w:tcPr>
            <w:tcW w:w="419" w:type="pct"/>
            <w:shd w:val="clear" w:color="auto" w:fill="auto"/>
            <w:noWrap/>
            <w:vAlign w:val="center"/>
          </w:tcPr>
          <w:p w14:paraId="7EB0A7D3">
            <w:pPr>
              <w:pStyle w:val="23"/>
              <w:jc w:val="center"/>
              <w:rPr>
                <w:rFonts w:ascii="宋体" w:hAnsi="宋体"/>
                <w:kern w:val="0"/>
                <w:szCs w:val="21"/>
              </w:rPr>
            </w:pPr>
            <w:r>
              <w:rPr>
                <w:rFonts w:ascii="宋体" w:hAnsi="宋体"/>
                <w:kern w:val="0"/>
                <w:szCs w:val="21"/>
              </w:rPr>
              <w:t>278</w:t>
            </w:r>
          </w:p>
        </w:tc>
        <w:tc>
          <w:tcPr>
            <w:tcW w:w="237" w:type="pct"/>
            <w:shd w:val="clear" w:color="auto" w:fill="auto"/>
            <w:noWrap/>
            <w:vAlign w:val="center"/>
          </w:tcPr>
          <w:p w14:paraId="481058DE">
            <w:pPr>
              <w:pStyle w:val="23"/>
              <w:jc w:val="center"/>
              <w:rPr>
                <w:rFonts w:ascii="宋体" w:hAnsi="宋体"/>
                <w:kern w:val="0"/>
                <w:szCs w:val="21"/>
              </w:rPr>
            </w:pPr>
            <w:r>
              <w:rPr>
                <w:rFonts w:ascii="宋体" w:hAnsi="宋体"/>
                <w:kern w:val="0"/>
                <w:szCs w:val="21"/>
              </w:rPr>
              <w:t>1984</w:t>
            </w:r>
          </w:p>
        </w:tc>
        <w:tc>
          <w:tcPr>
            <w:tcW w:w="211" w:type="pct"/>
            <w:shd w:val="clear" w:color="auto" w:fill="auto"/>
            <w:noWrap/>
            <w:vAlign w:val="center"/>
          </w:tcPr>
          <w:p w14:paraId="5DDEEB52">
            <w:pPr>
              <w:pStyle w:val="23"/>
              <w:jc w:val="center"/>
              <w:rPr>
                <w:rFonts w:ascii="宋体" w:hAnsi="宋体"/>
                <w:kern w:val="0"/>
                <w:szCs w:val="21"/>
              </w:rPr>
            </w:pPr>
            <w:r>
              <w:rPr>
                <w:rFonts w:ascii="宋体" w:hAnsi="宋体"/>
                <w:kern w:val="0"/>
                <w:szCs w:val="21"/>
              </w:rPr>
              <w:t>1752</w:t>
            </w:r>
          </w:p>
        </w:tc>
        <w:tc>
          <w:tcPr>
            <w:tcW w:w="211" w:type="pct"/>
            <w:shd w:val="clear" w:color="auto" w:fill="auto"/>
            <w:noWrap/>
            <w:vAlign w:val="center"/>
          </w:tcPr>
          <w:p w14:paraId="5A30E04B">
            <w:pPr>
              <w:pStyle w:val="23"/>
              <w:jc w:val="center"/>
              <w:rPr>
                <w:rFonts w:ascii="宋体" w:hAnsi="宋体"/>
                <w:kern w:val="0"/>
                <w:szCs w:val="21"/>
              </w:rPr>
            </w:pPr>
            <w:r>
              <w:rPr>
                <w:rFonts w:ascii="宋体" w:hAnsi="宋体"/>
                <w:kern w:val="0"/>
                <w:szCs w:val="21"/>
              </w:rPr>
              <w:t>232</w:t>
            </w:r>
          </w:p>
        </w:tc>
        <w:tc>
          <w:tcPr>
            <w:tcW w:w="316" w:type="pct"/>
            <w:shd w:val="clear" w:color="auto" w:fill="auto"/>
            <w:noWrap/>
            <w:vAlign w:val="center"/>
          </w:tcPr>
          <w:p w14:paraId="278D94C9">
            <w:pPr>
              <w:pStyle w:val="23"/>
              <w:jc w:val="center"/>
              <w:rPr>
                <w:rFonts w:ascii="宋体" w:hAnsi="宋体"/>
                <w:kern w:val="0"/>
                <w:szCs w:val="21"/>
              </w:rPr>
            </w:pPr>
            <w:r>
              <w:rPr>
                <w:rFonts w:ascii="宋体" w:hAnsi="宋体"/>
                <w:kern w:val="0"/>
                <w:szCs w:val="21"/>
              </w:rPr>
              <w:t>30716.5</w:t>
            </w:r>
          </w:p>
        </w:tc>
        <w:tc>
          <w:tcPr>
            <w:tcW w:w="992" w:type="pct"/>
            <w:shd w:val="clear" w:color="auto" w:fill="auto"/>
            <w:noWrap/>
            <w:vAlign w:val="center"/>
          </w:tcPr>
          <w:p w14:paraId="394C85A0">
            <w:pPr>
              <w:pStyle w:val="23"/>
              <w:jc w:val="center"/>
              <w:rPr>
                <w:rFonts w:ascii="宋体" w:hAnsi="宋体"/>
                <w:kern w:val="0"/>
                <w:szCs w:val="21"/>
              </w:rPr>
            </w:pPr>
            <w:r>
              <w:rPr>
                <w:rFonts w:ascii="宋体" w:hAnsi="宋体"/>
                <w:kern w:val="0"/>
                <w:szCs w:val="21"/>
              </w:rPr>
              <w:t>水稻、花生、竹木、果树</w:t>
            </w:r>
          </w:p>
        </w:tc>
      </w:tr>
      <w:tr w14:paraId="095D4F7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64" w:type="pct"/>
            <w:shd w:val="clear" w:color="auto" w:fill="auto"/>
            <w:noWrap/>
            <w:vAlign w:val="center"/>
          </w:tcPr>
          <w:p w14:paraId="5D1F0C7C">
            <w:pPr>
              <w:pStyle w:val="23"/>
              <w:jc w:val="center"/>
              <w:rPr>
                <w:rFonts w:ascii="宋体" w:hAnsi="宋体"/>
                <w:kern w:val="0"/>
                <w:szCs w:val="21"/>
              </w:rPr>
            </w:pPr>
            <w:r>
              <w:rPr>
                <w:rFonts w:ascii="宋体" w:hAnsi="宋体"/>
                <w:kern w:val="0"/>
                <w:szCs w:val="21"/>
              </w:rPr>
              <w:t>鱼仙</w:t>
            </w:r>
          </w:p>
        </w:tc>
        <w:tc>
          <w:tcPr>
            <w:tcW w:w="368" w:type="pct"/>
            <w:shd w:val="clear" w:color="auto" w:fill="auto"/>
            <w:noWrap/>
            <w:vAlign w:val="center"/>
          </w:tcPr>
          <w:p w14:paraId="3A3C36B9">
            <w:pPr>
              <w:pStyle w:val="23"/>
              <w:jc w:val="center"/>
              <w:rPr>
                <w:rFonts w:ascii="宋体" w:hAnsi="宋体"/>
                <w:kern w:val="0"/>
                <w:szCs w:val="21"/>
              </w:rPr>
            </w:pPr>
            <w:r>
              <w:rPr>
                <w:rFonts w:ascii="宋体" w:hAnsi="宋体"/>
                <w:kern w:val="0"/>
                <w:szCs w:val="21"/>
              </w:rPr>
              <w:t>14</w:t>
            </w:r>
          </w:p>
        </w:tc>
        <w:tc>
          <w:tcPr>
            <w:tcW w:w="212" w:type="pct"/>
            <w:shd w:val="clear" w:color="auto" w:fill="auto"/>
            <w:noWrap/>
            <w:vAlign w:val="center"/>
          </w:tcPr>
          <w:p w14:paraId="0B413FFC">
            <w:pPr>
              <w:pStyle w:val="23"/>
              <w:jc w:val="center"/>
              <w:rPr>
                <w:rFonts w:ascii="宋体" w:hAnsi="宋体"/>
                <w:kern w:val="0"/>
                <w:szCs w:val="21"/>
              </w:rPr>
            </w:pPr>
            <w:r>
              <w:rPr>
                <w:rFonts w:ascii="宋体" w:hAnsi="宋体"/>
                <w:kern w:val="0"/>
                <w:szCs w:val="21"/>
              </w:rPr>
              <w:t>265</w:t>
            </w:r>
          </w:p>
        </w:tc>
        <w:tc>
          <w:tcPr>
            <w:tcW w:w="598" w:type="pct"/>
            <w:shd w:val="clear" w:color="auto" w:fill="auto"/>
            <w:noWrap/>
            <w:vAlign w:val="center"/>
          </w:tcPr>
          <w:p w14:paraId="345B6293">
            <w:pPr>
              <w:pStyle w:val="23"/>
              <w:jc w:val="center"/>
              <w:rPr>
                <w:rFonts w:ascii="宋体" w:hAnsi="宋体"/>
                <w:kern w:val="0"/>
                <w:szCs w:val="21"/>
              </w:rPr>
            </w:pPr>
            <w:r>
              <w:rPr>
                <w:rFonts w:ascii="宋体" w:hAnsi="宋体"/>
                <w:kern w:val="0"/>
                <w:szCs w:val="21"/>
              </w:rPr>
              <w:t>1237</w:t>
            </w:r>
          </w:p>
        </w:tc>
        <w:tc>
          <w:tcPr>
            <w:tcW w:w="598" w:type="pct"/>
            <w:shd w:val="clear" w:color="auto" w:fill="auto"/>
            <w:noWrap/>
            <w:vAlign w:val="center"/>
          </w:tcPr>
          <w:p w14:paraId="1F07231C">
            <w:pPr>
              <w:pStyle w:val="23"/>
              <w:jc w:val="center"/>
              <w:rPr>
                <w:rFonts w:ascii="宋体" w:hAnsi="宋体"/>
                <w:kern w:val="0"/>
                <w:szCs w:val="21"/>
              </w:rPr>
            </w:pPr>
            <w:r>
              <w:rPr>
                <w:rFonts w:ascii="宋体" w:hAnsi="宋体"/>
                <w:kern w:val="0"/>
                <w:szCs w:val="21"/>
              </w:rPr>
              <w:t>986</w:t>
            </w:r>
          </w:p>
        </w:tc>
        <w:tc>
          <w:tcPr>
            <w:tcW w:w="574" w:type="pct"/>
            <w:shd w:val="clear" w:color="auto" w:fill="auto"/>
            <w:noWrap/>
            <w:vAlign w:val="center"/>
          </w:tcPr>
          <w:p w14:paraId="4C1AE427">
            <w:pPr>
              <w:pStyle w:val="23"/>
              <w:jc w:val="center"/>
              <w:rPr>
                <w:rFonts w:ascii="宋体" w:hAnsi="宋体"/>
                <w:kern w:val="0"/>
                <w:szCs w:val="21"/>
              </w:rPr>
            </w:pPr>
            <w:r>
              <w:rPr>
                <w:rFonts w:ascii="宋体" w:hAnsi="宋体"/>
                <w:kern w:val="0"/>
                <w:szCs w:val="21"/>
              </w:rPr>
              <w:t>674</w:t>
            </w:r>
          </w:p>
        </w:tc>
        <w:tc>
          <w:tcPr>
            <w:tcW w:w="419" w:type="pct"/>
            <w:shd w:val="clear" w:color="auto" w:fill="auto"/>
            <w:noWrap/>
            <w:vAlign w:val="center"/>
          </w:tcPr>
          <w:p w14:paraId="23D453B1">
            <w:pPr>
              <w:pStyle w:val="23"/>
              <w:jc w:val="center"/>
              <w:rPr>
                <w:rFonts w:ascii="宋体" w:hAnsi="宋体"/>
                <w:kern w:val="0"/>
                <w:szCs w:val="21"/>
              </w:rPr>
            </w:pPr>
            <w:r>
              <w:rPr>
                <w:rFonts w:ascii="宋体" w:hAnsi="宋体"/>
                <w:kern w:val="0"/>
                <w:szCs w:val="21"/>
              </w:rPr>
              <w:t>390</w:t>
            </w:r>
          </w:p>
        </w:tc>
        <w:tc>
          <w:tcPr>
            <w:tcW w:w="237" w:type="pct"/>
            <w:shd w:val="clear" w:color="auto" w:fill="auto"/>
            <w:noWrap/>
            <w:vAlign w:val="center"/>
          </w:tcPr>
          <w:p w14:paraId="1E3A9BD2">
            <w:pPr>
              <w:pStyle w:val="23"/>
              <w:jc w:val="center"/>
              <w:rPr>
                <w:rFonts w:ascii="宋体" w:hAnsi="宋体"/>
                <w:kern w:val="0"/>
                <w:szCs w:val="21"/>
              </w:rPr>
            </w:pPr>
            <w:r>
              <w:rPr>
                <w:rFonts w:ascii="宋体" w:hAnsi="宋体"/>
                <w:kern w:val="0"/>
                <w:szCs w:val="21"/>
              </w:rPr>
              <w:t>1100</w:t>
            </w:r>
          </w:p>
        </w:tc>
        <w:tc>
          <w:tcPr>
            <w:tcW w:w="211" w:type="pct"/>
            <w:shd w:val="clear" w:color="auto" w:fill="auto"/>
            <w:noWrap/>
            <w:vAlign w:val="center"/>
          </w:tcPr>
          <w:p w14:paraId="335C5966">
            <w:pPr>
              <w:pStyle w:val="23"/>
              <w:jc w:val="center"/>
              <w:rPr>
                <w:rFonts w:ascii="宋体" w:hAnsi="宋体"/>
                <w:kern w:val="0"/>
                <w:szCs w:val="21"/>
              </w:rPr>
            </w:pPr>
            <w:r>
              <w:rPr>
                <w:rFonts w:ascii="宋体" w:hAnsi="宋体"/>
                <w:kern w:val="0"/>
                <w:szCs w:val="21"/>
              </w:rPr>
              <w:t>1060</w:t>
            </w:r>
          </w:p>
        </w:tc>
        <w:tc>
          <w:tcPr>
            <w:tcW w:w="211" w:type="pct"/>
            <w:shd w:val="clear" w:color="auto" w:fill="auto"/>
            <w:noWrap/>
            <w:vAlign w:val="center"/>
          </w:tcPr>
          <w:p w14:paraId="12EC2437">
            <w:pPr>
              <w:pStyle w:val="23"/>
              <w:jc w:val="center"/>
              <w:rPr>
                <w:rFonts w:ascii="宋体" w:hAnsi="宋体"/>
                <w:kern w:val="0"/>
                <w:szCs w:val="21"/>
              </w:rPr>
            </w:pPr>
            <w:r>
              <w:rPr>
                <w:rFonts w:ascii="宋体" w:hAnsi="宋体"/>
                <w:kern w:val="0"/>
                <w:szCs w:val="21"/>
              </w:rPr>
              <w:t>40</w:t>
            </w:r>
          </w:p>
        </w:tc>
        <w:tc>
          <w:tcPr>
            <w:tcW w:w="316" w:type="pct"/>
            <w:shd w:val="clear" w:color="auto" w:fill="auto"/>
            <w:noWrap/>
            <w:vAlign w:val="center"/>
          </w:tcPr>
          <w:p w14:paraId="3C268BB6">
            <w:pPr>
              <w:pStyle w:val="23"/>
              <w:jc w:val="center"/>
              <w:rPr>
                <w:rFonts w:ascii="宋体" w:hAnsi="宋体"/>
                <w:kern w:val="0"/>
                <w:szCs w:val="21"/>
              </w:rPr>
            </w:pPr>
            <w:r>
              <w:rPr>
                <w:rFonts w:ascii="宋体" w:hAnsi="宋体"/>
                <w:kern w:val="0"/>
                <w:szCs w:val="21"/>
              </w:rPr>
              <w:t>23342</w:t>
            </w:r>
          </w:p>
        </w:tc>
        <w:tc>
          <w:tcPr>
            <w:tcW w:w="992" w:type="pct"/>
            <w:shd w:val="clear" w:color="auto" w:fill="auto"/>
            <w:noWrap/>
            <w:vAlign w:val="center"/>
          </w:tcPr>
          <w:p w14:paraId="03B60205">
            <w:pPr>
              <w:pStyle w:val="23"/>
              <w:jc w:val="center"/>
              <w:rPr>
                <w:rFonts w:ascii="宋体" w:hAnsi="宋体"/>
                <w:kern w:val="0"/>
                <w:szCs w:val="21"/>
              </w:rPr>
            </w:pPr>
            <w:r>
              <w:rPr>
                <w:rFonts w:ascii="宋体" w:hAnsi="宋体"/>
                <w:kern w:val="0"/>
                <w:szCs w:val="21"/>
              </w:rPr>
              <w:t>水稻、花生、竹木、果树</w:t>
            </w:r>
          </w:p>
        </w:tc>
      </w:tr>
      <w:tr w14:paraId="2736ED7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64" w:type="pct"/>
            <w:shd w:val="clear" w:color="auto" w:fill="auto"/>
            <w:noWrap/>
            <w:vAlign w:val="center"/>
          </w:tcPr>
          <w:p w14:paraId="0C299F25">
            <w:pPr>
              <w:pStyle w:val="23"/>
              <w:jc w:val="center"/>
              <w:rPr>
                <w:rFonts w:ascii="宋体" w:hAnsi="宋体"/>
                <w:kern w:val="0"/>
                <w:szCs w:val="21"/>
              </w:rPr>
            </w:pPr>
            <w:r>
              <w:rPr>
                <w:rFonts w:ascii="宋体" w:hAnsi="宋体"/>
                <w:kern w:val="0"/>
                <w:szCs w:val="21"/>
              </w:rPr>
              <w:t>大汉</w:t>
            </w:r>
          </w:p>
        </w:tc>
        <w:tc>
          <w:tcPr>
            <w:tcW w:w="368" w:type="pct"/>
            <w:shd w:val="clear" w:color="auto" w:fill="auto"/>
            <w:noWrap/>
            <w:vAlign w:val="center"/>
          </w:tcPr>
          <w:p w14:paraId="61B3B46F">
            <w:pPr>
              <w:pStyle w:val="23"/>
              <w:jc w:val="center"/>
              <w:rPr>
                <w:rFonts w:ascii="宋体" w:hAnsi="宋体"/>
                <w:kern w:val="0"/>
                <w:szCs w:val="21"/>
              </w:rPr>
            </w:pPr>
          </w:p>
        </w:tc>
        <w:tc>
          <w:tcPr>
            <w:tcW w:w="212" w:type="pct"/>
            <w:shd w:val="clear" w:color="auto" w:fill="auto"/>
            <w:noWrap/>
            <w:vAlign w:val="center"/>
          </w:tcPr>
          <w:p w14:paraId="79904764">
            <w:pPr>
              <w:pStyle w:val="23"/>
              <w:jc w:val="center"/>
              <w:rPr>
                <w:rFonts w:ascii="宋体" w:hAnsi="宋体"/>
                <w:kern w:val="0"/>
                <w:szCs w:val="21"/>
              </w:rPr>
            </w:pPr>
          </w:p>
        </w:tc>
        <w:tc>
          <w:tcPr>
            <w:tcW w:w="598" w:type="pct"/>
            <w:shd w:val="clear" w:color="auto" w:fill="auto"/>
            <w:noWrap/>
            <w:vAlign w:val="center"/>
          </w:tcPr>
          <w:p w14:paraId="50BB6DF6">
            <w:pPr>
              <w:pStyle w:val="23"/>
              <w:jc w:val="center"/>
              <w:rPr>
                <w:rFonts w:ascii="宋体" w:hAnsi="宋体"/>
                <w:kern w:val="0"/>
                <w:szCs w:val="21"/>
              </w:rPr>
            </w:pPr>
            <w:r>
              <w:rPr>
                <w:rFonts w:ascii="宋体" w:hAnsi="宋体"/>
                <w:kern w:val="0"/>
                <w:szCs w:val="21"/>
              </w:rPr>
              <w:t>7164669《《529《362</w:t>
            </w:r>
          </w:p>
        </w:tc>
        <w:tc>
          <w:tcPr>
            <w:tcW w:w="598" w:type="pct"/>
            <w:shd w:val="clear" w:color="auto" w:fill="auto"/>
            <w:noWrap/>
            <w:vAlign w:val="center"/>
          </w:tcPr>
          <w:p w14:paraId="00AEED79">
            <w:pPr>
              <w:pStyle w:val="23"/>
              <w:jc w:val="center"/>
              <w:rPr>
                <w:rFonts w:ascii="宋体" w:hAnsi="宋体"/>
                <w:kern w:val="0"/>
                <w:szCs w:val="21"/>
              </w:rPr>
            </w:pPr>
          </w:p>
        </w:tc>
        <w:tc>
          <w:tcPr>
            <w:tcW w:w="574" w:type="pct"/>
            <w:shd w:val="clear" w:color="auto" w:fill="auto"/>
            <w:noWrap/>
            <w:vAlign w:val="center"/>
          </w:tcPr>
          <w:p w14:paraId="40719FBB">
            <w:pPr>
              <w:pStyle w:val="23"/>
              <w:jc w:val="center"/>
              <w:rPr>
                <w:rFonts w:ascii="宋体" w:hAnsi="宋体"/>
                <w:kern w:val="0"/>
                <w:szCs w:val="21"/>
              </w:rPr>
            </w:pPr>
          </w:p>
        </w:tc>
        <w:tc>
          <w:tcPr>
            <w:tcW w:w="419" w:type="pct"/>
            <w:shd w:val="clear" w:color="auto" w:fill="auto"/>
            <w:noWrap/>
            <w:vAlign w:val="center"/>
          </w:tcPr>
          <w:p w14:paraId="6E29EBA5">
            <w:pPr>
              <w:pStyle w:val="23"/>
              <w:jc w:val="center"/>
              <w:rPr>
                <w:rFonts w:ascii="宋体" w:hAnsi="宋体"/>
                <w:kern w:val="0"/>
                <w:szCs w:val="21"/>
              </w:rPr>
            </w:pPr>
            <w:r>
              <w:rPr>
                <w:rFonts w:ascii="宋体" w:hAnsi="宋体"/>
                <w:kern w:val="0"/>
                <w:szCs w:val="21"/>
              </w:rPr>
              <w:t>217</w:t>
            </w:r>
          </w:p>
        </w:tc>
        <w:tc>
          <w:tcPr>
            <w:tcW w:w="237" w:type="pct"/>
            <w:shd w:val="clear" w:color="auto" w:fill="auto"/>
            <w:noWrap/>
            <w:vAlign w:val="center"/>
          </w:tcPr>
          <w:p w14:paraId="5E924A94">
            <w:pPr>
              <w:pStyle w:val="23"/>
              <w:jc w:val="center"/>
              <w:rPr>
                <w:rFonts w:ascii="宋体" w:hAnsi="宋体"/>
                <w:kern w:val="0"/>
                <w:szCs w:val="21"/>
              </w:rPr>
            </w:pPr>
            <w:r>
              <w:rPr>
                <w:rFonts w:ascii="宋体" w:hAnsi="宋体"/>
                <w:kern w:val="0"/>
                <w:szCs w:val="21"/>
              </w:rPr>
              <w:t>1010</w:t>
            </w:r>
          </w:p>
        </w:tc>
        <w:tc>
          <w:tcPr>
            <w:tcW w:w="211" w:type="pct"/>
            <w:shd w:val="clear" w:color="auto" w:fill="auto"/>
            <w:noWrap/>
            <w:vAlign w:val="center"/>
          </w:tcPr>
          <w:p w14:paraId="0D12577E">
            <w:pPr>
              <w:pStyle w:val="23"/>
              <w:jc w:val="center"/>
              <w:rPr>
                <w:rFonts w:ascii="宋体" w:hAnsi="宋体"/>
                <w:kern w:val="0"/>
                <w:szCs w:val="21"/>
              </w:rPr>
            </w:pPr>
            <w:r>
              <w:rPr>
                <w:rFonts w:ascii="宋体" w:hAnsi="宋体"/>
                <w:kern w:val="0"/>
                <w:szCs w:val="21"/>
              </w:rPr>
              <w:t>993</w:t>
            </w:r>
          </w:p>
        </w:tc>
        <w:tc>
          <w:tcPr>
            <w:tcW w:w="211" w:type="pct"/>
            <w:shd w:val="clear" w:color="auto" w:fill="auto"/>
            <w:noWrap/>
            <w:vAlign w:val="center"/>
          </w:tcPr>
          <w:p w14:paraId="12359F7C">
            <w:pPr>
              <w:pStyle w:val="23"/>
              <w:jc w:val="center"/>
              <w:rPr>
                <w:rFonts w:ascii="宋体" w:hAnsi="宋体"/>
                <w:kern w:val="0"/>
                <w:szCs w:val="21"/>
              </w:rPr>
            </w:pPr>
            <w:r>
              <w:rPr>
                <w:rFonts w:ascii="宋体" w:hAnsi="宋体"/>
                <w:kern w:val="0"/>
                <w:szCs w:val="21"/>
              </w:rPr>
              <w:t>17</w:t>
            </w:r>
          </w:p>
        </w:tc>
        <w:tc>
          <w:tcPr>
            <w:tcW w:w="316" w:type="pct"/>
            <w:shd w:val="clear" w:color="auto" w:fill="auto"/>
            <w:noWrap/>
            <w:vAlign w:val="center"/>
          </w:tcPr>
          <w:p w14:paraId="7121CBF1">
            <w:pPr>
              <w:pStyle w:val="23"/>
              <w:jc w:val="center"/>
              <w:rPr>
                <w:rFonts w:ascii="宋体" w:hAnsi="宋体"/>
                <w:kern w:val="0"/>
                <w:szCs w:val="21"/>
              </w:rPr>
            </w:pPr>
            <w:r>
              <w:rPr>
                <w:rFonts w:ascii="宋体" w:hAnsi="宋体"/>
                <w:kern w:val="0"/>
                <w:szCs w:val="21"/>
              </w:rPr>
              <w:t>23603.2</w:t>
            </w:r>
          </w:p>
        </w:tc>
        <w:tc>
          <w:tcPr>
            <w:tcW w:w="992" w:type="pct"/>
            <w:shd w:val="clear" w:color="auto" w:fill="auto"/>
            <w:noWrap/>
            <w:vAlign w:val="center"/>
          </w:tcPr>
          <w:p w14:paraId="36FC621A">
            <w:pPr>
              <w:pStyle w:val="23"/>
              <w:jc w:val="center"/>
              <w:rPr>
                <w:rFonts w:ascii="宋体" w:hAnsi="宋体"/>
                <w:kern w:val="0"/>
                <w:szCs w:val="21"/>
              </w:rPr>
            </w:pPr>
            <w:r>
              <w:rPr>
                <w:rFonts w:ascii="宋体" w:hAnsi="宋体"/>
                <w:kern w:val="0"/>
                <w:szCs w:val="21"/>
              </w:rPr>
              <w:t>水稻、花生、竹木、果树</w:t>
            </w:r>
          </w:p>
        </w:tc>
      </w:tr>
      <w:tr w14:paraId="3AFF0FD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64" w:type="pct"/>
            <w:shd w:val="clear" w:color="auto" w:fill="auto"/>
            <w:noWrap/>
            <w:vAlign w:val="center"/>
          </w:tcPr>
          <w:p w14:paraId="6E4CA288">
            <w:pPr>
              <w:pStyle w:val="23"/>
              <w:jc w:val="center"/>
              <w:rPr>
                <w:rFonts w:ascii="宋体" w:hAnsi="宋体"/>
                <w:kern w:val="0"/>
                <w:szCs w:val="21"/>
              </w:rPr>
            </w:pPr>
            <w:r>
              <w:rPr>
                <w:rFonts w:ascii="宋体" w:hAnsi="宋体"/>
                <w:kern w:val="0"/>
                <w:szCs w:val="21"/>
              </w:rPr>
              <w:t>南甫</w:t>
            </w:r>
          </w:p>
        </w:tc>
        <w:tc>
          <w:tcPr>
            <w:tcW w:w="368" w:type="pct"/>
            <w:shd w:val="clear" w:color="auto" w:fill="auto"/>
            <w:noWrap/>
            <w:vAlign w:val="center"/>
          </w:tcPr>
          <w:p w14:paraId="3C11955D">
            <w:pPr>
              <w:pStyle w:val="23"/>
              <w:jc w:val="center"/>
              <w:rPr>
                <w:rFonts w:ascii="宋体" w:hAnsi="宋体"/>
                <w:kern w:val="0"/>
                <w:szCs w:val="21"/>
              </w:rPr>
            </w:pPr>
            <w:r>
              <w:rPr>
                <w:rFonts w:ascii="宋体" w:hAnsi="宋体"/>
                <w:kern w:val="0"/>
                <w:szCs w:val="21"/>
              </w:rPr>
              <w:t>11</w:t>
            </w:r>
          </w:p>
        </w:tc>
        <w:tc>
          <w:tcPr>
            <w:tcW w:w="212" w:type="pct"/>
            <w:shd w:val="clear" w:color="auto" w:fill="auto"/>
            <w:noWrap/>
            <w:vAlign w:val="center"/>
          </w:tcPr>
          <w:p w14:paraId="1A95865E">
            <w:pPr>
              <w:pStyle w:val="23"/>
              <w:jc w:val="center"/>
              <w:rPr>
                <w:rFonts w:ascii="宋体" w:hAnsi="宋体"/>
                <w:kern w:val="0"/>
                <w:szCs w:val="21"/>
              </w:rPr>
            </w:pPr>
            <w:r>
              <w:rPr>
                <w:rFonts w:ascii="宋体" w:hAnsi="宋体"/>
                <w:kern w:val="0"/>
                <w:szCs w:val="21"/>
              </w:rPr>
              <w:t>286</w:t>
            </w:r>
          </w:p>
        </w:tc>
        <w:tc>
          <w:tcPr>
            <w:tcW w:w="598" w:type="pct"/>
            <w:shd w:val="clear" w:color="auto" w:fill="auto"/>
            <w:noWrap/>
            <w:vAlign w:val="center"/>
          </w:tcPr>
          <w:p w14:paraId="17D9EA63">
            <w:pPr>
              <w:pStyle w:val="23"/>
              <w:jc w:val="center"/>
              <w:rPr>
                <w:rFonts w:ascii="宋体" w:hAnsi="宋体"/>
                <w:kern w:val="0"/>
                <w:szCs w:val="21"/>
              </w:rPr>
            </w:pPr>
            <w:r>
              <w:rPr>
                <w:rFonts w:ascii="宋体" w:hAnsi="宋体"/>
                <w:kern w:val="0"/>
                <w:szCs w:val="21"/>
              </w:rPr>
              <w:t>1194</w:t>
            </w:r>
          </w:p>
        </w:tc>
        <w:tc>
          <w:tcPr>
            <w:tcW w:w="598" w:type="pct"/>
            <w:shd w:val="clear" w:color="auto" w:fill="auto"/>
            <w:noWrap/>
            <w:vAlign w:val="center"/>
          </w:tcPr>
          <w:p w14:paraId="4F994ACF">
            <w:pPr>
              <w:pStyle w:val="23"/>
              <w:jc w:val="center"/>
              <w:rPr>
                <w:rFonts w:ascii="宋体" w:hAnsi="宋体"/>
                <w:kern w:val="0"/>
                <w:szCs w:val="21"/>
              </w:rPr>
            </w:pPr>
            <w:r>
              <w:rPr>
                <w:rFonts w:ascii="宋体" w:hAnsi="宋体"/>
                <w:kern w:val="0"/>
                <w:szCs w:val="21"/>
              </w:rPr>
              <w:t>961</w:t>
            </w:r>
          </w:p>
        </w:tc>
        <w:tc>
          <w:tcPr>
            <w:tcW w:w="574" w:type="pct"/>
            <w:shd w:val="clear" w:color="auto" w:fill="auto"/>
            <w:noWrap/>
            <w:vAlign w:val="center"/>
          </w:tcPr>
          <w:p w14:paraId="2C68167E">
            <w:pPr>
              <w:pStyle w:val="23"/>
              <w:jc w:val="center"/>
              <w:rPr>
                <w:rFonts w:ascii="宋体" w:hAnsi="宋体"/>
                <w:kern w:val="0"/>
                <w:szCs w:val="21"/>
              </w:rPr>
            </w:pPr>
            <w:r>
              <w:rPr>
                <w:rFonts w:ascii="宋体" w:hAnsi="宋体"/>
                <w:kern w:val="0"/>
                <w:szCs w:val="21"/>
              </w:rPr>
              <w:t>655</w:t>
            </w:r>
          </w:p>
        </w:tc>
        <w:tc>
          <w:tcPr>
            <w:tcW w:w="419" w:type="pct"/>
            <w:shd w:val="clear" w:color="auto" w:fill="auto"/>
            <w:noWrap/>
            <w:vAlign w:val="center"/>
          </w:tcPr>
          <w:p w14:paraId="4F6639E6">
            <w:pPr>
              <w:pStyle w:val="23"/>
              <w:jc w:val="center"/>
              <w:rPr>
                <w:rFonts w:ascii="宋体" w:hAnsi="宋体"/>
                <w:kern w:val="0"/>
                <w:szCs w:val="21"/>
              </w:rPr>
            </w:pPr>
            <w:r>
              <w:rPr>
                <w:rFonts w:ascii="宋体" w:hAnsi="宋体"/>
                <w:kern w:val="0"/>
                <w:szCs w:val="21"/>
              </w:rPr>
              <w:t>380</w:t>
            </w:r>
          </w:p>
        </w:tc>
        <w:tc>
          <w:tcPr>
            <w:tcW w:w="237" w:type="pct"/>
            <w:shd w:val="clear" w:color="auto" w:fill="auto"/>
            <w:noWrap/>
            <w:vAlign w:val="center"/>
          </w:tcPr>
          <w:p w14:paraId="7DA8DA27">
            <w:pPr>
              <w:pStyle w:val="23"/>
              <w:jc w:val="center"/>
              <w:rPr>
                <w:rFonts w:ascii="宋体" w:hAnsi="宋体"/>
                <w:kern w:val="0"/>
                <w:szCs w:val="21"/>
              </w:rPr>
            </w:pPr>
            <w:r>
              <w:rPr>
                <w:rFonts w:ascii="宋体" w:hAnsi="宋体"/>
                <w:kern w:val="0"/>
                <w:szCs w:val="21"/>
              </w:rPr>
              <w:t>1460</w:t>
            </w:r>
          </w:p>
        </w:tc>
        <w:tc>
          <w:tcPr>
            <w:tcW w:w="211" w:type="pct"/>
            <w:shd w:val="clear" w:color="auto" w:fill="auto"/>
            <w:noWrap/>
            <w:vAlign w:val="center"/>
          </w:tcPr>
          <w:p w14:paraId="49D1730E">
            <w:pPr>
              <w:pStyle w:val="23"/>
              <w:jc w:val="center"/>
              <w:rPr>
                <w:rFonts w:ascii="宋体" w:hAnsi="宋体"/>
                <w:kern w:val="0"/>
                <w:szCs w:val="21"/>
              </w:rPr>
            </w:pPr>
            <w:r>
              <w:rPr>
                <w:rFonts w:ascii="宋体" w:hAnsi="宋体"/>
                <w:kern w:val="0"/>
                <w:szCs w:val="21"/>
              </w:rPr>
              <w:t>1429</w:t>
            </w:r>
          </w:p>
        </w:tc>
        <w:tc>
          <w:tcPr>
            <w:tcW w:w="211" w:type="pct"/>
            <w:shd w:val="clear" w:color="auto" w:fill="auto"/>
            <w:noWrap/>
            <w:vAlign w:val="center"/>
          </w:tcPr>
          <w:p w14:paraId="767820D0">
            <w:pPr>
              <w:pStyle w:val="23"/>
              <w:jc w:val="center"/>
              <w:rPr>
                <w:rFonts w:ascii="宋体" w:hAnsi="宋体"/>
                <w:kern w:val="0"/>
                <w:szCs w:val="21"/>
              </w:rPr>
            </w:pPr>
            <w:r>
              <w:rPr>
                <w:rFonts w:ascii="宋体" w:hAnsi="宋体"/>
                <w:kern w:val="0"/>
                <w:szCs w:val="21"/>
              </w:rPr>
              <w:t>31</w:t>
            </w:r>
          </w:p>
        </w:tc>
        <w:tc>
          <w:tcPr>
            <w:tcW w:w="316" w:type="pct"/>
            <w:shd w:val="clear" w:color="auto" w:fill="auto"/>
            <w:noWrap/>
            <w:vAlign w:val="center"/>
          </w:tcPr>
          <w:p w14:paraId="4EE69A47">
            <w:pPr>
              <w:pStyle w:val="23"/>
              <w:jc w:val="center"/>
              <w:rPr>
                <w:rFonts w:ascii="宋体" w:hAnsi="宋体"/>
                <w:kern w:val="0"/>
                <w:szCs w:val="21"/>
              </w:rPr>
            </w:pPr>
            <w:r>
              <w:rPr>
                <w:rFonts w:ascii="宋体" w:hAnsi="宋体"/>
                <w:kern w:val="0"/>
                <w:szCs w:val="21"/>
              </w:rPr>
              <w:t>24696</w:t>
            </w:r>
          </w:p>
        </w:tc>
        <w:tc>
          <w:tcPr>
            <w:tcW w:w="992" w:type="pct"/>
            <w:shd w:val="clear" w:color="auto" w:fill="auto"/>
            <w:noWrap/>
            <w:vAlign w:val="center"/>
          </w:tcPr>
          <w:p w14:paraId="54B619C1">
            <w:pPr>
              <w:pStyle w:val="23"/>
              <w:jc w:val="center"/>
              <w:rPr>
                <w:rFonts w:ascii="宋体" w:hAnsi="宋体"/>
                <w:kern w:val="0"/>
                <w:szCs w:val="21"/>
              </w:rPr>
            </w:pPr>
            <w:r>
              <w:rPr>
                <w:rFonts w:ascii="宋体" w:hAnsi="宋体"/>
                <w:kern w:val="0"/>
                <w:szCs w:val="21"/>
              </w:rPr>
              <w:t>水稻、花生、竹木、果树</w:t>
            </w:r>
          </w:p>
        </w:tc>
      </w:tr>
      <w:tr w14:paraId="6975F83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64" w:type="pct"/>
            <w:shd w:val="clear" w:color="auto" w:fill="auto"/>
            <w:noWrap/>
            <w:vAlign w:val="center"/>
          </w:tcPr>
          <w:p w14:paraId="05306246">
            <w:pPr>
              <w:pStyle w:val="23"/>
              <w:jc w:val="center"/>
              <w:rPr>
                <w:rFonts w:ascii="宋体" w:hAnsi="宋体"/>
                <w:kern w:val="0"/>
                <w:szCs w:val="21"/>
              </w:rPr>
            </w:pPr>
            <w:r>
              <w:rPr>
                <w:rFonts w:ascii="宋体" w:hAnsi="宋体"/>
                <w:kern w:val="0"/>
                <w:szCs w:val="21"/>
              </w:rPr>
              <w:t>武岭</w:t>
            </w:r>
          </w:p>
        </w:tc>
        <w:tc>
          <w:tcPr>
            <w:tcW w:w="368" w:type="pct"/>
            <w:shd w:val="clear" w:color="auto" w:fill="auto"/>
            <w:noWrap/>
            <w:vAlign w:val="center"/>
          </w:tcPr>
          <w:p w14:paraId="4671249D">
            <w:pPr>
              <w:pStyle w:val="23"/>
              <w:jc w:val="center"/>
              <w:rPr>
                <w:rFonts w:ascii="宋体" w:hAnsi="宋体"/>
                <w:kern w:val="0"/>
                <w:szCs w:val="21"/>
              </w:rPr>
            </w:pPr>
            <w:r>
              <w:rPr>
                <w:rFonts w:ascii="宋体" w:hAnsi="宋体"/>
                <w:kern w:val="0"/>
                <w:szCs w:val="21"/>
              </w:rPr>
              <w:t>11</w:t>
            </w:r>
          </w:p>
        </w:tc>
        <w:tc>
          <w:tcPr>
            <w:tcW w:w="212" w:type="pct"/>
            <w:shd w:val="clear" w:color="auto" w:fill="auto"/>
            <w:noWrap/>
            <w:vAlign w:val="center"/>
          </w:tcPr>
          <w:p w14:paraId="5A47E9EE">
            <w:pPr>
              <w:pStyle w:val="23"/>
              <w:jc w:val="center"/>
              <w:rPr>
                <w:rFonts w:ascii="宋体" w:hAnsi="宋体"/>
                <w:kern w:val="0"/>
                <w:szCs w:val="21"/>
              </w:rPr>
            </w:pPr>
            <w:r>
              <w:rPr>
                <w:rFonts w:ascii="宋体" w:hAnsi="宋体"/>
                <w:kern w:val="0"/>
                <w:szCs w:val="21"/>
              </w:rPr>
              <w:t>361</w:t>
            </w:r>
          </w:p>
        </w:tc>
        <w:tc>
          <w:tcPr>
            <w:tcW w:w="598" w:type="pct"/>
            <w:shd w:val="clear" w:color="auto" w:fill="auto"/>
            <w:noWrap/>
            <w:vAlign w:val="center"/>
          </w:tcPr>
          <w:p w14:paraId="5603AFA7">
            <w:pPr>
              <w:pStyle w:val="23"/>
              <w:jc w:val="center"/>
              <w:rPr>
                <w:rFonts w:ascii="宋体" w:hAnsi="宋体"/>
                <w:kern w:val="0"/>
                <w:szCs w:val="21"/>
              </w:rPr>
            </w:pPr>
            <w:r>
              <w:rPr>
                <w:rFonts w:ascii="宋体" w:hAnsi="宋体"/>
                <w:kern w:val="0"/>
                <w:szCs w:val="21"/>
              </w:rPr>
              <w:t>1298</w:t>
            </w:r>
          </w:p>
        </w:tc>
        <w:tc>
          <w:tcPr>
            <w:tcW w:w="598" w:type="pct"/>
            <w:shd w:val="clear" w:color="auto" w:fill="auto"/>
            <w:noWrap/>
            <w:vAlign w:val="center"/>
          </w:tcPr>
          <w:p w14:paraId="25C627D3">
            <w:pPr>
              <w:pStyle w:val="23"/>
              <w:jc w:val="center"/>
              <w:rPr>
                <w:rFonts w:ascii="宋体" w:hAnsi="宋体"/>
                <w:kern w:val="0"/>
                <w:szCs w:val="21"/>
              </w:rPr>
            </w:pPr>
            <w:r>
              <w:rPr>
                <w:rFonts w:ascii="宋体" w:hAnsi="宋体"/>
                <w:kern w:val="0"/>
                <w:szCs w:val="21"/>
              </w:rPr>
              <w:t>1058</w:t>
            </w:r>
          </w:p>
        </w:tc>
        <w:tc>
          <w:tcPr>
            <w:tcW w:w="574" w:type="pct"/>
            <w:shd w:val="clear" w:color="auto" w:fill="auto"/>
            <w:noWrap/>
            <w:vAlign w:val="center"/>
          </w:tcPr>
          <w:p w14:paraId="780912E8">
            <w:pPr>
              <w:pStyle w:val="23"/>
              <w:jc w:val="center"/>
              <w:rPr>
                <w:rFonts w:ascii="宋体" w:hAnsi="宋体"/>
                <w:kern w:val="0"/>
                <w:szCs w:val="21"/>
              </w:rPr>
            </w:pPr>
            <w:r>
              <w:rPr>
                <w:rFonts w:ascii="宋体" w:hAnsi="宋体"/>
                <w:kern w:val="0"/>
                <w:szCs w:val="21"/>
              </w:rPr>
              <w:t>723</w:t>
            </w:r>
          </w:p>
        </w:tc>
        <w:tc>
          <w:tcPr>
            <w:tcW w:w="419" w:type="pct"/>
            <w:shd w:val="clear" w:color="auto" w:fill="auto"/>
            <w:noWrap/>
            <w:vAlign w:val="center"/>
          </w:tcPr>
          <w:p w14:paraId="5DCAC44D">
            <w:pPr>
              <w:pStyle w:val="23"/>
              <w:jc w:val="center"/>
              <w:rPr>
                <w:rFonts w:ascii="宋体" w:hAnsi="宋体"/>
                <w:kern w:val="0"/>
                <w:szCs w:val="21"/>
              </w:rPr>
            </w:pPr>
            <w:r>
              <w:rPr>
                <w:rFonts w:ascii="宋体" w:hAnsi="宋体"/>
                <w:kern w:val="0"/>
                <w:szCs w:val="21"/>
              </w:rPr>
              <w:t>478</w:t>
            </w:r>
          </w:p>
        </w:tc>
        <w:tc>
          <w:tcPr>
            <w:tcW w:w="237" w:type="pct"/>
            <w:shd w:val="clear" w:color="auto" w:fill="auto"/>
            <w:noWrap/>
            <w:vAlign w:val="center"/>
          </w:tcPr>
          <w:p w14:paraId="0770DA9F">
            <w:pPr>
              <w:pStyle w:val="23"/>
              <w:jc w:val="center"/>
              <w:rPr>
                <w:rFonts w:ascii="宋体" w:hAnsi="宋体"/>
                <w:kern w:val="0"/>
                <w:szCs w:val="21"/>
              </w:rPr>
            </w:pPr>
            <w:r>
              <w:rPr>
                <w:rFonts w:ascii="宋体" w:hAnsi="宋体"/>
                <w:kern w:val="0"/>
                <w:szCs w:val="21"/>
              </w:rPr>
              <w:t>1589</w:t>
            </w:r>
          </w:p>
        </w:tc>
        <w:tc>
          <w:tcPr>
            <w:tcW w:w="211" w:type="pct"/>
            <w:shd w:val="clear" w:color="auto" w:fill="auto"/>
            <w:noWrap/>
            <w:vAlign w:val="center"/>
          </w:tcPr>
          <w:p w14:paraId="24C2178F">
            <w:pPr>
              <w:pStyle w:val="23"/>
              <w:jc w:val="center"/>
              <w:rPr>
                <w:rFonts w:ascii="宋体" w:hAnsi="宋体"/>
                <w:kern w:val="0"/>
                <w:szCs w:val="21"/>
              </w:rPr>
            </w:pPr>
            <w:r>
              <w:rPr>
                <w:rFonts w:ascii="宋体" w:hAnsi="宋体"/>
                <w:kern w:val="0"/>
                <w:szCs w:val="21"/>
              </w:rPr>
              <w:t>1470</w:t>
            </w:r>
          </w:p>
        </w:tc>
        <w:tc>
          <w:tcPr>
            <w:tcW w:w="211" w:type="pct"/>
            <w:shd w:val="clear" w:color="auto" w:fill="auto"/>
            <w:noWrap/>
            <w:vAlign w:val="center"/>
          </w:tcPr>
          <w:p w14:paraId="11244A0C">
            <w:pPr>
              <w:pStyle w:val="23"/>
              <w:jc w:val="center"/>
              <w:rPr>
                <w:rFonts w:ascii="宋体" w:hAnsi="宋体"/>
                <w:kern w:val="0"/>
                <w:szCs w:val="21"/>
              </w:rPr>
            </w:pPr>
            <w:r>
              <w:rPr>
                <w:rFonts w:ascii="宋体" w:hAnsi="宋体"/>
                <w:kern w:val="0"/>
                <w:szCs w:val="21"/>
              </w:rPr>
              <w:t>119</w:t>
            </w:r>
          </w:p>
        </w:tc>
        <w:tc>
          <w:tcPr>
            <w:tcW w:w="316" w:type="pct"/>
            <w:shd w:val="clear" w:color="auto" w:fill="auto"/>
            <w:noWrap/>
            <w:vAlign w:val="center"/>
          </w:tcPr>
          <w:p w14:paraId="0E1402B2">
            <w:pPr>
              <w:pStyle w:val="23"/>
              <w:jc w:val="center"/>
              <w:rPr>
                <w:rFonts w:ascii="宋体" w:hAnsi="宋体"/>
                <w:kern w:val="0"/>
                <w:szCs w:val="21"/>
              </w:rPr>
            </w:pPr>
            <w:r>
              <w:rPr>
                <w:rFonts w:ascii="宋体" w:hAnsi="宋体"/>
                <w:kern w:val="0"/>
                <w:szCs w:val="21"/>
              </w:rPr>
              <w:t>30273.5</w:t>
            </w:r>
          </w:p>
        </w:tc>
        <w:tc>
          <w:tcPr>
            <w:tcW w:w="992" w:type="pct"/>
            <w:shd w:val="clear" w:color="auto" w:fill="auto"/>
            <w:noWrap/>
            <w:vAlign w:val="center"/>
          </w:tcPr>
          <w:p w14:paraId="038EA8E3">
            <w:pPr>
              <w:pStyle w:val="23"/>
              <w:jc w:val="center"/>
              <w:rPr>
                <w:rFonts w:ascii="宋体" w:hAnsi="宋体"/>
                <w:kern w:val="0"/>
                <w:szCs w:val="21"/>
              </w:rPr>
            </w:pPr>
            <w:r>
              <w:rPr>
                <w:rFonts w:ascii="宋体" w:hAnsi="宋体"/>
                <w:kern w:val="0"/>
                <w:szCs w:val="21"/>
              </w:rPr>
              <w:t>水稻、花生、竹木、果树、金银花</w:t>
            </w:r>
          </w:p>
        </w:tc>
      </w:tr>
      <w:tr w14:paraId="6572CC3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64" w:type="pct"/>
            <w:shd w:val="clear" w:color="auto" w:fill="auto"/>
            <w:noWrap/>
            <w:vAlign w:val="center"/>
          </w:tcPr>
          <w:p w14:paraId="26AFDDA3">
            <w:pPr>
              <w:pStyle w:val="23"/>
              <w:jc w:val="center"/>
              <w:rPr>
                <w:rFonts w:ascii="宋体" w:hAnsi="宋体"/>
                <w:kern w:val="0"/>
                <w:szCs w:val="21"/>
              </w:rPr>
            </w:pPr>
            <w:r>
              <w:rPr>
                <w:rFonts w:ascii="宋体" w:hAnsi="宋体"/>
                <w:kern w:val="0"/>
                <w:szCs w:val="21"/>
              </w:rPr>
              <w:t>小竹</w:t>
            </w:r>
          </w:p>
        </w:tc>
        <w:tc>
          <w:tcPr>
            <w:tcW w:w="368" w:type="pct"/>
            <w:shd w:val="clear" w:color="auto" w:fill="auto"/>
            <w:noWrap/>
            <w:vAlign w:val="center"/>
          </w:tcPr>
          <w:p w14:paraId="1DAF54BA">
            <w:pPr>
              <w:pStyle w:val="23"/>
              <w:jc w:val="center"/>
              <w:rPr>
                <w:rFonts w:ascii="宋体" w:hAnsi="宋体"/>
                <w:kern w:val="0"/>
                <w:szCs w:val="21"/>
              </w:rPr>
            </w:pPr>
            <w:r>
              <w:rPr>
                <w:rFonts w:ascii="宋体" w:hAnsi="宋体"/>
                <w:kern w:val="0"/>
                <w:szCs w:val="21"/>
              </w:rPr>
              <w:t>8</w:t>
            </w:r>
          </w:p>
        </w:tc>
        <w:tc>
          <w:tcPr>
            <w:tcW w:w="212" w:type="pct"/>
            <w:shd w:val="clear" w:color="auto" w:fill="auto"/>
            <w:noWrap/>
            <w:vAlign w:val="center"/>
          </w:tcPr>
          <w:p w14:paraId="43566B9E">
            <w:pPr>
              <w:pStyle w:val="23"/>
              <w:jc w:val="center"/>
              <w:rPr>
                <w:rFonts w:ascii="宋体" w:hAnsi="宋体"/>
                <w:kern w:val="0"/>
                <w:szCs w:val="21"/>
              </w:rPr>
            </w:pPr>
            <w:r>
              <w:rPr>
                <w:rFonts w:ascii="宋体" w:hAnsi="宋体"/>
                <w:kern w:val="0"/>
                <w:szCs w:val="21"/>
              </w:rPr>
              <w:t>254</w:t>
            </w:r>
          </w:p>
        </w:tc>
        <w:tc>
          <w:tcPr>
            <w:tcW w:w="598" w:type="pct"/>
            <w:shd w:val="clear" w:color="auto" w:fill="auto"/>
            <w:noWrap/>
            <w:vAlign w:val="center"/>
          </w:tcPr>
          <w:p w14:paraId="14C2202B">
            <w:pPr>
              <w:pStyle w:val="23"/>
              <w:jc w:val="center"/>
              <w:rPr>
                <w:rFonts w:ascii="宋体" w:hAnsi="宋体"/>
                <w:kern w:val="0"/>
                <w:szCs w:val="21"/>
              </w:rPr>
            </w:pPr>
            <w:r>
              <w:rPr>
                <w:rFonts w:ascii="宋体" w:hAnsi="宋体"/>
                <w:kern w:val="0"/>
                <w:szCs w:val="21"/>
              </w:rPr>
              <w:t>1113</w:t>
            </w:r>
          </w:p>
        </w:tc>
        <w:tc>
          <w:tcPr>
            <w:tcW w:w="598" w:type="pct"/>
            <w:shd w:val="clear" w:color="auto" w:fill="auto"/>
            <w:noWrap/>
            <w:vAlign w:val="center"/>
          </w:tcPr>
          <w:p w14:paraId="295C968D">
            <w:pPr>
              <w:pStyle w:val="23"/>
              <w:jc w:val="center"/>
              <w:rPr>
                <w:rFonts w:ascii="宋体" w:hAnsi="宋体"/>
                <w:kern w:val="0"/>
                <w:szCs w:val="21"/>
              </w:rPr>
            </w:pPr>
            <w:r>
              <w:rPr>
                <w:rFonts w:ascii="宋体" w:hAnsi="宋体"/>
                <w:kern w:val="0"/>
                <w:szCs w:val="21"/>
              </w:rPr>
              <w:t>906</w:t>
            </w:r>
          </w:p>
        </w:tc>
        <w:tc>
          <w:tcPr>
            <w:tcW w:w="574" w:type="pct"/>
            <w:shd w:val="clear" w:color="auto" w:fill="auto"/>
            <w:noWrap/>
            <w:vAlign w:val="center"/>
          </w:tcPr>
          <w:p w14:paraId="0387DFD3">
            <w:pPr>
              <w:pStyle w:val="23"/>
              <w:jc w:val="center"/>
              <w:rPr>
                <w:rFonts w:ascii="宋体" w:hAnsi="宋体"/>
                <w:kern w:val="0"/>
                <w:szCs w:val="21"/>
              </w:rPr>
            </w:pPr>
            <w:r>
              <w:rPr>
                <w:rFonts w:ascii="宋体" w:hAnsi="宋体"/>
                <w:kern w:val="0"/>
                <w:szCs w:val="21"/>
              </w:rPr>
              <w:t>619</w:t>
            </w:r>
          </w:p>
        </w:tc>
        <w:tc>
          <w:tcPr>
            <w:tcW w:w="419" w:type="pct"/>
            <w:shd w:val="clear" w:color="auto" w:fill="auto"/>
            <w:noWrap/>
            <w:vAlign w:val="center"/>
          </w:tcPr>
          <w:p w14:paraId="6F3A605F">
            <w:pPr>
              <w:pStyle w:val="23"/>
              <w:jc w:val="center"/>
              <w:rPr>
                <w:rFonts w:ascii="宋体" w:hAnsi="宋体"/>
                <w:kern w:val="0"/>
                <w:szCs w:val="21"/>
              </w:rPr>
            </w:pPr>
            <w:r>
              <w:rPr>
                <w:rFonts w:ascii="宋体" w:hAnsi="宋体"/>
                <w:kern w:val="0"/>
                <w:szCs w:val="21"/>
              </w:rPr>
              <w:t>342</w:t>
            </w:r>
          </w:p>
        </w:tc>
        <w:tc>
          <w:tcPr>
            <w:tcW w:w="237" w:type="pct"/>
            <w:shd w:val="clear" w:color="auto" w:fill="auto"/>
            <w:noWrap/>
            <w:vAlign w:val="center"/>
          </w:tcPr>
          <w:p w14:paraId="22F137B3">
            <w:pPr>
              <w:pStyle w:val="23"/>
              <w:jc w:val="center"/>
              <w:rPr>
                <w:rFonts w:ascii="宋体" w:hAnsi="宋体"/>
                <w:kern w:val="0"/>
                <w:szCs w:val="21"/>
              </w:rPr>
            </w:pPr>
            <w:r>
              <w:rPr>
                <w:rFonts w:ascii="宋体" w:hAnsi="宋体"/>
                <w:kern w:val="0"/>
                <w:szCs w:val="21"/>
              </w:rPr>
              <w:t>1412</w:t>
            </w:r>
          </w:p>
        </w:tc>
        <w:tc>
          <w:tcPr>
            <w:tcW w:w="211" w:type="pct"/>
            <w:shd w:val="clear" w:color="auto" w:fill="auto"/>
            <w:noWrap/>
            <w:vAlign w:val="center"/>
          </w:tcPr>
          <w:p w14:paraId="08FC6A8D">
            <w:pPr>
              <w:pStyle w:val="23"/>
              <w:jc w:val="center"/>
              <w:rPr>
                <w:rFonts w:ascii="宋体" w:hAnsi="宋体"/>
                <w:kern w:val="0"/>
                <w:szCs w:val="21"/>
              </w:rPr>
            </w:pPr>
            <w:r>
              <w:rPr>
                <w:rFonts w:ascii="宋体" w:hAnsi="宋体"/>
                <w:kern w:val="0"/>
                <w:szCs w:val="21"/>
              </w:rPr>
              <w:t>1387</w:t>
            </w:r>
          </w:p>
        </w:tc>
        <w:tc>
          <w:tcPr>
            <w:tcW w:w="211" w:type="pct"/>
            <w:shd w:val="clear" w:color="auto" w:fill="auto"/>
            <w:noWrap/>
            <w:vAlign w:val="center"/>
          </w:tcPr>
          <w:p w14:paraId="355E7AB1">
            <w:pPr>
              <w:pStyle w:val="23"/>
              <w:jc w:val="center"/>
              <w:rPr>
                <w:rFonts w:ascii="宋体" w:hAnsi="宋体"/>
                <w:kern w:val="0"/>
                <w:szCs w:val="21"/>
              </w:rPr>
            </w:pPr>
            <w:r>
              <w:rPr>
                <w:rFonts w:ascii="宋体" w:hAnsi="宋体"/>
                <w:kern w:val="0"/>
                <w:szCs w:val="21"/>
              </w:rPr>
              <w:t>25</w:t>
            </w:r>
          </w:p>
        </w:tc>
        <w:tc>
          <w:tcPr>
            <w:tcW w:w="316" w:type="pct"/>
            <w:shd w:val="clear" w:color="auto" w:fill="auto"/>
            <w:noWrap/>
            <w:vAlign w:val="center"/>
          </w:tcPr>
          <w:p w14:paraId="55CB6F37">
            <w:pPr>
              <w:pStyle w:val="23"/>
              <w:jc w:val="center"/>
              <w:rPr>
                <w:rFonts w:ascii="宋体" w:hAnsi="宋体"/>
                <w:kern w:val="0"/>
                <w:szCs w:val="21"/>
              </w:rPr>
            </w:pPr>
            <w:r>
              <w:rPr>
                <w:rFonts w:ascii="宋体" w:hAnsi="宋体"/>
                <w:kern w:val="0"/>
                <w:szCs w:val="21"/>
              </w:rPr>
              <w:t>21592.5</w:t>
            </w:r>
          </w:p>
        </w:tc>
        <w:tc>
          <w:tcPr>
            <w:tcW w:w="992" w:type="pct"/>
            <w:shd w:val="clear" w:color="auto" w:fill="auto"/>
            <w:noWrap/>
            <w:vAlign w:val="center"/>
          </w:tcPr>
          <w:p w14:paraId="5AA6A70C">
            <w:pPr>
              <w:pStyle w:val="23"/>
              <w:jc w:val="center"/>
              <w:rPr>
                <w:rFonts w:ascii="宋体" w:hAnsi="宋体"/>
                <w:kern w:val="0"/>
                <w:szCs w:val="21"/>
              </w:rPr>
            </w:pPr>
            <w:r>
              <w:rPr>
                <w:rFonts w:ascii="宋体" w:hAnsi="宋体"/>
                <w:kern w:val="0"/>
                <w:szCs w:val="21"/>
              </w:rPr>
              <w:t>水稻、黄烟、竹木、果树</w:t>
            </w:r>
          </w:p>
        </w:tc>
      </w:tr>
      <w:tr w14:paraId="5C83CB8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64" w:type="pct"/>
            <w:shd w:val="clear" w:color="auto" w:fill="auto"/>
            <w:noWrap/>
            <w:vAlign w:val="center"/>
          </w:tcPr>
          <w:p w14:paraId="55A8C1CD">
            <w:pPr>
              <w:pStyle w:val="23"/>
              <w:jc w:val="center"/>
              <w:rPr>
                <w:rFonts w:ascii="宋体" w:hAnsi="宋体"/>
                <w:kern w:val="0"/>
                <w:szCs w:val="21"/>
              </w:rPr>
            </w:pPr>
            <w:r>
              <w:rPr>
                <w:rFonts w:ascii="宋体" w:hAnsi="宋体"/>
                <w:kern w:val="0"/>
                <w:szCs w:val="21"/>
              </w:rPr>
              <w:t>居委会</w:t>
            </w:r>
          </w:p>
        </w:tc>
        <w:tc>
          <w:tcPr>
            <w:tcW w:w="368" w:type="pct"/>
            <w:shd w:val="clear" w:color="auto" w:fill="auto"/>
            <w:noWrap/>
            <w:vAlign w:val="center"/>
          </w:tcPr>
          <w:p w14:paraId="53DD1385">
            <w:pPr>
              <w:pStyle w:val="23"/>
              <w:jc w:val="center"/>
              <w:rPr>
                <w:rFonts w:ascii="宋体" w:hAnsi="宋体"/>
                <w:kern w:val="0"/>
                <w:szCs w:val="21"/>
              </w:rPr>
            </w:pPr>
            <w:r>
              <w:rPr>
                <w:rFonts w:ascii="宋体" w:hAnsi="宋体"/>
                <w:kern w:val="0"/>
                <w:szCs w:val="21"/>
              </w:rPr>
              <w:t>/</w:t>
            </w:r>
          </w:p>
        </w:tc>
        <w:tc>
          <w:tcPr>
            <w:tcW w:w="212" w:type="pct"/>
            <w:shd w:val="clear" w:color="auto" w:fill="auto"/>
            <w:noWrap/>
            <w:vAlign w:val="center"/>
          </w:tcPr>
          <w:p w14:paraId="76B227C4">
            <w:pPr>
              <w:pStyle w:val="23"/>
              <w:jc w:val="center"/>
              <w:rPr>
                <w:rFonts w:ascii="宋体" w:hAnsi="宋体"/>
                <w:kern w:val="0"/>
                <w:szCs w:val="21"/>
              </w:rPr>
            </w:pPr>
            <w:r>
              <w:rPr>
                <w:rFonts w:hint="eastAsia" w:ascii="宋体" w:hAnsi="宋体"/>
                <w:kern w:val="0"/>
                <w:szCs w:val="21"/>
              </w:rPr>
              <w:t>226</w:t>
            </w:r>
          </w:p>
        </w:tc>
        <w:tc>
          <w:tcPr>
            <w:tcW w:w="598" w:type="pct"/>
            <w:shd w:val="clear" w:color="auto" w:fill="auto"/>
            <w:noWrap/>
            <w:vAlign w:val="center"/>
          </w:tcPr>
          <w:p w14:paraId="0B9CCDE4">
            <w:pPr>
              <w:pStyle w:val="23"/>
              <w:jc w:val="center"/>
              <w:rPr>
                <w:rFonts w:ascii="宋体" w:hAnsi="宋体"/>
                <w:kern w:val="0"/>
                <w:szCs w:val="21"/>
              </w:rPr>
            </w:pPr>
            <w:r>
              <w:rPr>
                <w:rFonts w:hint="eastAsia" w:ascii="宋体" w:hAnsi="宋体"/>
                <w:kern w:val="0"/>
                <w:szCs w:val="21"/>
              </w:rPr>
              <w:t>794</w:t>
            </w:r>
          </w:p>
        </w:tc>
        <w:tc>
          <w:tcPr>
            <w:tcW w:w="598" w:type="pct"/>
            <w:shd w:val="clear" w:color="auto" w:fill="auto"/>
            <w:noWrap/>
            <w:vAlign w:val="center"/>
          </w:tcPr>
          <w:p w14:paraId="5790424B">
            <w:pPr>
              <w:pStyle w:val="23"/>
              <w:jc w:val="center"/>
              <w:rPr>
                <w:rFonts w:ascii="宋体" w:hAnsi="宋体"/>
                <w:kern w:val="0"/>
                <w:szCs w:val="21"/>
              </w:rPr>
            </w:pPr>
            <w:r>
              <w:rPr>
                <w:rFonts w:hint="eastAsia" w:ascii="宋体" w:hAnsi="宋体"/>
                <w:kern w:val="0"/>
                <w:szCs w:val="21"/>
              </w:rPr>
              <w:t>198</w:t>
            </w:r>
          </w:p>
        </w:tc>
        <w:tc>
          <w:tcPr>
            <w:tcW w:w="574" w:type="pct"/>
            <w:shd w:val="clear" w:color="auto" w:fill="auto"/>
            <w:noWrap/>
            <w:vAlign w:val="center"/>
          </w:tcPr>
          <w:p w14:paraId="64F55251">
            <w:pPr>
              <w:pStyle w:val="23"/>
              <w:jc w:val="center"/>
              <w:rPr>
                <w:rFonts w:ascii="宋体" w:hAnsi="宋体"/>
                <w:kern w:val="0"/>
                <w:szCs w:val="21"/>
              </w:rPr>
            </w:pPr>
            <w:r>
              <w:rPr>
                <w:rFonts w:hint="eastAsia" w:ascii="宋体" w:hAnsi="宋体"/>
                <w:kern w:val="0"/>
                <w:szCs w:val="21"/>
              </w:rPr>
              <w:t>555</w:t>
            </w:r>
          </w:p>
        </w:tc>
        <w:tc>
          <w:tcPr>
            <w:tcW w:w="419" w:type="pct"/>
            <w:shd w:val="clear" w:color="auto" w:fill="auto"/>
            <w:noWrap/>
            <w:vAlign w:val="center"/>
          </w:tcPr>
          <w:p w14:paraId="0F958564">
            <w:pPr>
              <w:pStyle w:val="23"/>
              <w:jc w:val="center"/>
              <w:rPr>
                <w:rFonts w:ascii="宋体" w:hAnsi="宋体"/>
                <w:kern w:val="0"/>
                <w:szCs w:val="21"/>
              </w:rPr>
            </w:pPr>
            <w:r>
              <w:rPr>
                <w:rFonts w:ascii="宋体" w:hAnsi="宋体"/>
                <w:kern w:val="0"/>
                <w:szCs w:val="21"/>
              </w:rPr>
              <w:t>444</w:t>
            </w:r>
          </w:p>
        </w:tc>
        <w:tc>
          <w:tcPr>
            <w:tcW w:w="237" w:type="pct"/>
            <w:shd w:val="clear" w:color="auto" w:fill="auto"/>
            <w:noWrap/>
            <w:vAlign w:val="center"/>
          </w:tcPr>
          <w:p w14:paraId="3B7B8E70">
            <w:pPr>
              <w:pStyle w:val="23"/>
              <w:jc w:val="center"/>
              <w:rPr>
                <w:rFonts w:ascii="宋体" w:hAnsi="宋体"/>
                <w:kern w:val="0"/>
                <w:szCs w:val="21"/>
              </w:rPr>
            </w:pPr>
            <w:r>
              <w:rPr>
                <w:rFonts w:ascii="宋体" w:hAnsi="宋体"/>
                <w:kern w:val="0"/>
                <w:szCs w:val="21"/>
              </w:rPr>
              <w:t>/</w:t>
            </w:r>
          </w:p>
        </w:tc>
        <w:tc>
          <w:tcPr>
            <w:tcW w:w="211" w:type="pct"/>
            <w:shd w:val="clear" w:color="auto" w:fill="auto"/>
            <w:noWrap/>
            <w:vAlign w:val="center"/>
          </w:tcPr>
          <w:p w14:paraId="6511310C">
            <w:pPr>
              <w:pStyle w:val="23"/>
              <w:jc w:val="center"/>
              <w:rPr>
                <w:rFonts w:ascii="宋体" w:hAnsi="宋体"/>
                <w:kern w:val="0"/>
                <w:szCs w:val="21"/>
              </w:rPr>
            </w:pPr>
            <w:r>
              <w:rPr>
                <w:rFonts w:ascii="宋体" w:hAnsi="宋体"/>
                <w:kern w:val="0"/>
                <w:szCs w:val="21"/>
              </w:rPr>
              <w:t>/</w:t>
            </w:r>
          </w:p>
        </w:tc>
        <w:tc>
          <w:tcPr>
            <w:tcW w:w="211" w:type="pct"/>
            <w:shd w:val="clear" w:color="auto" w:fill="auto"/>
            <w:noWrap/>
            <w:vAlign w:val="center"/>
          </w:tcPr>
          <w:p w14:paraId="5402144D">
            <w:pPr>
              <w:pStyle w:val="23"/>
              <w:jc w:val="center"/>
              <w:rPr>
                <w:rFonts w:ascii="宋体" w:hAnsi="宋体"/>
                <w:kern w:val="0"/>
                <w:szCs w:val="21"/>
              </w:rPr>
            </w:pPr>
            <w:r>
              <w:rPr>
                <w:rFonts w:ascii="宋体" w:hAnsi="宋体"/>
                <w:kern w:val="0"/>
                <w:szCs w:val="21"/>
              </w:rPr>
              <w:t>/</w:t>
            </w:r>
          </w:p>
        </w:tc>
        <w:tc>
          <w:tcPr>
            <w:tcW w:w="316" w:type="pct"/>
            <w:shd w:val="clear" w:color="auto" w:fill="auto"/>
            <w:noWrap/>
            <w:vAlign w:val="center"/>
          </w:tcPr>
          <w:p w14:paraId="1634E02F">
            <w:pPr>
              <w:pStyle w:val="23"/>
              <w:jc w:val="center"/>
              <w:rPr>
                <w:rFonts w:ascii="宋体" w:hAnsi="宋体"/>
                <w:kern w:val="0"/>
                <w:szCs w:val="21"/>
              </w:rPr>
            </w:pPr>
            <w:r>
              <w:rPr>
                <w:rFonts w:ascii="宋体" w:hAnsi="宋体"/>
                <w:kern w:val="0"/>
                <w:szCs w:val="21"/>
              </w:rPr>
              <w:t>/</w:t>
            </w:r>
          </w:p>
        </w:tc>
        <w:tc>
          <w:tcPr>
            <w:tcW w:w="1" w:type="pct"/>
            <w:shd w:val="clear" w:color="auto" w:fill="auto"/>
            <w:noWrap/>
            <w:vAlign w:val="center"/>
          </w:tcPr>
          <w:p w14:paraId="4DA3A12B">
            <w:pPr>
              <w:pStyle w:val="23"/>
              <w:jc w:val="center"/>
              <w:rPr>
                <w:rFonts w:ascii="宋体" w:hAnsi="宋体"/>
                <w:kern w:val="0"/>
                <w:szCs w:val="21"/>
              </w:rPr>
            </w:pPr>
            <w:r>
              <w:rPr>
                <w:rFonts w:ascii="宋体" w:hAnsi="宋体"/>
                <w:kern w:val="0"/>
                <w:szCs w:val="21"/>
              </w:rPr>
              <w:t>/</w:t>
            </w:r>
          </w:p>
        </w:tc>
      </w:tr>
    </w:tbl>
    <w:p w14:paraId="3229116D">
      <w:pPr>
        <w:ind w:firstLine="0" w:firstLineChars="0"/>
        <w:jc w:val="right"/>
        <w:rPr>
          <w:rFonts w:ascii="宋体" w:hAnsi="宋体"/>
          <w:szCs w:val="21"/>
        </w:rPr>
      </w:pPr>
      <w:r>
        <w:rPr>
          <w:rFonts w:hint="eastAsia" w:ascii="宋体" w:hAnsi="宋体"/>
          <w:szCs w:val="21"/>
        </w:rPr>
        <w:t>（邓辉富）</w:t>
      </w:r>
    </w:p>
    <w:p w14:paraId="433F28DE">
      <w:pPr>
        <w:ind w:firstLine="0" w:firstLineChars="0"/>
        <w:rPr>
          <w:rFonts w:ascii="宋体" w:hAnsi="宋体"/>
          <w:szCs w:val="21"/>
        </w:rPr>
      </w:pPr>
      <w:r>
        <w:rPr>
          <w:rFonts w:hint="eastAsia" w:ascii="宋体" w:hAnsi="宋体"/>
          <w:b/>
          <w:szCs w:val="21"/>
        </w:rPr>
        <w:t>附：2011年江头镇领导班子成员名单</w:t>
      </w:r>
    </w:p>
    <w:p w14:paraId="1D59DCCF">
      <w:pPr>
        <w:ind w:firstLine="0" w:firstLineChars="0"/>
        <w:rPr>
          <w:rFonts w:ascii="宋体" w:hAnsi="宋体"/>
          <w:szCs w:val="21"/>
        </w:rPr>
      </w:pPr>
      <w:r>
        <w:rPr>
          <w:rFonts w:hint="eastAsia" w:ascii="宋体" w:hAnsi="宋体"/>
          <w:szCs w:val="21"/>
        </w:rPr>
        <w:t>党委书记、人大主席：曾昭泉</w:t>
      </w:r>
    </w:p>
    <w:p w14:paraId="30803A84">
      <w:pPr>
        <w:ind w:firstLine="0" w:firstLineChars="0"/>
        <w:rPr>
          <w:rFonts w:ascii="宋体" w:hAnsi="宋体"/>
          <w:szCs w:val="21"/>
        </w:rPr>
      </w:pPr>
      <w:r>
        <w:rPr>
          <w:rFonts w:hint="eastAsia" w:ascii="宋体" w:hAnsi="宋体"/>
          <w:szCs w:val="21"/>
        </w:rPr>
        <w:t>党委副书记、镇长：张红华</w:t>
      </w:r>
    </w:p>
    <w:p w14:paraId="1CB87A7F">
      <w:pPr>
        <w:ind w:firstLine="0" w:firstLineChars="0"/>
        <w:rPr>
          <w:rFonts w:ascii="宋体" w:hAnsi="宋体"/>
          <w:szCs w:val="21"/>
        </w:rPr>
      </w:pPr>
      <w:r>
        <w:rPr>
          <w:rFonts w:hint="eastAsia" w:ascii="宋体" w:hAnsi="宋体"/>
          <w:szCs w:val="21"/>
        </w:rPr>
        <w:t>党委副书记：徐精华</w:t>
      </w:r>
    </w:p>
    <w:p w14:paraId="59F6FF46">
      <w:pPr>
        <w:ind w:firstLine="0" w:firstLineChars="0"/>
        <w:rPr>
          <w:rFonts w:ascii="宋体" w:hAnsi="宋体"/>
          <w:szCs w:val="21"/>
        </w:rPr>
      </w:pPr>
      <w:r>
        <w:rPr>
          <w:rFonts w:hint="eastAsia" w:ascii="宋体" w:hAnsi="宋体"/>
          <w:szCs w:val="21"/>
        </w:rPr>
        <w:t>党委委员、纪委书记：王丽平</w:t>
      </w:r>
    </w:p>
    <w:p w14:paraId="510C82EA">
      <w:pPr>
        <w:ind w:firstLine="0" w:firstLineChars="0"/>
        <w:rPr>
          <w:rFonts w:ascii="宋体" w:hAnsi="宋体"/>
          <w:szCs w:val="21"/>
        </w:rPr>
      </w:pPr>
      <w:r>
        <w:rPr>
          <w:rFonts w:hint="eastAsia" w:ascii="宋体" w:hAnsi="宋体"/>
          <w:szCs w:val="21"/>
        </w:rPr>
        <w:t>党委组织委员：钟兴华</w:t>
      </w:r>
    </w:p>
    <w:p w14:paraId="0EB3178F">
      <w:pPr>
        <w:ind w:firstLine="0" w:firstLineChars="0"/>
        <w:rPr>
          <w:rFonts w:ascii="宋体" w:hAnsi="宋体"/>
          <w:szCs w:val="21"/>
        </w:rPr>
      </w:pPr>
      <w:r>
        <w:rPr>
          <w:rFonts w:hint="eastAsia" w:ascii="宋体" w:hAnsi="宋体"/>
          <w:szCs w:val="21"/>
        </w:rPr>
        <w:t>党委宣传委员：蔡盛芳</w:t>
      </w:r>
    </w:p>
    <w:p w14:paraId="6FAB3E4F">
      <w:pPr>
        <w:ind w:firstLine="0" w:firstLineChars="0"/>
        <w:rPr>
          <w:rFonts w:ascii="宋体" w:hAnsi="宋体"/>
          <w:szCs w:val="21"/>
        </w:rPr>
      </w:pPr>
      <w:r>
        <w:rPr>
          <w:rFonts w:hint="eastAsia" w:ascii="宋体" w:hAnsi="宋体"/>
          <w:szCs w:val="21"/>
        </w:rPr>
        <w:t>党委委员、人大副主席：赵忠灵</w:t>
      </w:r>
    </w:p>
    <w:p w14:paraId="62AA5D02">
      <w:pPr>
        <w:ind w:firstLine="0" w:firstLineChars="0"/>
        <w:rPr>
          <w:rFonts w:ascii="宋体" w:hAnsi="宋体"/>
          <w:szCs w:val="21"/>
        </w:rPr>
      </w:pPr>
      <w:r>
        <w:rPr>
          <w:rFonts w:hint="eastAsia" w:ascii="宋体" w:hAnsi="宋体"/>
          <w:szCs w:val="21"/>
        </w:rPr>
        <w:t>党委委员、武装部长：邓荣贵</w:t>
      </w:r>
    </w:p>
    <w:p w14:paraId="153E3C73">
      <w:pPr>
        <w:ind w:firstLine="0" w:firstLineChars="0"/>
        <w:rPr>
          <w:rFonts w:ascii="宋体" w:hAnsi="宋体"/>
          <w:szCs w:val="21"/>
        </w:rPr>
      </w:pPr>
      <w:r>
        <w:rPr>
          <w:rFonts w:hint="eastAsia" w:ascii="宋体" w:hAnsi="宋体"/>
          <w:szCs w:val="21"/>
        </w:rPr>
        <w:t>党委委员、综治办专职副主任：王竹生</w:t>
      </w:r>
    </w:p>
    <w:p w14:paraId="20580286">
      <w:pPr>
        <w:ind w:firstLine="0" w:firstLineChars="0"/>
        <w:rPr>
          <w:rFonts w:ascii="宋体" w:hAnsi="宋体"/>
          <w:szCs w:val="21"/>
        </w:rPr>
      </w:pPr>
      <w:r>
        <w:rPr>
          <w:rFonts w:hint="eastAsia" w:ascii="宋体" w:hAnsi="宋体"/>
          <w:szCs w:val="21"/>
        </w:rPr>
        <w:t>副镇长：邱万锋  陶景晖  刘仙华</w:t>
      </w:r>
    </w:p>
    <w:p w14:paraId="52D229A7">
      <w:pPr>
        <w:pStyle w:val="3"/>
      </w:pPr>
      <w:r>
        <w:rPr>
          <w:rFonts w:hint="eastAsia"/>
        </w:rPr>
        <w:t>澜河镇</w:t>
      </w:r>
    </w:p>
    <w:p w14:paraId="2AEC6180">
      <w:pPr>
        <w:pStyle w:val="4"/>
      </w:pPr>
      <w:r>
        <w:rPr>
          <w:rFonts w:hint="eastAsia"/>
        </w:rPr>
        <w:t>【概况】</w:t>
      </w:r>
    </w:p>
    <w:p w14:paraId="2F396CE6">
      <w:pPr>
        <w:ind w:firstLine="420"/>
        <w:rPr>
          <w:rFonts w:ascii="宋体" w:hAnsi="宋体"/>
          <w:szCs w:val="21"/>
        </w:rPr>
      </w:pPr>
      <w:r>
        <w:rPr>
          <w:rFonts w:hint="eastAsia" w:ascii="宋体" w:hAnsi="宋体"/>
          <w:szCs w:val="21"/>
        </w:rPr>
        <w:t>澜河镇位于南雄市西北部，东邻帽子峰镇，南邻全安镇，西连百顺镇，北与帽子峰林场和江西省大余县河洞乡接壤。是一个“七山二水一分田”的典型山区乡镇，距南雄市区35公里，总面积171.3平方公里，省道342线贯穿全镇，镇内乡村公路7条，总长29公里，98%自然村通汽车，全镇通车里程达165公里。辖6个村委会和1个社区，总户数2528户，总人口10158人，总劳动力5448人，农产品主要有水稻、花生、毛竹等。农特产有冬笋、笋干、佛手瓜等。地下蕴藏丰富的铀、磷、花岗岩、稀土等矿产资源。2011年，全镇完成国内生产总值29381万元，同比增长6.3%。其中农业生产总值10799万元，增长6.2%；农村人均纯收入达到6112元，增长9.0%。</w:t>
      </w:r>
    </w:p>
    <w:p w14:paraId="7155DCDB">
      <w:pPr>
        <w:pStyle w:val="4"/>
      </w:pPr>
      <w:r>
        <w:rPr>
          <w:rFonts w:hint="eastAsia"/>
        </w:rPr>
        <w:t>【农业及农村经济】</w:t>
      </w:r>
    </w:p>
    <w:p w14:paraId="5338123A">
      <w:pPr>
        <w:ind w:firstLine="420"/>
        <w:rPr>
          <w:rFonts w:ascii="宋体" w:hAnsi="宋体"/>
          <w:szCs w:val="21"/>
        </w:rPr>
      </w:pPr>
      <w:r>
        <w:rPr>
          <w:rFonts w:hint="eastAsia" w:ascii="宋体" w:hAnsi="宋体"/>
          <w:szCs w:val="21"/>
        </w:rPr>
        <w:t>澜河镇农业生产以水稻、花生为主。2011年农作物总播种面积1238公顷，其中水稻播种面积826公顷，总产量4912吨；花生播种面积147.1公顷，总产量467吨；蔬菜播种面积212.9公顷，总产量5148吨。肉类总产量1625吨，其中猪肉产量1221吨，牛肉产量15吨，家禽产量381吨，其他肉产量8吨。水域养殖面积6公顷，水产品总产量493吨。</w:t>
      </w:r>
    </w:p>
    <w:p w14:paraId="6BD0ADAF">
      <w:pPr>
        <w:pStyle w:val="4"/>
      </w:pPr>
      <w:r>
        <w:rPr>
          <w:rFonts w:hint="eastAsia"/>
        </w:rPr>
        <w:t>【林业】</w:t>
      </w:r>
    </w:p>
    <w:p w14:paraId="04A94934">
      <w:pPr>
        <w:ind w:firstLine="420"/>
        <w:rPr>
          <w:rFonts w:ascii="宋体" w:hAnsi="宋体"/>
          <w:szCs w:val="21"/>
        </w:rPr>
      </w:pPr>
      <w:r>
        <w:rPr>
          <w:rFonts w:hint="eastAsia" w:ascii="宋体" w:hAnsi="宋体"/>
          <w:szCs w:val="21"/>
        </w:rPr>
        <w:t>澜河镇林业资源丰富，其中山林面积12976.6公顷。其中速生丰产林面积4330公顷，毛竹面积6873.7公顷，生态公益林面积1716.6公顷，森林覆盖率达90.8%。2011年无大的病虫害，无重大森林火灾。2011年林改各项工作完成95%以上，基本完成明晰产权、承包到户的改革任务，高质量、高标准顺利通过省集体林权改革督查小组验收。镇里充分发挥林业资源丰富的优势，注重保护和植树造林，全镇农户毛竹纯收入增长80%，毛竹及毛竹制品已成为当地重要的经济支柱。</w:t>
      </w:r>
    </w:p>
    <w:p w14:paraId="0294B2BE">
      <w:pPr>
        <w:pStyle w:val="4"/>
      </w:pPr>
      <w:r>
        <w:rPr>
          <w:rFonts w:hint="eastAsia"/>
        </w:rPr>
        <w:t>【乡镇企业和招商引资】</w:t>
      </w:r>
    </w:p>
    <w:p w14:paraId="3FFD40BB">
      <w:pPr>
        <w:ind w:firstLine="420"/>
        <w:rPr>
          <w:rFonts w:ascii="宋体" w:hAnsi="宋体"/>
          <w:szCs w:val="21"/>
        </w:rPr>
      </w:pPr>
      <w:r>
        <w:rPr>
          <w:rFonts w:hint="eastAsia" w:ascii="宋体" w:hAnsi="宋体"/>
          <w:szCs w:val="21"/>
        </w:rPr>
        <w:t>澜河镇充分发挥本地资源优势进行招商引资，带动澜河工业的发展，全镇已引进竹制品厂4家，木制品厂1家。</w:t>
      </w:r>
    </w:p>
    <w:p w14:paraId="5D256E98">
      <w:pPr>
        <w:pStyle w:val="4"/>
      </w:pPr>
      <w:r>
        <w:rPr>
          <w:rFonts w:hint="eastAsia"/>
        </w:rPr>
        <w:t>【计生工作】</w:t>
      </w:r>
    </w:p>
    <w:p w14:paraId="6924E31C">
      <w:pPr>
        <w:ind w:firstLine="420"/>
        <w:rPr>
          <w:rFonts w:ascii="宋体" w:hAnsi="宋体"/>
          <w:szCs w:val="21"/>
        </w:rPr>
      </w:pPr>
      <w:r>
        <w:rPr>
          <w:rFonts w:hint="eastAsia" w:ascii="宋体" w:hAnsi="宋体"/>
          <w:szCs w:val="21"/>
        </w:rPr>
        <w:t>澜河镇2010年10月至2011年9月，全镇共出生134人，人口出生率为12.7‰，其中一孩出生75人，二孩出生59人。政策内共出生127人，计划生育率94.8%，死亡58人，死亡率5.48%，自然增长76人，自然增长率为7.19‰，与去年同期相比，自然增长率下降了0.75个千分点。</w:t>
      </w:r>
    </w:p>
    <w:p w14:paraId="53D523F5">
      <w:pPr>
        <w:pStyle w:val="4"/>
      </w:pPr>
      <w:r>
        <w:rPr>
          <w:rFonts w:hint="eastAsia"/>
        </w:rPr>
        <w:t>【民兵工作】</w:t>
      </w:r>
    </w:p>
    <w:p w14:paraId="1EF1AB25">
      <w:pPr>
        <w:ind w:firstLine="420"/>
        <w:rPr>
          <w:rFonts w:ascii="宋体" w:hAnsi="宋体"/>
          <w:szCs w:val="21"/>
        </w:rPr>
      </w:pPr>
      <w:r>
        <w:rPr>
          <w:rFonts w:hint="eastAsia" w:ascii="宋体" w:hAnsi="宋体"/>
          <w:szCs w:val="21"/>
        </w:rPr>
        <w:t>澜河镇有现役军人10人，复员退伍军人146人，基干民兵100人，普通民兵860人。现役军人在部队一人立三等功，三人被评为“优秀士兵”。2011年全镇民兵营“四个基本”（基本设施、基本教育、基本制度、基本队伍）建设达标镇武装部逐步完善各项基础设施建设，办公室、装备器材室、作战指挥室、会议室、资料室齐全，并且配备电脑、办公桌椅、盾牌、钢盔等器材，实现战备训练、办公、文体设施配套实用，达到武装部正规化、军事化的要求。</w:t>
      </w:r>
    </w:p>
    <w:p w14:paraId="369D13D6">
      <w:pPr>
        <w:pStyle w:val="4"/>
      </w:pPr>
      <w:r>
        <w:rPr>
          <w:rFonts w:hint="eastAsia"/>
        </w:rPr>
        <w:t>【基础设施建设】</w:t>
      </w:r>
    </w:p>
    <w:p w14:paraId="58C20E7B">
      <w:pPr>
        <w:ind w:firstLine="420"/>
        <w:rPr>
          <w:rFonts w:ascii="宋体" w:hAnsi="宋体"/>
          <w:szCs w:val="21"/>
        </w:rPr>
      </w:pPr>
      <w:r>
        <w:rPr>
          <w:rFonts w:hint="eastAsia" w:ascii="宋体" w:hAnsi="宋体"/>
          <w:szCs w:val="21"/>
        </w:rPr>
        <w:t>镇政府通往各村委会的路面硬化全面完成，各村之间的路面硬化也得到进一步完善，完成吊桥到龙坑、上矽村东亨社至白茫洞3.5米宽4.2公里水泥硬底化工程，澜河村杨屋村小组村内全面贯通水泥路。完成杨屋村小组路灯亮化工程，改善农村生活环境。抓好110KV澜河变电站及长（江）澜（河）线、珠（玑）澜（河）线、（全）安澜（河）线等110KV线路改造工程。配合南方电网工作，全面完成农网改造工程，让群众用上安全电、放心电。2011年末建有邮政网点1个，电信服务网点1个；电话用户803户，电话用户普及率达到37.8%。</w:t>
      </w:r>
    </w:p>
    <w:p w14:paraId="562F2AC1">
      <w:pPr>
        <w:pStyle w:val="4"/>
      </w:pPr>
      <w:r>
        <w:rPr>
          <w:rFonts w:hint="eastAsia"/>
        </w:rPr>
        <w:t>【社会治安综合治理】</w:t>
      </w:r>
    </w:p>
    <w:p w14:paraId="68E8A8FB">
      <w:pPr>
        <w:ind w:firstLine="420"/>
        <w:rPr>
          <w:rFonts w:ascii="宋体" w:hAnsi="宋体"/>
          <w:szCs w:val="21"/>
        </w:rPr>
      </w:pPr>
      <w:r>
        <w:rPr>
          <w:rFonts w:hint="eastAsia" w:ascii="宋体" w:hAnsi="宋体"/>
          <w:szCs w:val="21"/>
        </w:rPr>
        <w:t>2011年，全镇各级人民调解组织共排查矛盾纠纷81宗，调解矛盾纠纷81宗，调解率达100%；成功调解77宗，成功率达95.1%。全镇未发生群体性突出事件和越级上访案件。</w:t>
      </w:r>
    </w:p>
    <w:p w14:paraId="6ECB26C7">
      <w:pPr>
        <w:pStyle w:val="4"/>
      </w:pPr>
      <w:r>
        <w:rPr>
          <w:rFonts w:hint="eastAsia"/>
        </w:rPr>
        <w:t>【医疗卫生】</w:t>
      </w:r>
    </w:p>
    <w:p w14:paraId="49731E29">
      <w:pPr>
        <w:ind w:firstLine="420"/>
        <w:rPr>
          <w:rFonts w:ascii="宋体" w:hAnsi="宋体"/>
          <w:szCs w:val="21"/>
        </w:rPr>
      </w:pPr>
      <w:r>
        <w:rPr>
          <w:rFonts w:hint="eastAsia" w:ascii="宋体" w:hAnsi="宋体"/>
          <w:szCs w:val="21"/>
        </w:rPr>
        <w:t>澜河镇有卫生院1所，医护人员12人，配有Ⅹ光机、B超、全自动生化分析仪、全自动血球计数仪、微波治疗仪、胎心监护等较为完善的设备。乡村医疗站7间，从医人员7人。2011年镇农村养老保险参保人数为2332人，完成率为119.84%，超额完成市委、市政府下达的任务，全镇参加农村新型合作医疗的人数8899人，覆盖率达95%。全镇医疗报销次数150次，报销金额499643.41元。</w:t>
      </w:r>
    </w:p>
    <w:p w14:paraId="335C293D">
      <w:pPr>
        <w:pStyle w:val="4"/>
      </w:pPr>
      <w:r>
        <w:rPr>
          <w:rFonts w:hint="eastAsia"/>
        </w:rPr>
        <w:t>【教育】</w:t>
      </w:r>
    </w:p>
    <w:p w14:paraId="3D69A02A">
      <w:pPr>
        <w:ind w:firstLine="420"/>
        <w:rPr>
          <w:rFonts w:ascii="宋体" w:hAnsi="宋体"/>
          <w:szCs w:val="21"/>
        </w:rPr>
      </w:pPr>
      <w:r>
        <w:rPr>
          <w:rFonts w:hint="eastAsia" w:ascii="宋体" w:hAnsi="宋体"/>
          <w:szCs w:val="21"/>
        </w:rPr>
        <w:t>澜河镇有九年一贯制学校1所，幼儿园1所，成人文化技术学校1所。其中澜河陈经纶学校和白云小学是广东省义务教育规范化学校，镇中心幼儿园是韶关市一级幼儿园，成人文化技术学校是韶关市级示范性成人文化技术学校。全镇中小学在职教职工72人，在校学生552人。幼儿园教师7人，在园幼儿80人。镇设有“澜河镇奖学助学基金”，每年对品学兼优的困难家庭学生发放助学金，以帮扶优秀贫困生完成义务教育甚至大学学业。2011年12月，顺利通过省督导专家组对澜河镇创建广东省教育强镇的督导验收。</w:t>
      </w:r>
    </w:p>
    <w:p w14:paraId="44C966E5">
      <w:pPr>
        <w:pStyle w:val="4"/>
      </w:pPr>
      <w:r>
        <w:rPr>
          <w:rFonts w:hint="eastAsia"/>
        </w:rPr>
        <w:t>【社会福利】</w:t>
      </w:r>
    </w:p>
    <w:p w14:paraId="4D44FDDD">
      <w:pPr>
        <w:ind w:firstLine="420"/>
        <w:rPr>
          <w:rFonts w:ascii="宋体" w:hAnsi="宋体"/>
          <w:szCs w:val="21"/>
        </w:rPr>
      </w:pPr>
      <w:r>
        <w:rPr>
          <w:rFonts w:hint="eastAsia" w:ascii="宋体" w:hAnsi="宋体"/>
          <w:szCs w:val="21"/>
        </w:rPr>
        <w:t>敬老院内收养19人。享受居民最低生活保障331人。2011年镇配合东莞谢岗镇的扶贫工作，全年52户有劳动力的贫困户已全部脱贫，脱贫率100%，贫困户年人均纯收入达2500元以上，完成农村住房困难户9户改造目标。</w:t>
      </w:r>
    </w:p>
    <w:p w14:paraId="666A383D">
      <w:pPr>
        <w:pStyle w:val="4"/>
      </w:pPr>
      <w:r>
        <w:rPr>
          <w:rFonts w:hint="eastAsia"/>
        </w:rPr>
        <w:t>【红豆杉】</w:t>
      </w:r>
    </w:p>
    <w:p w14:paraId="0B17C5A4">
      <w:pPr>
        <w:ind w:firstLine="420"/>
        <w:rPr>
          <w:rFonts w:ascii="宋体" w:hAnsi="宋体"/>
          <w:szCs w:val="21"/>
        </w:rPr>
      </w:pPr>
      <w:r>
        <w:rPr>
          <w:rFonts w:hint="eastAsia" w:ascii="宋体" w:hAnsi="宋体"/>
          <w:szCs w:val="21"/>
        </w:rPr>
        <w:t>澜河镇因其独特的位置、气候、土壤环境，拥有世界罕有的原生态红豆杉群。</w:t>
      </w:r>
    </w:p>
    <w:p w14:paraId="62D75667">
      <w:pPr>
        <w:pStyle w:val="4"/>
      </w:pPr>
      <w:r>
        <w:rPr>
          <w:rFonts w:hint="eastAsia"/>
        </w:rPr>
        <w:t>【各村委会（社区）基本情况】</w:t>
      </w:r>
    </w:p>
    <w:p w14:paraId="47471B5C">
      <w:pPr>
        <w:ind w:firstLine="422"/>
        <w:rPr>
          <w:rFonts w:ascii="宋体" w:hAnsi="宋体"/>
          <w:szCs w:val="21"/>
        </w:rPr>
      </w:pPr>
      <w:r>
        <w:rPr>
          <w:rFonts w:hint="eastAsia" w:ascii="宋体" w:hAnsi="宋体"/>
          <w:b/>
          <w:szCs w:val="21"/>
        </w:rPr>
        <w:t>新街社区</w:t>
      </w:r>
      <w:r>
        <w:rPr>
          <w:rFonts w:hint="eastAsia" w:ascii="宋体" w:hAnsi="宋体"/>
          <w:szCs w:val="21"/>
        </w:rPr>
        <w:t xml:space="preserve">  东临澜河村，西接白云村，南靠上澜村，北与凌江公司接壤，紧挨澜河镇政府。总面积为33.4公顷，墟镇有一条宽8米，长500米的“Y”字型街道，一座占地面积100平方米的农贸市场，主要经营各种蔬菜类、肉食类、禽类；商铺20余间，主要为居民提供日用生活用品。</w:t>
      </w:r>
    </w:p>
    <w:p w14:paraId="574D3A45">
      <w:pPr>
        <w:ind w:firstLine="422"/>
        <w:rPr>
          <w:rFonts w:ascii="宋体" w:hAnsi="宋体"/>
          <w:szCs w:val="21"/>
        </w:rPr>
      </w:pPr>
      <w:r>
        <w:rPr>
          <w:rFonts w:hint="eastAsia" w:ascii="宋体" w:hAnsi="宋体"/>
          <w:b/>
          <w:szCs w:val="21"/>
        </w:rPr>
        <w:t>白云村委会</w:t>
      </w:r>
      <w:r>
        <w:rPr>
          <w:rFonts w:hint="eastAsia" w:ascii="宋体" w:hAnsi="宋体"/>
          <w:szCs w:val="21"/>
        </w:rPr>
        <w:t xml:space="preserve">  地处澜河镇西北部，东临帽子峰林场，西接百顺镇，北与江西省接壤。距南雄市区46公里，是典型的山区村，全村有10个村小组，370户，1544人。全村总面积2688.2公顷，其中耕地面积82.87公顷，山林面积2605.33公顷。辖区内有丰富的矿产资源铀、稀土及特别丰富的水利资源，有小水电站7座，装机容量3200多千瓦。村民主要经济来源是经营自留山上的竹、木及劳务输出，村集体经济收入来源于电站股份。</w:t>
      </w:r>
    </w:p>
    <w:p w14:paraId="3EF9E4AE">
      <w:pPr>
        <w:ind w:firstLine="422"/>
        <w:rPr>
          <w:rFonts w:ascii="宋体" w:hAnsi="宋体"/>
          <w:szCs w:val="21"/>
        </w:rPr>
      </w:pPr>
      <w:r>
        <w:rPr>
          <w:rFonts w:hint="eastAsia" w:ascii="宋体" w:hAnsi="宋体"/>
          <w:b/>
          <w:szCs w:val="21"/>
        </w:rPr>
        <w:t>葛坪村委会</w:t>
      </w:r>
      <w:r>
        <w:rPr>
          <w:rFonts w:hint="eastAsia" w:ascii="宋体" w:hAnsi="宋体"/>
          <w:szCs w:val="21"/>
        </w:rPr>
        <w:t xml:space="preserve">  位于澜河镇偏南方向，东临全安镇，西接百顺镇。全村由18个村民小组组成，总户数521户，共有人口2315人。全村总面积3125.54公顷，其中山林面积2996.67公顷，耕地面积128.87公顷。村民大力发展特色养殖业，通过养殖黑山羊、生猪、芒鼠逐渐脱贫致富。全村都列为老革命根据地，该村委会塔下宝塔是市文物保护单位。</w:t>
      </w:r>
    </w:p>
    <w:p w14:paraId="717DD92B">
      <w:pPr>
        <w:ind w:firstLine="422"/>
        <w:rPr>
          <w:rFonts w:ascii="宋体" w:hAnsi="宋体"/>
          <w:szCs w:val="21"/>
        </w:rPr>
      </w:pPr>
      <w:r>
        <w:rPr>
          <w:rFonts w:hint="eastAsia" w:ascii="宋体" w:hAnsi="宋体"/>
          <w:b/>
          <w:szCs w:val="21"/>
        </w:rPr>
        <w:t>澜河村委会</w:t>
      </w:r>
      <w:r>
        <w:rPr>
          <w:rFonts w:hint="eastAsia" w:ascii="宋体" w:hAnsi="宋体"/>
          <w:szCs w:val="21"/>
        </w:rPr>
        <w:t xml:space="preserve">  东临帽子峰镇，西接白云村委会，南靠上澜村委会，北与帽子峰林场接壤。村委会有11个自然村，总户数301户，总人口1320人。全村总面积1993.3公顷，其中耕地面积76.67公顷，林地面积1916.67公顷。村内养猪大户2户、养鸡3户，种植橘子4户。村民收入主要来源于水稻种植、养殖家畜、植树造林及劳务输出，村委会有一林场，村集体经济收入来源于林场发包。</w:t>
      </w:r>
    </w:p>
    <w:p w14:paraId="6253FAA1">
      <w:pPr>
        <w:ind w:firstLine="422"/>
        <w:rPr>
          <w:rFonts w:ascii="宋体" w:hAnsi="宋体"/>
          <w:szCs w:val="21"/>
        </w:rPr>
      </w:pPr>
      <w:r>
        <w:rPr>
          <w:rFonts w:hint="eastAsia" w:ascii="宋体" w:hAnsi="宋体"/>
          <w:b/>
          <w:szCs w:val="21"/>
        </w:rPr>
        <w:t>上澜村委会</w:t>
      </w:r>
      <w:r>
        <w:rPr>
          <w:rFonts w:hint="eastAsia" w:ascii="宋体" w:hAnsi="宋体"/>
          <w:szCs w:val="21"/>
        </w:rPr>
        <w:t xml:space="preserve">  距镇政府1.2公里，东临葛坪村，西接上矽村，南靠全安镇，北与澜河村接壤。全村有13个村小组，户数335户，人口1457人。村总面积1467.9公顷，其中林地面积1391.8公顷，耕地面积76公顷。辖区内有电站2座。装机容量900多千瓦。村民主要经济来源是靠养殖猪、鸡和种植毛竹、杉木及劳务输出。</w:t>
      </w:r>
    </w:p>
    <w:p w14:paraId="1CF96450">
      <w:pPr>
        <w:ind w:firstLine="422"/>
        <w:rPr>
          <w:rFonts w:ascii="宋体" w:hAnsi="宋体"/>
          <w:szCs w:val="21"/>
        </w:rPr>
      </w:pPr>
      <w:r>
        <w:rPr>
          <w:rFonts w:hint="eastAsia" w:ascii="宋体" w:hAnsi="宋体"/>
          <w:b/>
          <w:szCs w:val="21"/>
        </w:rPr>
        <w:t>上矽村委会</w:t>
      </w:r>
      <w:r>
        <w:rPr>
          <w:rFonts w:hint="eastAsia" w:ascii="宋体" w:hAnsi="宋体"/>
          <w:szCs w:val="21"/>
        </w:rPr>
        <w:t xml:space="preserve">  地处澜河镇的西北部，是典型的边远山区农村，距市区50公里。全村共有19个村民小组，共432户，2053人。全村总面积2043.33公顷，其中山林面积1928.67公顷，耕地面积114.67公顷；该村属广东省级贫困村，从2010年起通过东莞市谢岗镇的对口帮扶，使该村委会逐渐脱贫。东莞谢岗镇培训村民养殖五黑鸡和抚育毛竹，2011年还签订了《帮扶贫困村产业发展项目协议书》，争取到30万元帮扶资金，在上矽村种植80亩罗汉果，发展特色农业品牌，引导贫困户通过劳动脱贫，建立长效的帮扶机制。</w:t>
      </w:r>
    </w:p>
    <w:p w14:paraId="2BEBEA07">
      <w:pPr>
        <w:ind w:firstLine="422"/>
        <w:rPr>
          <w:rFonts w:ascii="宋体" w:hAnsi="宋体"/>
          <w:szCs w:val="21"/>
        </w:rPr>
      </w:pPr>
      <w:r>
        <w:rPr>
          <w:rFonts w:hint="eastAsia" w:ascii="宋体" w:hAnsi="宋体"/>
          <w:b/>
          <w:szCs w:val="21"/>
        </w:rPr>
        <w:t>洞底村委会</w:t>
      </w:r>
      <w:r>
        <w:rPr>
          <w:rFonts w:hint="eastAsia" w:ascii="宋体" w:hAnsi="宋体"/>
          <w:szCs w:val="21"/>
        </w:rPr>
        <w:t xml:space="preserve">  地处澜河镇最北端，与江西省大余县河洞乡交界，地理位置优越，全村有8个村民小组，总户数268户，共1172人，其中党员42人。全村总面积1860公顷，其中山林面积1786.67公顷，耕地面积73.33公顷.辖区森林面积辽阔，竹、木资源丰富，地下蕴含丰富的矿产资源，有南方特有的原生态红豆杉群，红豆杉直径20至90公分树木6000多棵，树龄在20到1000年之间。                  （邓小丽）</w:t>
      </w:r>
    </w:p>
    <w:p w14:paraId="01C4FCF6">
      <w:pPr>
        <w:ind w:firstLine="0" w:firstLineChars="0"/>
        <w:rPr>
          <w:rFonts w:ascii="宋体" w:hAnsi="宋体"/>
          <w:b/>
          <w:szCs w:val="21"/>
        </w:rPr>
      </w:pPr>
      <w:r>
        <w:rPr>
          <w:rFonts w:hint="eastAsia" w:ascii="宋体" w:hAnsi="宋体"/>
          <w:b/>
          <w:szCs w:val="21"/>
        </w:rPr>
        <w:t>附：2011年澜河镇领导班子成员名单</w:t>
      </w:r>
    </w:p>
    <w:p w14:paraId="69912409">
      <w:pPr>
        <w:ind w:firstLine="0" w:firstLineChars="0"/>
        <w:rPr>
          <w:rFonts w:ascii="宋体" w:hAnsi="宋体"/>
          <w:szCs w:val="21"/>
        </w:rPr>
      </w:pPr>
      <w:r>
        <w:rPr>
          <w:rFonts w:hint="eastAsia" w:ascii="宋体" w:hAnsi="宋体"/>
          <w:szCs w:val="21"/>
        </w:rPr>
        <w:t>党委书记、人大主席：李  帆</w:t>
      </w:r>
    </w:p>
    <w:p w14:paraId="210768DE">
      <w:pPr>
        <w:ind w:firstLine="0" w:firstLineChars="0"/>
        <w:rPr>
          <w:rFonts w:ascii="宋体" w:hAnsi="宋体"/>
          <w:szCs w:val="21"/>
        </w:rPr>
      </w:pPr>
      <w:r>
        <w:rPr>
          <w:rFonts w:hint="eastAsia" w:ascii="宋体" w:hAnsi="宋体"/>
          <w:szCs w:val="21"/>
        </w:rPr>
        <w:t>党委副书记、镇长：陈  华</w:t>
      </w:r>
    </w:p>
    <w:p w14:paraId="5006E81D">
      <w:pPr>
        <w:ind w:firstLine="0" w:firstLineChars="0"/>
        <w:rPr>
          <w:rFonts w:ascii="宋体" w:hAnsi="宋体"/>
          <w:szCs w:val="21"/>
        </w:rPr>
      </w:pPr>
      <w:r>
        <w:rPr>
          <w:rFonts w:hint="eastAsia" w:ascii="宋体" w:hAnsi="宋体"/>
          <w:szCs w:val="21"/>
        </w:rPr>
        <w:t>党委副书记：何松山</w:t>
      </w:r>
    </w:p>
    <w:p w14:paraId="0104E080">
      <w:pPr>
        <w:ind w:firstLine="0" w:firstLineChars="0"/>
        <w:rPr>
          <w:rFonts w:ascii="宋体" w:hAnsi="宋体"/>
          <w:szCs w:val="21"/>
        </w:rPr>
      </w:pPr>
      <w:r>
        <w:rPr>
          <w:rFonts w:hint="eastAsia" w:ascii="宋体" w:hAnsi="宋体"/>
          <w:szCs w:val="21"/>
        </w:rPr>
        <w:t>组织委员：刘  芳</w:t>
      </w:r>
    </w:p>
    <w:p w14:paraId="5B52B851">
      <w:pPr>
        <w:ind w:firstLine="0" w:firstLineChars="0"/>
        <w:rPr>
          <w:rFonts w:ascii="宋体" w:hAnsi="宋体"/>
          <w:szCs w:val="21"/>
        </w:rPr>
      </w:pPr>
      <w:r>
        <w:rPr>
          <w:rFonts w:hint="eastAsia" w:ascii="宋体" w:hAnsi="宋体"/>
          <w:szCs w:val="21"/>
        </w:rPr>
        <w:t>宣传委员：李小全</w:t>
      </w:r>
    </w:p>
    <w:p w14:paraId="3CA2569C">
      <w:pPr>
        <w:ind w:firstLine="0" w:firstLineChars="0"/>
        <w:rPr>
          <w:rFonts w:ascii="宋体" w:hAnsi="宋体"/>
          <w:szCs w:val="21"/>
        </w:rPr>
      </w:pPr>
      <w:r>
        <w:rPr>
          <w:rFonts w:hint="eastAsia" w:ascii="宋体" w:hAnsi="宋体"/>
          <w:szCs w:val="21"/>
        </w:rPr>
        <w:t>党委委员、人大副主席：杨简彬</w:t>
      </w:r>
    </w:p>
    <w:p w14:paraId="081B3902">
      <w:pPr>
        <w:ind w:firstLine="0" w:firstLineChars="0"/>
        <w:rPr>
          <w:rFonts w:ascii="宋体" w:hAnsi="宋体"/>
          <w:szCs w:val="21"/>
        </w:rPr>
      </w:pPr>
      <w:r>
        <w:rPr>
          <w:rFonts w:hint="eastAsia" w:ascii="宋体" w:hAnsi="宋体"/>
          <w:szCs w:val="21"/>
        </w:rPr>
        <w:t>党委委员、武装部长：刘景通</w:t>
      </w:r>
    </w:p>
    <w:p w14:paraId="4A833229">
      <w:pPr>
        <w:ind w:firstLine="0" w:firstLineChars="0"/>
        <w:rPr>
          <w:rFonts w:ascii="宋体" w:hAnsi="宋体"/>
          <w:szCs w:val="21"/>
        </w:rPr>
      </w:pPr>
      <w:r>
        <w:rPr>
          <w:rFonts w:hint="eastAsia" w:ascii="宋体" w:hAnsi="宋体"/>
          <w:szCs w:val="21"/>
        </w:rPr>
        <w:t>党委委员、综治办专职副主任：陈如红</w:t>
      </w:r>
    </w:p>
    <w:p w14:paraId="43D68183">
      <w:pPr>
        <w:ind w:firstLine="0" w:firstLineChars="0"/>
        <w:rPr>
          <w:rFonts w:ascii="宋体" w:hAnsi="宋体"/>
          <w:szCs w:val="21"/>
        </w:rPr>
      </w:pPr>
      <w:r>
        <w:rPr>
          <w:rFonts w:hint="eastAsia" w:ascii="宋体" w:hAnsi="宋体"/>
          <w:szCs w:val="21"/>
        </w:rPr>
        <w:t>副镇长：张振云  徐学锋  刘烈军</w:t>
      </w:r>
    </w:p>
    <w:tbl>
      <w:tblPr>
        <w:tblStyle w:val="15"/>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31518D2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3D66E10F">
            <w:pPr>
              <w:ind w:firstLine="0" w:firstLineChars="0"/>
              <w:rPr>
                <w:rFonts w:ascii="宋体" w:hAnsi="宋体"/>
                <w:szCs w:val="21"/>
              </w:rPr>
            </w:pPr>
            <w:r>
              <w:rPr>
                <w:rFonts w:ascii="宋体" w:hAnsi="宋体"/>
                <w:szCs w:val="21"/>
              </w:rPr>
              <w:pict>
                <v:shape id="_x0000_i1040" o:spt="75" type="#_x0000_t75" style="height:330pt;width:486.75pt;" filled="f" o:preferrelative="t" stroked="f" coordsize="21600,21600">
                  <v:path/>
                  <v:fill on="f" focussize="0,0"/>
                  <v:stroke on="f" joinstyle="miter"/>
                  <v:imagedata r:id="rId111" o:title="南雄年鉴2012-58"/>
                  <o:lock v:ext="edit" aspectratio="t"/>
                  <w10:wrap type="none"/>
                  <w10:anchorlock/>
                </v:shape>
              </w:pict>
            </w:r>
          </w:p>
        </w:tc>
      </w:tr>
    </w:tbl>
    <w:p w14:paraId="53FCC1AA">
      <w:pPr>
        <w:pStyle w:val="2"/>
      </w:pPr>
      <w:r>
        <w:rPr>
          <w:rFonts w:hint="eastAsia"/>
        </w:rPr>
        <w:t>社会经济统计资料</w:t>
      </w:r>
    </w:p>
    <w:p w14:paraId="315DCC4C">
      <w:pPr>
        <w:pStyle w:val="3"/>
      </w:pPr>
      <w:r>
        <w:rPr>
          <w:rFonts w:hint="eastAsia"/>
        </w:rPr>
        <w:t>广东省五一巾帼奖、广东省五一劳动奖章获得者</w:t>
      </w:r>
    </w:p>
    <w:p w14:paraId="6F29690E">
      <w:pPr>
        <w:ind w:firstLine="422"/>
        <w:rPr>
          <w:rFonts w:ascii="宋体" w:hAnsi="宋体"/>
          <w:szCs w:val="21"/>
        </w:rPr>
      </w:pPr>
      <w:r>
        <w:rPr>
          <w:rFonts w:hint="eastAsia" w:ascii="宋体" w:hAnsi="宋体"/>
          <w:b/>
          <w:szCs w:val="21"/>
        </w:rPr>
        <w:t>张朝璟</w:t>
      </w:r>
      <w:r>
        <w:rPr>
          <w:rFonts w:hint="eastAsia" w:ascii="宋体" w:hAnsi="宋体"/>
          <w:szCs w:val="21"/>
        </w:rPr>
        <w:t xml:space="preserve">  女，中共党员，1958年8月出生，大专毕业，1994年任南雄市人口和计划生育局副局长。2011年3月被授予“广东省五一巾帼奖”荣誉称号同时授予“广东省五一劳动奖章”荣誉称号。张朝璟同志自任人口和计划生育局副局长以来，分管统计规划、信息化建设、考核和流动人口管理等几项业务性较强的工作。在工作中能够认真学习，爱岗敬业，勤奋工作，廉洁奉公，为提升南雄市的计划生育工作水平，创建省计划生育优质服务县（市、区）做出了</w:t>
      </w:r>
      <w:r>
        <w:rPr>
          <w:rFonts w:hint="eastAsia" w:ascii="宋体" w:hAnsi="宋体"/>
          <w:szCs w:val="21"/>
          <w:lang w:eastAsia="zh-CN"/>
        </w:rPr>
        <w:t>自己</w:t>
      </w:r>
      <w:r>
        <w:rPr>
          <w:rFonts w:hint="eastAsia" w:ascii="宋体" w:hAnsi="宋体"/>
          <w:szCs w:val="21"/>
        </w:rPr>
        <w:t>的贡献，受到了省、市、县的表彰和奖励。1995年参加全省妇女生育节育抽样调查表现突出；1996年8月被省计生委评为“先进工作者”；2006年5月被广东省委、省政府授予“广东省人口计划生育工作先进工作者”称号；2008年3月被韶关市人口计划生育局、人事局授予“韶关市人口与计划生育工作突出贡献者”称号，多次被南雄市委评为“优秀共产党员”。</w:t>
      </w:r>
    </w:p>
    <w:tbl>
      <w:tblPr>
        <w:tblStyle w:val="15"/>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01A9970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6F83ED21">
            <w:pPr>
              <w:ind w:firstLine="0" w:firstLineChars="0"/>
              <w:rPr>
                <w:rFonts w:ascii="宋体" w:hAnsi="宋体"/>
                <w:szCs w:val="21"/>
              </w:rPr>
            </w:pPr>
            <w:r>
              <w:rPr>
                <w:rFonts w:ascii="宋体" w:hAnsi="宋体"/>
                <w:szCs w:val="21"/>
              </w:rPr>
              <w:pict>
                <v:shape id="_x0000_i1041" o:spt="75" type="#_x0000_t75" style="height:360pt;width:487.5pt;" filled="f" o:preferrelative="t" stroked="f" coordsize="21600,21600">
                  <v:path/>
                  <v:fill on="f" focussize="0,0"/>
                  <v:stroke on="f" joinstyle="miter"/>
                  <v:imagedata r:id="rId112" o:title="南雄年鉴2012-59"/>
                  <o:lock v:ext="edit" aspectratio="t"/>
                  <w10:wrap type="none"/>
                  <w10:anchorlock/>
                </v:shape>
              </w:pict>
            </w:r>
          </w:p>
        </w:tc>
      </w:tr>
    </w:tbl>
    <w:p w14:paraId="011CD1A8">
      <w:pPr>
        <w:pStyle w:val="3"/>
        <w:bidi w:val="0"/>
        <w:rPr>
          <w:rFonts w:hint="eastAsia"/>
        </w:rPr>
      </w:pPr>
      <w:r>
        <w:rPr>
          <w:rFonts w:hint="eastAsia"/>
        </w:rPr>
        <w:t>2011年南雄市国民经济和社会发展统计公报</w:t>
      </w:r>
    </w:p>
    <w:p w14:paraId="6CFBEC0E">
      <w:pPr>
        <w:bidi w:val="0"/>
        <w:jc w:val="center"/>
        <w:rPr>
          <w:rFonts w:hint="eastAsia"/>
        </w:rPr>
      </w:pPr>
      <w:r>
        <w:rPr>
          <w:rFonts w:hint="eastAsia"/>
        </w:rPr>
        <w:t>南雄市统计局</w:t>
      </w:r>
    </w:p>
    <w:p w14:paraId="2F2E4853">
      <w:pPr>
        <w:bidi w:val="0"/>
        <w:jc w:val="center"/>
      </w:pPr>
      <w:r>
        <w:rPr>
          <w:rFonts w:hint="eastAsia"/>
        </w:rPr>
        <w:t>（2012年3月15日）</w:t>
      </w:r>
    </w:p>
    <w:p w14:paraId="29CF36D7">
      <w:pPr>
        <w:ind w:firstLine="420"/>
        <w:rPr>
          <w:rFonts w:ascii="宋体" w:hAnsi="宋体"/>
          <w:szCs w:val="21"/>
        </w:rPr>
      </w:pPr>
      <w:r>
        <w:rPr>
          <w:rFonts w:hint="eastAsia" w:ascii="宋体" w:hAnsi="宋体"/>
          <w:szCs w:val="21"/>
        </w:rPr>
        <w:t>2011年，南雄人民在市委、市政府的正确领导下，高举中国特色社会主义伟大旗帜，以邓小平理论和“三个代表”重要思想为指导，深入贯彻落实科学发展观，按照省委和韶关市委的决策部署，牢牢把握“主题主线”和加快转型升级、围绕建设幸福南雄的奋斗目标，认真实施生态发展《规划纲要》和“十二五”规划，克服各种困难和挑战，大力促进结构调整和经济发展方式转变，巩固和扩大应对国际金融危机冲击成果，保持了经济社会平稳较快发展，实现“十二五”时期良好开局。经济建设、社会建设、文化建设、生态建设和政治建设取得了显著成绩。</w:t>
      </w:r>
    </w:p>
    <w:p w14:paraId="5CFE2522">
      <w:pPr>
        <w:ind w:firstLine="422"/>
        <w:rPr>
          <w:rFonts w:ascii="宋体" w:hAnsi="宋体"/>
          <w:b/>
          <w:szCs w:val="21"/>
        </w:rPr>
      </w:pPr>
      <w:r>
        <w:rPr>
          <w:rFonts w:hint="eastAsia" w:ascii="宋体" w:hAnsi="宋体"/>
          <w:b/>
          <w:szCs w:val="21"/>
        </w:rPr>
        <w:t>一、综合</w:t>
      </w:r>
    </w:p>
    <w:p w14:paraId="4DB8F4EE">
      <w:pPr>
        <w:ind w:firstLine="420"/>
        <w:rPr>
          <w:rFonts w:ascii="宋体" w:hAnsi="宋体"/>
          <w:szCs w:val="21"/>
        </w:rPr>
      </w:pPr>
      <w:r>
        <w:rPr>
          <w:rFonts w:hint="eastAsia" w:ascii="宋体" w:hAnsi="宋体"/>
          <w:szCs w:val="21"/>
        </w:rPr>
        <w:t>初步核算，2011年全市实现地区生产总值（GDP）75.31亿元，比上年增长15.8%。其中，第一产业增加值19.92亿元，增长5.9%，对GDP增长的贡献率为10.1%；第二产业增加值23.75亿元，增长30.3%，对GDP增长的贡献率为54.5%；第三产业增加值31.64亿元，增长12.6%，对GDP增长的贡献率为35.4%。三次产业结构为26.5：31.5：42，产业结构进一步优化。在第三产业中，批发和零售业增长9.4%，住宿和餐饮业增长9.6%，金融业增长4.1%，房地产业增长4.7%。民营经济增加值53.33亿元，增长15.0%。</w:t>
      </w:r>
    </w:p>
    <w:p w14:paraId="576D593B">
      <w:pPr>
        <w:ind w:firstLine="422"/>
        <w:jc w:val="center"/>
        <w:rPr>
          <w:rFonts w:ascii="宋体" w:hAnsi="宋体"/>
          <w:b/>
          <w:szCs w:val="21"/>
        </w:rPr>
      </w:pPr>
      <w:r>
        <w:rPr>
          <w:rFonts w:hint="eastAsia" w:ascii="宋体" w:hAnsi="宋体"/>
          <w:b/>
          <w:szCs w:val="21"/>
        </w:rPr>
        <w:t>表35 地区生产总值</w:t>
      </w:r>
    </w:p>
    <w:p w14:paraId="459763E4">
      <w:pPr>
        <w:ind w:firstLine="420"/>
        <w:jc w:val="right"/>
        <w:rPr>
          <w:rFonts w:ascii="宋体" w:hAnsi="宋体"/>
          <w:szCs w:val="21"/>
        </w:rPr>
      </w:pPr>
      <w:r>
        <w:rPr>
          <w:rFonts w:hint="eastAsia" w:ascii="宋体" w:hAnsi="宋体"/>
          <w:szCs w:val="21"/>
        </w:rPr>
        <w:t>单位：亿元</w:t>
      </w:r>
    </w:p>
    <w:tbl>
      <w:tblPr>
        <w:tblStyle w:val="14"/>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352"/>
        <w:gridCol w:w="2305"/>
        <w:gridCol w:w="2305"/>
      </w:tblGrid>
      <w:tr w14:paraId="7B8FFB7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686" w:type="pct"/>
            <w:shd w:val="clear" w:color="auto" w:fill="auto"/>
            <w:noWrap/>
            <w:vAlign w:val="center"/>
          </w:tcPr>
          <w:p w14:paraId="245669B0">
            <w:pPr>
              <w:pStyle w:val="23"/>
              <w:jc w:val="center"/>
              <w:rPr>
                <w:rFonts w:ascii="宋体" w:hAnsi="宋体"/>
                <w:b/>
                <w:kern w:val="0"/>
                <w:szCs w:val="21"/>
              </w:rPr>
            </w:pPr>
            <w:r>
              <w:rPr>
                <w:rFonts w:ascii="宋体" w:hAnsi="宋体"/>
                <w:b/>
                <w:kern w:val="0"/>
                <w:szCs w:val="21"/>
              </w:rPr>
              <w:t>指标</w:t>
            </w:r>
          </w:p>
        </w:tc>
        <w:tc>
          <w:tcPr>
            <w:tcW w:w="1157" w:type="pct"/>
            <w:shd w:val="clear" w:color="auto" w:fill="auto"/>
            <w:noWrap/>
            <w:vAlign w:val="center"/>
          </w:tcPr>
          <w:p w14:paraId="65B7D53A">
            <w:pPr>
              <w:pStyle w:val="23"/>
              <w:jc w:val="center"/>
              <w:rPr>
                <w:rFonts w:ascii="宋体" w:hAnsi="宋体"/>
                <w:b/>
                <w:kern w:val="0"/>
                <w:szCs w:val="21"/>
              </w:rPr>
            </w:pPr>
            <w:r>
              <w:rPr>
                <w:rFonts w:ascii="宋体" w:hAnsi="宋体"/>
                <w:b/>
                <w:kern w:val="0"/>
                <w:szCs w:val="21"/>
              </w:rPr>
              <w:t>2011年</w:t>
            </w:r>
          </w:p>
        </w:tc>
        <w:tc>
          <w:tcPr>
            <w:tcW w:w="1157" w:type="pct"/>
            <w:shd w:val="clear" w:color="auto" w:fill="auto"/>
            <w:noWrap/>
            <w:vAlign w:val="center"/>
          </w:tcPr>
          <w:p w14:paraId="71EAF452">
            <w:pPr>
              <w:pStyle w:val="23"/>
              <w:jc w:val="center"/>
              <w:rPr>
                <w:rFonts w:ascii="宋体" w:hAnsi="宋体"/>
                <w:b/>
                <w:kern w:val="0"/>
                <w:szCs w:val="21"/>
              </w:rPr>
            </w:pPr>
            <w:r>
              <w:rPr>
                <w:rFonts w:ascii="宋体" w:hAnsi="宋体"/>
                <w:b/>
                <w:kern w:val="0"/>
                <w:szCs w:val="21"/>
              </w:rPr>
              <w:t>比上年增长+-%</w:t>
            </w:r>
          </w:p>
        </w:tc>
      </w:tr>
      <w:tr w14:paraId="410AB17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686" w:type="pct"/>
            <w:shd w:val="clear" w:color="auto" w:fill="auto"/>
            <w:noWrap/>
            <w:vAlign w:val="center"/>
          </w:tcPr>
          <w:p w14:paraId="750B30D0">
            <w:pPr>
              <w:pStyle w:val="23"/>
              <w:rPr>
                <w:rFonts w:ascii="宋体" w:hAnsi="宋体"/>
                <w:kern w:val="0"/>
                <w:szCs w:val="21"/>
              </w:rPr>
            </w:pPr>
            <w:r>
              <w:rPr>
                <w:rFonts w:ascii="宋体" w:hAnsi="宋体"/>
                <w:kern w:val="0"/>
                <w:szCs w:val="21"/>
              </w:rPr>
              <w:t>地区生产总值</w:t>
            </w:r>
          </w:p>
        </w:tc>
        <w:tc>
          <w:tcPr>
            <w:tcW w:w="1157" w:type="pct"/>
            <w:shd w:val="clear" w:color="auto" w:fill="auto"/>
            <w:noWrap/>
            <w:vAlign w:val="center"/>
          </w:tcPr>
          <w:p w14:paraId="1094BBFE">
            <w:pPr>
              <w:pStyle w:val="23"/>
              <w:jc w:val="center"/>
              <w:rPr>
                <w:rFonts w:ascii="宋体" w:hAnsi="宋体"/>
                <w:kern w:val="0"/>
                <w:szCs w:val="21"/>
              </w:rPr>
            </w:pPr>
            <w:r>
              <w:rPr>
                <w:rFonts w:ascii="宋体" w:hAnsi="宋体"/>
                <w:kern w:val="0"/>
                <w:szCs w:val="21"/>
              </w:rPr>
              <w:t>75.31</w:t>
            </w:r>
          </w:p>
        </w:tc>
        <w:tc>
          <w:tcPr>
            <w:tcW w:w="1157" w:type="pct"/>
            <w:shd w:val="clear" w:color="auto" w:fill="auto"/>
            <w:noWrap/>
            <w:vAlign w:val="center"/>
          </w:tcPr>
          <w:p w14:paraId="719E724C">
            <w:pPr>
              <w:pStyle w:val="23"/>
              <w:jc w:val="center"/>
              <w:rPr>
                <w:rFonts w:ascii="宋体" w:hAnsi="宋体"/>
                <w:kern w:val="0"/>
                <w:szCs w:val="21"/>
              </w:rPr>
            </w:pPr>
            <w:r>
              <w:rPr>
                <w:rFonts w:ascii="宋体" w:hAnsi="宋体"/>
                <w:kern w:val="0"/>
                <w:szCs w:val="21"/>
              </w:rPr>
              <w:t>15.8</w:t>
            </w:r>
          </w:p>
        </w:tc>
      </w:tr>
      <w:tr w14:paraId="2A00671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686" w:type="pct"/>
            <w:shd w:val="clear" w:color="auto" w:fill="auto"/>
            <w:noWrap/>
            <w:vAlign w:val="center"/>
          </w:tcPr>
          <w:p w14:paraId="00DCC5B0">
            <w:pPr>
              <w:pStyle w:val="23"/>
              <w:ind w:firstLine="420" w:firstLineChars="200"/>
              <w:rPr>
                <w:rFonts w:ascii="宋体" w:hAnsi="宋体"/>
                <w:kern w:val="0"/>
                <w:szCs w:val="21"/>
              </w:rPr>
            </w:pPr>
            <w:r>
              <w:rPr>
                <w:rFonts w:ascii="宋体" w:hAnsi="宋体"/>
                <w:kern w:val="0"/>
                <w:szCs w:val="21"/>
              </w:rPr>
              <w:t>第一产业</w:t>
            </w:r>
          </w:p>
        </w:tc>
        <w:tc>
          <w:tcPr>
            <w:tcW w:w="1157" w:type="pct"/>
            <w:shd w:val="clear" w:color="auto" w:fill="auto"/>
            <w:noWrap/>
            <w:vAlign w:val="center"/>
          </w:tcPr>
          <w:p w14:paraId="169E4D4F">
            <w:pPr>
              <w:pStyle w:val="23"/>
              <w:jc w:val="center"/>
              <w:rPr>
                <w:rFonts w:ascii="宋体" w:hAnsi="宋体"/>
                <w:kern w:val="0"/>
                <w:szCs w:val="21"/>
              </w:rPr>
            </w:pPr>
            <w:r>
              <w:rPr>
                <w:rFonts w:ascii="宋体" w:hAnsi="宋体"/>
                <w:kern w:val="0"/>
                <w:szCs w:val="21"/>
              </w:rPr>
              <w:t>19.92</w:t>
            </w:r>
          </w:p>
        </w:tc>
        <w:tc>
          <w:tcPr>
            <w:tcW w:w="1157" w:type="pct"/>
            <w:shd w:val="clear" w:color="auto" w:fill="auto"/>
            <w:noWrap/>
            <w:vAlign w:val="center"/>
          </w:tcPr>
          <w:p w14:paraId="6F32FF42">
            <w:pPr>
              <w:pStyle w:val="23"/>
              <w:jc w:val="center"/>
              <w:rPr>
                <w:rFonts w:ascii="宋体" w:hAnsi="宋体"/>
                <w:kern w:val="0"/>
                <w:szCs w:val="21"/>
              </w:rPr>
            </w:pPr>
            <w:r>
              <w:rPr>
                <w:rFonts w:ascii="宋体" w:hAnsi="宋体"/>
                <w:kern w:val="0"/>
                <w:szCs w:val="21"/>
              </w:rPr>
              <w:t>5.9</w:t>
            </w:r>
          </w:p>
        </w:tc>
      </w:tr>
      <w:tr w14:paraId="322CE4B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686" w:type="pct"/>
            <w:shd w:val="clear" w:color="auto" w:fill="auto"/>
            <w:noWrap/>
            <w:vAlign w:val="center"/>
          </w:tcPr>
          <w:p w14:paraId="628E78FA">
            <w:pPr>
              <w:pStyle w:val="23"/>
              <w:ind w:firstLine="420" w:firstLineChars="200"/>
              <w:rPr>
                <w:rFonts w:ascii="宋体" w:hAnsi="宋体"/>
                <w:kern w:val="0"/>
                <w:szCs w:val="21"/>
              </w:rPr>
            </w:pPr>
            <w:r>
              <w:rPr>
                <w:rFonts w:ascii="宋体" w:hAnsi="宋体"/>
                <w:kern w:val="0"/>
                <w:szCs w:val="21"/>
              </w:rPr>
              <w:t>第二产业</w:t>
            </w:r>
          </w:p>
        </w:tc>
        <w:tc>
          <w:tcPr>
            <w:tcW w:w="1157" w:type="pct"/>
            <w:shd w:val="clear" w:color="auto" w:fill="auto"/>
            <w:noWrap/>
            <w:vAlign w:val="center"/>
          </w:tcPr>
          <w:p w14:paraId="046711B5">
            <w:pPr>
              <w:pStyle w:val="23"/>
              <w:jc w:val="center"/>
              <w:rPr>
                <w:rFonts w:ascii="宋体" w:hAnsi="宋体"/>
                <w:kern w:val="0"/>
                <w:szCs w:val="21"/>
              </w:rPr>
            </w:pPr>
            <w:r>
              <w:rPr>
                <w:rFonts w:ascii="宋体" w:hAnsi="宋体"/>
                <w:kern w:val="0"/>
                <w:szCs w:val="21"/>
              </w:rPr>
              <w:t>23.75</w:t>
            </w:r>
          </w:p>
        </w:tc>
        <w:tc>
          <w:tcPr>
            <w:tcW w:w="1157" w:type="pct"/>
            <w:shd w:val="clear" w:color="auto" w:fill="auto"/>
            <w:noWrap/>
            <w:vAlign w:val="center"/>
          </w:tcPr>
          <w:p w14:paraId="5831EABE">
            <w:pPr>
              <w:pStyle w:val="23"/>
              <w:jc w:val="center"/>
              <w:rPr>
                <w:rFonts w:ascii="宋体" w:hAnsi="宋体"/>
                <w:kern w:val="0"/>
                <w:szCs w:val="21"/>
              </w:rPr>
            </w:pPr>
            <w:r>
              <w:rPr>
                <w:rFonts w:ascii="宋体" w:hAnsi="宋体"/>
                <w:kern w:val="0"/>
                <w:szCs w:val="21"/>
              </w:rPr>
              <w:t>30.3</w:t>
            </w:r>
          </w:p>
        </w:tc>
      </w:tr>
      <w:tr w14:paraId="3917A62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686" w:type="pct"/>
            <w:shd w:val="clear" w:color="auto" w:fill="auto"/>
            <w:noWrap/>
            <w:vAlign w:val="center"/>
          </w:tcPr>
          <w:p w14:paraId="0678F466">
            <w:pPr>
              <w:pStyle w:val="23"/>
              <w:ind w:firstLine="630" w:firstLineChars="300"/>
              <w:rPr>
                <w:rFonts w:ascii="宋体" w:hAnsi="宋体"/>
                <w:kern w:val="0"/>
                <w:szCs w:val="21"/>
              </w:rPr>
            </w:pPr>
            <w:r>
              <w:rPr>
                <w:rFonts w:ascii="宋体" w:hAnsi="宋体"/>
                <w:kern w:val="0"/>
                <w:szCs w:val="21"/>
              </w:rPr>
              <w:t>工业</w:t>
            </w:r>
          </w:p>
        </w:tc>
        <w:tc>
          <w:tcPr>
            <w:tcW w:w="1157" w:type="pct"/>
            <w:shd w:val="clear" w:color="auto" w:fill="auto"/>
            <w:noWrap/>
            <w:vAlign w:val="center"/>
          </w:tcPr>
          <w:p w14:paraId="3426B1AF">
            <w:pPr>
              <w:pStyle w:val="23"/>
              <w:jc w:val="center"/>
              <w:rPr>
                <w:rFonts w:ascii="宋体" w:hAnsi="宋体"/>
                <w:kern w:val="0"/>
                <w:szCs w:val="21"/>
              </w:rPr>
            </w:pPr>
            <w:r>
              <w:rPr>
                <w:rFonts w:ascii="宋体" w:hAnsi="宋体"/>
                <w:kern w:val="0"/>
                <w:szCs w:val="21"/>
              </w:rPr>
              <w:t>16.89</w:t>
            </w:r>
          </w:p>
        </w:tc>
        <w:tc>
          <w:tcPr>
            <w:tcW w:w="1157" w:type="pct"/>
            <w:shd w:val="clear" w:color="auto" w:fill="auto"/>
            <w:noWrap/>
            <w:vAlign w:val="center"/>
          </w:tcPr>
          <w:p w14:paraId="3D9695AD">
            <w:pPr>
              <w:pStyle w:val="23"/>
              <w:jc w:val="center"/>
              <w:rPr>
                <w:rFonts w:ascii="宋体" w:hAnsi="宋体"/>
                <w:kern w:val="0"/>
                <w:szCs w:val="21"/>
              </w:rPr>
            </w:pPr>
            <w:r>
              <w:rPr>
                <w:rFonts w:ascii="宋体" w:hAnsi="宋体"/>
                <w:kern w:val="0"/>
                <w:szCs w:val="21"/>
              </w:rPr>
              <w:t>38.2</w:t>
            </w:r>
          </w:p>
        </w:tc>
      </w:tr>
      <w:tr w14:paraId="45153C0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686" w:type="pct"/>
            <w:shd w:val="clear" w:color="auto" w:fill="auto"/>
            <w:noWrap/>
            <w:vAlign w:val="center"/>
          </w:tcPr>
          <w:p w14:paraId="0C5F277F">
            <w:pPr>
              <w:pStyle w:val="23"/>
              <w:ind w:firstLine="630" w:firstLineChars="300"/>
              <w:rPr>
                <w:rFonts w:ascii="宋体" w:hAnsi="宋体"/>
                <w:kern w:val="0"/>
                <w:szCs w:val="21"/>
              </w:rPr>
            </w:pPr>
            <w:r>
              <w:rPr>
                <w:rFonts w:ascii="宋体" w:hAnsi="宋体"/>
                <w:kern w:val="0"/>
                <w:szCs w:val="21"/>
              </w:rPr>
              <w:t>建筑业</w:t>
            </w:r>
          </w:p>
        </w:tc>
        <w:tc>
          <w:tcPr>
            <w:tcW w:w="1157" w:type="pct"/>
            <w:shd w:val="clear" w:color="auto" w:fill="auto"/>
            <w:noWrap/>
            <w:vAlign w:val="center"/>
          </w:tcPr>
          <w:p w14:paraId="34132B14">
            <w:pPr>
              <w:pStyle w:val="23"/>
              <w:jc w:val="center"/>
              <w:rPr>
                <w:rFonts w:ascii="宋体" w:hAnsi="宋体"/>
                <w:kern w:val="0"/>
                <w:szCs w:val="21"/>
              </w:rPr>
            </w:pPr>
            <w:r>
              <w:rPr>
                <w:rFonts w:ascii="宋体" w:hAnsi="宋体"/>
                <w:kern w:val="0"/>
                <w:szCs w:val="21"/>
              </w:rPr>
              <w:t>6.85</w:t>
            </w:r>
          </w:p>
        </w:tc>
        <w:tc>
          <w:tcPr>
            <w:tcW w:w="1157" w:type="pct"/>
            <w:shd w:val="clear" w:color="auto" w:fill="auto"/>
            <w:noWrap/>
            <w:vAlign w:val="center"/>
          </w:tcPr>
          <w:p w14:paraId="1A4CC8E6">
            <w:pPr>
              <w:pStyle w:val="23"/>
              <w:jc w:val="center"/>
              <w:rPr>
                <w:rFonts w:ascii="宋体" w:hAnsi="宋体"/>
                <w:kern w:val="0"/>
                <w:szCs w:val="21"/>
              </w:rPr>
            </w:pPr>
            <w:r>
              <w:rPr>
                <w:rFonts w:ascii="宋体" w:hAnsi="宋体"/>
                <w:kern w:val="0"/>
                <w:szCs w:val="21"/>
              </w:rPr>
              <w:t>14.0</w:t>
            </w:r>
          </w:p>
        </w:tc>
      </w:tr>
      <w:tr w14:paraId="67D0A54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686" w:type="pct"/>
            <w:shd w:val="clear" w:color="auto" w:fill="auto"/>
            <w:noWrap/>
            <w:vAlign w:val="center"/>
          </w:tcPr>
          <w:p w14:paraId="79041831">
            <w:pPr>
              <w:pStyle w:val="23"/>
              <w:ind w:firstLine="420" w:firstLineChars="200"/>
              <w:rPr>
                <w:rFonts w:ascii="宋体" w:hAnsi="宋体"/>
                <w:kern w:val="0"/>
                <w:szCs w:val="21"/>
              </w:rPr>
            </w:pPr>
            <w:r>
              <w:rPr>
                <w:rFonts w:ascii="宋体" w:hAnsi="宋体"/>
                <w:kern w:val="0"/>
                <w:szCs w:val="21"/>
              </w:rPr>
              <w:t>第三产业</w:t>
            </w:r>
          </w:p>
        </w:tc>
        <w:tc>
          <w:tcPr>
            <w:tcW w:w="1157" w:type="pct"/>
            <w:shd w:val="clear" w:color="auto" w:fill="auto"/>
            <w:noWrap/>
            <w:vAlign w:val="center"/>
          </w:tcPr>
          <w:p w14:paraId="522753CA">
            <w:pPr>
              <w:pStyle w:val="23"/>
              <w:jc w:val="center"/>
              <w:rPr>
                <w:rFonts w:ascii="宋体" w:hAnsi="宋体"/>
                <w:kern w:val="0"/>
                <w:szCs w:val="21"/>
              </w:rPr>
            </w:pPr>
            <w:r>
              <w:rPr>
                <w:rFonts w:ascii="宋体" w:hAnsi="宋体"/>
                <w:kern w:val="0"/>
                <w:szCs w:val="21"/>
              </w:rPr>
              <w:t>31.64</w:t>
            </w:r>
          </w:p>
        </w:tc>
        <w:tc>
          <w:tcPr>
            <w:tcW w:w="1157" w:type="pct"/>
            <w:shd w:val="clear" w:color="auto" w:fill="auto"/>
            <w:noWrap/>
            <w:vAlign w:val="center"/>
          </w:tcPr>
          <w:p w14:paraId="4A9D2E18">
            <w:pPr>
              <w:pStyle w:val="23"/>
              <w:jc w:val="center"/>
              <w:rPr>
                <w:rFonts w:ascii="宋体" w:hAnsi="宋体"/>
                <w:kern w:val="0"/>
                <w:szCs w:val="21"/>
              </w:rPr>
            </w:pPr>
            <w:r>
              <w:rPr>
                <w:rFonts w:ascii="宋体" w:hAnsi="宋体"/>
                <w:kern w:val="0"/>
                <w:szCs w:val="21"/>
              </w:rPr>
              <w:t>12.6</w:t>
            </w:r>
          </w:p>
        </w:tc>
      </w:tr>
      <w:tr w14:paraId="0105A6D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686" w:type="pct"/>
            <w:shd w:val="clear" w:color="auto" w:fill="auto"/>
            <w:noWrap/>
            <w:vAlign w:val="center"/>
          </w:tcPr>
          <w:p w14:paraId="224B924B">
            <w:pPr>
              <w:pStyle w:val="23"/>
              <w:ind w:firstLine="630" w:firstLineChars="300"/>
              <w:rPr>
                <w:rFonts w:ascii="宋体" w:hAnsi="宋体"/>
                <w:kern w:val="0"/>
                <w:szCs w:val="21"/>
              </w:rPr>
            </w:pPr>
            <w:r>
              <w:rPr>
                <w:rFonts w:ascii="宋体" w:hAnsi="宋体"/>
                <w:kern w:val="0"/>
                <w:szCs w:val="21"/>
              </w:rPr>
              <w:t>交通运输、仓储和邮政业</w:t>
            </w:r>
          </w:p>
        </w:tc>
        <w:tc>
          <w:tcPr>
            <w:tcW w:w="1157" w:type="pct"/>
            <w:shd w:val="clear" w:color="auto" w:fill="auto"/>
            <w:noWrap/>
            <w:vAlign w:val="center"/>
          </w:tcPr>
          <w:p w14:paraId="4A40A424">
            <w:pPr>
              <w:pStyle w:val="23"/>
              <w:jc w:val="center"/>
              <w:rPr>
                <w:rFonts w:ascii="宋体" w:hAnsi="宋体"/>
                <w:kern w:val="0"/>
                <w:szCs w:val="21"/>
              </w:rPr>
            </w:pPr>
            <w:r>
              <w:rPr>
                <w:rFonts w:ascii="宋体" w:hAnsi="宋体"/>
                <w:kern w:val="0"/>
                <w:szCs w:val="21"/>
              </w:rPr>
              <w:t>4.20</w:t>
            </w:r>
          </w:p>
        </w:tc>
        <w:tc>
          <w:tcPr>
            <w:tcW w:w="1157" w:type="pct"/>
            <w:shd w:val="clear" w:color="auto" w:fill="auto"/>
            <w:noWrap/>
            <w:vAlign w:val="center"/>
          </w:tcPr>
          <w:p w14:paraId="7C537197">
            <w:pPr>
              <w:pStyle w:val="23"/>
              <w:jc w:val="center"/>
              <w:rPr>
                <w:rFonts w:ascii="宋体" w:hAnsi="宋体"/>
                <w:kern w:val="0"/>
                <w:szCs w:val="21"/>
              </w:rPr>
            </w:pPr>
            <w:r>
              <w:rPr>
                <w:rFonts w:ascii="宋体" w:hAnsi="宋体"/>
                <w:kern w:val="0"/>
                <w:szCs w:val="21"/>
              </w:rPr>
              <w:t>18.9</w:t>
            </w:r>
          </w:p>
        </w:tc>
      </w:tr>
      <w:tr w14:paraId="4C6E2A1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686" w:type="pct"/>
            <w:shd w:val="clear" w:color="auto" w:fill="auto"/>
            <w:noWrap/>
            <w:vAlign w:val="center"/>
          </w:tcPr>
          <w:p w14:paraId="04841263">
            <w:pPr>
              <w:pStyle w:val="23"/>
              <w:ind w:firstLine="630" w:firstLineChars="300"/>
              <w:rPr>
                <w:rFonts w:ascii="宋体" w:hAnsi="宋体"/>
                <w:kern w:val="0"/>
                <w:szCs w:val="21"/>
              </w:rPr>
            </w:pPr>
            <w:r>
              <w:rPr>
                <w:rFonts w:ascii="宋体" w:hAnsi="宋体"/>
                <w:kern w:val="0"/>
                <w:szCs w:val="21"/>
              </w:rPr>
              <w:t>批发和零售业</w:t>
            </w:r>
          </w:p>
        </w:tc>
        <w:tc>
          <w:tcPr>
            <w:tcW w:w="1157" w:type="pct"/>
            <w:shd w:val="clear" w:color="auto" w:fill="auto"/>
            <w:noWrap/>
            <w:vAlign w:val="center"/>
          </w:tcPr>
          <w:p w14:paraId="150C5E5C">
            <w:pPr>
              <w:pStyle w:val="23"/>
              <w:jc w:val="center"/>
              <w:rPr>
                <w:rFonts w:ascii="宋体" w:hAnsi="宋体"/>
                <w:kern w:val="0"/>
                <w:szCs w:val="21"/>
              </w:rPr>
            </w:pPr>
            <w:r>
              <w:rPr>
                <w:rFonts w:ascii="宋体" w:hAnsi="宋体"/>
                <w:kern w:val="0"/>
                <w:szCs w:val="21"/>
              </w:rPr>
              <w:t>5.55</w:t>
            </w:r>
          </w:p>
        </w:tc>
        <w:tc>
          <w:tcPr>
            <w:tcW w:w="1157" w:type="pct"/>
            <w:shd w:val="clear" w:color="auto" w:fill="auto"/>
            <w:noWrap/>
            <w:vAlign w:val="center"/>
          </w:tcPr>
          <w:p w14:paraId="7EBFABA8">
            <w:pPr>
              <w:pStyle w:val="23"/>
              <w:jc w:val="center"/>
              <w:rPr>
                <w:rFonts w:ascii="宋体" w:hAnsi="宋体"/>
                <w:kern w:val="0"/>
                <w:szCs w:val="21"/>
              </w:rPr>
            </w:pPr>
            <w:r>
              <w:rPr>
                <w:rFonts w:ascii="宋体" w:hAnsi="宋体"/>
                <w:kern w:val="0"/>
                <w:szCs w:val="21"/>
              </w:rPr>
              <w:t>9.4</w:t>
            </w:r>
          </w:p>
        </w:tc>
      </w:tr>
      <w:tr w14:paraId="6720037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686" w:type="pct"/>
            <w:shd w:val="clear" w:color="auto" w:fill="auto"/>
            <w:noWrap/>
            <w:vAlign w:val="center"/>
          </w:tcPr>
          <w:p w14:paraId="11C77E75">
            <w:pPr>
              <w:pStyle w:val="23"/>
              <w:ind w:firstLine="630" w:firstLineChars="300"/>
              <w:rPr>
                <w:rFonts w:ascii="宋体" w:hAnsi="宋体"/>
                <w:kern w:val="0"/>
                <w:szCs w:val="21"/>
              </w:rPr>
            </w:pPr>
            <w:r>
              <w:rPr>
                <w:rFonts w:ascii="宋体" w:hAnsi="宋体"/>
                <w:kern w:val="0"/>
                <w:szCs w:val="21"/>
              </w:rPr>
              <w:t>住宿和餐饮业</w:t>
            </w:r>
          </w:p>
        </w:tc>
        <w:tc>
          <w:tcPr>
            <w:tcW w:w="1157" w:type="pct"/>
            <w:shd w:val="clear" w:color="auto" w:fill="auto"/>
            <w:noWrap/>
            <w:vAlign w:val="center"/>
          </w:tcPr>
          <w:p w14:paraId="3CA6883E">
            <w:pPr>
              <w:pStyle w:val="23"/>
              <w:jc w:val="center"/>
              <w:rPr>
                <w:rFonts w:ascii="宋体" w:hAnsi="宋体"/>
                <w:kern w:val="0"/>
                <w:szCs w:val="21"/>
              </w:rPr>
            </w:pPr>
            <w:r>
              <w:rPr>
                <w:rFonts w:ascii="宋体" w:hAnsi="宋体"/>
                <w:kern w:val="0"/>
                <w:szCs w:val="21"/>
              </w:rPr>
              <w:t>1.52</w:t>
            </w:r>
          </w:p>
        </w:tc>
        <w:tc>
          <w:tcPr>
            <w:tcW w:w="1157" w:type="pct"/>
            <w:shd w:val="clear" w:color="auto" w:fill="auto"/>
            <w:noWrap/>
            <w:vAlign w:val="center"/>
          </w:tcPr>
          <w:p w14:paraId="2C212E36">
            <w:pPr>
              <w:pStyle w:val="23"/>
              <w:jc w:val="center"/>
              <w:rPr>
                <w:rFonts w:ascii="宋体" w:hAnsi="宋体"/>
                <w:kern w:val="0"/>
                <w:szCs w:val="21"/>
              </w:rPr>
            </w:pPr>
            <w:r>
              <w:rPr>
                <w:rFonts w:ascii="宋体" w:hAnsi="宋体"/>
                <w:kern w:val="0"/>
                <w:szCs w:val="21"/>
              </w:rPr>
              <w:t>9.6</w:t>
            </w:r>
          </w:p>
        </w:tc>
      </w:tr>
      <w:tr w14:paraId="0ECC95D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686" w:type="pct"/>
            <w:shd w:val="clear" w:color="auto" w:fill="auto"/>
            <w:noWrap/>
            <w:vAlign w:val="center"/>
          </w:tcPr>
          <w:p w14:paraId="6CB3EB36">
            <w:pPr>
              <w:pStyle w:val="23"/>
              <w:ind w:firstLine="630" w:firstLineChars="300"/>
              <w:rPr>
                <w:rFonts w:ascii="宋体" w:hAnsi="宋体"/>
                <w:kern w:val="0"/>
                <w:szCs w:val="21"/>
              </w:rPr>
            </w:pPr>
            <w:r>
              <w:rPr>
                <w:rFonts w:ascii="宋体" w:hAnsi="宋体"/>
                <w:kern w:val="0"/>
                <w:szCs w:val="21"/>
              </w:rPr>
              <w:t>金融业</w:t>
            </w:r>
          </w:p>
        </w:tc>
        <w:tc>
          <w:tcPr>
            <w:tcW w:w="1157" w:type="pct"/>
            <w:shd w:val="clear" w:color="auto" w:fill="auto"/>
            <w:noWrap/>
            <w:vAlign w:val="center"/>
          </w:tcPr>
          <w:p w14:paraId="20F9C766">
            <w:pPr>
              <w:pStyle w:val="23"/>
              <w:jc w:val="center"/>
              <w:rPr>
                <w:rFonts w:ascii="宋体" w:hAnsi="宋体"/>
                <w:kern w:val="0"/>
                <w:szCs w:val="21"/>
              </w:rPr>
            </w:pPr>
            <w:r>
              <w:rPr>
                <w:rFonts w:ascii="宋体" w:hAnsi="宋体"/>
                <w:kern w:val="0"/>
                <w:szCs w:val="21"/>
              </w:rPr>
              <w:t>0.84</w:t>
            </w:r>
          </w:p>
        </w:tc>
        <w:tc>
          <w:tcPr>
            <w:tcW w:w="1157" w:type="pct"/>
            <w:shd w:val="clear" w:color="auto" w:fill="auto"/>
            <w:noWrap/>
            <w:vAlign w:val="center"/>
          </w:tcPr>
          <w:p w14:paraId="5EF9E836">
            <w:pPr>
              <w:pStyle w:val="23"/>
              <w:jc w:val="center"/>
              <w:rPr>
                <w:rFonts w:ascii="宋体" w:hAnsi="宋体"/>
                <w:kern w:val="0"/>
                <w:szCs w:val="21"/>
              </w:rPr>
            </w:pPr>
            <w:r>
              <w:rPr>
                <w:rFonts w:ascii="宋体" w:hAnsi="宋体"/>
                <w:kern w:val="0"/>
                <w:szCs w:val="21"/>
              </w:rPr>
              <w:t>4.1</w:t>
            </w:r>
          </w:p>
        </w:tc>
      </w:tr>
      <w:tr w14:paraId="3817FED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686" w:type="pct"/>
            <w:shd w:val="clear" w:color="auto" w:fill="auto"/>
            <w:noWrap/>
            <w:vAlign w:val="center"/>
          </w:tcPr>
          <w:p w14:paraId="72DEDD09">
            <w:pPr>
              <w:pStyle w:val="23"/>
              <w:ind w:firstLine="630" w:firstLineChars="300"/>
              <w:rPr>
                <w:rFonts w:ascii="宋体" w:hAnsi="宋体"/>
                <w:kern w:val="0"/>
                <w:szCs w:val="21"/>
              </w:rPr>
            </w:pPr>
            <w:r>
              <w:rPr>
                <w:rFonts w:ascii="宋体" w:hAnsi="宋体"/>
                <w:kern w:val="0"/>
                <w:szCs w:val="21"/>
              </w:rPr>
              <w:t>房地产业</w:t>
            </w:r>
          </w:p>
        </w:tc>
        <w:tc>
          <w:tcPr>
            <w:tcW w:w="1157" w:type="pct"/>
            <w:shd w:val="clear" w:color="auto" w:fill="auto"/>
            <w:noWrap/>
            <w:vAlign w:val="center"/>
          </w:tcPr>
          <w:p w14:paraId="0B536295">
            <w:pPr>
              <w:pStyle w:val="23"/>
              <w:jc w:val="center"/>
              <w:rPr>
                <w:rFonts w:ascii="宋体" w:hAnsi="宋体"/>
                <w:kern w:val="0"/>
                <w:szCs w:val="21"/>
              </w:rPr>
            </w:pPr>
            <w:r>
              <w:rPr>
                <w:rFonts w:ascii="宋体" w:hAnsi="宋体"/>
                <w:kern w:val="0"/>
                <w:szCs w:val="21"/>
              </w:rPr>
              <w:t>2.33</w:t>
            </w:r>
          </w:p>
        </w:tc>
        <w:tc>
          <w:tcPr>
            <w:tcW w:w="1157" w:type="pct"/>
            <w:shd w:val="clear" w:color="auto" w:fill="auto"/>
            <w:noWrap/>
            <w:vAlign w:val="center"/>
          </w:tcPr>
          <w:p w14:paraId="7B31CB33">
            <w:pPr>
              <w:pStyle w:val="23"/>
              <w:jc w:val="center"/>
              <w:rPr>
                <w:rFonts w:ascii="宋体" w:hAnsi="宋体"/>
                <w:kern w:val="0"/>
                <w:szCs w:val="21"/>
              </w:rPr>
            </w:pPr>
            <w:r>
              <w:rPr>
                <w:rFonts w:ascii="宋体" w:hAnsi="宋体"/>
                <w:kern w:val="0"/>
                <w:szCs w:val="21"/>
              </w:rPr>
              <w:t>4.7</w:t>
            </w:r>
          </w:p>
        </w:tc>
      </w:tr>
      <w:tr w14:paraId="4A8CDDF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686" w:type="pct"/>
            <w:shd w:val="clear" w:color="auto" w:fill="auto"/>
            <w:noWrap/>
            <w:vAlign w:val="center"/>
          </w:tcPr>
          <w:p w14:paraId="32568271">
            <w:pPr>
              <w:pStyle w:val="23"/>
              <w:ind w:firstLine="630" w:firstLineChars="300"/>
              <w:rPr>
                <w:rFonts w:ascii="宋体" w:hAnsi="宋体"/>
                <w:kern w:val="0"/>
                <w:szCs w:val="21"/>
              </w:rPr>
            </w:pPr>
            <w:r>
              <w:rPr>
                <w:rFonts w:ascii="宋体" w:hAnsi="宋体"/>
                <w:kern w:val="0"/>
                <w:szCs w:val="21"/>
              </w:rPr>
              <w:t>其他营利性服务业</w:t>
            </w:r>
          </w:p>
        </w:tc>
        <w:tc>
          <w:tcPr>
            <w:tcW w:w="1157" w:type="pct"/>
            <w:shd w:val="clear" w:color="auto" w:fill="auto"/>
            <w:noWrap/>
            <w:vAlign w:val="center"/>
          </w:tcPr>
          <w:p w14:paraId="2566FEF9">
            <w:pPr>
              <w:pStyle w:val="23"/>
              <w:jc w:val="center"/>
              <w:rPr>
                <w:rFonts w:ascii="宋体" w:hAnsi="宋体"/>
                <w:kern w:val="0"/>
                <w:szCs w:val="21"/>
              </w:rPr>
            </w:pPr>
            <w:r>
              <w:rPr>
                <w:rFonts w:ascii="宋体" w:hAnsi="宋体"/>
                <w:kern w:val="0"/>
                <w:szCs w:val="21"/>
              </w:rPr>
              <w:t>9.46</w:t>
            </w:r>
          </w:p>
        </w:tc>
        <w:tc>
          <w:tcPr>
            <w:tcW w:w="1157" w:type="pct"/>
            <w:shd w:val="clear" w:color="auto" w:fill="auto"/>
            <w:noWrap/>
            <w:vAlign w:val="center"/>
          </w:tcPr>
          <w:p w14:paraId="6B224DFC">
            <w:pPr>
              <w:pStyle w:val="23"/>
              <w:jc w:val="center"/>
              <w:rPr>
                <w:rFonts w:ascii="宋体" w:hAnsi="宋体"/>
                <w:kern w:val="0"/>
                <w:szCs w:val="21"/>
              </w:rPr>
            </w:pPr>
            <w:r>
              <w:rPr>
                <w:rFonts w:ascii="宋体" w:hAnsi="宋体"/>
                <w:kern w:val="0"/>
                <w:szCs w:val="21"/>
              </w:rPr>
              <w:t>16.2</w:t>
            </w:r>
          </w:p>
        </w:tc>
      </w:tr>
      <w:tr w14:paraId="1C17614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686" w:type="pct"/>
            <w:shd w:val="clear" w:color="auto" w:fill="auto"/>
            <w:noWrap/>
            <w:vAlign w:val="center"/>
          </w:tcPr>
          <w:p w14:paraId="164B6C17">
            <w:pPr>
              <w:pStyle w:val="23"/>
              <w:ind w:firstLine="630" w:firstLineChars="300"/>
              <w:rPr>
                <w:rFonts w:ascii="宋体" w:hAnsi="宋体"/>
                <w:kern w:val="0"/>
                <w:szCs w:val="21"/>
              </w:rPr>
            </w:pPr>
            <w:r>
              <w:rPr>
                <w:rFonts w:ascii="宋体" w:hAnsi="宋体"/>
                <w:kern w:val="0"/>
                <w:szCs w:val="21"/>
              </w:rPr>
              <w:t>非营利性服务业</w:t>
            </w:r>
          </w:p>
        </w:tc>
        <w:tc>
          <w:tcPr>
            <w:tcW w:w="1157" w:type="pct"/>
            <w:shd w:val="clear" w:color="auto" w:fill="auto"/>
            <w:noWrap/>
            <w:vAlign w:val="center"/>
          </w:tcPr>
          <w:p w14:paraId="2C714505">
            <w:pPr>
              <w:pStyle w:val="23"/>
              <w:jc w:val="center"/>
              <w:rPr>
                <w:rFonts w:ascii="宋体" w:hAnsi="宋体"/>
                <w:kern w:val="0"/>
                <w:szCs w:val="21"/>
              </w:rPr>
            </w:pPr>
            <w:r>
              <w:rPr>
                <w:rFonts w:ascii="宋体" w:hAnsi="宋体"/>
                <w:kern w:val="0"/>
                <w:szCs w:val="21"/>
              </w:rPr>
              <w:t>7.75</w:t>
            </w:r>
          </w:p>
        </w:tc>
        <w:tc>
          <w:tcPr>
            <w:tcW w:w="1157" w:type="pct"/>
            <w:shd w:val="clear" w:color="auto" w:fill="auto"/>
            <w:noWrap/>
            <w:vAlign w:val="center"/>
          </w:tcPr>
          <w:p w14:paraId="5D565B83">
            <w:pPr>
              <w:pStyle w:val="23"/>
              <w:jc w:val="center"/>
              <w:rPr>
                <w:rFonts w:ascii="宋体" w:hAnsi="宋体"/>
                <w:kern w:val="0"/>
                <w:szCs w:val="21"/>
              </w:rPr>
            </w:pPr>
            <w:r>
              <w:rPr>
                <w:rFonts w:ascii="宋体" w:hAnsi="宋体"/>
                <w:kern w:val="0"/>
                <w:szCs w:val="21"/>
              </w:rPr>
              <w:t>11.6</w:t>
            </w:r>
          </w:p>
        </w:tc>
      </w:tr>
    </w:tbl>
    <w:p w14:paraId="2DDBD8B9">
      <w:pPr>
        <w:ind w:firstLine="420"/>
        <w:rPr>
          <w:rFonts w:ascii="宋体" w:hAnsi="宋体"/>
          <w:szCs w:val="21"/>
        </w:rPr>
      </w:pPr>
      <w:r>
        <w:rPr>
          <w:rFonts w:hint="eastAsia" w:ascii="宋体" w:hAnsi="宋体"/>
          <w:szCs w:val="21"/>
        </w:rPr>
        <w:t>价格指数继续走高。全市居民消费价格指数为105%，高于上年2.1个百分点；规模以上工业品出厂价格指数为106.5%，高于上年2.3个百分点；固定资产投资价格指数为105.2%，高于上年2.4个百分点；房地产开发经营业价格指数为103.9%，高于上年1.3个百分点；商品零售价格指数为103.4%，高于上年0.5个百分点；农产品生产价格指数为116.2%，高于上年6.7个百分点。</w:t>
      </w:r>
    </w:p>
    <w:p w14:paraId="17E2374C">
      <w:pPr>
        <w:ind w:firstLine="420"/>
        <w:rPr>
          <w:rFonts w:ascii="宋体" w:hAnsi="宋体"/>
          <w:szCs w:val="21"/>
        </w:rPr>
      </w:pPr>
      <w:r>
        <w:rPr>
          <w:rFonts w:hint="eastAsia" w:ascii="宋体" w:hAnsi="宋体"/>
          <w:szCs w:val="21"/>
        </w:rPr>
        <w:t>就业形势持续稳定，城镇新增就业5200多人，转移农村劳动力1.3万人，城镇登记失业率控制在2.48%以内。</w:t>
      </w:r>
    </w:p>
    <w:p w14:paraId="51BAEF15">
      <w:pPr>
        <w:ind w:firstLine="420"/>
        <w:rPr>
          <w:rFonts w:ascii="宋体" w:hAnsi="宋体"/>
          <w:szCs w:val="21"/>
        </w:rPr>
      </w:pPr>
      <w:r>
        <w:rPr>
          <w:rFonts w:hint="eastAsia" w:ascii="宋体" w:hAnsi="宋体"/>
          <w:szCs w:val="21"/>
        </w:rPr>
        <w:t>全年地方财政一般预算收入3.4亿元，增长26.7%（可比口径）；其中税收收入2.39亿元，增长12.7%。</w:t>
      </w:r>
    </w:p>
    <w:p w14:paraId="683B07B7">
      <w:pPr>
        <w:ind w:firstLine="420"/>
        <w:rPr>
          <w:rFonts w:ascii="宋体" w:hAnsi="宋体"/>
          <w:szCs w:val="21"/>
        </w:rPr>
      </w:pPr>
      <w:r>
        <w:rPr>
          <w:rFonts w:hint="eastAsia" w:ascii="宋体" w:hAnsi="宋体"/>
          <w:szCs w:val="21"/>
        </w:rPr>
        <w:t>经济社会发展中存在的主要问题：经济基础薄弱，经济总量小、财政自给率低；园区经济效益仍未突出显现，落户的大项目、大企业仍然较少，缺乏能带动产业上下游企业的龙头企业，产业链发展不够完善；重点项目拉动投资增长乏力。工业项目规模偏小，缺少带动性强、关联度高的大项目支撑；社会事业和民生领域相对滞后。对比经济发展取得的成果，社会事业发展较为缓慢，基本公共服务水平较低，社会事业和民生投入仍需加大，社会保障体系、再就业等面临较大压力；节能减排形势严峻等。</w:t>
      </w:r>
    </w:p>
    <w:p w14:paraId="3746274C">
      <w:pPr>
        <w:ind w:firstLine="422"/>
        <w:rPr>
          <w:rFonts w:ascii="宋体" w:hAnsi="宋体"/>
          <w:b/>
          <w:szCs w:val="21"/>
        </w:rPr>
      </w:pPr>
      <w:r>
        <w:rPr>
          <w:rFonts w:hint="eastAsia" w:ascii="宋体" w:hAnsi="宋体"/>
          <w:b/>
          <w:szCs w:val="21"/>
        </w:rPr>
        <w:t>二、农业</w:t>
      </w:r>
    </w:p>
    <w:p w14:paraId="75D4DA4D">
      <w:pPr>
        <w:ind w:firstLine="420"/>
        <w:rPr>
          <w:rFonts w:ascii="宋体" w:hAnsi="宋体"/>
          <w:szCs w:val="21"/>
        </w:rPr>
      </w:pPr>
      <w:r>
        <w:rPr>
          <w:rFonts w:hint="eastAsia" w:ascii="宋体" w:hAnsi="宋体"/>
          <w:szCs w:val="21"/>
        </w:rPr>
        <w:t>2011年，我市坚持以科学发展观统领农村社会经济发展全局，全面推进新农村建设。各级各部门始终把“三农”作为全市农业农村工作的重中之重，按照“稳粮、增收、强基础、重民生、抓改革、促统筹”的要求，认真落实各项增收措施，以强农惠农为根本目的、以深化改革为强大动力，农村经济发展继续保持良好势头，农民收入持续增长。</w:t>
      </w:r>
    </w:p>
    <w:p w14:paraId="20251861">
      <w:pPr>
        <w:ind w:firstLine="420"/>
        <w:rPr>
          <w:rFonts w:ascii="宋体" w:hAnsi="宋体"/>
          <w:szCs w:val="21"/>
        </w:rPr>
      </w:pPr>
      <w:r>
        <w:rPr>
          <w:rFonts w:hint="eastAsia" w:ascii="宋体" w:hAnsi="宋体"/>
          <w:szCs w:val="21"/>
        </w:rPr>
        <w:t>农业农村经济效益持续稳定增长。初步统计，全年完成农业总产值33.5亿元，同比增长5.9%；其中种植业产值20.28亿元，林业产值2.23亿元，牧业产值9.36亿元，渔业产值1.16亿元，农林牧渔服务业产值0.48亿元，同比分别增长5.3%、 12.0%、5.9%、5.0%和6.0%。全市实现农业增加值19.92亿元，比上年增长5.9%。</w:t>
      </w:r>
    </w:p>
    <w:p w14:paraId="19AAF9AD">
      <w:pPr>
        <w:ind w:firstLine="420"/>
        <w:rPr>
          <w:rFonts w:ascii="宋体" w:hAnsi="宋体"/>
          <w:szCs w:val="21"/>
        </w:rPr>
      </w:pPr>
      <w:r>
        <w:rPr>
          <w:rFonts w:hint="eastAsia" w:ascii="宋体" w:hAnsi="宋体"/>
          <w:szCs w:val="21"/>
        </w:rPr>
        <w:t>大力发展特色农业。按照《南雄市农业产业化发展规划》，围绕特色农业项目建设，不断加快农业产业化发展步伐。坚持以市场为导向，以效益为中心，以生产无公害、绿色、有机农产品为重点，促进我市特色农业上规模、上档次、上效益。围绕特色农业发展，成立了168家农民专业合作社，新建了7个现代农业精品园区。百顺镇种植罗汉果800多亩，种植农户80多户，平均亩产值7000多元，总产值560万元；江头镇和珠玑镇发展种植金银花二千多亩；以界址、乌迳、南亩、坪田等镇为主产区，种植朝天椒1万亩；以南雄永骏食品厂为依托，在非烟区种植甜玉米14075亩；以南雄市惠丰农业发展有限公司为龙头，种植紫罗兰番薯3万多亩；特别是金友集团投资8000万元，兴建粮食仓储和农副产品加工基地，被省经信委评为“广东省优势传统企业转型升级示范企业”，标志着我市特色农副产品产业化经营迈出了新的步伐。</w:t>
      </w:r>
    </w:p>
    <w:p w14:paraId="7D5818EC">
      <w:pPr>
        <w:ind w:firstLine="420"/>
        <w:rPr>
          <w:rFonts w:ascii="宋体" w:hAnsi="宋体"/>
          <w:szCs w:val="21"/>
        </w:rPr>
      </w:pPr>
      <w:r>
        <w:rPr>
          <w:rFonts w:hint="eastAsia" w:ascii="宋体" w:hAnsi="宋体"/>
          <w:szCs w:val="21"/>
        </w:rPr>
        <w:t>惠农政策得到全面落实。发放农资综合补贴资金2561万元，较好地体现了非主产区产粮大县的地位，发放良种补贴资金577万元、生态公益林补偿资金262万元，自然灾害救济资金141万元。实施了农村饮水安全工程，新农村建设稳步推进，完成31个村庄环境整治工作，农民的生活条件和生活环境得到进一步提高。扶贫“双到”投入资金1.36亿元，接近实现“三年任务两年完成”的目标。</w:t>
      </w:r>
    </w:p>
    <w:p w14:paraId="35D98FFF">
      <w:pPr>
        <w:ind w:firstLine="420"/>
        <w:rPr>
          <w:rFonts w:ascii="宋体" w:hAnsi="宋体"/>
          <w:szCs w:val="21"/>
        </w:rPr>
      </w:pPr>
      <w:r>
        <w:rPr>
          <w:rFonts w:hint="eastAsia" w:ascii="宋体" w:hAnsi="宋体"/>
          <w:szCs w:val="21"/>
        </w:rPr>
        <w:t>粮食生产稳定。2011年，全市粮食总播种面积54.61万亩，粮食综合平均单产407.2公斤；粮食总产量22.24万吨，比上年增加0.72万吨，增长3.3%。国家和省级“产粮大县”地位进一步巩固。</w:t>
      </w:r>
    </w:p>
    <w:p w14:paraId="2BF628A9">
      <w:pPr>
        <w:ind w:firstLine="420"/>
        <w:rPr>
          <w:rFonts w:ascii="宋体" w:hAnsi="宋体"/>
          <w:szCs w:val="21"/>
        </w:rPr>
      </w:pPr>
      <w:r>
        <w:rPr>
          <w:rFonts w:hint="eastAsia" w:ascii="宋体" w:hAnsi="宋体"/>
          <w:szCs w:val="21"/>
        </w:rPr>
        <w:t>烟叶产业进一步壮大。我市以整县推进现代烟草农业建设为契机，大力发展现代烟草农业。推广黄烟测土配方施肥技术覆盖面，稳定黄烟种植面积，提高烟叶单产和质量，确保了增产增收。2011年，黄烟生产稳定。全市黄烟种植面积14.82万亩，完成烟叶收购31.98万担，收购金额达2.89亿元，同比增长24%，为我市提供了6363万元的财政收入。</w:t>
      </w:r>
    </w:p>
    <w:p w14:paraId="3658E24E">
      <w:pPr>
        <w:ind w:firstLine="420"/>
        <w:rPr>
          <w:rFonts w:ascii="宋体" w:hAnsi="宋体"/>
          <w:szCs w:val="21"/>
        </w:rPr>
      </w:pPr>
      <w:r>
        <w:rPr>
          <w:rFonts w:hint="eastAsia" w:ascii="宋体" w:hAnsi="宋体"/>
          <w:szCs w:val="21"/>
        </w:rPr>
        <w:t>畜牧业发展稳定。2011年，我市畜牧业在中央调控政策的有力拉动下，畜产品市场价格稳定，生产形势良好，畜牧业生产整体保持了发展稳定的态势。全市肉类总产量达3.87万吨，同比增长6.9%；禽蛋产量0.29万吨，同比增长3.6%。以华农温氏畜牧公司为龙头，采取公司+基地+农户的经营模式，生猪产业得到长足发展。年末生猪存栏为23.15万头，同比增长3.6%；家禽存栏为130.6万只，同比增长6.8%；全年生猪出栏为39.97万头，同比增长9.9%；家禽出栏为596.02万只，同比增长5.3%。畜牧业产值达9.36亿元，同比增长5.9%。</w:t>
      </w:r>
    </w:p>
    <w:p w14:paraId="4EB4E067">
      <w:pPr>
        <w:ind w:firstLine="420"/>
        <w:rPr>
          <w:rFonts w:ascii="宋体" w:hAnsi="宋体"/>
          <w:szCs w:val="21"/>
        </w:rPr>
      </w:pPr>
      <w:r>
        <w:rPr>
          <w:rFonts w:hint="eastAsia" w:ascii="宋体" w:hAnsi="宋体"/>
          <w:szCs w:val="21"/>
        </w:rPr>
        <w:t>水果产量增加，渔业生产持续平稳。我市积极扶持有条件的农户发展水果生产。近几年来，早熟李、三华李、南丰蜜桔、红梅粟、杨梅等水果的种植面积大幅增加，枇杷、桃、柑桔的面积也有一定表362011年产品名称粮食作物稻谷早粮薯类大豆猪肉家禽肉禽蛋鱼类农民人均纯收入6969元，按可比口径增长17.0%。全市农村经济总收入51.12亿元，比上年增长7.3%。幅度的增加。年末实有水果种植面积达4.04万亩，水果总产量1.89万吨，同比分别增长2.5%和16.7%。水产品总产量达1.43万吨，同比增长3.6%。</w:t>
      </w:r>
    </w:p>
    <w:p w14:paraId="25E234A6">
      <w:pPr>
        <w:ind w:firstLine="420"/>
        <w:rPr>
          <w:rFonts w:ascii="宋体" w:hAnsi="宋体"/>
          <w:szCs w:val="21"/>
        </w:rPr>
      </w:pPr>
      <w:r>
        <w:rPr>
          <w:rFonts w:hint="eastAsia" w:ascii="宋体" w:hAnsi="宋体"/>
          <w:szCs w:val="21"/>
        </w:rPr>
        <w:t>林业生产快速发展。完成造林4.5万亩，森林覆盖率达到63.43%，集体林权制度改革工作通过省政府验收并被评为优秀等级。孔江湿地公园被国家林业局批准为国家湿地公园。当年完成荒山荒地造林面积1098公顷，幼林抚育作业面积7067公顷次，四旁（零星）植树40万株，更新造林1246公顷，木材采伐量为3.54万立方米，毛竹砍伐162.38万根。全年完成林业产值2.23亿元。</w:t>
      </w:r>
    </w:p>
    <w:p w14:paraId="56354773">
      <w:pPr>
        <w:ind w:firstLine="422"/>
        <w:jc w:val="center"/>
        <w:rPr>
          <w:rFonts w:ascii="宋体" w:hAnsi="宋体"/>
          <w:b/>
          <w:szCs w:val="21"/>
        </w:rPr>
      </w:pPr>
      <w:r>
        <w:rPr>
          <w:rFonts w:hint="eastAsia" w:ascii="宋体" w:hAnsi="宋体"/>
          <w:b/>
          <w:szCs w:val="21"/>
        </w:rPr>
        <w:t>表36 2011年主要农产品产量</w:t>
      </w:r>
    </w:p>
    <w:p w14:paraId="08683715">
      <w:pPr>
        <w:ind w:firstLine="420"/>
        <w:jc w:val="right"/>
        <w:rPr>
          <w:rFonts w:ascii="宋体" w:hAnsi="宋体"/>
          <w:szCs w:val="21"/>
        </w:rPr>
      </w:pPr>
      <w:r>
        <w:rPr>
          <w:rFonts w:hint="eastAsia" w:ascii="宋体" w:hAnsi="宋体"/>
          <w:szCs w:val="21"/>
        </w:rPr>
        <w:t>单位：亿吨</w:t>
      </w:r>
    </w:p>
    <w:tbl>
      <w:tblPr>
        <w:tblStyle w:val="14"/>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321"/>
        <w:gridCol w:w="3321"/>
        <w:gridCol w:w="3320"/>
      </w:tblGrid>
      <w:tr w14:paraId="48256C1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667" w:type="pct"/>
            <w:shd w:val="clear" w:color="auto" w:fill="auto"/>
            <w:noWrap/>
            <w:vAlign w:val="center"/>
          </w:tcPr>
          <w:p w14:paraId="451DCDCF">
            <w:pPr>
              <w:pStyle w:val="23"/>
              <w:jc w:val="center"/>
              <w:rPr>
                <w:rFonts w:ascii="宋体" w:hAnsi="宋体"/>
                <w:kern w:val="0"/>
                <w:szCs w:val="21"/>
              </w:rPr>
            </w:pPr>
            <w:r>
              <w:rPr>
                <w:rFonts w:ascii="宋体" w:hAnsi="宋体"/>
                <w:kern w:val="0"/>
                <w:szCs w:val="21"/>
              </w:rPr>
              <w:t>产品名称</w:t>
            </w:r>
          </w:p>
        </w:tc>
        <w:tc>
          <w:tcPr>
            <w:tcW w:w="1667" w:type="pct"/>
            <w:shd w:val="clear" w:color="auto" w:fill="auto"/>
            <w:noWrap/>
            <w:vAlign w:val="center"/>
          </w:tcPr>
          <w:p w14:paraId="3544FCBC">
            <w:pPr>
              <w:pStyle w:val="23"/>
              <w:jc w:val="center"/>
              <w:rPr>
                <w:rFonts w:ascii="宋体" w:hAnsi="宋体"/>
                <w:kern w:val="0"/>
                <w:szCs w:val="21"/>
              </w:rPr>
            </w:pPr>
            <w:r>
              <w:rPr>
                <w:rFonts w:ascii="宋体" w:hAnsi="宋体"/>
                <w:kern w:val="0"/>
                <w:szCs w:val="21"/>
              </w:rPr>
              <w:t>产量</w:t>
            </w:r>
          </w:p>
        </w:tc>
        <w:tc>
          <w:tcPr>
            <w:tcW w:w="1667" w:type="pct"/>
            <w:shd w:val="clear" w:color="auto" w:fill="auto"/>
            <w:noWrap/>
            <w:vAlign w:val="center"/>
          </w:tcPr>
          <w:p w14:paraId="62D939EF">
            <w:pPr>
              <w:pStyle w:val="23"/>
              <w:jc w:val="center"/>
              <w:rPr>
                <w:rFonts w:ascii="宋体" w:hAnsi="宋体"/>
                <w:kern w:val="0"/>
                <w:szCs w:val="21"/>
              </w:rPr>
            </w:pPr>
            <w:r>
              <w:rPr>
                <w:rFonts w:ascii="宋体" w:hAnsi="宋体"/>
                <w:kern w:val="0"/>
                <w:szCs w:val="21"/>
              </w:rPr>
              <w:t>比上年增长+-%</w:t>
            </w:r>
          </w:p>
        </w:tc>
      </w:tr>
      <w:tr w14:paraId="263F761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667" w:type="pct"/>
            <w:shd w:val="clear" w:color="auto" w:fill="auto"/>
            <w:noWrap/>
            <w:vAlign w:val="center"/>
          </w:tcPr>
          <w:p w14:paraId="1668AEEA">
            <w:pPr>
              <w:pStyle w:val="23"/>
              <w:ind w:firstLine="420" w:firstLineChars="200"/>
              <w:rPr>
                <w:rFonts w:ascii="宋体" w:hAnsi="宋体"/>
                <w:kern w:val="0"/>
                <w:szCs w:val="21"/>
              </w:rPr>
            </w:pPr>
            <w:r>
              <w:rPr>
                <w:rFonts w:ascii="宋体" w:hAnsi="宋体"/>
                <w:kern w:val="0"/>
                <w:szCs w:val="21"/>
              </w:rPr>
              <w:t>粮食作物</w:t>
            </w:r>
          </w:p>
        </w:tc>
        <w:tc>
          <w:tcPr>
            <w:tcW w:w="1667" w:type="pct"/>
            <w:shd w:val="clear" w:color="auto" w:fill="auto"/>
            <w:noWrap/>
            <w:vAlign w:val="center"/>
          </w:tcPr>
          <w:p w14:paraId="22A37E81">
            <w:pPr>
              <w:pStyle w:val="23"/>
              <w:jc w:val="center"/>
              <w:rPr>
                <w:rFonts w:ascii="宋体" w:hAnsi="宋体"/>
                <w:kern w:val="0"/>
                <w:szCs w:val="21"/>
              </w:rPr>
            </w:pPr>
            <w:r>
              <w:rPr>
                <w:rFonts w:ascii="宋体" w:hAnsi="宋体"/>
                <w:kern w:val="0"/>
                <w:szCs w:val="21"/>
              </w:rPr>
              <w:t>22.24</w:t>
            </w:r>
          </w:p>
        </w:tc>
        <w:tc>
          <w:tcPr>
            <w:tcW w:w="1667" w:type="pct"/>
            <w:shd w:val="clear" w:color="auto" w:fill="auto"/>
            <w:noWrap/>
            <w:vAlign w:val="center"/>
          </w:tcPr>
          <w:p w14:paraId="34654C5E">
            <w:pPr>
              <w:pStyle w:val="23"/>
              <w:jc w:val="center"/>
              <w:rPr>
                <w:rFonts w:ascii="宋体" w:hAnsi="宋体"/>
                <w:kern w:val="0"/>
                <w:szCs w:val="21"/>
              </w:rPr>
            </w:pPr>
            <w:r>
              <w:rPr>
                <w:rFonts w:ascii="宋体" w:hAnsi="宋体"/>
                <w:kern w:val="0"/>
                <w:szCs w:val="21"/>
              </w:rPr>
              <w:t>3.4</w:t>
            </w:r>
          </w:p>
        </w:tc>
      </w:tr>
      <w:tr w14:paraId="6E3F76B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667" w:type="pct"/>
            <w:shd w:val="clear" w:color="auto" w:fill="auto"/>
            <w:noWrap/>
            <w:vAlign w:val="center"/>
          </w:tcPr>
          <w:p w14:paraId="6C92EA37">
            <w:pPr>
              <w:pStyle w:val="23"/>
              <w:ind w:firstLine="840" w:firstLineChars="400"/>
              <w:rPr>
                <w:rFonts w:ascii="宋体" w:hAnsi="宋体"/>
                <w:kern w:val="0"/>
                <w:szCs w:val="21"/>
              </w:rPr>
            </w:pPr>
            <w:r>
              <w:rPr>
                <w:rFonts w:ascii="宋体" w:hAnsi="宋体"/>
                <w:kern w:val="0"/>
                <w:szCs w:val="21"/>
              </w:rPr>
              <w:t>稻谷</w:t>
            </w:r>
          </w:p>
        </w:tc>
        <w:tc>
          <w:tcPr>
            <w:tcW w:w="1667" w:type="pct"/>
            <w:shd w:val="clear" w:color="auto" w:fill="auto"/>
            <w:noWrap/>
            <w:vAlign w:val="center"/>
          </w:tcPr>
          <w:p w14:paraId="136A15D0">
            <w:pPr>
              <w:pStyle w:val="23"/>
              <w:jc w:val="center"/>
              <w:rPr>
                <w:rFonts w:ascii="宋体" w:hAnsi="宋体"/>
                <w:kern w:val="0"/>
                <w:szCs w:val="21"/>
              </w:rPr>
            </w:pPr>
            <w:r>
              <w:rPr>
                <w:rFonts w:ascii="宋体" w:hAnsi="宋体"/>
                <w:kern w:val="0"/>
                <w:szCs w:val="21"/>
              </w:rPr>
              <w:t>19.87</w:t>
            </w:r>
          </w:p>
        </w:tc>
        <w:tc>
          <w:tcPr>
            <w:tcW w:w="1667" w:type="pct"/>
            <w:shd w:val="clear" w:color="auto" w:fill="auto"/>
            <w:noWrap/>
            <w:vAlign w:val="center"/>
          </w:tcPr>
          <w:p w14:paraId="1A09D087">
            <w:pPr>
              <w:pStyle w:val="23"/>
              <w:jc w:val="center"/>
              <w:rPr>
                <w:rFonts w:ascii="宋体" w:hAnsi="宋体"/>
                <w:kern w:val="0"/>
                <w:szCs w:val="21"/>
              </w:rPr>
            </w:pPr>
            <w:r>
              <w:rPr>
                <w:rFonts w:ascii="宋体" w:hAnsi="宋体"/>
                <w:kern w:val="0"/>
                <w:szCs w:val="21"/>
              </w:rPr>
              <w:t>2.7</w:t>
            </w:r>
          </w:p>
        </w:tc>
      </w:tr>
      <w:tr w14:paraId="2F33863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667" w:type="pct"/>
            <w:shd w:val="clear" w:color="auto" w:fill="auto"/>
            <w:noWrap/>
            <w:vAlign w:val="center"/>
          </w:tcPr>
          <w:p w14:paraId="5A5D131E">
            <w:pPr>
              <w:pStyle w:val="23"/>
              <w:ind w:firstLine="840" w:firstLineChars="400"/>
              <w:rPr>
                <w:rFonts w:ascii="宋体" w:hAnsi="宋体"/>
                <w:kern w:val="0"/>
                <w:szCs w:val="21"/>
              </w:rPr>
            </w:pPr>
            <w:r>
              <w:rPr>
                <w:rFonts w:ascii="宋体" w:hAnsi="宋体"/>
                <w:kern w:val="0"/>
                <w:szCs w:val="21"/>
              </w:rPr>
              <w:t>旱粮</w:t>
            </w:r>
          </w:p>
        </w:tc>
        <w:tc>
          <w:tcPr>
            <w:tcW w:w="1667" w:type="pct"/>
            <w:shd w:val="clear" w:color="auto" w:fill="auto"/>
            <w:noWrap/>
            <w:vAlign w:val="center"/>
          </w:tcPr>
          <w:p w14:paraId="597EDD67">
            <w:pPr>
              <w:pStyle w:val="23"/>
              <w:jc w:val="center"/>
              <w:rPr>
                <w:rFonts w:ascii="宋体" w:hAnsi="宋体"/>
                <w:kern w:val="0"/>
                <w:szCs w:val="21"/>
              </w:rPr>
            </w:pPr>
            <w:r>
              <w:rPr>
                <w:rFonts w:ascii="宋体" w:hAnsi="宋体"/>
                <w:kern w:val="0"/>
                <w:szCs w:val="21"/>
              </w:rPr>
              <w:t>0.51</w:t>
            </w:r>
          </w:p>
        </w:tc>
        <w:tc>
          <w:tcPr>
            <w:tcW w:w="1667" w:type="pct"/>
            <w:shd w:val="clear" w:color="auto" w:fill="auto"/>
            <w:noWrap/>
            <w:vAlign w:val="center"/>
          </w:tcPr>
          <w:p w14:paraId="75AA006F">
            <w:pPr>
              <w:pStyle w:val="23"/>
              <w:jc w:val="center"/>
              <w:rPr>
                <w:rFonts w:ascii="宋体" w:hAnsi="宋体"/>
                <w:kern w:val="0"/>
                <w:szCs w:val="21"/>
              </w:rPr>
            </w:pPr>
            <w:r>
              <w:rPr>
                <w:rFonts w:ascii="宋体" w:hAnsi="宋体"/>
                <w:kern w:val="0"/>
                <w:szCs w:val="21"/>
              </w:rPr>
              <w:t>10.9</w:t>
            </w:r>
          </w:p>
        </w:tc>
      </w:tr>
      <w:tr w14:paraId="3A2026A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667" w:type="pct"/>
            <w:shd w:val="clear" w:color="auto" w:fill="auto"/>
            <w:noWrap/>
            <w:vAlign w:val="center"/>
          </w:tcPr>
          <w:p w14:paraId="52F93349">
            <w:pPr>
              <w:pStyle w:val="23"/>
              <w:ind w:firstLine="840" w:firstLineChars="400"/>
              <w:rPr>
                <w:rFonts w:ascii="宋体" w:hAnsi="宋体"/>
                <w:kern w:val="0"/>
                <w:szCs w:val="21"/>
              </w:rPr>
            </w:pPr>
            <w:r>
              <w:rPr>
                <w:rFonts w:ascii="宋体" w:hAnsi="宋体"/>
                <w:kern w:val="0"/>
                <w:szCs w:val="21"/>
              </w:rPr>
              <w:t>薯类</w:t>
            </w:r>
          </w:p>
        </w:tc>
        <w:tc>
          <w:tcPr>
            <w:tcW w:w="1667" w:type="pct"/>
            <w:shd w:val="clear" w:color="auto" w:fill="auto"/>
            <w:noWrap/>
            <w:vAlign w:val="center"/>
          </w:tcPr>
          <w:p w14:paraId="0C946875">
            <w:pPr>
              <w:pStyle w:val="23"/>
              <w:jc w:val="center"/>
              <w:rPr>
                <w:rFonts w:ascii="宋体" w:hAnsi="宋体"/>
                <w:kern w:val="0"/>
                <w:szCs w:val="21"/>
              </w:rPr>
            </w:pPr>
            <w:r>
              <w:rPr>
                <w:rFonts w:ascii="宋体" w:hAnsi="宋体"/>
                <w:kern w:val="0"/>
                <w:szCs w:val="21"/>
              </w:rPr>
              <w:t>1.18</w:t>
            </w:r>
          </w:p>
        </w:tc>
        <w:tc>
          <w:tcPr>
            <w:tcW w:w="1667" w:type="pct"/>
            <w:shd w:val="clear" w:color="auto" w:fill="auto"/>
            <w:noWrap/>
            <w:vAlign w:val="center"/>
          </w:tcPr>
          <w:p w14:paraId="216A44E6">
            <w:pPr>
              <w:pStyle w:val="23"/>
              <w:jc w:val="center"/>
              <w:rPr>
                <w:rFonts w:ascii="宋体" w:hAnsi="宋体"/>
                <w:kern w:val="0"/>
                <w:szCs w:val="21"/>
              </w:rPr>
            </w:pPr>
            <w:r>
              <w:rPr>
                <w:rFonts w:ascii="宋体" w:hAnsi="宋体"/>
                <w:kern w:val="0"/>
                <w:szCs w:val="21"/>
              </w:rPr>
              <w:t>7.3</w:t>
            </w:r>
          </w:p>
        </w:tc>
      </w:tr>
      <w:tr w14:paraId="4B644C5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667" w:type="pct"/>
            <w:shd w:val="clear" w:color="auto" w:fill="auto"/>
            <w:noWrap/>
            <w:vAlign w:val="center"/>
          </w:tcPr>
          <w:p w14:paraId="2F429D78">
            <w:pPr>
              <w:pStyle w:val="23"/>
              <w:ind w:firstLine="840" w:firstLineChars="400"/>
              <w:rPr>
                <w:rFonts w:ascii="宋体" w:hAnsi="宋体"/>
                <w:kern w:val="0"/>
                <w:szCs w:val="21"/>
              </w:rPr>
            </w:pPr>
            <w:r>
              <w:rPr>
                <w:rFonts w:ascii="宋体" w:hAnsi="宋体"/>
                <w:kern w:val="0"/>
                <w:szCs w:val="21"/>
              </w:rPr>
              <w:t>大豆</w:t>
            </w:r>
          </w:p>
        </w:tc>
        <w:tc>
          <w:tcPr>
            <w:tcW w:w="1667" w:type="pct"/>
            <w:shd w:val="clear" w:color="auto" w:fill="auto"/>
            <w:noWrap/>
            <w:vAlign w:val="center"/>
          </w:tcPr>
          <w:p w14:paraId="22909865">
            <w:pPr>
              <w:pStyle w:val="23"/>
              <w:jc w:val="center"/>
              <w:rPr>
                <w:rFonts w:ascii="宋体" w:hAnsi="宋体"/>
                <w:kern w:val="0"/>
                <w:szCs w:val="21"/>
              </w:rPr>
            </w:pPr>
            <w:r>
              <w:rPr>
                <w:rFonts w:ascii="宋体" w:hAnsi="宋体"/>
                <w:kern w:val="0"/>
                <w:szCs w:val="21"/>
              </w:rPr>
              <w:t>0.68</w:t>
            </w:r>
          </w:p>
        </w:tc>
        <w:tc>
          <w:tcPr>
            <w:tcW w:w="1667" w:type="pct"/>
            <w:shd w:val="clear" w:color="auto" w:fill="auto"/>
            <w:noWrap/>
            <w:vAlign w:val="center"/>
          </w:tcPr>
          <w:p w14:paraId="3DD3F69A">
            <w:pPr>
              <w:pStyle w:val="23"/>
              <w:jc w:val="center"/>
              <w:rPr>
                <w:rFonts w:ascii="宋体" w:hAnsi="宋体"/>
                <w:kern w:val="0"/>
                <w:szCs w:val="21"/>
              </w:rPr>
            </w:pPr>
            <w:r>
              <w:rPr>
                <w:rFonts w:ascii="宋体" w:hAnsi="宋体"/>
                <w:kern w:val="0"/>
                <w:szCs w:val="21"/>
              </w:rPr>
              <w:t>11.5</w:t>
            </w:r>
          </w:p>
        </w:tc>
      </w:tr>
      <w:tr w14:paraId="6FAB257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667" w:type="pct"/>
            <w:shd w:val="clear" w:color="auto" w:fill="auto"/>
            <w:noWrap/>
            <w:vAlign w:val="center"/>
          </w:tcPr>
          <w:p w14:paraId="411FF7CD">
            <w:pPr>
              <w:pStyle w:val="23"/>
              <w:ind w:firstLine="420" w:firstLineChars="200"/>
              <w:rPr>
                <w:rFonts w:ascii="宋体" w:hAnsi="宋体"/>
                <w:kern w:val="0"/>
                <w:szCs w:val="21"/>
              </w:rPr>
            </w:pPr>
            <w:r>
              <w:rPr>
                <w:rFonts w:ascii="宋体" w:hAnsi="宋体"/>
                <w:kern w:val="0"/>
                <w:szCs w:val="21"/>
              </w:rPr>
              <w:t>经济作物</w:t>
            </w:r>
          </w:p>
        </w:tc>
        <w:tc>
          <w:tcPr>
            <w:tcW w:w="1667" w:type="pct"/>
            <w:shd w:val="clear" w:color="auto" w:fill="auto"/>
            <w:noWrap/>
            <w:vAlign w:val="center"/>
          </w:tcPr>
          <w:p w14:paraId="719E9D7D">
            <w:pPr>
              <w:pStyle w:val="23"/>
              <w:jc w:val="center"/>
              <w:rPr>
                <w:rFonts w:ascii="宋体" w:hAnsi="宋体"/>
                <w:kern w:val="0"/>
                <w:szCs w:val="21"/>
              </w:rPr>
            </w:pPr>
          </w:p>
        </w:tc>
        <w:tc>
          <w:tcPr>
            <w:tcW w:w="1667" w:type="pct"/>
            <w:shd w:val="clear" w:color="auto" w:fill="auto"/>
            <w:noWrap/>
            <w:vAlign w:val="center"/>
          </w:tcPr>
          <w:p w14:paraId="7C6C30B8">
            <w:pPr>
              <w:pStyle w:val="23"/>
              <w:jc w:val="center"/>
              <w:rPr>
                <w:rFonts w:ascii="宋体" w:hAnsi="宋体"/>
                <w:kern w:val="0"/>
                <w:szCs w:val="21"/>
              </w:rPr>
            </w:pPr>
          </w:p>
        </w:tc>
      </w:tr>
      <w:tr w14:paraId="134F080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667" w:type="pct"/>
            <w:shd w:val="clear" w:color="auto" w:fill="auto"/>
            <w:noWrap/>
            <w:vAlign w:val="center"/>
          </w:tcPr>
          <w:p w14:paraId="7508F67E">
            <w:pPr>
              <w:pStyle w:val="23"/>
              <w:ind w:firstLine="840" w:firstLineChars="400"/>
              <w:rPr>
                <w:rFonts w:ascii="宋体" w:hAnsi="宋体"/>
                <w:kern w:val="0"/>
                <w:szCs w:val="21"/>
              </w:rPr>
            </w:pPr>
            <w:r>
              <w:rPr>
                <w:rFonts w:ascii="宋体" w:hAnsi="宋体"/>
                <w:kern w:val="0"/>
                <w:szCs w:val="21"/>
              </w:rPr>
              <w:t>花生</w:t>
            </w:r>
          </w:p>
        </w:tc>
        <w:tc>
          <w:tcPr>
            <w:tcW w:w="1667" w:type="pct"/>
            <w:shd w:val="clear" w:color="auto" w:fill="auto"/>
            <w:noWrap/>
            <w:vAlign w:val="center"/>
          </w:tcPr>
          <w:p w14:paraId="053480D4">
            <w:pPr>
              <w:pStyle w:val="23"/>
              <w:jc w:val="center"/>
              <w:rPr>
                <w:rFonts w:ascii="宋体" w:hAnsi="宋体"/>
                <w:kern w:val="0"/>
                <w:szCs w:val="21"/>
              </w:rPr>
            </w:pPr>
            <w:r>
              <w:rPr>
                <w:rFonts w:ascii="宋体" w:hAnsi="宋体"/>
                <w:kern w:val="0"/>
                <w:szCs w:val="21"/>
              </w:rPr>
              <w:t>2.21</w:t>
            </w:r>
          </w:p>
        </w:tc>
        <w:tc>
          <w:tcPr>
            <w:tcW w:w="1667" w:type="pct"/>
            <w:shd w:val="clear" w:color="auto" w:fill="auto"/>
            <w:noWrap/>
            <w:vAlign w:val="center"/>
          </w:tcPr>
          <w:p w14:paraId="25DE6CC2">
            <w:pPr>
              <w:pStyle w:val="23"/>
              <w:jc w:val="center"/>
              <w:rPr>
                <w:rFonts w:ascii="宋体" w:hAnsi="宋体"/>
                <w:kern w:val="0"/>
                <w:szCs w:val="21"/>
              </w:rPr>
            </w:pPr>
            <w:r>
              <w:rPr>
                <w:rFonts w:ascii="宋体" w:hAnsi="宋体"/>
                <w:kern w:val="0"/>
                <w:szCs w:val="21"/>
              </w:rPr>
              <w:t>4.7</w:t>
            </w:r>
          </w:p>
        </w:tc>
      </w:tr>
      <w:tr w14:paraId="0DD12A6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667" w:type="pct"/>
            <w:shd w:val="clear" w:color="auto" w:fill="auto"/>
            <w:noWrap/>
            <w:vAlign w:val="center"/>
          </w:tcPr>
          <w:p w14:paraId="3864D489">
            <w:pPr>
              <w:pStyle w:val="23"/>
              <w:ind w:firstLine="840" w:firstLineChars="400"/>
              <w:rPr>
                <w:rFonts w:ascii="宋体" w:hAnsi="宋体"/>
                <w:kern w:val="0"/>
                <w:szCs w:val="21"/>
              </w:rPr>
            </w:pPr>
            <w:r>
              <w:rPr>
                <w:rFonts w:ascii="宋体" w:hAnsi="宋体"/>
                <w:kern w:val="0"/>
                <w:szCs w:val="21"/>
              </w:rPr>
              <w:t>烟叶</w:t>
            </w:r>
          </w:p>
        </w:tc>
        <w:tc>
          <w:tcPr>
            <w:tcW w:w="1667" w:type="pct"/>
            <w:shd w:val="clear" w:color="auto" w:fill="auto"/>
            <w:noWrap/>
            <w:vAlign w:val="center"/>
          </w:tcPr>
          <w:p w14:paraId="7C6CABB4">
            <w:pPr>
              <w:pStyle w:val="23"/>
              <w:jc w:val="center"/>
              <w:rPr>
                <w:rFonts w:ascii="宋体" w:hAnsi="宋体"/>
                <w:kern w:val="0"/>
                <w:szCs w:val="21"/>
              </w:rPr>
            </w:pPr>
            <w:r>
              <w:rPr>
                <w:rFonts w:ascii="宋体" w:hAnsi="宋体"/>
                <w:kern w:val="0"/>
                <w:szCs w:val="21"/>
              </w:rPr>
              <w:t>2.40</w:t>
            </w:r>
          </w:p>
        </w:tc>
        <w:tc>
          <w:tcPr>
            <w:tcW w:w="1667" w:type="pct"/>
            <w:shd w:val="clear" w:color="auto" w:fill="auto"/>
            <w:noWrap/>
            <w:vAlign w:val="center"/>
          </w:tcPr>
          <w:p w14:paraId="544F2A5E">
            <w:pPr>
              <w:pStyle w:val="23"/>
              <w:jc w:val="center"/>
              <w:rPr>
                <w:rFonts w:ascii="宋体" w:hAnsi="宋体"/>
                <w:kern w:val="0"/>
                <w:szCs w:val="21"/>
              </w:rPr>
            </w:pPr>
            <w:r>
              <w:rPr>
                <w:rFonts w:ascii="宋体" w:hAnsi="宋体"/>
                <w:kern w:val="0"/>
                <w:szCs w:val="21"/>
              </w:rPr>
              <w:t>1.3</w:t>
            </w:r>
          </w:p>
        </w:tc>
      </w:tr>
      <w:tr w14:paraId="1A40D0D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667" w:type="pct"/>
            <w:shd w:val="clear" w:color="auto" w:fill="auto"/>
            <w:noWrap/>
            <w:vAlign w:val="center"/>
          </w:tcPr>
          <w:p w14:paraId="5467C65A">
            <w:pPr>
              <w:pStyle w:val="23"/>
              <w:ind w:firstLine="840" w:firstLineChars="400"/>
              <w:rPr>
                <w:rFonts w:ascii="宋体" w:hAnsi="宋体"/>
                <w:kern w:val="0"/>
                <w:szCs w:val="21"/>
              </w:rPr>
            </w:pPr>
            <w:r>
              <w:rPr>
                <w:rFonts w:ascii="宋体" w:hAnsi="宋体"/>
                <w:kern w:val="0"/>
                <w:szCs w:val="21"/>
              </w:rPr>
              <w:t>水果</w:t>
            </w:r>
          </w:p>
        </w:tc>
        <w:tc>
          <w:tcPr>
            <w:tcW w:w="1667" w:type="pct"/>
            <w:shd w:val="clear" w:color="auto" w:fill="auto"/>
            <w:noWrap/>
            <w:vAlign w:val="center"/>
          </w:tcPr>
          <w:p w14:paraId="05EF8021">
            <w:pPr>
              <w:pStyle w:val="23"/>
              <w:jc w:val="center"/>
              <w:rPr>
                <w:rFonts w:ascii="宋体" w:hAnsi="宋体"/>
                <w:kern w:val="0"/>
                <w:szCs w:val="21"/>
              </w:rPr>
            </w:pPr>
            <w:r>
              <w:rPr>
                <w:rFonts w:ascii="宋体" w:hAnsi="宋体"/>
                <w:kern w:val="0"/>
                <w:szCs w:val="21"/>
              </w:rPr>
              <w:t>1.90</w:t>
            </w:r>
          </w:p>
        </w:tc>
        <w:tc>
          <w:tcPr>
            <w:tcW w:w="1667" w:type="pct"/>
            <w:shd w:val="clear" w:color="auto" w:fill="auto"/>
            <w:noWrap/>
            <w:vAlign w:val="center"/>
          </w:tcPr>
          <w:p w14:paraId="46A7945D">
            <w:pPr>
              <w:pStyle w:val="23"/>
              <w:jc w:val="center"/>
              <w:rPr>
                <w:rFonts w:ascii="宋体" w:hAnsi="宋体"/>
                <w:kern w:val="0"/>
                <w:szCs w:val="21"/>
              </w:rPr>
            </w:pPr>
            <w:r>
              <w:rPr>
                <w:rFonts w:ascii="宋体" w:hAnsi="宋体"/>
                <w:kern w:val="0"/>
                <w:szCs w:val="21"/>
              </w:rPr>
              <w:t>10.5</w:t>
            </w:r>
          </w:p>
        </w:tc>
      </w:tr>
      <w:tr w14:paraId="56D026B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667" w:type="pct"/>
            <w:shd w:val="clear" w:color="auto" w:fill="auto"/>
            <w:noWrap/>
            <w:vAlign w:val="center"/>
          </w:tcPr>
          <w:p w14:paraId="7C6EA4D1">
            <w:pPr>
              <w:pStyle w:val="23"/>
              <w:ind w:firstLine="840" w:firstLineChars="400"/>
              <w:rPr>
                <w:rFonts w:ascii="宋体" w:hAnsi="宋体"/>
                <w:kern w:val="0"/>
                <w:szCs w:val="21"/>
              </w:rPr>
            </w:pPr>
            <w:r>
              <w:rPr>
                <w:rFonts w:ascii="宋体" w:hAnsi="宋体"/>
                <w:kern w:val="0"/>
                <w:szCs w:val="21"/>
              </w:rPr>
              <w:t>蔬菜</w:t>
            </w:r>
          </w:p>
        </w:tc>
        <w:tc>
          <w:tcPr>
            <w:tcW w:w="1667" w:type="pct"/>
            <w:shd w:val="clear" w:color="auto" w:fill="auto"/>
            <w:noWrap/>
            <w:vAlign w:val="center"/>
          </w:tcPr>
          <w:p w14:paraId="06CFB909">
            <w:pPr>
              <w:pStyle w:val="23"/>
              <w:jc w:val="center"/>
              <w:rPr>
                <w:rFonts w:ascii="宋体" w:hAnsi="宋体"/>
                <w:kern w:val="0"/>
                <w:szCs w:val="21"/>
              </w:rPr>
            </w:pPr>
            <w:r>
              <w:rPr>
                <w:rFonts w:ascii="宋体" w:hAnsi="宋体"/>
                <w:kern w:val="0"/>
                <w:szCs w:val="21"/>
              </w:rPr>
              <w:t>16.38</w:t>
            </w:r>
          </w:p>
        </w:tc>
        <w:tc>
          <w:tcPr>
            <w:tcW w:w="1667" w:type="pct"/>
            <w:shd w:val="clear" w:color="auto" w:fill="auto"/>
            <w:noWrap/>
            <w:vAlign w:val="center"/>
          </w:tcPr>
          <w:p w14:paraId="73AFD96D">
            <w:pPr>
              <w:pStyle w:val="23"/>
              <w:jc w:val="center"/>
              <w:rPr>
                <w:rFonts w:ascii="宋体" w:hAnsi="宋体"/>
                <w:kern w:val="0"/>
                <w:szCs w:val="21"/>
              </w:rPr>
            </w:pPr>
            <w:r>
              <w:rPr>
                <w:rFonts w:ascii="宋体" w:hAnsi="宋体"/>
                <w:kern w:val="0"/>
                <w:szCs w:val="21"/>
              </w:rPr>
              <w:t>8.1</w:t>
            </w:r>
          </w:p>
        </w:tc>
      </w:tr>
      <w:tr w14:paraId="1CE4C90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667" w:type="pct"/>
            <w:shd w:val="clear" w:color="auto" w:fill="auto"/>
            <w:noWrap/>
            <w:vAlign w:val="center"/>
          </w:tcPr>
          <w:p w14:paraId="33D5A006">
            <w:pPr>
              <w:pStyle w:val="23"/>
              <w:ind w:firstLine="840" w:firstLineChars="400"/>
              <w:rPr>
                <w:rFonts w:ascii="宋体" w:hAnsi="宋体"/>
                <w:kern w:val="0"/>
                <w:szCs w:val="21"/>
              </w:rPr>
            </w:pPr>
            <w:r>
              <w:rPr>
                <w:rFonts w:ascii="宋体" w:hAnsi="宋体"/>
                <w:kern w:val="0"/>
                <w:szCs w:val="21"/>
              </w:rPr>
              <w:t>猪肉</w:t>
            </w:r>
          </w:p>
        </w:tc>
        <w:tc>
          <w:tcPr>
            <w:tcW w:w="1667" w:type="pct"/>
            <w:shd w:val="clear" w:color="auto" w:fill="auto"/>
            <w:noWrap/>
            <w:vAlign w:val="center"/>
          </w:tcPr>
          <w:p w14:paraId="3191AE24">
            <w:pPr>
              <w:pStyle w:val="23"/>
              <w:jc w:val="center"/>
              <w:rPr>
                <w:rFonts w:ascii="宋体" w:hAnsi="宋体"/>
                <w:kern w:val="0"/>
                <w:szCs w:val="21"/>
              </w:rPr>
            </w:pPr>
            <w:r>
              <w:rPr>
                <w:rFonts w:ascii="宋体" w:hAnsi="宋体"/>
                <w:kern w:val="0"/>
                <w:szCs w:val="21"/>
              </w:rPr>
              <w:t>2.95</w:t>
            </w:r>
          </w:p>
        </w:tc>
        <w:tc>
          <w:tcPr>
            <w:tcW w:w="1667" w:type="pct"/>
            <w:shd w:val="clear" w:color="auto" w:fill="auto"/>
            <w:noWrap/>
            <w:vAlign w:val="center"/>
          </w:tcPr>
          <w:p w14:paraId="3C1278DF">
            <w:pPr>
              <w:pStyle w:val="23"/>
              <w:jc w:val="center"/>
              <w:rPr>
                <w:rFonts w:ascii="宋体" w:hAnsi="宋体"/>
                <w:kern w:val="0"/>
                <w:szCs w:val="21"/>
              </w:rPr>
            </w:pPr>
            <w:r>
              <w:rPr>
                <w:rFonts w:ascii="宋体" w:hAnsi="宋体"/>
                <w:kern w:val="0"/>
                <w:szCs w:val="21"/>
              </w:rPr>
              <w:t>-3.0</w:t>
            </w:r>
          </w:p>
        </w:tc>
      </w:tr>
      <w:tr w14:paraId="21251B0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667" w:type="pct"/>
            <w:shd w:val="clear" w:color="auto" w:fill="auto"/>
            <w:noWrap/>
            <w:vAlign w:val="center"/>
          </w:tcPr>
          <w:p w14:paraId="6E556287">
            <w:pPr>
              <w:pStyle w:val="23"/>
              <w:ind w:firstLine="840" w:firstLineChars="400"/>
              <w:rPr>
                <w:rFonts w:ascii="宋体" w:hAnsi="宋体"/>
                <w:kern w:val="0"/>
                <w:szCs w:val="21"/>
              </w:rPr>
            </w:pPr>
            <w:r>
              <w:rPr>
                <w:rFonts w:ascii="宋体" w:hAnsi="宋体"/>
                <w:kern w:val="0"/>
                <w:szCs w:val="21"/>
              </w:rPr>
              <w:t>家禽肉</w:t>
            </w:r>
          </w:p>
        </w:tc>
        <w:tc>
          <w:tcPr>
            <w:tcW w:w="1667" w:type="pct"/>
            <w:shd w:val="clear" w:color="auto" w:fill="auto"/>
            <w:noWrap/>
            <w:vAlign w:val="center"/>
          </w:tcPr>
          <w:p w14:paraId="068ADBB3">
            <w:pPr>
              <w:pStyle w:val="23"/>
              <w:jc w:val="center"/>
              <w:rPr>
                <w:rFonts w:ascii="宋体" w:hAnsi="宋体"/>
                <w:kern w:val="0"/>
                <w:szCs w:val="21"/>
              </w:rPr>
            </w:pPr>
            <w:r>
              <w:rPr>
                <w:rFonts w:ascii="宋体" w:hAnsi="宋体"/>
                <w:kern w:val="0"/>
                <w:szCs w:val="21"/>
              </w:rPr>
              <w:t>0.85</w:t>
            </w:r>
          </w:p>
        </w:tc>
        <w:tc>
          <w:tcPr>
            <w:tcW w:w="1667" w:type="pct"/>
            <w:shd w:val="clear" w:color="auto" w:fill="auto"/>
            <w:noWrap/>
            <w:vAlign w:val="center"/>
          </w:tcPr>
          <w:p w14:paraId="4D69DC6F">
            <w:pPr>
              <w:pStyle w:val="23"/>
              <w:jc w:val="center"/>
              <w:rPr>
                <w:rFonts w:ascii="宋体" w:hAnsi="宋体"/>
                <w:kern w:val="0"/>
                <w:szCs w:val="21"/>
              </w:rPr>
            </w:pPr>
            <w:r>
              <w:rPr>
                <w:rFonts w:ascii="宋体" w:hAnsi="宋体"/>
                <w:kern w:val="0"/>
                <w:szCs w:val="21"/>
              </w:rPr>
              <w:t>持平</w:t>
            </w:r>
          </w:p>
        </w:tc>
      </w:tr>
      <w:tr w14:paraId="74E41C0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667" w:type="pct"/>
            <w:shd w:val="clear" w:color="auto" w:fill="auto"/>
            <w:noWrap/>
            <w:vAlign w:val="center"/>
          </w:tcPr>
          <w:p w14:paraId="51E8FACB">
            <w:pPr>
              <w:pStyle w:val="23"/>
              <w:ind w:firstLine="840" w:firstLineChars="400"/>
              <w:rPr>
                <w:rFonts w:ascii="宋体" w:hAnsi="宋体"/>
                <w:kern w:val="0"/>
                <w:szCs w:val="21"/>
              </w:rPr>
            </w:pPr>
            <w:r>
              <w:rPr>
                <w:rFonts w:ascii="宋体" w:hAnsi="宋体"/>
                <w:kern w:val="0"/>
                <w:szCs w:val="21"/>
              </w:rPr>
              <w:t>禽蛋</w:t>
            </w:r>
          </w:p>
        </w:tc>
        <w:tc>
          <w:tcPr>
            <w:tcW w:w="1667" w:type="pct"/>
            <w:shd w:val="clear" w:color="auto" w:fill="auto"/>
            <w:noWrap/>
            <w:vAlign w:val="center"/>
          </w:tcPr>
          <w:p w14:paraId="59584CE5">
            <w:pPr>
              <w:pStyle w:val="23"/>
              <w:jc w:val="center"/>
              <w:rPr>
                <w:rFonts w:ascii="宋体" w:hAnsi="宋体"/>
                <w:kern w:val="0"/>
                <w:szCs w:val="21"/>
              </w:rPr>
            </w:pPr>
            <w:r>
              <w:rPr>
                <w:rFonts w:ascii="宋体" w:hAnsi="宋体"/>
                <w:kern w:val="0"/>
                <w:szCs w:val="21"/>
              </w:rPr>
              <w:t>0.29</w:t>
            </w:r>
          </w:p>
        </w:tc>
        <w:tc>
          <w:tcPr>
            <w:tcW w:w="1667" w:type="pct"/>
            <w:shd w:val="clear" w:color="auto" w:fill="auto"/>
            <w:noWrap/>
            <w:vAlign w:val="center"/>
          </w:tcPr>
          <w:p w14:paraId="7F74D17E">
            <w:pPr>
              <w:pStyle w:val="23"/>
              <w:jc w:val="center"/>
              <w:rPr>
                <w:rFonts w:ascii="宋体" w:hAnsi="宋体"/>
                <w:kern w:val="0"/>
                <w:szCs w:val="21"/>
              </w:rPr>
            </w:pPr>
            <w:r>
              <w:rPr>
                <w:rFonts w:ascii="宋体" w:hAnsi="宋体"/>
                <w:kern w:val="0"/>
                <w:szCs w:val="21"/>
              </w:rPr>
              <w:t>3.7</w:t>
            </w:r>
          </w:p>
        </w:tc>
      </w:tr>
      <w:tr w14:paraId="2F0688D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667" w:type="pct"/>
            <w:shd w:val="clear" w:color="auto" w:fill="auto"/>
            <w:noWrap/>
            <w:vAlign w:val="center"/>
          </w:tcPr>
          <w:p w14:paraId="04AD265D">
            <w:pPr>
              <w:pStyle w:val="23"/>
              <w:ind w:firstLine="840" w:firstLineChars="400"/>
              <w:rPr>
                <w:rFonts w:ascii="宋体" w:hAnsi="宋体"/>
                <w:kern w:val="0"/>
                <w:szCs w:val="21"/>
              </w:rPr>
            </w:pPr>
            <w:r>
              <w:rPr>
                <w:rFonts w:ascii="宋体" w:hAnsi="宋体"/>
                <w:kern w:val="0"/>
                <w:szCs w:val="21"/>
              </w:rPr>
              <w:t>鱼类</w:t>
            </w:r>
          </w:p>
        </w:tc>
        <w:tc>
          <w:tcPr>
            <w:tcW w:w="1667" w:type="pct"/>
            <w:shd w:val="clear" w:color="auto" w:fill="auto"/>
            <w:noWrap/>
            <w:vAlign w:val="center"/>
          </w:tcPr>
          <w:p w14:paraId="778A5506">
            <w:pPr>
              <w:pStyle w:val="23"/>
              <w:jc w:val="center"/>
              <w:rPr>
                <w:rFonts w:ascii="宋体" w:hAnsi="宋体"/>
                <w:kern w:val="0"/>
                <w:szCs w:val="21"/>
              </w:rPr>
            </w:pPr>
            <w:r>
              <w:rPr>
                <w:rFonts w:ascii="宋体" w:hAnsi="宋体"/>
                <w:kern w:val="0"/>
                <w:szCs w:val="21"/>
              </w:rPr>
              <w:t>1.43</w:t>
            </w:r>
          </w:p>
        </w:tc>
        <w:tc>
          <w:tcPr>
            <w:tcW w:w="1667" w:type="pct"/>
            <w:shd w:val="clear" w:color="auto" w:fill="auto"/>
            <w:noWrap/>
            <w:vAlign w:val="center"/>
          </w:tcPr>
          <w:p w14:paraId="61EA49E4">
            <w:pPr>
              <w:pStyle w:val="23"/>
              <w:jc w:val="center"/>
              <w:rPr>
                <w:rFonts w:ascii="宋体" w:hAnsi="宋体"/>
                <w:kern w:val="0"/>
                <w:szCs w:val="21"/>
              </w:rPr>
            </w:pPr>
            <w:r>
              <w:rPr>
                <w:rFonts w:ascii="宋体" w:hAnsi="宋体"/>
                <w:kern w:val="0"/>
                <w:szCs w:val="21"/>
              </w:rPr>
              <w:t>3.9</w:t>
            </w:r>
          </w:p>
        </w:tc>
      </w:tr>
    </w:tbl>
    <w:p w14:paraId="6B01F0B6">
      <w:pPr>
        <w:ind w:firstLine="420"/>
        <w:rPr>
          <w:rFonts w:ascii="宋体" w:hAnsi="宋体"/>
          <w:szCs w:val="21"/>
        </w:rPr>
      </w:pPr>
      <w:r>
        <w:rPr>
          <w:rFonts w:hint="eastAsia" w:ascii="宋体" w:hAnsi="宋体"/>
          <w:szCs w:val="21"/>
        </w:rPr>
        <w:t>农民人均收入6969元，按可比口径增长17.0%。全市农村经济总收入51.12亿元，比上年增长7.3%。</w:t>
      </w:r>
    </w:p>
    <w:p w14:paraId="34F24424">
      <w:pPr>
        <w:ind w:firstLine="420"/>
        <w:rPr>
          <w:rFonts w:ascii="宋体" w:hAnsi="宋体"/>
          <w:szCs w:val="21"/>
        </w:rPr>
      </w:pPr>
      <w:r>
        <w:rPr>
          <w:rFonts w:hint="eastAsia" w:ascii="宋体" w:hAnsi="宋体"/>
          <w:szCs w:val="21"/>
        </w:rPr>
        <w:t>农业生产条件不断提高。农田水利方面，投资1150万元，完成了水口镇0.97万亩国家农业综合开发项目。投资700多万元，完成了4720亩农田整治。投资3364万元，完成33宗农村饮水安全工程。投资1250万元，完成孔江灌区节水配套改造一期工程。投资1048万元，完成江头镇田间工程建设。2011年末，全市农业机械总动力为28.38万千瓦，同比增长1.5%；拥有大中型拖拉机12台，小型拖拉机1.58万台，联合收割机551台，耕整机1391台，旋耕机1032台，水稻插秧机47台，排灌动力机械5114台，自走式机动割晒机501台，运输机械1.22万辆，农用水泵9613台。</w:t>
      </w:r>
    </w:p>
    <w:p w14:paraId="5A3DCED6">
      <w:pPr>
        <w:ind w:firstLine="422"/>
        <w:rPr>
          <w:rFonts w:ascii="宋体" w:hAnsi="宋体"/>
          <w:b/>
          <w:szCs w:val="21"/>
        </w:rPr>
      </w:pPr>
      <w:r>
        <w:rPr>
          <w:rFonts w:hint="eastAsia" w:ascii="宋体" w:hAnsi="宋体"/>
          <w:b/>
          <w:szCs w:val="21"/>
        </w:rPr>
        <w:t>三、工业和建筑业</w:t>
      </w:r>
    </w:p>
    <w:p w14:paraId="6AA50F5F">
      <w:pPr>
        <w:ind w:firstLine="420"/>
        <w:rPr>
          <w:rFonts w:ascii="宋体" w:hAnsi="宋体"/>
          <w:szCs w:val="21"/>
        </w:rPr>
      </w:pPr>
      <w:r>
        <w:rPr>
          <w:rFonts w:hint="eastAsia" w:ascii="宋体" w:hAnsi="宋体"/>
          <w:szCs w:val="21"/>
        </w:rPr>
        <w:t>2011年，我市继续贯彻落实省委、省政府“双转移”战略和市委、市政府工业兴市战略，继续实施发展工业“绿灯工程”，以做大做强工业经济为抓手，大力发展精细化工、陶瓷建材、浆纸制造等产业，工业结构和布局进一步优化和提升。产业转移园发展迅猛，产业集聚效应明显，工业拉动经济发展的引擎作用更加凸显。工业招商引资工作成效显著，全年新增20家规模以上工业企业。</w:t>
      </w:r>
    </w:p>
    <w:p w14:paraId="6D30E8B0">
      <w:pPr>
        <w:ind w:firstLine="420"/>
        <w:rPr>
          <w:rFonts w:ascii="宋体" w:hAnsi="宋体"/>
          <w:szCs w:val="21"/>
        </w:rPr>
      </w:pPr>
      <w:r>
        <w:rPr>
          <w:rFonts w:hint="eastAsia" w:ascii="宋体" w:hAnsi="宋体"/>
          <w:szCs w:val="21"/>
        </w:rPr>
        <w:t>工业对我市经济的支撑作用明显增强。初步统计，全年完成工业总产值59.58亿元，同比增长37.5%。实现工业增加值16.89亿元，增长38.2%。对GDP的贡献率为46.3%，拉动GDP增长7.3个百分点。其中规模以上工业企业完成工业总产值47.72亿元，同比增长55.3%。实现工业增加值13.52亿元，同比增长52%；规模以下工业完成工业总产值11.86亿元，同比增长7.6%，实现工业增加值3.37亿元，同比增长7.6%。</w:t>
      </w:r>
    </w:p>
    <w:p w14:paraId="4FD26B06">
      <w:pPr>
        <w:ind w:firstLine="0" w:firstLineChars="0"/>
        <w:jc w:val="center"/>
        <w:rPr>
          <w:rFonts w:ascii="宋体" w:hAnsi="宋体"/>
          <w:b/>
          <w:szCs w:val="21"/>
        </w:rPr>
      </w:pPr>
      <w:r>
        <w:rPr>
          <w:rFonts w:hint="eastAsia" w:ascii="宋体" w:hAnsi="宋体"/>
          <w:b/>
          <w:szCs w:val="21"/>
        </w:rPr>
        <w:t>表37 2011年主要工业产品产量</w:t>
      </w:r>
    </w:p>
    <w:tbl>
      <w:tblPr>
        <w:tblStyle w:val="14"/>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541"/>
        <w:gridCol w:w="1807"/>
        <w:gridCol w:w="1807"/>
        <w:gridCol w:w="1807"/>
      </w:tblGrid>
      <w:tr w14:paraId="390A1B6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279" w:type="pct"/>
            <w:shd w:val="clear" w:color="auto" w:fill="auto"/>
            <w:noWrap/>
            <w:vAlign w:val="center"/>
          </w:tcPr>
          <w:p w14:paraId="776EEEC7">
            <w:pPr>
              <w:pStyle w:val="23"/>
              <w:jc w:val="center"/>
              <w:rPr>
                <w:rFonts w:ascii="宋体" w:hAnsi="宋体"/>
                <w:b/>
                <w:kern w:val="0"/>
              </w:rPr>
            </w:pPr>
            <w:r>
              <w:rPr>
                <w:rFonts w:ascii="宋体" w:hAnsi="宋体"/>
                <w:b/>
                <w:kern w:val="0"/>
              </w:rPr>
              <w:t>产品名称</w:t>
            </w:r>
          </w:p>
        </w:tc>
        <w:tc>
          <w:tcPr>
            <w:tcW w:w="907" w:type="pct"/>
            <w:shd w:val="clear" w:color="auto" w:fill="auto"/>
            <w:noWrap/>
            <w:vAlign w:val="center"/>
          </w:tcPr>
          <w:p w14:paraId="21E38C27">
            <w:pPr>
              <w:pStyle w:val="23"/>
              <w:jc w:val="center"/>
              <w:rPr>
                <w:rFonts w:ascii="宋体" w:hAnsi="宋体"/>
                <w:b/>
                <w:kern w:val="0"/>
              </w:rPr>
            </w:pPr>
            <w:r>
              <w:rPr>
                <w:rFonts w:ascii="宋体" w:hAnsi="宋体"/>
                <w:b/>
                <w:kern w:val="0"/>
              </w:rPr>
              <w:t>计量单位</w:t>
            </w:r>
          </w:p>
        </w:tc>
        <w:tc>
          <w:tcPr>
            <w:tcW w:w="907" w:type="pct"/>
            <w:shd w:val="clear" w:color="auto" w:fill="auto"/>
            <w:noWrap/>
            <w:vAlign w:val="center"/>
          </w:tcPr>
          <w:p w14:paraId="53AD4467">
            <w:pPr>
              <w:pStyle w:val="23"/>
              <w:jc w:val="center"/>
              <w:rPr>
                <w:rFonts w:ascii="宋体" w:hAnsi="宋体"/>
                <w:b/>
                <w:kern w:val="0"/>
              </w:rPr>
            </w:pPr>
            <w:r>
              <w:rPr>
                <w:rFonts w:ascii="宋体" w:hAnsi="宋体"/>
                <w:b/>
                <w:kern w:val="0"/>
              </w:rPr>
              <w:t>产量</w:t>
            </w:r>
          </w:p>
        </w:tc>
        <w:tc>
          <w:tcPr>
            <w:tcW w:w="907" w:type="pct"/>
            <w:shd w:val="clear" w:color="auto" w:fill="auto"/>
            <w:noWrap/>
            <w:vAlign w:val="center"/>
          </w:tcPr>
          <w:p w14:paraId="64AA0E01">
            <w:pPr>
              <w:pStyle w:val="23"/>
              <w:jc w:val="center"/>
              <w:rPr>
                <w:rFonts w:ascii="宋体" w:hAnsi="宋体"/>
                <w:b/>
                <w:kern w:val="0"/>
              </w:rPr>
            </w:pPr>
            <w:r>
              <w:rPr>
                <w:rFonts w:ascii="宋体" w:hAnsi="宋体"/>
                <w:b/>
                <w:kern w:val="0"/>
              </w:rPr>
              <w:t>比上年增长+-%</w:t>
            </w:r>
          </w:p>
        </w:tc>
      </w:tr>
      <w:tr w14:paraId="04C4FEB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279" w:type="pct"/>
            <w:shd w:val="clear" w:color="auto" w:fill="auto"/>
            <w:noWrap/>
            <w:vAlign w:val="center"/>
          </w:tcPr>
          <w:p w14:paraId="34C2BA58">
            <w:pPr>
              <w:pStyle w:val="23"/>
              <w:ind w:firstLine="420" w:firstLineChars="200"/>
              <w:rPr>
                <w:rFonts w:ascii="宋体" w:hAnsi="宋体"/>
                <w:kern w:val="0"/>
              </w:rPr>
            </w:pPr>
            <w:r>
              <w:rPr>
                <w:rFonts w:ascii="宋体" w:hAnsi="宋体"/>
                <w:kern w:val="0"/>
              </w:rPr>
              <w:t>钨精矿折含量(折三氧化钨)</w:t>
            </w:r>
          </w:p>
        </w:tc>
        <w:tc>
          <w:tcPr>
            <w:tcW w:w="907" w:type="pct"/>
            <w:shd w:val="clear" w:color="auto" w:fill="auto"/>
            <w:noWrap/>
            <w:vAlign w:val="center"/>
          </w:tcPr>
          <w:p w14:paraId="583D1318">
            <w:pPr>
              <w:pStyle w:val="23"/>
              <w:jc w:val="center"/>
              <w:rPr>
                <w:rFonts w:ascii="宋体" w:hAnsi="宋体"/>
                <w:kern w:val="0"/>
              </w:rPr>
            </w:pPr>
            <w:r>
              <w:rPr>
                <w:rFonts w:ascii="宋体" w:hAnsi="宋体"/>
                <w:kern w:val="0"/>
              </w:rPr>
              <w:t>吨</w:t>
            </w:r>
          </w:p>
        </w:tc>
        <w:tc>
          <w:tcPr>
            <w:tcW w:w="907" w:type="pct"/>
            <w:shd w:val="clear" w:color="auto" w:fill="auto"/>
            <w:noWrap/>
            <w:vAlign w:val="center"/>
          </w:tcPr>
          <w:p w14:paraId="20168B43">
            <w:pPr>
              <w:pStyle w:val="23"/>
              <w:jc w:val="center"/>
              <w:rPr>
                <w:rFonts w:ascii="宋体" w:hAnsi="宋体"/>
                <w:kern w:val="0"/>
              </w:rPr>
            </w:pPr>
            <w:r>
              <w:rPr>
                <w:rFonts w:ascii="宋体" w:hAnsi="宋体"/>
                <w:kern w:val="0"/>
              </w:rPr>
              <w:t>250:62</w:t>
            </w:r>
          </w:p>
        </w:tc>
        <w:tc>
          <w:tcPr>
            <w:tcW w:w="907" w:type="pct"/>
            <w:shd w:val="clear" w:color="auto" w:fill="auto"/>
            <w:noWrap/>
            <w:vAlign w:val="center"/>
          </w:tcPr>
          <w:p w14:paraId="59F571DF">
            <w:pPr>
              <w:pStyle w:val="23"/>
              <w:jc w:val="center"/>
              <w:rPr>
                <w:rFonts w:ascii="宋体" w:hAnsi="宋体"/>
                <w:kern w:val="0"/>
              </w:rPr>
            </w:pPr>
            <w:r>
              <w:rPr>
                <w:rFonts w:ascii="宋体" w:hAnsi="宋体"/>
                <w:kern w:val="0"/>
              </w:rPr>
              <w:t>14.5</w:t>
            </w:r>
          </w:p>
        </w:tc>
      </w:tr>
      <w:tr w14:paraId="6124145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279" w:type="pct"/>
            <w:shd w:val="clear" w:color="auto" w:fill="auto"/>
            <w:noWrap/>
            <w:vAlign w:val="center"/>
          </w:tcPr>
          <w:p w14:paraId="2FEE0CFA">
            <w:pPr>
              <w:pStyle w:val="23"/>
              <w:ind w:firstLine="420" w:firstLineChars="200"/>
              <w:rPr>
                <w:rFonts w:ascii="宋体" w:hAnsi="宋体"/>
                <w:kern w:val="0"/>
              </w:rPr>
            </w:pPr>
            <w:r>
              <w:rPr>
                <w:rFonts w:ascii="宋体" w:hAnsi="宋体"/>
                <w:kern w:val="0"/>
              </w:rPr>
              <w:t>钼精矿折含量(含纯钼45%)</w:t>
            </w:r>
          </w:p>
        </w:tc>
        <w:tc>
          <w:tcPr>
            <w:tcW w:w="907" w:type="pct"/>
            <w:shd w:val="clear" w:color="auto" w:fill="auto"/>
            <w:noWrap/>
            <w:vAlign w:val="center"/>
          </w:tcPr>
          <w:p w14:paraId="10ED7902">
            <w:pPr>
              <w:pStyle w:val="23"/>
              <w:jc w:val="center"/>
              <w:rPr>
                <w:rFonts w:ascii="宋体" w:hAnsi="宋体"/>
                <w:kern w:val="0"/>
              </w:rPr>
            </w:pPr>
            <w:r>
              <w:rPr>
                <w:rFonts w:ascii="宋体" w:hAnsi="宋体"/>
                <w:kern w:val="0"/>
              </w:rPr>
              <w:t>吨</w:t>
            </w:r>
          </w:p>
        </w:tc>
        <w:tc>
          <w:tcPr>
            <w:tcW w:w="907" w:type="pct"/>
            <w:shd w:val="clear" w:color="auto" w:fill="auto"/>
            <w:noWrap/>
            <w:vAlign w:val="center"/>
          </w:tcPr>
          <w:p w14:paraId="26ADC385">
            <w:pPr>
              <w:pStyle w:val="23"/>
              <w:jc w:val="center"/>
              <w:rPr>
                <w:rFonts w:ascii="宋体" w:hAnsi="宋体"/>
                <w:kern w:val="0"/>
              </w:rPr>
            </w:pPr>
            <w:r>
              <w:rPr>
                <w:rFonts w:ascii="宋体" w:hAnsi="宋体"/>
                <w:kern w:val="0"/>
              </w:rPr>
              <w:t>115.42</w:t>
            </w:r>
          </w:p>
        </w:tc>
        <w:tc>
          <w:tcPr>
            <w:tcW w:w="907" w:type="pct"/>
            <w:shd w:val="clear" w:color="auto" w:fill="auto"/>
            <w:noWrap/>
            <w:vAlign w:val="center"/>
          </w:tcPr>
          <w:p w14:paraId="7581673E">
            <w:pPr>
              <w:pStyle w:val="23"/>
              <w:jc w:val="center"/>
              <w:rPr>
                <w:rFonts w:ascii="宋体" w:hAnsi="宋体"/>
                <w:kern w:val="0"/>
              </w:rPr>
            </w:pPr>
            <w:r>
              <w:rPr>
                <w:rFonts w:ascii="宋体" w:hAnsi="宋体"/>
                <w:kern w:val="0"/>
              </w:rPr>
              <w:t>12.5</w:t>
            </w:r>
          </w:p>
        </w:tc>
      </w:tr>
      <w:tr w14:paraId="3E951CD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279" w:type="pct"/>
            <w:shd w:val="clear" w:color="auto" w:fill="auto"/>
            <w:noWrap/>
            <w:vAlign w:val="center"/>
          </w:tcPr>
          <w:p w14:paraId="107C81A7">
            <w:pPr>
              <w:pStyle w:val="23"/>
              <w:ind w:firstLine="420" w:firstLineChars="200"/>
              <w:rPr>
                <w:rFonts w:ascii="宋体" w:hAnsi="宋体"/>
                <w:kern w:val="0"/>
              </w:rPr>
            </w:pPr>
            <w:r>
              <w:rPr>
                <w:rFonts w:ascii="宋体" w:hAnsi="宋体"/>
                <w:kern w:val="0"/>
              </w:rPr>
              <w:t>机制纸及纸板</w:t>
            </w:r>
          </w:p>
        </w:tc>
        <w:tc>
          <w:tcPr>
            <w:tcW w:w="907" w:type="pct"/>
            <w:shd w:val="clear" w:color="auto" w:fill="auto"/>
            <w:noWrap/>
            <w:vAlign w:val="center"/>
          </w:tcPr>
          <w:p w14:paraId="26EE75F1">
            <w:pPr>
              <w:pStyle w:val="23"/>
              <w:jc w:val="center"/>
              <w:rPr>
                <w:rFonts w:ascii="宋体" w:hAnsi="宋体"/>
                <w:kern w:val="0"/>
              </w:rPr>
            </w:pPr>
            <w:r>
              <w:rPr>
                <w:rFonts w:ascii="宋体" w:hAnsi="宋体"/>
                <w:kern w:val="0"/>
              </w:rPr>
              <w:t>吨</w:t>
            </w:r>
          </w:p>
        </w:tc>
        <w:tc>
          <w:tcPr>
            <w:tcW w:w="907" w:type="pct"/>
            <w:shd w:val="clear" w:color="auto" w:fill="auto"/>
            <w:noWrap/>
            <w:vAlign w:val="center"/>
          </w:tcPr>
          <w:p w14:paraId="79120CF1">
            <w:pPr>
              <w:pStyle w:val="23"/>
              <w:jc w:val="center"/>
              <w:rPr>
                <w:rFonts w:ascii="宋体" w:hAnsi="宋体"/>
                <w:kern w:val="0"/>
              </w:rPr>
            </w:pPr>
            <w:r>
              <w:rPr>
                <w:rFonts w:ascii="宋体" w:hAnsi="宋体"/>
                <w:kern w:val="0"/>
              </w:rPr>
              <w:t>44511</w:t>
            </w:r>
          </w:p>
        </w:tc>
        <w:tc>
          <w:tcPr>
            <w:tcW w:w="907" w:type="pct"/>
            <w:shd w:val="clear" w:color="auto" w:fill="auto"/>
            <w:noWrap/>
            <w:vAlign w:val="center"/>
          </w:tcPr>
          <w:p w14:paraId="771A6D57">
            <w:pPr>
              <w:pStyle w:val="23"/>
              <w:jc w:val="center"/>
              <w:rPr>
                <w:rFonts w:ascii="宋体" w:hAnsi="宋体"/>
                <w:kern w:val="0"/>
              </w:rPr>
            </w:pPr>
            <w:r>
              <w:rPr>
                <w:rFonts w:ascii="宋体" w:hAnsi="宋体"/>
                <w:kern w:val="0"/>
              </w:rPr>
              <w:t>39.5</w:t>
            </w:r>
          </w:p>
        </w:tc>
      </w:tr>
      <w:tr w14:paraId="020426F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279" w:type="pct"/>
            <w:shd w:val="clear" w:color="auto" w:fill="auto"/>
            <w:noWrap/>
            <w:vAlign w:val="center"/>
          </w:tcPr>
          <w:p w14:paraId="740D5DBA">
            <w:pPr>
              <w:pStyle w:val="23"/>
              <w:ind w:firstLine="420" w:firstLineChars="200"/>
              <w:rPr>
                <w:rFonts w:ascii="宋体" w:hAnsi="宋体"/>
                <w:kern w:val="0"/>
              </w:rPr>
            </w:pPr>
            <w:r>
              <w:rPr>
                <w:rFonts w:ascii="宋体" w:hAnsi="宋体"/>
                <w:kern w:val="0"/>
              </w:rPr>
              <w:t>发电量</w:t>
            </w:r>
          </w:p>
        </w:tc>
        <w:tc>
          <w:tcPr>
            <w:tcW w:w="907" w:type="pct"/>
            <w:shd w:val="clear" w:color="auto" w:fill="auto"/>
            <w:noWrap/>
            <w:vAlign w:val="center"/>
          </w:tcPr>
          <w:p w14:paraId="516A46D5">
            <w:pPr>
              <w:pStyle w:val="23"/>
              <w:jc w:val="center"/>
              <w:rPr>
                <w:rFonts w:ascii="宋体" w:hAnsi="宋体"/>
                <w:kern w:val="0"/>
              </w:rPr>
            </w:pPr>
            <w:r>
              <w:rPr>
                <w:rFonts w:ascii="宋体" w:hAnsi="宋体"/>
                <w:kern w:val="0"/>
              </w:rPr>
              <w:t>万千瓦时</w:t>
            </w:r>
          </w:p>
        </w:tc>
        <w:tc>
          <w:tcPr>
            <w:tcW w:w="907" w:type="pct"/>
            <w:shd w:val="clear" w:color="auto" w:fill="auto"/>
            <w:noWrap/>
            <w:vAlign w:val="center"/>
          </w:tcPr>
          <w:p w14:paraId="62C71E6F">
            <w:pPr>
              <w:pStyle w:val="23"/>
              <w:jc w:val="center"/>
              <w:rPr>
                <w:rFonts w:ascii="宋体" w:hAnsi="宋体"/>
                <w:kern w:val="0"/>
              </w:rPr>
            </w:pPr>
            <w:r>
              <w:rPr>
                <w:rFonts w:ascii="宋体" w:hAnsi="宋体"/>
                <w:kern w:val="0"/>
              </w:rPr>
              <w:t>5647</w:t>
            </w:r>
          </w:p>
        </w:tc>
        <w:tc>
          <w:tcPr>
            <w:tcW w:w="907" w:type="pct"/>
            <w:shd w:val="clear" w:color="auto" w:fill="auto"/>
            <w:noWrap/>
            <w:vAlign w:val="center"/>
          </w:tcPr>
          <w:p w14:paraId="3BB738FC">
            <w:pPr>
              <w:pStyle w:val="23"/>
              <w:jc w:val="center"/>
              <w:rPr>
                <w:rFonts w:ascii="宋体" w:hAnsi="宋体"/>
                <w:kern w:val="0"/>
              </w:rPr>
            </w:pPr>
            <w:r>
              <w:rPr>
                <w:rFonts w:ascii="宋体" w:hAnsi="宋体"/>
                <w:kern w:val="0"/>
              </w:rPr>
              <w:t>-10.8</w:t>
            </w:r>
          </w:p>
        </w:tc>
      </w:tr>
      <w:tr w14:paraId="3827E1C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279" w:type="pct"/>
            <w:shd w:val="clear" w:color="auto" w:fill="auto"/>
            <w:noWrap/>
            <w:vAlign w:val="center"/>
          </w:tcPr>
          <w:p w14:paraId="655FBA61">
            <w:pPr>
              <w:pStyle w:val="23"/>
              <w:ind w:firstLine="420" w:firstLineChars="200"/>
              <w:rPr>
                <w:rFonts w:ascii="宋体" w:hAnsi="宋体"/>
                <w:kern w:val="0"/>
              </w:rPr>
            </w:pPr>
            <w:r>
              <w:rPr>
                <w:rFonts w:ascii="宋体" w:hAnsi="宋体"/>
                <w:kern w:val="0"/>
              </w:rPr>
              <w:t>鲜冷藏冻肉</w:t>
            </w:r>
          </w:p>
        </w:tc>
        <w:tc>
          <w:tcPr>
            <w:tcW w:w="907" w:type="pct"/>
            <w:shd w:val="clear" w:color="auto" w:fill="auto"/>
            <w:noWrap/>
            <w:vAlign w:val="center"/>
          </w:tcPr>
          <w:p w14:paraId="3333C4F2">
            <w:pPr>
              <w:pStyle w:val="23"/>
              <w:jc w:val="center"/>
              <w:rPr>
                <w:rFonts w:ascii="宋体" w:hAnsi="宋体"/>
                <w:kern w:val="0"/>
              </w:rPr>
            </w:pPr>
            <w:r>
              <w:rPr>
                <w:rFonts w:ascii="宋体" w:hAnsi="宋体"/>
                <w:kern w:val="0"/>
              </w:rPr>
              <w:t>吨</w:t>
            </w:r>
          </w:p>
        </w:tc>
        <w:tc>
          <w:tcPr>
            <w:tcW w:w="907" w:type="pct"/>
            <w:shd w:val="clear" w:color="auto" w:fill="auto"/>
            <w:noWrap/>
            <w:vAlign w:val="center"/>
          </w:tcPr>
          <w:p w14:paraId="60209970">
            <w:pPr>
              <w:pStyle w:val="23"/>
              <w:jc w:val="center"/>
              <w:rPr>
                <w:rFonts w:ascii="宋体" w:hAnsi="宋体"/>
                <w:kern w:val="0"/>
              </w:rPr>
            </w:pPr>
            <w:r>
              <w:rPr>
                <w:rFonts w:ascii="宋体" w:hAnsi="宋体"/>
                <w:kern w:val="0"/>
              </w:rPr>
              <w:t>4160</w:t>
            </w:r>
          </w:p>
        </w:tc>
        <w:tc>
          <w:tcPr>
            <w:tcW w:w="907" w:type="pct"/>
            <w:shd w:val="clear" w:color="auto" w:fill="auto"/>
            <w:noWrap/>
            <w:vAlign w:val="center"/>
          </w:tcPr>
          <w:p w14:paraId="73A5DBC6">
            <w:pPr>
              <w:pStyle w:val="23"/>
              <w:jc w:val="center"/>
              <w:rPr>
                <w:rFonts w:ascii="宋体" w:hAnsi="宋体"/>
                <w:kern w:val="0"/>
              </w:rPr>
            </w:pPr>
            <w:r>
              <w:rPr>
                <w:rFonts w:ascii="宋体" w:hAnsi="宋体"/>
                <w:kern w:val="0"/>
              </w:rPr>
              <w:t>2.5</w:t>
            </w:r>
          </w:p>
        </w:tc>
      </w:tr>
      <w:tr w14:paraId="7E19EEA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279" w:type="pct"/>
            <w:shd w:val="clear" w:color="auto" w:fill="auto"/>
            <w:noWrap/>
            <w:vAlign w:val="center"/>
          </w:tcPr>
          <w:p w14:paraId="7C79F37F">
            <w:pPr>
              <w:pStyle w:val="23"/>
              <w:ind w:firstLine="420" w:firstLineChars="200"/>
              <w:rPr>
                <w:rFonts w:ascii="宋体" w:hAnsi="宋体"/>
                <w:kern w:val="0"/>
              </w:rPr>
            </w:pPr>
            <w:r>
              <w:rPr>
                <w:rFonts w:ascii="宋体" w:hAnsi="宋体"/>
                <w:kern w:val="0"/>
              </w:rPr>
              <w:t>服装</w:t>
            </w:r>
          </w:p>
        </w:tc>
        <w:tc>
          <w:tcPr>
            <w:tcW w:w="907" w:type="pct"/>
            <w:shd w:val="clear" w:color="auto" w:fill="auto"/>
            <w:noWrap/>
            <w:vAlign w:val="center"/>
          </w:tcPr>
          <w:p w14:paraId="739E6802">
            <w:pPr>
              <w:pStyle w:val="23"/>
              <w:jc w:val="center"/>
              <w:rPr>
                <w:rFonts w:ascii="宋体" w:hAnsi="宋体"/>
                <w:kern w:val="0"/>
              </w:rPr>
            </w:pPr>
            <w:r>
              <w:rPr>
                <w:rFonts w:ascii="宋体" w:hAnsi="宋体"/>
                <w:kern w:val="0"/>
              </w:rPr>
              <w:t>万件</w:t>
            </w:r>
          </w:p>
        </w:tc>
        <w:tc>
          <w:tcPr>
            <w:tcW w:w="907" w:type="pct"/>
            <w:shd w:val="clear" w:color="auto" w:fill="auto"/>
            <w:noWrap/>
            <w:vAlign w:val="center"/>
          </w:tcPr>
          <w:p w14:paraId="4D6A5D87">
            <w:pPr>
              <w:pStyle w:val="23"/>
              <w:jc w:val="center"/>
              <w:rPr>
                <w:rFonts w:ascii="宋体" w:hAnsi="宋体"/>
                <w:kern w:val="0"/>
              </w:rPr>
            </w:pPr>
            <w:r>
              <w:rPr>
                <w:rFonts w:ascii="宋体" w:hAnsi="宋体"/>
                <w:kern w:val="0"/>
              </w:rPr>
              <w:t>10.97</w:t>
            </w:r>
          </w:p>
        </w:tc>
        <w:tc>
          <w:tcPr>
            <w:tcW w:w="907" w:type="pct"/>
            <w:shd w:val="clear" w:color="auto" w:fill="auto"/>
            <w:noWrap/>
            <w:vAlign w:val="center"/>
          </w:tcPr>
          <w:p w14:paraId="3F7C2459">
            <w:pPr>
              <w:pStyle w:val="23"/>
              <w:jc w:val="center"/>
              <w:rPr>
                <w:rFonts w:ascii="宋体" w:hAnsi="宋体"/>
                <w:kern w:val="0"/>
              </w:rPr>
            </w:pPr>
            <w:r>
              <w:rPr>
                <w:rFonts w:ascii="宋体" w:hAnsi="宋体"/>
                <w:kern w:val="0"/>
              </w:rPr>
              <w:t>-2.9</w:t>
            </w:r>
          </w:p>
        </w:tc>
      </w:tr>
      <w:tr w14:paraId="171AD8D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279" w:type="pct"/>
            <w:shd w:val="clear" w:color="auto" w:fill="auto"/>
            <w:noWrap/>
            <w:vAlign w:val="center"/>
          </w:tcPr>
          <w:p w14:paraId="1E9D14FF">
            <w:pPr>
              <w:pStyle w:val="23"/>
              <w:ind w:firstLine="420" w:firstLineChars="200"/>
              <w:rPr>
                <w:rFonts w:ascii="宋体" w:hAnsi="宋体"/>
                <w:kern w:val="0"/>
              </w:rPr>
            </w:pPr>
            <w:r>
              <w:rPr>
                <w:rFonts w:ascii="宋体" w:hAnsi="宋体"/>
                <w:kern w:val="0"/>
              </w:rPr>
              <w:t>商品混凝土</w:t>
            </w:r>
          </w:p>
        </w:tc>
        <w:tc>
          <w:tcPr>
            <w:tcW w:w="907" w:type="pct"/>
            <w:shd w:val="clear" w:color="auto" w:fill="auto"/>
            <w:noWrap/>
            <w:vAlign w:val="center"/>
          </w:tcPr>
          <w:p w14:paraId="489C0FCB">
            <w:pPr>
              <w:pStyle w:val="23"/>
              <w:jc w:val="center"/>
              <w:rPr>
                <w:rFonts w:ascii="宋体" w:hAnsi="宋体"/>
                <w:kern w:val="0"/>
              </w:rPr>
            </w:pPr>
            <w:r>
              <w:rPr>
                <w:rFonts w:ascii="宋体" w:hAnsi="宋体"/>
                <w:kern w:val="0"/>
              </w:rPr>
              <w:t>万立方米</w:t>
            </w:r>
          </w:p>
        </w:tc>
        <w:tc>
          <w:tcPr>
            <w:tcW w:w="907" w:type="pct"/>
            <w:shd w:val="clear" w:color="auto" w:fill="auto"/>
            <w:noWrap/>
            <w:vAlign w:val="center"/>
          </w:tcPr>
          <w:p w14:paraId="27E58922">
            <w:pPr>
              <w:pStyle w:val="23"/>
              <w:jc w:val="center"/>
              <w:rPr>
                <w:rFonts w:ascii="宋体" w:hAnsi="宋体"/>
                <w:kern w:val="0"/>
              </w:rPr>
            </w:pPr>
            <w:r>
              <w:rPr>
                <w:rFonts w:ascii="宋体" w:hAnsi="宋体"/>
                <w:kern w:val="0"/>
              </w:rPr>
              <w:t>22.65</w:t>
            </w:r>
          </w:p>
        </w:tc>
        <w:tc>
          <w:tcPr>
            <w:tcW w:w="907" w:type="pct"/>
            <w:shd w:val="clear" w:color="auto" w:fill="auto"/>
            <w:noWrap/>
            <w:vAlign w:val="center"/>
          </w:tcPr>
          <w:p w14:paraId="5A06FFF4">
            <w:pPr>
              <w:pStyle w:val="23"/>
              <w:jc w:val="center"/>
              <w:rPr>
                <w:rFonts w:ascii="宋体" w:hAnsi="宋体"/>
                <w:kern w:val="0"/>
              </w:rPr>
            </w:pPr>
            <w:r>
              <w:rPr>
                <w:rFonts w:ascii="宋体" w:hAnsi="宋体"/>
                <w:kern w:val="0"/>
              </w:rPr>
              <w:t>35.4</w:t>
            </w:r>
          </w:p>
        </w:tc>
      </w:tr>
      <w:tr w14:paraId="7CAD82D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279" w:type="pct"/>
            <w:shd w:val="clear" w:color="auto" w:fill="auto"/>
            <w:noWrap/>
            <w:vAlign w:val="center"/>
          </w:tcPr>
          <w:p w14:paraId="0D9E9D86">
            <w:pPr>
              <w:pStyle w:val="23"/>
              <w:ind w:firstLine="420" w:firstLineChars="200"/>
              <w:rPr>
                <w:rFonts w:ascii="宋体" w:hAnsi="宋体"/>
                <w:kern w:val="0"/>
              </w:rPr>
            </w:pPr>
            <w:r>
              <w:rPr>
                <w:rFonts w:ascii="宋体" w:hAnsi="宋体"/>
                <w:kern w:val="0"/>
              </w:rPr>
              <w:t>塑料制品</w:t>
            </w:r>
          </w:p>
        </w:tc>
        <w:tc>
          <w:tcPr>
            <w:tcW w:w="907" w:type="pct"/>
            <w:shd w:val="clear" w:color="auto" w:fill="auto"/>
            <w:noWrap/>
            <w:vAlign w:val="center"/>
          </w:tcPr>
          <w:p w14:paraId="1BE92E41">
            <w:pPr>
              <w:pStyle w:val="23"/>
              <w:jc w:val="center"/>
              <w:rPr>
                <w:rFonts w:ascii="宋体" w:hAnsi="宋体"/>
                <w:kern w:val="0"/>
              </w:rPr>
            </w:pPr>
            <w:r>
              <w:rPr>
                <w:rFonts w:ascii="宋体" w:hAnsi="宋体"/>
                <w:kern w:val="0"/>
              </w:rPr>
              <w:t>吨</w:t>
            </w:r>
          </w:p>
        </w:tc>
        <w:tc>
          <w:tcPr>
            <w:tcW w:w="907" w:type="pct"/>
            <w:shd w:val="clear" w:color="auto" w:fill="auto"/>
            <w:noWrap/>
            <w:vAlign w:val="center"/>
          </w:tcPr>
          <w:p w14:paraId="53D09793">
            <w:pPr>
              <w:pStyle w:val="23"/>
              <w:jc w:val="center"/>
              <w:rPr>
                <w:rFonts w:ascii="宋体" w:hAnsi="宋体"/>
                <w:kern w:val="0"/>
              </w:rPr>
            </w:pPr>
            <w:r>
              <w:rPr>
                <w:rFonts w:ascii="宋体" w:hAnsi="宋体"/>
                <w:kern w:val="0"/>
              </w:rPr>
              <w:t>38910</w:t>
            </w:r>
          </w:p>
        </w:tc>
        <w:tc>
          <w:tcPr>
            <w:tcW w:w="907" w:type="pct"/>
            <w:shd w:val="clear" w:color="auto" w:fill="auto"/>
            <w:noWrap/>
            <w:vAlign w:val="center"/>
          </w:tcPr>
          <w:p w14:paraId="2DF280EA">
            <w:pPr>
              <w:pStyle w:val="23"/>
              <w:jc w:val="center"/>
              <w:rPr>
                <w:rFonts w:ascii="宋体" w:hAnsi="宋体"/>
                <w:kern w:val="0"/>
              </w:rPr>
            </w:pPr>
            <w:r>
              <w:rPr>
                <w:rFonts w:ascii="宋体" w:hAnsi="宋体"/>
                <w:kern w:val="0"/>
              </w:rPr>
              <w:t>15.9</w:t>
            </w:r>
          </w:p>
        </w:tc>
      </w:tr>
      <w:tr w14:paraId="6EE36EE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279" w:type="pct"/>
            <w:shd w:val="clear" w:color="auto" w:fill="auto"/>
            <w:noWrap/>
            <w:vAlign w:val="center"/>
          </w:tcPr>
          <w:p w14:paraId="18DD7C96">
            <w:pPr>
              <w:pStyle w:val="23"/>
              <w:ind w:firstLine="420" w:firstLineChars="200"/>
              <w:rPr>
                <w:rFonts w:ascii="宋体" w:hAnsi="宋体"/>
                <w:kern w:val="0"/>
              </w:rPr>
            </w:pPr>
            <w:r>
              <w:rPr>
                <w:rFonts w:ascii="宋体" w:hAnsi="宋体"/>
                <w:kern w:val="0"/>
              </w:rPr>
              <w:t>涂料</w:t>
            </w:r>
          </w:p>
        </w:tc>
        <w:tc>
          <w:tcPr>
            <w:tcW w:w="907" w:type="pct"/>
            <w:shd w:val="clear" w:color="auto" w:fill="auto"/>
            <w:noWrap/>
            <w:vAlign w:val="center"/>
          </w:tcPr>
          <w:p w14:paraId="15731B8C">
            <w:pPr>
              <w:pStyle w:val="23"/>
              <w:jc w:val="center"/>
              <w:rPr>
                <w:rFonts w:ascii="宋体" w:hAnsi="宋体"/>
                <w:kern w:val="0"/>
              </w:rPr>
            </w:pPr>
            <w:r>
              <w:rPr>
                <w:rFonts w:ascii="宋体" w:hAnsi="宋体"/>
                <w:kern w:val="0"/>
              </w:rPr>
              <w:t>吨</w:t>
            </w:r>
          </w:p>
        </w:tc>
        <w:tc>
          <w:tcPr>
            <w:tcW w:w="907" w:type="pct"/>
            <w:shd w:val="clear" w:color="auto" w:fill="auto"/>
            <w:noWrap/>
            <w:vAlign w:val="center"/>
          </w:tcPr>
          <w:p w14:paraId="7B034A69">
            <w:pPr>
              <w:pStyle w:val="23"/>
              <w:jc w:val="center"/>
              <w:rPr>
                <w:rFonts w:ascii="宋体" w:hAnsi="宋体"/>
                <w:kern w:val="0"/>
              </w:rPr>
            </w:pPr>
            <w:r>
              <w:rPr>
                <w:rFonts w:ascii="宋体" w:hAnsi="宋体"/>
                <w:kern w:val="0"/>
              </w:rPr>
              <w:t>66375</w:t>
            </w:r>
          </w:p>
        </w:tc>
        <w:tc>
          <w:tcPr>
            <w:tcW w:w="907" w:type="pct"/>
            <w:shd w:val="clear" w:color="auto" w:fill="auto"/>
            <w:noWrap/>
            <w:vAlign w:val="center"/>
          </w:tcPr>
          <w:p w14:paraId="12DD082E">
            <w:pPr>
              <w:pStyle w:val="23"/>
              <w:jc w:val="center"/>
              <w:rPr>
                <w:rFonts w:ascii="宋体" w:hAnsi="宋体"/>
                <w:kern w:val="0"/>
              </w:rPr>
            </w:pPr>
            <w:r>
              <w:rPr>
                <w:rFonts w:ascii="宋体" w:hAnsi="宋体"/>
                <w:kern w:val="0"/>
              </w:rPr>
              <w:t>1.94</w:t>
            </w:r>
          </w:p>
        </w:tc>
      </w:tr>
    </w:tbl>
    <w:p w14:paraId="27550987">
      <w:pPr>
        <w:autoSpaceDE w:val="0"/>
        <w:autoSpaceDN w:val="0"/>
        <w:adjustRightInd w:val="0"/>
        <w:ind w:firstLine="420"/>
        <w:rPr>
          <w:rFonts w:ascii="宋体" w:hAnsi="宋体" w:cs="HiddenHorzOCR"/>
          <w:color w:val="2C2C2C"/>
          <w:kern w:val="0"/>
          <w:szCs w:val="21"/>
        </w:rPr>
      </w:pPr>
      <w:r>
        <w:rPr>
          <w:rFonts w:hint="eastAsia" w:ascii="宋体" w:hAnsi="宋体" w:cs="HiddenHorzOCR"/>
          <w:color w:val="404141"/>
          <w:kern w:val="0"/>
          <w:szCs w:val="21"/>
        </w:rPr>
        <w:t>倍</w:t>
      </w:r>
      <w:r>
        <w:rPr>
          <w:rFonts w:hint="eastAsia" w:ascii="宋体" w:hAnsi="宋体" w:cs="宋体"/>
          <w:color w:val="404141"/>
          <w:kern w:val="0"/>
          <w:szCs w:val="21"/>
        </w:rPr>
        <w:t>轻</w:t>
      </w:r>
      <w:r>
        <w:rPr>
          <w:rFonts w:hint="eastAsia" w:ascii="宋体" w:hAnsi="宋体" w:cs="MS Gothic"/>
          <w:color w:val="404141"/>
          <w:kern w:val="0"/>
          <w:szCs w:val="21"/>
        </w:rPr>
        <w:t>重工</w:t>
      </w:r>
      <w:r>
        <w:rPr>
          <w:rFonts w:hint="eastAsia" w:ascii="宋体" w:hAnsi="宋体" w:cs="宋体"/>
          <w:color w:val="404141"/>
          <w:kern w:val="0"/>
          <w:szCs w:val="21"/>
        </w:rPr>
        <w:t>业结</w:t>
      </w:r>
      <w:r>
        <w:rPr>
          <w:rFonts w:hint="eastAsia" w:ascii="宋体" w:hAnsi="宋体" w:cs="MS Gothic"/>
          <w:color w:val="404141"/>
          <w:kern w:val="0"/>
          <w:szCs w:val="21"/>
        </w:rPr>
        <w:t>构</w:t>
      </w:r>
      <w:r>
        <w:rPr>
          <w:rFonts w:hint="eastAsia" w:ascii="宋体" w:hAnsi="宋体" w:cs="宋体"/>
          <w:color w:val="404141"/>
          <w:kern w:val="0"/>
          <w:szCs w:val="21"/>
        </w:rPr>
        <w:t>调</w:t>
      </w:r>
      <w:r>
        <w:rPr>
          <w:rFonts w:hint="eastAsia" w:ascii="宋体" w:hAnsi="宋体" w:cs="MS Gothic"/>
          <w:color w:val="404141"/>
          <w:kern w:val="0"/>
          <w:szCs w:val="21"/>
        </w:rPr>
        <w:t>整</w:t>
      </w:r>
      <w:r>
        <w:rPr>
          <w:rFonts w:hint="eastAsia" w:ascii="宋体" w:hAnsi="宋体" w:cs="HiddenHorzOCR"/>
          <w:color w:val="7F7F7F"/>
          <w:kern w:val="0"/>
          <w:szCs w:val="21"/>
        </w:rPr>
        <w:t>。</w:t>
      </w:r>
      <w:r>
        <w:rPr>
          <w:rFonts w:hint="eastAsia" w:ascii="宋体" w:hAnsi="宋体" w:cs="宋体"/>
          <w:color w:val="2C2C2C"/>
          <w:kern w:val="0"/>
          <w:szCs w:val="21"/>
        </w:rPr>
        <w:t>规</w:t>
      </w:r>
      <w:r>
        <w:rPr>
          <w:rFonts w:hint="eastAsia" w:ascii="宋体" w:hAnsi="宋体" w:cs="MS Gothic"/>
          <w:color w:val="2C2C2C"/>
          <w:kern w:val="0"/>
          <w:szCs w:val="21"/>
        </w:rPr>
        <w:t>模以上工</w:t>
      </w:r>
      <w:r>
        <w:rPr>
          <w:rFonts w:hint="eastAsia" w:ascii="宋体" w:hAnsi="宋体" w:cs="宋体"/>
          <w:color w:val="2C2C2C"/>
          <w:kern w:val="0"/>
          <w:szCs w:val="21"/>
        </w:rPr>
        <w:t>业实现轻</w:t>
      </w:r>
      <w:r>
        <w:rPr>
          <w:rFonts w:hint="eastAsia" w:ascii="宋体" w:hAnsi="宋体" w:cs="MS Gothic"/>
          <w:color w:val="2C2C2C"/>
          <w:kern w:val="0"/>
          <w:szCs w:val="21"/>
        </w:rPr>
        <w:t>工</w:t>
      </w:r>
      <w:r>
        <w:rPr>
          <w:rFonts w:hint="eastAsia" w:ascii="宋体" w:hAnsi="宋体" w:cs="宋体"/>
          <w:color w:val="2C2C2C"/>
          <w:kern w:val="0"/>
          <w:szCs w:val="21"/>
        </w:rPr>
        <w:t>业</w:t>
      </w:r>
      <w:r>
        <w:rPr>
          <w:rFonts w:hint="eastAsia" w:ascii="宋体" w:hAnsi="宋体" w:cs="MS Gothic"/>
          <w:color w:val="2C2C2C"/>
          <w:kern w:val="0"/>
          <w:szCs w:val="21"/>
        </w:rPr>
        <w:t>增加</w:t>
      </w:r>
      <w:r>
        <w:rPr>
          <w:rFonts w:hint="eastAsia" w:ascii="宋体" w:hAnsi="宋体" w:cs="宋体"/>
          <w:color w:val="2C2C2C"/>
          <w:kern w:val="0"/>
          <w:szCs w:val="21"/>
        </w:rPr>
        <w:t>值</w:t>
      </w:r>
      <w:r>
        <w:rPr>
          <w:rFonts w:ascii="宋体" w:hAnsi="宋体" w:cs="HiddenHorzOCR"/>
          <w:color w:val="2C2C2C"/>
          <w:kern w:val="0"/>
          <w:szCs w:val="21"/>
        </w:rPr>
        <w:t>6.62</w:t>
      </w:r>
      <w:r>
        <w:rPr>
          <w:rFonts w:hint="eastAsia" w:ascii="宋体" w:hAnsi="宋体" w:cs="宋体"/>
          <w:color w:val="2C2C2C"/>
          <w:kern w:val="0"/>
          <w:szCs w:val="21"/>
        </w:rPr>
        <w:t>亿</w:t>
      </w:r>
      <w:r>
        <w:rPr>
          <w:rFonts w:hint="eastAsia" w:ascii="宋体" w:hAnsi="宋体" w:cs="MS Gothic"/>
          <w:color w:val="2C2C2C"/>
          <w:kern w:val="0"/>
          <w:szCs w:val="21"/>
        </w:rPr>
        <w:t>元，同比上年增</w:t>
      </w:r>
      <w:r>
        <w:rPr>
          <w:rFonts w:hint="eastAsia" w:ascii="宋体" w:hAnsi="宋体" w:cs="宋体"/>
          <w:color w:val="2C2C2C"/>
          <w:kern w:val="0"/>
          <w:szCs w:val="21"/>
        </w:rPr>
        <w:t>长</w:t>
      </w:r>
      <w:r>
        <w:rPr>
          <w:rFonts w:ascii="宋体" w:hAnsi="宋体" w:cs="HiddenHorzOCR"/>
          <w:color w:val="2C2C2C"/>
          <w:kern w:val="0"/>
          <w:szCs w:val="21"/>
        </w:rPr>
        <w:t>31.6%</w:t>
      </w:r>
      <w:r>
        <w:rPr>
          <w:rFonts w:hint="eastAsia" w:ascii="宋体" w:hAnsi="宋体" w:cs="HiddenHorzOCR"/>
          <w:color w:val="2C2C2C"/>
          <w:kern w:val="0"/>
          <w:szCs w:val="21"/>
        </w:rPr>
        <w:t>，完成</w:t>
      </w:r>
      <w:r>
        <w:rPr>
          <w:rFonts w:hint="eastAsia" w:ascii="宋体" w:hAnsi="宋体" w:cs="HiddenHorzOCR"/>
          <w:color w:val="626261"/>
          <w:kern w:val="0"/>
          <w:szCs w:val="21"/>
        </w:rPr>
        <w:t>工</w:t>
      </w:r>
      <w:r>
        <w:rPr>
          <w:rFonts w:hint="eastAsia" w:ascii="宋体" w:hAnsi="宋体" w:cs="宋体"/>
          <w:color w:val="2C2C2C"/>
          <w:kern w:val="0"/>
          <w:szCs w:val="21"/>
        </w:rPr>
        <w:t>业总产值</w:t>
      </w:r>
      <w:r>
        <w:rPr>
          <w:rFonts w:ascii="宋体" w:hAnsi="宋体" w:cs="HiddenHorzOCR"/>
          <w:color w:val="2C2C2C"/>
          <w:kern w:val="0"/>
          <w:szCs w:val="21"/>
        </w:rPr>
        <w:t>23</w:t>
      </w:r>
      <w:r>
        <w:rPr>
          <w:rFonts w:ascii="宋体" w:hAnsi="宋体" w:cs="HiddenHorzOCR"/>
          <w:color w:val="626261"/>
          <w:kern w:val="0"/>
          <w:szCs w:val="21"/>
        </w:rPr>
        <w:t>.</w:t>
      </w:r>
      <w:r>
        <w:rPr>
          <w:rFonts w:ascii="宋体" w:hAnsi="宋体" w:cs="HiddenHorzOCR"/>
          <w:color w:val="2C2C2C"/>
          <w:kern w:val="0"/>
          <w:szCs w:val="21"/>
        </w:rPr>
        <w:t>03</w:t>
      </w:r>
      <w:r>
        <w:rPr>
          <w:rFonts w:hint="eastAsia" w:ascii="宋体" w:hAnsi="宋体" w:cs="宋体"/>
          <w:color w:val="2C2C2C"/>
          <w:kern w:val="0"/>
          <w:szCs w:val="21"/>
        </w:rPr>
        <w:t>亿</w:t>
      </w:r>
      <w:r>
        <w:rPr>
          <w:rFonts w:hint="eastAsia" w:ascii="宋体" w:hAnsi="宋体" w:cs="MS Gothic"/>
          <w:color w:val="2C2C2C"/>
          <w:kern w:val="0"/>
          <w:szCs w:val="21"/>
        </w:rPr>
        <w:t>元，同比上年增</w:t>
      </w:r>
      <w:r>
        <w:rPr>
          <w:rFonts w:hint="eastAsia" w:ascii="宋体" w:hAnsi="宋体" w:cs="宋体"/>
          <w:color w:val="2C2C2C"/>
          <w:kern w:val="0"/>
          <w:szCs w:val="21"/>
        </w:rPr>
        <w:t>长</w:t>
      </w:r>
      <w:r>
        <w:rPr>
          <w:rFonts w:ascii="宋体" w:hAnsi="宋体" w:cs="HiddenHorzOCR"/>
          <w:color w:val="2C2C2C"/>
          <w:kern w:val="0"/>
          <w:szCs w:val="21"/>
        </w:rPr>
        <w:t>32.3%</w:t>
      </w:r>
      <w:r>
        <w:rPr>
          <w:rFonts w:hint="eastAsia" w:ascii="宋体" w:hAnsi="宋体" w:cs="HiddenHorzOCR"/>
          <w:color w:val="2C2C2C"/>
          <w:kern w:val="0"/>
          <w:szCs w:val="21"/>
        </w:rPr>
        <w:t>；</w:t>
      </w:r>
      <w:r>
        <w:rPr>
          <w:rFonts w:hint="eastAsia" w:ascii="宋体" w:hAnsi="宋体" w:cs="宋体"/>
          <w:color w:val="2C2C2C"/>
          <w:kern w:val="0"/>
          <w:szCs w:val="21"/>
        </w:rPr>
        <w:t>实现</w:t>
      </w:r>
      <w:r>
        <w:rPr>
          <w:rFonts w:hint="eastAsia" w:ascii="宋体" w:hAnsi="宋体" w:cs="MS Gothic"/>
          <w:color w:val="2C2C2C"/>
          <w:kern w:val="0"/>
          <w:szCs w:val="21"/>
        </w:rPr>
        <w:t>重工</w:t>
      </w:r>
      <w:r>
        <w:rPr>
          <w:rFonts w:hint="eastAsia" w:ascii="宋体" w:hAnsi="宋体" w:cs="宋体"/>
          <w:color w:val="2C2C2C"/>
          <w:kern w:val="0"/>
          <w:szCs w:val="21"/>
        </w:rPr>
        <w:t>业</w:t>
      </w:r>
      <w:r>
        <w:rPr>
          <w:rFonts w:hint="eastAsia" w:ascii="宋体" w:hAnsi="宋体" w:cs="MS Gothic"/>
          <w:color w:val="2C2C2C"/>
          <w:kern w:val="0"/>
          <w:szCs w:val="21"/>
        </w:rPr>
        <w:t>增加</w:t>
      </w:r>
      <w:r>
        <w:rPr>
          <w:rFonts w:hint="eastAsia" w:ascii="宋体" w:hAnsi="宋体" w:cs="宋体"/>
          <w:color w:val="2C2C2C"/>
          <w:kern w:val="0"/>
          <w:szCs w:val="21"/>
        </w:rPr>
        <w:t>值</w:t>
      </w:r>
      <w:r>
        <w:rPr>
          <w:rFonts w:ascii="宋体" w:hAnsi="宋体" w:cs="HiddenHorzOCR"/>
          <w:color w:val="2C2C2C"/>
          <w:kern w:val="0"/>
          <w:szCs w:val="21"/>
        </w:rPr>
        <w:t>6</w:t>
      </w:r>
      <w:r>
        <w:rPr>
          <w:rFonts w:ascii="宋体" w:hAnsi="宋体" w:cs="HiddenHorzOCR"/>
          <w:color w:val="626261"/>
          <w:kern w:val="0"/>
          <w:szCs w:val="21"/>
        </w:rPr>
        <w:t>.</w:t>
      </w:r>
      <w:r>
        <w:rPr>
          <w:rFonts w:ascii="宋体" w:hAnsi="宋体" w:cs="HiddenHorzOCR"/>
          <w:color w:val="2C2C2C"/>
          <w:kern w:val="0"/>
          <w:szCs w:val="21"/>
        </w:rPr>
        <w:t>9</w:t>
      </w:r>
      <w:r>
        <w:rPr>
          <w:rFonts w:hint="eastAsia" w:ascii="宋体" w:hAnsi="宋体" w:cs="宋体"/>
          <w:color w:val="2C2C2C"/>
          <w:kern w:val="0"/>
          <w:szCs w:val="21"/>
        </w:rPr>
        <w:t>亿</w:t>
      </w:r>
      <w:r>
        <w:rPr>
          <w:rFonts w:hint="eastAsia" w:ascii="宋体" w:hAnsi="宋体" w:cs="MS Gothic"/>
          <w:color w:val="2C2C2C"/>
          <w:kern w:val="0"/>
          <w:szCs w:val="21"/>
        </w:rPr>
        <w:t>元，增</w:t>
      </w:r>
      <w:r>
        <w:rPr>
          <w:rFonts w:hint="eastAsia" w:ascii="宋体" w:hAnsi="宋体" w:cs="宋体"/>
          <w:color w:val="2C2C2C"/>
          <w:kern w:val="0"/>
          <w:szCs w:val="21"/>
        </w:rPr>
        <w:t>长</w:t>
      </w:r>
      <w:r>
        <w:rPr>
          <w:rFonts w:ascii="宋体" w:hAnsi="宋体" w:cs="HiddenHorzOCR"/>
          <w:color w:val="2C2C2C"/>
          <w:kern w:val="0"/>
          <w:szCs w:val="21"/>
        </w:rPr>
        <w:t>84</w:t>
      </w:r>
      <w:r>
        <w:rPr>
          <w:rFonts w:ascii="宋体" w:hAnsi="宋体" w:cs="HiddenHorzOCR"/>
          <w:color w:val="000000"/>
          <w:kern w:val="0"/>
          <w:szCs w:val="21"/>
        </w:rPr>
        <w:t>.</w:t>
      </w:r>
      <w:r>
        <w:rPr>
          <w:rFonts w:ascii="宋体" w:hAnsi="宋体" w:cs="HiddenHorzOCR"/>
          <w:color w:val="2C2C2C"/>
          <w:kern w:val="0"/>
          <w:szCs w:val="21"/>
        </w:rPr>
        <w:t>8%</w:t>
      </w:r>
      <w:r>
        <w:rPr>
          <w:rFonts w:hint="eastAsia" w:ascii="宋体" w:hAnsi="宋体" w:cs="HiddenHorzOCR"/>
          <w:color w:val="2C2C2C"/>
          <w:kern w:val="0"/>
          <w:szCs w:val="21"/>
        </w:rPr>
        <w:t>，完成工</w:t>
      </w:r>
      <w:r>
        <w:rPr>
          <w:rFonts w:hint="eastAsia" w:ascii="宋体" w:hAnsi="宋体" w:cs="宋体"/>
          <w:color w:val="2C2C2C"/>
          <w:kern w:val="0"/>
          <w:szCs w:val="21"/>
        </w:rPr>
        <w:t>业</w:t>
      </w:r>
      <w:r>
        <w:rPr>
          <w:rFonts w:hint="eastAsia" w:ascii="宋体" w:hAnsi="宋体" w:cs="宋体"/>
          <w:color w:val="404141"/>
          <w:kern w:val="0"/>
          <w:szCs w:val="21"/>
        </w:rPr>
        <w:t>总产值</w:t>
      </w:r>
      <w:r>
        <w:rPr>
          <w:rFonts w:ascii="宋体" w:hAnsi="宋体" w:cs="HiddenHorzOCR"/>
          <w:color w:val="404141"/>
          <w:kern w:val="0"/>
          <w:szCs w:val="21"/>
        </w:rPr>
        <w:t>24.69</w:t>
      </w:r>
      <w:r>
        <w:rPr>
          <w:rFonts w:hint="eastAsia" w:ascii="宋体" w:hAnsi="宋体" w:cs="宋体"/>
          <w:color w:val="404141"/>
          <w:kern w:val="0"/>
          <w:szCs w:val="21"/>
        </w:rPr>
        <w:t>亿</w:t>
      </w:r>
      <w:r>
        <w:rPr>
          <w:rFonts w:hint="eastAsia" w:ascii="宋体" w:hAnsi="宋体" w:cs="MS Gothic"/>
          <w:color w:val="404141"/>
          <w:kern w:val="0"/>
          <w:szCs w:val="21"/>
        </w:rPr>
        <w:t>元，增</w:t>
      </w:r>
      <w:r>
        <w:rPr>
          <w:rFonts w:hint="eastAsia" w:ascii="宋体" w:hAnsi="宋体" w:cs="宋体"/>
          <w:color w:val="404141"/>
          <w:kern w:val="0"/>
          <w:szCs w:val="21"/>
        </w:rPr>
        <w:t>长</w:t>
      </w:r>
      <w:r>
        <w:rPr>
          <w:rFonts w:ascii="宋体" w:hAnsi="宋体" w:cs="HiddenHorzOCR"/>
          <w:color w:val="404141"/>
          <w:kern w:val="0"/>
          <w:szCs w:val="21"/>
        </w:rPr>
        <w:t>85.</w:t>
      </w:r>
      <w:r>
        <w:rPr>
          <w:rFonts w:ascii="宋体" w:hAnsi="宋体" w:cs="HiddenHorzOCR"/>
          <w:color w:val="2C2C2C"/>
          <w:kern w:val="0"/>
          <w:szCs w:val="21"/>
        </w:rPr>
        <w:t>3%</w:t>
      </w:r>
      <w:r>
        <w:rPr>
          <w:rFonts w:hint="eastAsia" w:ascii="宋体" w:hAnsi="宋体" w:cs="HiddenHorzOCR"/>
          <w:color w:val="7F7F7F"/>
          <w:kern w:val="0"/>
          <w:szCs w:val="21"/>
        </w:rPr>
        <w:t>。</w:t>
      </w:r>
      <w:r>
        <w:rPr>
          <w:rFonts w:hint="eastAsia" w:ascii="宋体" w:hAnsi="宋体" w:cs="宋体"/>
          <w:color w:val="404141"/>
          <w:kern w:val="0"/>
          <w:szCs w:val="21"/>
        </w:rPr>
        <w:t>轻</w:t>
      </w:r>
      <w:r>
        <w:rPr>
          <w:rFonts w:hint="eastAsia" w:ascii="宋体" w:hAnsi="宋体" w:cs="MS Gothic"/>
          <w:color w:val="404141"/>
          <w:kern w:val="0"/>
          <w:szCs w:val="21"/>
        </w:rPr>
        <w:t>重工</w:t>
      </w:r>
      <w:r>
        <w:rPr>
          <w:rFonts w:hint="eastAsia" w:ascii="宋体" w:hAnsi="宋体" w:cs="宋体"/>
          <w:color w:val="404141"/>
          <w:kern w:val="0"/>
          <w:szCs w:val="21"/>
        </w:rPr>
        <w:t>业产值结</w:t>
      </w:r>
      <w:r>
        <w:rPr>
          <w:rFonts w:hint="eastAsia" w:ascii="宋体" w:hAnsi="宋体" w:cs="HiddenHorzOCR"/>
          <w:color w:val="404141"/>
          <w:kern w:val="0"/>
          <w:szCs w:val="21"/>
        </w:rPr>
        <w:t>构由上年的</w:t>
      </w:r>
      <w:r>
        <w:rPr>
          <w:rFonts w:ascii="宋体" w:hAnsi="宋体" w:cs="HiddenHorzOCR"/>
          <w:color w:val="404141"/>
          <w:kern w:val="0"/>
          <w:szCs w:val="21"/>
        </w:rPr>
        <w:t>54</w:t>
      </w:r>
      <w:r>
        <w:rPr>
          <w:rFonts w:ascii="宋体" w:hAnsi="宋体" w:cs="HiddenHorzOCR"/>
          <w:color w:val="181818"/>
          <w:kern w:val="0"/>
          <w:szCs w:val="21"/>
        </w:rPr>
        <w:t>.5:</w:t>
      </w:r>
      <w:r>
        <w:rPr>
          <w:rFonts w:ascii="宋体" w:hAnsi="宋体" w:cs="HiddenHorzOCR"/>
          <w:color w:val="2C2C2C"/>
          <w:kern w:val="0"/>
          <w:szCs w:val="21"/>
        </w:rPr>
        <w:t>45.5</w:t>
      </w:r>
      <w:r>
        <w:rPr>
          <w:rFonts w:hint="eastAsia" w:ascii="宋体" w:hAnsi="宋体" w:cs="宋体"/>
          <w:color w:val="2C2C2C"/>
          <w:kern w:val="0"/>
          <w:szCs w:val="21"/>
        </w:rPr>
        <w:t>调</w:t>
      </w:r>
      <w:r>
        <w:rPr>
          <w:rFonts w:hint="eastAsia" w:ascii="宋体" w:hAnsi="宋体" w:cs="MS Gothic"/>
          <w:color w:val="2C2C2C"/>
          <w:kern w:val="0"/>
          <w:szCs w:val="21"/>
        </w:rPr>
        <w:t>整</w:t>
      </w:r>
      <w:r>
        <w:rPr>
          <w:rFonts w:hint="eastAsia" w:ascii="宋体" w:hAnsi="宋体" w:cs="宋体"/>
          <w:color w:val="2C2C2C"/>
          <w:kern w:val="0"/>
          <w:szCs w:val="21"/>
        </w:rPr>
        <w:t>为</w:t>
      </w:r>
      <w:r>
        <w:rPr>
          <w:rFonts w:ascii="宋体" w:hAnsi="宋体" w:cs="HiddenHorzOCR"/>
          <w:color w:val="2C2C2C"/>
          <w:kern w:val="0"/>
          <w:szCs w:val="21"/>
        </w:rPr>
        <w:t>48.</w:t>
      </w:r>
      <w:r>
        <w:rPr>
          <w:rFonts w:ascii="宋体" w:hAnsi="宋体" w:cs="Times New Roman"/>
          <w:color w:val="2C2C2C"/>
          <w:kern w:val="0"/>
          <w:szCs w:val="21"/>
        </w:rPr>
        <w:t>3:51.</w:t>
      </w:r>
      <w:r>
        <w:rPr>
          <w:rFonts w:ascii="宋体" w:hAnsi="宋体" w:cs="HiddenHorzOCR"/>
          <w:color w:val="181818"/>
          <w:kern w:val="0"/>
          <w:szCs w:val="21"/>
        </w:rPr>
        <w:t>7</w:t>
      </w:r>
      <w:r>
        <w:rPr>
          <w:rFonts w:hint="eastAsia" w:ascii="宋体" w:hAnsi="宋体" w:cs="HiddenHorzOCR"/>
          <w:color w:val="7F7F7F"/>
          <w:kern w:val="0"/>
          <w:szCs w:val="21"/>
        </w:rPr>
        <w:t>。</w:t>
      </w:r>
    </w:p>
    <w:p w14:paraId="0990AEF3">
      <w:pPr>
        <w:autoSpaceDE w:val="0"/>
        <w:autoSpaceDN w:val="0"/>
        <w:adjustRightInd w:val="0"/>
        <w:ind w:firstLine="420"/>
        <w:rPr>
          <w:rFonts w:ascii="宋体" w:hAnsi="宋体" w:cs="HiddenHorzOCR"/>
          <w:color w:val="2C2C2C"/>
          <w:kern w:val="0"/>
          <w:szCs w:val="21"/>
        </w:rPr>
      </w:pPr>
      <w:r>
        <w:rPr>
          <w:rFonts w:hint="eastAsia" w:ascii="宋体" w:hAnsi="宋体" w:cs="宋体"/>
          <w:color w:val="626261"/>
          <w:kern w:val="0"/>
          <w:szCs w:val="21"/>
        </w:rPr>
        <w:t>产</w:t>
      </w:r>
      <w:r>
        <w:rPr>
          <w:rFonts w:hint="eastAsia" w:ascii="宋体" w:hAnsi="宋体" w:cs="宋体"/>
          <w:color w:val="2C2C2C"/>
          <w:kern w:val="0"/>
          <w:szCs w:val="21"/>
        </w:rPr>
        <w:t>业转</w:t>
      </w:r>
      <w:r>
        <w:rPr>
          <w:rFonts w:hint="eastAsia" w:ascii="宋体" w:hAnsi="宋体" w:cs="MS Gothic"/>
          <w:color w:val="2C2C2C"/>
          <w:kern w:val="0"/>
          <w:szCs w:val="21"/>
        </w:rPr>
        <w:t>移工</w:t>
      </w:r>
      <w:r>
        <w:rPr>
          <w:rFonts w:hint="eastAsia" w:ascii="宋体" w:hAnsi="宋体" w:cs="宋体"/>
          <w:color w:val="2C2C2C"/>
          <w:kern w:val="0"/>
          <w:szCs w:val="21"/>
        </w:rPr>
        <w:t>业</w:t>
      </w:r>
      <w:r>
        <w:rPr>
          <w:rFonts w:hint="eastAsia" w:ascii="宋体" w:hAnsi="宋体" w:cs="MS Gothic"/>
          <w:color w:val="2C2C2C"/>
          <w:kern w:val="0"/>
          <w:szCs w:val="21"/>
        </w:rPr>
        <w:t>园成</w:t>
      </w:r>
      <w:r>
        <w:rPr>
          <w:rFonts w:hint="eastAsia" w:ascii="宋体" w:hAnsi="宋体" w:cs="宋体"/>
          <w:color w:val="2C2C2C"/>
          <w:kern w:val="0"/>
          <w:szCs w:val="21"/>
        </w:rPr>
        <w:t>为经济</w:t>
      </w:r>
      <w:r>
        <w:rPr>
          <w:rFonts w:hint="eastAsia" w:ascii="宋体" w:hAnsi="宋体" w:cs="MS Gothic"/>
          <w:color w:val="2C2C2C"/>
          <w:kern w:val="0"/>
          <w:szCs w:val="21"/>
        </w:rPr>
        <w:t>增</w:t>
      </w:r>
      <w:r>
        <w:rPr>
          <w:rFonts w:hint="eastAsia" w:ascii="宋体" w:hAnsi="宋体" w:cs="宋体"/>
          <w:color w:val="2C2C2C"/>
          <w:kern w:val="0"/>
          <w:szCs w:val="21"/>
        </w:rPr>
        <w:t>长</w:t>
      </w:r>
      <w:r>
        <w:rPr>
          <w:rFonts w:hint="eastAsia" w:ascii="宋体" w:hAnsi="宋体" w:cs="MS Gothic"/>
          <w:color w:val="2C2C2C"/>
          <w:kern w:val="0"/>
          <w:szCs w:val="21"/>
        </w:rPr>
        <w:t>极，</w:t>
      </w:r>
      <w:r>
        <w:rPr>
          <w:rFonts w:hint="eastAsia" w:ascii="宋体" w:hAnsi="宋体" w:cs="宋体"/>
          <w:color w:val="2C2C2C"/>
          <w:kern w:val="0"/>
          <w:szCs w:val="21"/>
        </w:rPr>
        <w:t>产业</w:t>
      </w:r>
      <w:r>
        <w:rPr>
          <w:rFonts w:hint="eastAsia" w:ascii="宋体" w:hAnsi="宋体" w:cs="MS Gothic"/>
          <w:color w:val="2C2C2C"/>
          <w:kern w:val="0"/>
          <w:szCs w:val="21"/>
        </w:rPr>
        <w:t>集聚效</w:t>
      </w:r>
      <w:r>
        <w:rPr>
          <w:rFonts w:hint="eastAsia" w:ascii="宋体" w:hAnsi="宋体" w:cs="宋体"/>
          <w:color w:val="404141"/>
          <w:kern w:val="0"/>
          <w:szCs w:val="21"/>
        </w:rPr>
        <w:t>应</w:t>
      </w:r>
      <w:r>
        <w:rPr>
          <w:rFonts w:hint="eastAsia" w:ascii="宋体" w:hAnsi="宋体" w:cs="MS Gothic"/>
          <w:color w:val="404141"/>
          <w:kern w:val="0"/>
          <w:szCs w:val="21"/>
        </w:rPr>
        <w:t>不断增</w:t>
      </w:r>
      <w:r>
        <w:rPr>
          <w:rFonts w:hint="eastAsia" w:ascii="宋体" w:hAnsi="宋体" w:cs="宋体"/>
          <w:color w:val="404141"/>
          <w:kern w:val="0"/>
          <w:szCs w:val="21"/>
        </w:rPr>
        <w:t>强</w:t>
      </w:r>
      <w:r>
        <w:rPr>
          <w:rFonts w:hint="eastAsia" w:ascii="宋体" w:hAnsi="宋体" w:cs="HiddenHorzOCR"/>
          <w:color w:val="7F7F7F"/>
          <w:kern w:val="0"/>
          <w:szCs w:val="21"/>
        </w:rPr>
        <w:t>。</w:t>
      </w:r>
      <w:r>
        <w:rPr>
          <w:rFonts w:hint="eastAsia" w:ascii="宋体" w:hAnsi="宋体" w:cs="宋体"/>
          <w:color w:val="404141"/>
          <w:kern w:val="0"/>
          <w:szCs w:val="21"/>
        </w:rPr>
        <w:t>产业转</w:t>
      </w:r>
      <w:r>
        <w:rPr>
          <w:rFonts w:hint="eastAsia" w:ascii="宋体" w:hAnsi="宋体" w:cs="MS Gothic"/>
          <w:color w:val="404141"/>
          <w:kern w:val="0"/>
          <w:szCs w:val="21"/>
        </w:rPr>
        <w:t>移</w:t>
      </w:r>
      <w:r>
        <w:rPr>
          <w:rFonts w:hint="eastAsia" w:ascii="宋体" w:hAnsi="宋体" w:cs="HiddenHorzOCR"/>
          <w:color w:val="626261"/>
          <w:kern w:val="0"/>
          <w:szCs w:val="21"/>
        </w:rPr>
        <w:t>工</w:t>
      </w:r>
      <w:r>
        <w:rPr>
          <w:rFonts w:hint="eastAsia" w:ascii="宋体" w:hAnsi="宋体" w:cs="宋体"/>
          <w:color w:val="2C2C2C"/>
          <w:kern w:val="0"/>
          <w:szCs w:val="21"/>
        </w:rPr>
        <w:t>业</w:t>
      </w:r>
      <w:r>
        <w:rPr>
          <w:rFonts w:hint="eastAsia" w:ascii="宋体" w:hAnsi="宋体" w:cs="MS Gothic"/>
          <w:color w:val="2C2C2C"/>
          <w:kern w:val="0"/>
          <w:szCs w:val="21"/>
        </w:rPr>
        <w:t>园</w:t>
      </w:r>
      <w:r>
        <w:rPr>
          <w:rFonts w:hint="eastAsia" w:ascii="宋体" w:hAnsi="宋体" w:cs="HiddenHorzOCR"/>
          <w:color w:val="626261"/>
          <w:kern w:val="0"/>
          <w:szCs w:val="21"/>
        </w:rPr>
        <w:t>一</w:t>
      </w:r>
      <w:r>
        <w:rPr>
          <w:rFonts w:hint="eastAsia" w:ascii="宋体" w:hAnsi="宋体" w:cs="HiddenHorzOCR"/>
          <w:color w:val="2C2C2C"/>
          <w:kern w:val="0"/>
          <w:szCs w:val="21"/>
        </w:rPr>
        <w:t>期园区人园企</w:t>
      </w:r>
      <w:r>
        <w:rPr>
          <w:rFonts w:hint="eastAsia" w:ascii="宋体" w:hAnsi="宋体" w:cs="宋体"/>
          <w:color w:val="2C2C2C"/>
          <w:kern w:val="0"/>
          <w:szCs w:val="21"/>
        </w:rPr>
        <w:t>业</w:t>
      </w:r>
      <w:r>
        <w:rPr>
          <w:rFonts w:ascii="宋体" w:hAnsi="宋体" w:cs="HiddenHorzOCR"/>
          <w:color w:val="2C2C2C"/>
          <w:kern w:val="0"/>
          <w:szCs w:val="21"/>
        </w:rPr>
        <w:t>99</w:t>
      </w:r>
      <w:r>
        <w:rPr>
          <w:rFonts w:hint="eastAsia" w:ascii="宋体" w:hAnsi="宋体" w:cs="HiddenHorzOCR"/>
          <w:color w:val="404141"/>
          <w:kern w:val="0"/>
          <w:szCs w:val="21"/>
        </w:rPr>
        <w:t>家，</w:t>
      </w:r>
      <w:r>
        <w:rPr>
          <w:rFonts w:hint="eastAsia" w:ascii="宋体" w:hAnsi="宋体" w:cs="宋体"/>
          <w:color w:val="404141"/>
          <w:kern w:val="0"/>
          <w:szCs w:val="21"/>
        </w:rPr>
        <w:t>试</w:t>
      </w:r>
      <w:r>
        <w:rPr>
          <w:rFonts w:hint="eastAsia" w:ascii="宋体" w:hAnsi="宋体" w:cs="MS Gothic"/>
          <w:color w:val="404141"/>
          <w:kern w:val="0"/>
          <w:szCs w:val="21"/>
        </w:rPr>
        <w:t>投</w:t>
      </w:r>
      <w:r>
        <w:rPr>
          <w:rFonts w:hint="eastAsia" w:ascii="宋体" w:hAnsi="宋体" w:cs="宋体"/>
          <w:color w:val="626261"/>
          <w:kern w:val="0"/>
          <w:szCs w:val="21"/>
        </w:rPr>
        <w:t>产</w:t>
      </w:r>
      <w:r>
        <w:rPr>
          <w:rFonts w:hint="eastAsia" w:ascii="宋体" w:hAnsi="宋体" w:cs="HiddenHorzOCR"/>
          <w:color w:val="404141"/>
          <w:kern w:val="0"/>
          <w:szCs w:val="21"/>
        </w:rPr>
        <w:t>企</w:t>
      </w:r>
      <w:r>
        <w:rPr>
          <w:rFonts w:hint="eastAsia" w:ascii="宋体" w:hAnsi="宋体" w:cs="宋体"/>
          <w:color w:val="404141"/>
          <w:kern w:val="0"/>
          <w:szCs w:val="21"/>
        </w:rPr>
        <w:t>业</w:t>
      </w:r>
      <w:r>
        <w:rPr>
          <w:rFonts w:hint="eastAsia" w:ascii="宋体" w:hAnsi="宋体" w:cs="MS Gothic"/>
          <w:color w:val="404141"/>
          <w:kern w:val="0"/>
          <w:szCs w:val="21"/>
        </w:rPr>
        <w:t>达到</w:t>
      </w:r>
      <w:r>
        <w:rPr>
          <w:rFonts w:ascii="宋体" w:hAnsi="宋体" w:cs="HiddenHorzOCR"/>
          <w:color w:val="404141"/>
          <w:kern w:val="0"/>
          <w:szCs w:val="21"/>
        </w:rPr>
        <w:t>4</w:t>
      </w:r>
      <w:r>
        <w:rPr>
          <w:rFonts w:ascii="宋体" w:hAnsi="宋体" w:cs="HiddenHorzOCR"/>
          <w:color w:val="181818"/>
          <w:kern w:val="0"/>
          <w:szCs w:val="21"/>
        </w:rPr>
        <w:t>5</w:t>
      </w:r>
      <w:r>
        <w:rPr>
          <w:rFonts w:hint="eastAsia" w:ascii="宋体" w:hAnsi="宋体" w:cs="HiddenHorzOCR"/>
          <w:color w:val="404141"/>
          <w:kern w:val="0"/>
          <w:szCs w:val="21"/>
        </w:rPr>
        <w:t>家</w:t>
      </w:r>
      <w:r>
        <w:rPr>
          <w:rFonts w:hint="eastAsia" w:ascii="宋体" w:hAnsi="宋体" w:cs="HiddenHorzOCR"/>
          <w:color w:val="7F7F7F"/>
          <w:kern w:val="0"/>
          <w:szCs w:val="21"/>
        </w:rPr>
        <w:t>。</w:t>
      </w:r>
      <w:r>
        <w:rPr>
          <w:rFonts w:ascii="宋体" w:hAnsi="宋体" w:cs="HiddenHorzOCR"/>
          <w:color w:val="2C2C2C"/>
          <w:kern w:val="0"/>
          <w:szCs w:val="21"/>
        </w:rPr>
        <w:t>2011</w:t>
      </w:r>
      <w:r>
        <w:rPr>
          <w:rFonts w:hint="eastAsia" w:ascii="宋体" w:hAnsi="宋体" w:cs="HiddenHorzOCR"/>
          <w:color w:val="2C2C2C"/>
          <w:kern w:val="0"/>
          <w:szCs w:val="21"/>
        </w:rPr>
        <w:t>年，园区已</w:t>
      </w:r>
      <w:r>
        <w:rPr>
          <w:rFonts w:hint="eastAsia" w:ascii="宋体" w:hAnsi="宋体" w:cs="宋体"/>
          <w:color w:val="2C2C2C"/>
          <w:kern w:val="0"/>
          <w:szCs w:val="21"/>
        </w:rPr>
        <w:t>经</w:t>
      </w:r>
      <w:r>
        <w:rPr>
          <w:rFonts w:hint="eastAsia" w:ascii="宋体" w:hAnsi="宋体" w:cs="MS Gothic"/>
          <w:color w:val="2C2C2C"/>
          <w:kern w:val="0"/>
          <w:szCs w:val="21"/>
        </w:rPr>
        <w:t>建</w:t>
      </w:r>
      <w:r>
        <w:rPr>
          <w:rFonts w:hint="eastAsia" w:ascii="宋体" w:hAnsi="宋体" w:cs="HiddenHorzOCR"/>
          <w:color w:val="404141"/>
          <w:kern w:val="0"/>
          <w:szCs w:val="21"/>
        </w:rPr>
        <w:t>立常</w:t>
      </w:r>
      <w:r>
        <w:rPr>
          <w:rFonts w:hint="eastAsia" w:ascii="宋体" w:hAnsi="宋体" w:cs="宋体"/>
          <w:color w:val="404141"/>
          <w:kern w:val="0"/>
          <w:szCs w:val="21"/>
        </w:rPr>
        <w:t>规</w:t>
      </w:r>
      <w:r>
        <w:rPr>
          <w:rFonts w:hint="eastAsia" w:ascii="宋体" w:hAnsi="宋体" w:cs="MS Gothic"/>
          <w:color w:val="404141"/>
          <w:kern w:val="0"/>
          <w:szCs w:val="21"/>
        </w:rPr>
        <w:t>性</w:t>
      </w:r>
      <w:r>
        <w:rPr>
          <w:rFonts w:hint="eastAsia" w:ascii="宋体" w:hAnsi="宋体" w:cs="宋体"/>
          <w:color w:val="404141"/>
          <w:kern w:val="0"/>
          <w:szCs w:val="21"/>
        </w:rPr>
        <w:t>报</w:t>
      </w:r>
      <w:r>
        <w:rPr>
          <w:rFonts w:hint="eastAsia" w:ascii="宋体" w:hAnsi="宋体" w:cs="MS Gothic"/>
          <w:color w:val="404141"/>
          <w:kern w:val="0"/>
          <w:szCs w:val="21"/>
        </w:rPr>
        <w:t>表制度的</w:t>
      </w:r>
      <w:r>
        <w:rPr>
          <w:rFonts w:ascii="宋体" w:hAnsi="宋体" w:cs="HiddenHorzOCR"/>
          <w:color w:val="404141"/>
          <w:kern w:val="0"/>
          <w:szCs w:val="21"/>
        </w:rPr>
        <w:t>35</w:t>
      </w:r>
      <w:r>
        <w:rPr>
          <w:rFonts w:hint="eastAsia" w:ascii="宋体" w:hAnsi="宋体" w:cs="HiddenHorzOCR"/>
          <w:color w:val="404141"/>
          <w:kern w:val="0"/>
          <w:szCs w:val="21"/>
        </w:rPr>
        <w:t>个</w:t>
      </w:r>
      <w:r>
        <w:rPr>
          <w:rFonts w:hint="eastAsia" w:ascii="宋体" w:hAnsi="宋体" w:cs="宋体"/>
          <w:color w:val="404141"/>
          <w:kern w:val="0"/>
          <w:szCs w:val="21"/>
        </w:rPr>
        <w:t>规</w:t>
      </w:r>
      <w:r>
        <w:rPr>
          <w:rFonts w:hint="eastAsia" w:ascii="宋体" w:hAnsi="宋体" w:cs="MS Gothic"/>
          <w:color w:val="404141"/>
          <w:kern w:val="0"/>
          <w:szCs w:val="21"/>
        </w:rPr>
        <w:t>模以上工</w:t>
      </w:r>
      <w:r>
        <w:rPr>
          <w:rFonts w:hint="eastAsia" w:ascii="宋体" w:hAnsi="宋体" w:cs="宋体"/>
          <w:color w:val="404141"/>
          <w:kern w:val="0"/>
          <w:szCs w:val="21"/>
        </w:rPr>
        <w:t>业</w:t>
      </w:r>
      <w:r>
        <w:rPr>
          <w:rFonts w:hint="eastAsia" w:ascii="宋体" w:hAnsi="宋体" w:cs="MS Gothic"/>
          <w:color w:val="404141"/>
          <w:kern w:val="0"/>
          <w:szCs w:val="21"/>
        </w:rPr>
        <w:t>企</w:t>
      </w:r>
      <w:r>
        <w:rPr>
          <w:rFonts w:hint="eastAsia" w:ascii="宋体" w:hAnsi="宋体" w:cs="宋体"/>
          <w:color w:val="404141"/>
          <w:kern w:val="0"/>
          <w:szCs w:val="21"/>
        </w:rPr>
        <w:t>业</w:t>
      </w:r>
      <w:r>
        <w:rPr>
          <w:rFonts w:hint="eastAsia" w:ascii="宋体" w:hAnsi="宋体" w:cs="MS Gothic"/>
          <w:color w:val="404141"/>
          <w:kern w:val="0"/>
          <w:szCs w:val="21"/>
        </w:rPr>
        <w:t>完</w:t>
      </w:r>
      <w:r>
        <w:rPr>
          <w:rFonts w:hint="eastAsia" w:ascii="宋体" w:hAnsi="宋体" w:cs="HiddenHorzOCR"/>
          <w:color w:val="404141"/>
          <w:kern w:val="0"/>
          <w:szCs w:val="21"/>
        </w:rPr>
        <w:t>成</w:t>
      </w:r>
      <w:r>
        <w:rPr>
          <w:rFonts w:hint="eastAsia" w:ascii="宋体" w:hAnsi="宋体"/>
          <w:szCs w:val="21"/>
        </w:rPr>
        <w:t>工业产品工业总产值30.8亿元，同比增长154.1%；实现工业增加值9.2亿元，同比增长131%。分别占全市工业产值和增加值比重的51.7%和38.0%。园区建设再获新荣誉，成为“第一批省市共建循环经济产业基地</w:t>
      </w:r>
      <w:r>
        <w:rPr>
          <w:rFonts w:ascii="宋体" w:hAnsi="宋体"/>
          <w:szCs w:val="21"/>
        </w:rPr>
        <w:t>”</w:t>
      </w:r>
      <w:r>
        <w:rPr>
          <w:rFonts w:hint="eastAsia" w:ascii="宋体" w:hAnsi="宋体"/>
          <w:szCs w:val="21"/>
        </w:rPr>
        <w:t>、“中小企业创业基地”、“全省安全生产管理示范点建设试点”；在省考核小组对省级产业转移园区的考核工作中，园区取得了综合得分第一的好成绩。</w:t>
      </w:r>
    </w:p>
    <w:p w14:paraId="5DC7443C">
      <w:pPr>
        <w:ind w:firstLine="420"/>
        <w:rPr>
          <w:rFonts w:ascii="宋体" w:hAnsi="宋体"/>
          <w:szCs w:val="21"/>
        </w:rPr>
      </w:pPr>
      <w:r>
        <w:rPr>
          <w:rFonts w:hint="eastAsia" w:ascii="宋体" w:hAnsi="宋体"/>
          <w:szCs w:val="21"/>
        </w:rPr>
        <w:t>工业产销衔接好。2011年，规模以上工业企业完成销售产值46.12亿元，工业产品销售率为96.6%，其中重工业为96.8%，轻工业为96.5%；按经济类型分，国有企业为98.9%，股份制企业为96.5%，外商及港澳台商投资企业为96.7%，其他经济类型企业为96.8%。</w:t>
      </w:r>
    </w:p>
    <w:p w14:paraId="6A95189D">
      <w:pPr>
        <w:ind w:firstLine="420"/>
        <w:rPr>
          <w:rFonts w:ascii="宋体" w:hAnsi="宋体"/>
          <w:szCs w:val="21"/>
        </w:rPr>
      </w:pPr>
      <w:r>
        <w:rPr>
          <w:rFonts w:hint="eastAsia" w:ascii="宋体" w:hAnsi="宋体"/>
          <w:szCs w:val="21"/>
        </w:rPr>
        <w:t>工业经济效益趋稳。规模以上工业企业经济效益综合指数为238.53%，比上年下降21个百分点。全年实现利税总额5.82亿元，实现利润3.57亿元，同比分别增长47.3%和34.5%；总资产贡献率15.41%，提高4.48个百分点；资本保值增值率150.79%，提高55.11个百分点；流动资产周转率5.12次，加快0.47次；全员劳动生产率为113316元/人，提高33.1%。</w:t>
      </w:r>
    </w:p>
    <w:p w14:paraId="26F71211">
      <w:pPr>
        <w:ind w:firstLine="420"/>
        <w:rPr>
          <w:rFonts w:ascii="宋体" w:hAnsi="宋体"/>
          <w:szCs w:val="21"/>
        </w:rPr>
      </w:pPr>
      <w:r>
        <w:rPr>
          <w:rFonts w:hint="eastAsia" w:ascii="宋体" w:hAnsi="宋体"/>
          <w:szCs w:val="21"/>
        </w:rPr>
        <w:t>2011年单位工业增加值能耗为0.68吨标准煤/万元，比上年下降23.7%。</w:t>
      </w:r>
    </w:p>
    <w:p w14:paraId="7A81748E">
      <w:pPr>
        <w:ind w:firstLine="420"/>
        <w:rPr>
          <w:rFonts w:ascii="宋体" w:hAnsi="宋体"/>
          <w:szCs w:val="21"/>
        </w:rPr>
      </w:pPr>
      <w:r>
        <w:rPr>
          <w:rFonts w:hint="eastAsia" w:ascii="宋体" w:hAnsi="宋体"/>
          <w:szCs w:val="21"/>
        </w:rPr>
        <w:t>加强了环境综合治理，全面完成了上级下达市的节能减排任务。</w:t>
      </w:r>
    </w:p>
    <w:p w14:paraId="56E09743">
      <w:pPr>
        <w:ind w:firstLine="420"/>
        <w:rPr>
          <w:rFonts w:ascii="宋体" w:hAnsi="宋体"/>
          <w:szCs w:val="21"/>
        </w:rPr>
      </w:pPr>
      <w:r>
        <w:rPr>
          <w:rFonts w:hint="eastAsia" w:ascii="宋体" w:hAnsi="宋体"/>
          <w:szCs w:val="21"/>
        </w:rPr>
        <w:t>建筑业健康发展。全部建筑业完成增加值6.85亿元，增长22.8%。其中资质以内建筑业企业完成总产值11.83亿元，实现增加值3.78亿元，分别比上年增长27.8%和28.1%。全年房屋建筑施工面积132.56万平方米，其中本年新开工面积68.73万平方米；房屋建筑竣工面积64.28万平方米，竣工房屋价值4.99亿元。全市资质建筑企业上交税金5944万元，实现利润7580万元。按产值计算的全员劳动生产率人均12.07万元，比上年提高4.49万元。</w:t>
      </w:r>
    </w:p>
    <w:p w14:paraId="0E4BDC26">
      <w:pPr>
        <w:ind w:firstLine="422"/>
        <w:rPr>
          <w:rFonts w:ascii="宋体" w:hAnsi="宋体"/>
          <w:b/>
          <w:szCs w:val="21"/>
        </w:rPr>
      </w:pPr>
      <w:r>
        <w:rPr>
          <w:rFonts w:hint="eastAsia" w:ascii="宋体" w:hAnsi="宋体"/>
          <w:b/>
          <w:szCs w:val="21"/>
        </w:rPr>
        <w:t>四、固定资产投资</w:t>
      </w:r>
    </w:p>
    <w:p w14:paraId="47115F34">
      <w:pPr>
        <w:ind w:firstLine="420"/>
        <w:rPr>
          <w:rFonts w:ascii="宋体" w:hAnsi="宋体"/>
          <w:szCs w:val="21"/>
        </w:rPr>
      </w:pPr>
      <w:r>
        <w:rPr>
          <w:rFonts w:hint="eastAsia" w:ascii="宋体" w:hAnsi="宋体"/>
          <w:szCs w:val="21"/>
        </w:rPr>
        <w:t>我市市委、市政府坚定不移地以建设粤北门户城市为目标，基础设施建设取得新进展，重点建设项目顺利推进，南雄作为广东连接内地的桥头堡作用更加明显。</w:t>
      </w:r>
    </w:p>
    <w:p w14:paraId="6C0A6B52">
      <w:pPr>
        <w:ind w:firstLine="420"/>
        <w:rPr>
          <w:rFonts w:ascii="宋体" w:hAnsi="宋体"/>
          <w:szCs w:val="21"/>
        </w:rPr>
      </w:pPr>
      <w:r>
        <w:rPr>
          <w:rFonts w:hint="eastAsia" w:ascii="宋体" w:hAnsi="宋体"/>
          <w:szCs w:val="21"/>
        </w:rPr>
        <w:t>固定资产投资规模扩大。2011年全市完成固定资产投资62.73亿元，同比增长21.6%。其中城镇投资完成62.31亿元，农村投资完成0.42亿元，分别比上年增长21.0%和393.6%。按登记注册类型分，国有及国有控股经济投资19.04亿元，民营经济投资43.69亿元，分别比上年下降30.8%和增长81.5%。从产业投向看，第一产业投资3.22亿元，第二产业投资36.05亿元，第三产业投资23.46亿元，分别比上年增长62.7%、68.2%和下降16.8%。资金来源呈现多元化。自筹资金成为主渠道，达到50.6亿元，比上年增长33.4%；自筹资金占全部到位资金的80.7%。</w:t>
      </w:r>
    </w:p>
    <w:p w14:paraId="0ADAE54A">
      <w:pPr>
        <w:ind w:firstLine="420"/>
        <w:rPr>
          <w:rFonts w:ascii="宋体" w:hAnsi="宋体"/>
          <w:szCs w:val="21"/>
        </w:rPr>
      </w:pPr>
      <w:r>
        <w:rPr>
          <w:rFonts w:hint="eastAsia" w:ascii="宋体" w:hAnsi="宋体"/>
          <w:szCs w:val="21"/>
        </w:rPr>
        <w:t>重点项目（工程）进展顺利。全年共安排36个重点建设项目，其中新建项目12个，续建项目24个。重点建设项目完成投资34亿元，完成年度计划的119%，其中东莞大岭山（南雄）产业转移工业园完成年度投资计划的163%，绿洲技改扩产项目完成年度投资计划的179%。乐华陶瓷项目奥威斯（龙华山）国际五星级温泉休闲度假中心、彤置富水泥厂、华电热电冷联供等项目稳步推进，农、林、水等一批基础设施重点项目纳入了中央、省计划。</w:t>
      </w:r>
    </w:p>
    <w:p w14:paraId="71F97329">
      <w:pPr>
        <w:ind w:firstLine="420"/>
        <w:rPr>
          <w:rFonts w:ascii="宋体" w:hAnsi="宋体"/>
          <w:szCs w:val="21"/>
        </w:rPr>
      </w:pPr>
      <w:r>
        <w:rPr>
          <w:rFonts w:hint="eastAsia" w:ascii="宋体" w:hAnsi="宋体"/>
          <w:szCs w:val="21"/>
        </w:rPr>
        <w:t>交通方面，赣韶铁路南雄段完成投资0.86亿元，完成通自然村水泥公路建设85公里，改（新）建桥梁4座，建成了13个农村客运站和一批候车亭，奥威斯大道（东背岭大桥至龙华山温泉公路）建设工程进展顺利。</w:t>
      </w:r>
    </w:p>
    <w:p w14:paraId="1E8BA6CA">
      <w:pPr>
        <w:ind w:firstLine="420"/>
        <w:rPr>
          <w:rFonts w:ascii="宋体" w:hAnsi="宋体"/>
          <w:szCs w:val="21"/>
        </w:rPr>
      </w:pPr>
      <w:r>
        <w:rPr>
          <w:rFonts w:hint="eastAsia" w:ascii="宋体" w:hAnsi="宋体"/>
          <w:szCs w:val="21"/>
        </w:rPr>
        <w:t>能源方面，“西气东输”南雄段完成投资2000多万元，工程已投入使用。投资3100万元，完成农村电网配网改造工程。</w:t>
      </w:r>
    </w:p>
    <w:p w14:paraId="0272718A">
      <w:pPr>
        <w:ind w:firstLine="420"/>
        <w:rPr>
          <w:rFonts w:ascii="宋体" w:hAnsi="宋体"/>
          <w:szCs w:val="21"/>
        </w:rPr>
      </w:pPr>
      <w:r>
        <w:rPr>
          <w:rFonts w:hint="eastAsia" w:ascii="宋体" w:hAnsi="宋体"/>
          <w:szCs w:val="21"/>
        </w:rPr>
        <w:t>农田水利方面，投资1150万元，完成了水口镇0.97万亩国家农业综合开发项目。投资700多万元，完成了4720亩农田整治。投资3364万元，完成33宗农村饮水安全工程。投资1250万元，完成孔江灌区节水配套改造一期工程。投资1048万元，完成江头镇田间工程建设。</w:t>
      </w:r>
    </w:p>
    <w:p w14:paraId="4AFB6454">
      <w:pPr>
        <w:ind w:firstLine="420"/>
        <w:rPr>
          <w:rFonts w:ascii="宋体" w:hAnsi="宋体"/>
          <w:szCs w:val="21"/>
        </w:rPr>
      </w:pPr>
      <w:r>
        <w:rPr>
          <w:rFonts w:hint="eastAsia" w:ascii="宋体" w:hAnsi="宋体"/>
          <w:szCs w:val="21"/>
        </w:rPr>
        <w:t>通讯方面，投资338万元，完成30个C网基站建设。</w:t>
      </w:r>
    </w:p>
    <w:p w14:paraId="55C4ADD8">
      <w:pPr>
        <w:ind w:firstLine="420"/>
        <w:rPr>
          <w:rFonts w:ascii="宋体" w:hAnsi="宋体"/>
          <w:szCs w:val="21"/>
        </w:rPr>
      </w:pPr>
      <w:r>
        <w:rPr>
          <w:rFonts w:hint="eastAsia" w:ascii="宋体" w:hAnsi="宋体"/>
          <w:szCs w:val="21"/>
        </w:rPr>
        <w:t>城市面貌明显改观。城区市政设施投入6000多万元。主要是：完成了老国道323线穿城段改造一期工程；完善了金叶大道与S342线交汇处、雄州大道与永康路交汇处等市区四个主要路口的交通安全设施；完成了金叶大道、迎宾大道、教育路等城市美化绿化工程；沿江两岸道路建设正在进行。雄州新城城市综合体项目征地拆迁工作正有序开展。南雄珠影文化广场完成投资1200万元，雄州公园、疾控中心大楼等城市配套功能项目进展顺利。</w:t>
      </w:r>
    </w:p>
    <w:p w14:paraId="142FBCDD">
      <w:pPr>
        <w:ind w:firstLine="420"/>
        <w:rPr>
          <w:rFonts w:ascii="宋体" w:hAnsi="宋体"/>
          <w:szCs w:val="21"/>
        </w:rPr>
      </w:pPr>
      <w:r>
        <w:rPr>
          <w:rFonts w:hint="eastAsia" w:ascii="宋体" w:hAnsi="宋体"/>
          <w:szCs w:val="21"/>
        </w:rPr>
        <w:t>旧城区改造和住宅小区建设加快推进。土地公开交易995亩，成交金额4.45亿元，其中水西小岛项目成交价3.19亿元。房地产开发项目14个，投资1亿多元，面积12万多平方米。水西小岛大福国际名城项目已开工建设。如期完成了上级下达的保障性住房建设任务，建成32套经济适用房和3套廉租房，100套廉租房已开工建设，196套危旧房改造、72套公租房建设任务已经落实。</w:t>
      </w:r>
    </w:p>
    <w:p w14:paraId="53037AA4">
      <w:pPr>
        <w:ind w:firstLine="420"/>
        <w:rPr>
          <w:rFonts w:ascii="宋体" w:hAnsi="宋体"/>
          <w:szCs w:val="21"/>
        </w:rPr>
      </w:pPr>
      <w:r>
        <w:rPr>
          <w:rFonts w:hint="eastAsia" w:ascii="宋体" w:hAnsi="宋体"/>
          <w:szCs w:val="21"/>
        </w:rPr>
        <w:t>小城镇建设步伐加快。中心镇基础设施和界址、珠玑、邓坊等镇集市建设正在加快进行。</w:t>
      </w:r>
    </w:p>
    <w:p w14:paraId="2006B80A">
      <w:pPr>
        <w:ind w:firstLine="420"/>
        <w:rPr>
          <w:rFonts w:ascii="宋体" w:hAnsi="宋体"/>
          <w:szCs w:val="21"/>
        </w:rPr>
      </w:pPr>
      <w:r>
        <w:rPr>
          <w:rFonts w:hint="eastAsia" w:ascii="宋体" w:hAnsi="宋体"/>
          <w:szCs w:val="21"/>
        </w:rPr>
        <w:t>房地产业稳步发展。全市完成房地产开发投资4.13亿元，同比增长24.5%，增速同比提高8.4个百分点。商品房销售面积28.91万平方米，同比增长6.1%；其中住宅26.48万平方米，同比增长4.5%。商品房空置面积0.13万平方米。商品房销售额7.85亿元，同比增长46.2%。</w:t>
      </w:r>
    </w:p>
    <w:p w14:paraId="03DBDFF5">
      <w:pPr>
        <w:ind w:firstLine="420"/>
        <w:rPr>
          <w:rFonts w:ascii="宋体" w:hAnsi="宋体"/>
          <w:szCs w:val="21"/>
        </w:rPr>
      </w:pPr>
      <w:r>
        <w:rPr>
          <w:rFonts w:hint="eastAsia" w:ascii="宋体" w:hAnsi="宋体"/>
          <w:szCs w:val="21"/>
        </w:rPr>
        <w:t>全年园林绿化面积154.81公顷，建成区绿化覆盖面积达163.36公顷，均比上年增长0.4%。</w:t>
      </w:r>
    </w:p>
    <w:p w14:paraId="6A94BAE3">
      <w:pPr>
        <w:ind w:firstLine="422"/>
        <w:rPr>
          <w:rFonts w:ascii="宋体" w:hAnsi="宋体"/>
          <w:b/>
          <w:szCs w:val="21"/>
        </w:rPr>
      </w:pPr>
      <w:r>
        <w:rPr>
          <w:rFonts w:hint="eastAsia" w:ascii="宋体" w:hAnsi="宋体"/>
          <w:b/>
          <w:szCs w:val="21"/>
        </w:rPr>
        <w:t>五、交通、邮电和旅游</w:t>
      </w:r>
    </w:p>
    <w:p w14:paraId="584371D4">
      <w:pPr>
        <w:ind w:firstLine="420"/>
        <w:rPr>
          <w:rFonts w:ascii="宋体" w:hAnsi="宋体"/>
          <w:szCs w:val="21"/>
        </w:rPr>
      </w:pPr>
      <w:r>
        <w:rPr>
          <w:rFonts w:hint="eastAsia" w:ascii="宋体" w:hAnsi="宋体"/>
          <w:szCs w:val="21"/>
        </w:rPr>
        <w:t>全年实现交通运输、仓储和邮政业增加值4.2亿元，同比上年增长18.9%。</w:t>
      </w:r>
    </w:p>
    <w:p w14:paraId="4827E237">
      <w:pPr>
        <w:ind w:firstLine="420"/>
        <w:rPr>
          <w:rFonts w:ascii="宋体" w:hAnsi="宋体"/>
          <w:szCs w:val="21"/>
        </w:rPr>
      </w:pPr>
      <w:r>
        <w:rPr>
          <w:rFonts w:hint="eastAsia" w:ascii="宋体" w:hAnsi="宋体"/>
          <w:szCs w:val="21"/>
        </w:rPr>
        <w:t>城乡交通运输方便快捷。年末全市公路通车里程2091.916公里，其中高等级公路里程1275.584公里。随着居民收入的持续增长及道路交通的改善，机动车辆的数量不断增加。全市新增民用汽车1061辆，新增摩托车2011辆。</w:t>
      </w:r>
    </w:p>
    <w:p w14:paraId="0E8904BE">
      <w:pPr>
        <w:ind w:firstLine="420"/>
        <w:rPr>
          <w:rFonts w:ascii="宋体" w:hAnsi="宋体"/>
          <w:szCs w:val="21"/>
        </w:rPr>
      </w:pPr>
      <w:r>
        <w:rPr>
          <w:rFonts w:hint="eastAsia" w:ascii="宋体" w:hAnsi="宋体"/>
          <w:szCs w:val="21"/>
        </w:rPr>
        <w:t>电信和邮政业务有序经营。全年邮电业务总量完成1.87亿元，同比增长35.5%；其中电信企业营业收入1.64亿元，增长39.0%。全市年末拥有固定电话交换机总量12.69万门，同比增长2.8%。固定电话用户6.44万户，同比下降7.4%。全年邮政业务总收入2239万元，同比增长12.9%。发送函件77万件，增长60.4%，订阅和销售各种报纸217.81万份，下降5.1%。全市移动通信业务进一步发展，移动电话业务增加，移动通讯质量提高。全年移动电话用户14.14万户，增长2.8%；网络建设不断加强。2011年末，全市使用互联网用户达到2万户，增长25.8%。小灵通用户达2.91万户，同比增长6.2%。</w:t>
      </w:r>
    </w:p>
    <w:p w14:paraId="341D2281">
      <w:pPr>
        <w:ind w:firstLine="420"/>
        <w:rPr>
          <w:rFonts w:ascii="宋体" w:hAnsi="宋体"/>
          <w:szCs w:val="21"/>
        </w:rPr>
      </w:pPr>
      <w:r>
        <w:rPr>
          <w:rFonts w:hint="eastAsia" w:ascii="宋体" w:hAnsi="宋体"/>
          <w:szCs w:val="21"/>
        </w:rPr>
        <w:t>全市信息化程度不断提高。完善了韶关民声网、南雄“连心楼”等网络问政平台办理机制，实行矛盾纠纷案件网上受理、审签、分流、督办、结案和统计工作流程一体化，有效化解社会矛盾纠纷。部门（单位）网络化办公条件日益成熟，初步实现了网络收发通知和文件，确保了政令畅通。制定了《政府信息公开条例》，行政审批电子监察系统进一步健全，政风行风建设成效显著，机关作风切实转变，机关效能进一步提高，加快了政府电子政务建设，政务环境建设和服务水平进一步提高。</w:t>
      </w:r>
    </w:p>
    <w:p w14:paraId="30A8D109">
      <w:pPr>
        <w:ind w:firstLine="420"/>
        <w:rPr>
          <w:rFonts w:ascii="宋体" w:hAnsi="宋体"/>
          <w:szCs w:val="21"/>
        </w:rPr>
      </w:pPr>
      <w:r>
        <w:rPr>
          <w:rFonts w:hint="eastAsia" w:ascii="宋体" w:hAnsi="宋体"/>
          <w:szCs w:val="21"/>
        </w:rPr>
        <w:t>旅游业持续发展。以打造“粤赣边际旅游休闲度假优选地”和创建广东省“旅游强县”为目标，加快了珠玑古巷、梅岭景区国家4A级景区创建工作。积极编制《南雄市旅游发展总体规划》、《南雄市红色旅游发展规划》，全力推进龙华山国际星级温泉休闲度假中心、珠玑旅游大道等重点旅游项目的建设，大力发展住宿、餐饮、零售等配套产业，并以举办第七届广东国际旅游文化节南雄分会场为契机，开展了“2011年广东南雄珠玑姓氏文化节、梅岭梅花节暨首届旅游农土特产品博览会”等特色活动，旅游产业发展不断提速，“大珠玑”旅游品牌的影响力进一步扩大。成功举办了“2011广东国际旅游文化节南雄分会场”活动。</w:t>
      </w:r>
    </w:p>
    <w:p w14:paraId="61FE39CE">
      <w:pPr>
        <w:ind w:firstLine="420"/>
        <w:rPr>
          <w:rFonts w:ascii="宋体" w:hAnsi="宋体"/>
          <w:szCs w:val="21"/>
        </w:rPr>
      </w:pPr>
      <w:r>
        <w:rPr>
          <w:rFonts w:hint="eastAsia" w:ascii="宋体" w:hAnsi="宋体"/>
          <w:szCs w:val="21"/>
        </w:rPr>
        <w:t>全市三星级酒店4家，客房总数达到359间，为我市的旅游和消费提供了良好的条件和环境。全年接待游客134.22万人次，旅游总收入9.1亿元，分别增长22.8%和31%。</w:t>
      </w:r>
    </w:p>
    <w:p w14:paraId="5881596B">
      <w:pPr>
        <w:ind w:firstLine="422"/>
        <w:rPr>
          <w:rFonts w:ascii="宋体" w:hAnsi="宋体"/>
          <w:b/>
          <w:szCs w:val="21"/>
        </w:rPr>
      </w:pPr>
      <w:r>
        <w:rPr>
          <w:rFonts w:hint="eastAsia" w:ascii="宋体" w:hAnsi="宋体"/>
          <w:b/>
          <w:szCs w:val="21"/>
        </w:rPr>
        <w:t>六、贸易和外经</w:t>
      </w:r>
    </w:p>
    <w:p w14:paraId="33564E56">
      <w:pPr>
        <w:ind w:firstLine="420"/>
        <w:rPr>
          <w:rFonts w:ascii="宋体" w:hAnsi="宋体"/>
          <w:szCs w:val="21"/>
        </w:rPr>
      </w:pPr>
      <w:r>
        <w:rPr>
          <w:rFonts w:hint="eastAsia" w:ascii="宋体" w:hAnsi="宋体"/>
          <w:szCs w:val="21"/>
        </w:rPr>
        <w:t>“家电下乡”、“以旧换新”等政策的继续实施，有效地拉动了内需，商贸流通和城乡市场交易持续繁荣兴旺。城乡居民对汽车、住房等大宗商品的购买力不断增强，餐饮、娱乐、中介、物流等服务业快速发展，全市实现社会消费品零售总额28.41亿元，同比增长15.7%。分城乡看，城镇消费品零售额21.36亿元，增长15.2%；乡村消费品零售额7.05亿元，增长17.6%。分行业看，批发业总额0.59亿元，增长16.2%；零售业总额24.59亿元，增长15.6%；住宿业营业额0.13亿元，增长15.0%；餐饮业营业额3.1亿元，增长16.5%。</w:t>
      </w:r>
    </w:p>
    <w:p w14:paraId="7252F888">
      <w:pPr>
        <w:ind w:firstLine="420"/>
        <w:rPr>
          <w:rFonts w:ascii="宋体" w:hAnsi="宋体"/>
          <w:szCs w:val="21"/>
        </w:rPr>
      </w:pPr>
      <w:r>
        <w:rPr>
          <w:rFonts w:hint="eastAsia" w:ascii="宋体" w:hAnsi="宋体"/>
          <w:szCs w:val="21"/>
        </w:rPr>
        <w:t>我市充分发挥“中央苏区县”和“省级产业转移园”的金字招牌作用，围绕完善产业园区产业链条，提高产业集聚水平，通过“以商招商、以商带商、以商促商”等形式，招商引资工作有了新突破，达到了预期效果。全年签订投资项目19个，合同金额41.4亿元，实际利用外资2050万美元，同比增长13.7%。其中成功引进投资6.6亿元的康绿宝（南雄）科技园、中山大桥化工和广州阳普医疗等一批优质企业，储备了60多个国内外知名企业投资项目。</w:t>
      </w:r>
    </w:p>
    <w:p w14:paraId="1F57E43A">
      <w:pPr>
        <w:ind w:firstLine="420"/>
        <w:rPr>
          <w:rFonts w:ascii="宋体" w:hAnsi="宋体"/>
          <w:szCs w:val="21"/>
        </w:rPr>
      </w:pPr>
      <w:r>
        <w:rPr>
          <w:rFonts w:hint="eastAsia" w:ascii="宋体" w:hAnsi="宋体"/>
          <w:szCs w:val="21"/>
        </w:rPr>
        <w:t>对外贸易结构进一步改善，外贸出口达2580万美元，同比增长28.8%。</w:t>
      </w:r>
    </w:p>
    <w:p w14:paraId="35D439A1">
      <w:pPr>
        <w:ind w:firstLine="422"/>
        <w:rPr>
          <w:rFonts w:ascii="宋体" w:hAnsi="宋体"/>
          <w:b/>
          <w:szCs w:val="21"/>
        </w:rPr>
      </w:pPr>
      <w:r>
        <w:rPr>
          <w:rFonts w:hint="eastAsia" w:ascii="宋体" w:hAnsi="宋体"/>
          <w:b/>
          <w:szCs w:val="21"/>
        </w:rPr>
        <w:t>七、财政、金融和保险</w:t>
      </w:r>
    </w:p>
    <w:p w14:paraId="31614B0C">
      <w:pPr>
        <w:ind w:firstLine="420"/>
        <w:rPr>
          <w:rFonts w:ascii="宋体" w:hAnsi="宋体"/>
          <w:szCs w:val="21"/>
        </w:rPr>
      </w:pPr>
      <w:r>
        <w:rPr>
          <w:rFonts w:hint="eastAsia" w:ascii="宋体" w:hAnsi="宋体"/>
          <w:szCs w:val="21"/>
        </w:rPr>
        <w:t>金融运行稳定。认真贯彻实施国家货币政策，切实加强金融风险监测，确保金融运行态势平稳，为地方经济发展提供了优质的金融服务。2011年末，全市金融机构各项存款余额达66.03亿元，同比年初增加9.41亿元，增长了16.6%；城乡居民储蓄存款余额为51.26亿元，同比年初增加6.29亿元，增长14.0%。全市金融机构各项贷款余额为18.74亿元，同比年初增加3.79亿元，增长25.4%，其中短期贷款3.95亿元，同比年初增加0.65亿元，增长19.8%；中长期贷款14.79亿元，同比年初增加3.14亿元，增长27.0%。雄健担保有限公司为55家企业提供贷款担保1.5亿元，拓宽了融资渠道，为企业发展提供了资金保障。</w:t>
      </w:r>
    </w:p>
    <w:p w14:paraId="4BE28376">
      <w:pPr>
        <w:ind w:firstLine="422"/>
        <w:jc w:val="center"/>
        <w:rPr>
          <w:rFonts w:ascii="宋体" w:hAnsi="宋体"/>
          <w:b/>
          <w:szCs w:val="21"/>
        </w:rPr>
      </w:pPr>
      <w:r>
        <w:rPr>
          <w:rFonts w:hint="eastAsia" w:ascii="宋体" w:hAnsi="宋体"/>
          <w:b/>
          <w:szCs w:val="21"/>
        </w:rPr>
        <w:t>表38 2011年全部金融机构本外币存货款及其增长速度</w:t>
      </w:r>
    </w:p>
    <w:p w14:paraId="3211F09D">
      <w:pPr>
        <w:ind w:firstLine="420"/>
        <w:jc w:val="right"/>
        <w:rPr>
          <w:rFonts w:ascii="宋体" w:hAnsi="宋体"/>
          <w:szCs w:val="21"/>
        </w:rPr>
      </w:pPr>
      <w:r>
        <w:rPr>
          <w:rFonts w:hint="eastAsia" w:ascii="宋体" w:hAnsi="宋体"/>
          <w:szCs w:val="21"/>
        </w:rPr>
        <w:t>单位：万元</w:t>
      </w:r>
    </w:p>
    <w:tbl>
      <w:tblPr>
        <w:tblStyle w:val="14"/>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933"/>
        <w:gridCol w:w="2514"/>
        <w:gridCol w:w="2515"/>
      </w:tblGrid>
      <w:tr w14:paraId="6486DC2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476" w:type="pct"/>
            <w:shd w:val="clear" w:color="auto" w:fill="auto"/>
            <w:noWrap/>
            <w:vAlign w:val="center"/>
          </w:tcPr>
          <w:p w14:paraId="37F541A7">
            <w:pPr>
              <w:pStyle w:val="23"/>
              <w:jc w:val="center"/>
              <w:rPr>
                <w:rFonts w:ascii="宋体" w:hAnsi="宋体"/>
                <w:b/>
                <w:kern w:val="0"/>
                <w:szCs w:val="21"/>
              </w:rPr>
            </w:pPr>
            <w:r>
              <w:rPr>
                <w:rFonts w:ascii="宋体" w:hAnsi="宋体"/>
                <w:b/>
                <w:kern w:val="0"/>
                <w:szCs w:val="21"/>
              </w:rPr>
              <w:t>指标</w:t>
            </w:r>
          </w:p>
        </w:tc>
        <w:tc>
          <w:tcPr>
            <w:tcW w:w="1262" w:type="pct"/>
            <w:shd w:val="clear" w:color="auto" w:fill="auto"/>
            <w:noWrap/>
            <w:vAlign w:val="center"/>
          </w:tcPr>
          <w:p w14:paraId="36330F25">
            <w:pPr>
              <w:pStyle w:val="23"/>
              <w:jc w:val="center"/>
              <w:rPr>
                <w:rFonts w:ascii="宋体" w:hAnsi="宋体"/>
                <w:b/>
                <w:kern w:val="0"/>
                <w:szCs w:val="21"/>
              </w:rPr>
            </w:pPr>
            <w:r>
              <w:rPr>
                <w:rFonts w:ascii="宋体" w:hAnsi="宋体"/>
                <w:b/>
                <w:kern w:val="0"/>
                <w:szCs w:val="21"/>
              </w:rPr>
              <w:t>年末数</w:t>
            </w:r>
          </w:p>
        </w:tc>
        <w:tc>
          <w:tcPr>
            <w:tcW w:w="1262" w:type="pct"/>
            <w:shd w:val="clear" w:color="auto" w:fill="auto"/>
            <w:noWrap/>
            <w:vAlign w:val="center"/>
          </w:tcPr>
          <w:p w14:paraId="1CF0EC00">
            <w:pPr>
              <w:pStyle w:val="23"/>
              <w:jc w:val="center"/>
              <w:rPr>
                <w:rFonts w:ascii="宋体" w:hAnsi="宋体"/>
                <w:b/>
                <w:kern w:val="0"/>
                <w:szCs w:val="21"/>
              </w:rPr>
            </w:pPr>
            <w:r>
              <w:rPr>
                <w:rFonts w:ascii="宋体" w:hAnsi="宋体"/>
                <w:b/>
                <w:kern w:val="0"/>
                <w:szCs w:val="21"/>
              </w:rPr>
              <w:t>比年初增长%</w:t>
            </w:r>
          </w:p>
        </w:tc>
      </w:tr>
      <w:tr w14:paraId="296E37C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476" w:type="pct"/>
            <w:shd w:val="clear" w:color="auto" w:fill="auto"/>
            <w:noWrap/>
            <w:vAlign w:val="bottom"/>
          </w:tcPr>
          <w:p w14:paraId="5684462D">
            <w:pPr>
              <w:pStyle w:val="23"/>
              <w:rPr>
                <w:rFonts w:ascii="宋体" w:hAnsi="宋体"/>
                <w:kern w:val="0"/>
                <w:szCs w:val="21"/>
              </w:rPr>
            </w:pPr>
            <w:r>
              <w:rPr>
                <w:rFonts w:ascii="宋体" w:hAnsi="宋体"/>
                <w:kern w:val="0"/>
                <w:szCs w:val="21"/>
              </w:rPr>
              <w:t>各项存款余额</w:t>
            </w:r>
          </w:p>
        </w:tc>
        <w:tc>
          <w:tcPr>
            <w:tcW w:w="1262" w:type="pct"/>
            <w:shd w:val="clear" w:color="auto" w:fill="auto"/>
            <w:noWrap/>
            <w:vAlign w:val="center"/>
          </w:tcPr>
          <w:p w14:paraId="7919D063">
            <w:pPr>
              <w:pStyle w:val="23"/>
              <w:jc w:val="center"/>
              <w:rPr>
                <w:rFonts w:ascii="宋体" w:hAnsi="宋体"/>
                <w:kern w:val="0"/>
                <w:szCs w:val="21"/>
              </w:rPr>
            </w:pPr>
            <w:r>
              <w:rPr>
                <w:rFonts w:ascii="宋体" w:hAnsi="宋体"/>
                <w:kern w:val="0"/>
                <w:szCs w:val="21"/>
              </w:rPr>
              <w:t>660320</w:t>
            </w:r>
          </w:p>
        </w:tc>
        <w:tc>
          <w:tcPr>
            <w:tcW w:w="1262" w:type="pct"/>
            <w:shd w:val="clear" w:color="auto" w:fill="auto"/>
            <w:noWrap/>
            <w:vAlign w:val="center"/>
          </w:tcPr>
          <w:p w14:paraId="0CA8DD7B">
            <w:pPr>
              <w:pStyle w:val="23"/>
              <w:jc w:val="center"/>
              <w:rPr>
                <w:rFonts w:ascii="宋体" w:hAnsi="宋体"/>
                <w:kern w:val="0"/>
                <w:szCs w:val="21"/>
              </w:rPr>
            </w:pPr>
            <w:r>
              <w:rPr>
                <w:rFonts w:ascii="宋体" w:hAnsi="宋体"/>
                <w:kern w:val="0"/>
                <w:szCs w:val="21"/>
              </w:rPr>
              <w:t>16.6</w:t>
            </w:r>
          </w:p>
        </w:tc>
      </w:tr>
      <w:tr w14:paraId="6688ABC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476" w:type="pct"/>
            <w:shd w:val="clear" w:color="auto" w:fill="auto"/>
            <w:noWrap/>
            <w:vAlign w:val="bottom"/>
          </w:tcPr>
          <w:p w14:paraId="405C409C">
            <w:pPr>
              <w:pStyle w:val="23"/>
              <w:ind w:firstLine="420" w:firstLineChars="200"/>
              <w:rPr>
                <w:rFonts w:ascii="宋体" w:hAnsi="宋体"/>
                <w:kern w:val="0"/>
                <w:szCs w:val="21"/>
              </w:rPr>
            </w:pPr>
            <w:r>
              <w:rPr>
                <w:rFonts w:ascii="宋体" w:hAnsi="宋体"/>
                <w:kern w:val="0"/>
                <w:szCs w:val="21"/>
              </w:rPr>
              <w:t>其中</w:t>
            </w:r>
            <w:r>
              <w:rPr>
                <w:rFonts w:hint="eastAsia" w:ascii="宋体" w:hAnsi="宋体"/>
                <w:kern w:val="0"/>
                <w:szCs w:val="21"/>
              </w:rPr>
              <w:t>：</w:t>
            </w:r>
            <w:r>
              <w:rPr>
                <w:rFonts w:ascii="宋体" w:hAnsi="宋体"/>
                <w:kern w:val="0"/>
                <w:szCs w:val="21"/>
              </w:rPr>
              <w:t>企事业单位存款</w:t>
            </w:r>
          </w:p>
        </w:tc>
        <w:tc>
          <w:tcPr>
            <w:tcW w:w="1262" w:type="pct"/>
            <w:shd w:val="clear" w:color="auto" w:fill="auto"/>
            <w:noWrap/>
            <w:vAlign w:val="center"/>
          </w:tcPr>
          <w:p w14:paraId="700C0A1A">
            <w:pPr>
              <w:pStyle w:val="23"/>
              <w:jc w:val="center"/>
              <w:rPr>
                <w:rFonts w:ascii="宋体" w:hAnsi="宋体"/>
                <w:kern w:val="0"/>
                <w:szCs w:val="21"/>
              </w:rPr>
            </w:pPr>
            <w:r>
              <w:rPr>
                <w:rFonts w:ascii="宋体" w:hAnsi="宋体"/>
                <w:kern w:val="0"/>
                <w:szCs w:val="21"/>
              </w:rPr>
              <w:t>118078</w:t>
            </w:r>
          </w:p>
        </w:tc>
        <w:tc>
          <w:tcPr>
            <w:tcW w:w="1262" w:type="pct"/>
            <w:shd w:val="clear" w:color="auto" w:fill="auto"/>
            <w:noWrap/>
            <w:vAlign w:val="center"/>
          </w:tcPr>
          <w:p w14:paraId="41F2954F">
            <w:pPr>
              <w:pStyle w:val="23"/>
              <w:jc w:val="center"/>
              <w:rPr>
                <w:rFonts w:ascii="宋体" w:hAnsi="宋体"/>
                <w:kern w:val="0"/>
                <w:szCs w:val="21"/>
              </w:rPr>
            </w:pPr>
            <w:r>
              <w:rPr>
                <w:rFonts w:ascii="宋体" w:hAnsi="宋体"/>
                <w:kern w:val="0"/>
                <w:szCs w:val="21"/>
              </w:rPr>
              <w:t>10.8</w:t>
            </w:r>
          </w:p>
        </w:tc>
      </w:tr>
      <w:tr w14:paraId="1186C52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476" w:type="pct"/>
            <w:shd w:val="clear" w:color="auto" w:fill="auto"/>
            <w:noWrap/>
            <w:vAlign w:val="bottom"/>
          </w:tcPr>
          <w:p w14:paraId="5F3108AE">
            <w:pPr>
              <w:pStyle w:val="23"/>
              <w:ind w:firstLine="1050" w:firstLineChars="500"/>
              <w:rPr>
                <w:rFonts w:ascii="宋体" w:hAnsi="宋体"/>
                <w:kern w:val="0"/>
                <w:szCs w:val="21"/>
              </w:rPr>
            </w:pPr>
            <w:r>
              <w:rPr>
                <w:rFonts w:ascii="宋体" w:hAnsi="宋体"/>
                <w:kern w:val="0"/>
                <w:szCs w:val="21"/>
              </w:rPr>
              <w:t>城乡居民储蓄存款</w:t>
            </w:r>
          </w:p>
        </w:tc>
        <w:tc>
          <w:tcPr>
            <w:tcW w:w="1262" w:type="pct"/>
            <w:shd w:val="clear" w:color="auto" w:fill="auto"/>
            <w:noWrap/>
            <w:vAlign w:val="center"/>
          </w:tcPr>
          <w:p w14:paraId="046740C6">
            <w:pPr>
              <w:pStyle w:val="23"/>
              <w:jc w:val="center"/>
              <w:rPr>
                <w:rFonts w:ascii="宋体" w:hAnsi="宋体"/>
                <w:kern w:val="0"/>
                <w:szCs w:val="21"/>
              </w:rPr>
            </w:pPr>
            <w:r>
              <w:rPr>
                <w:rFonts w:ascii="宋体" w:hAnsi="宋体"/>
                <w:kern w:val="0"/>
                <w:szCs w:val="21"/>
              </w:rPr>
              <w:t>502627</w:t>
            </w:r>
          </w:p>
        </w:tc>
        <w:tc>
          <w:tcPr>
            <w:tcW w:w="1262" w:type="pct"/>
            <w:shd w:val="clear" w:color="auto" w:fill="auto"/>
            <w:noWrap/>
            <w:vAlign w:val="center"/>
          </w:tcPr>
          <w:p w14:paraId="79822B5E">
            <w:pPr>
              <w:pStyle w:val="23"/>
              <w:jc w:val="center"/>
              <w:rPr>
                <w:rFonts w:ascii="宋体" w:hAnsi="宋体"/>
                <w:kern w:val="0"/>
                <w:szCs w:val="21"/>
              </w:rPr>
            </w:pPr>
            <w:r>
              <w:rPr>
                <w:rFonts w:ascii="宋体" w:hAnsi="宋体"/>
                <w:kern w:val="0"/>
                <w:szCs w:val="21"/>
              </w:rPr>
              <w:t>14.0</w:t>
            </w:r>
          </w:p>
        </w:tc>
      </w:tr>
      <w:tr w14:paraId="4C2D238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476" w:type="pct"/>
            <w:shd w:val="clear" w:color="auto" w:fill="auto"/>
            <w:noWrap/>
            <w:vAlign w:val="bottom"/>
          </w:tcPr>
          <w:p w14:paraId="2E1991FA">
            <w:pPr>
              <w:pStyle w:val="23"/>
              <w:ind w:firstLine="1050" w:firstLineChars="500"/>
              <w:rPr>
                <w:rFonts w:ascii="宋体" w:hAnsi="宋体"/>
                <w:kern w:val="0"/>
                <w:szCs w:val="21"/>
              </w:rPr>
            </w:pPr>
            <w:r>
              <w:rPr>
                <w:rFonts w:ascii="宋体" w:hAnsi="宋体"/>
                <w:kern w:val="0"/>
                <w:szCs w:val="21"/>
              </w:rPr>
              <w:t>其他存款</w:t>
            </w:r>
          </w:p>
        </w:tc>
        <w:tc>
          <w:tcPr>
            <w:tcW w:w="1262" w:type="pct"/>
            <w:shd w:val="clear" w:color="auto" w:fill="auto"/>
            <w:noWrap/>
            <w:vAlign w:val="center"/>
          </w:tcPr>
          <w:p w14:paraId="5F7F4F4B">
            <w:pPr>
              <w:pStyle w:val="23"/>
              <w:jc w:val="center"/>
              <w:rPr>
                <w:rFonts w:ascii="宋体" w:hAnsi="宋体"/>
                <w:kern w:val="0"/>
                <w:szCs w:val="21"/>
              </w:rPr>
            </w:pPr>
            <w:r>
              <w:rPr>
                <w:rFonts w:ascii="宋体" w:hAnsi="宋体"/>
                <w:kern w:val="0"/>
                <w:szCs w:val="21"/>
              </w:rPr>
              <w:t>-36960</w:t>
            </w:r>
          </w:p>
        </w:tc>
        <w:tc>
          <w:tcPr>
            <w:tcW w:w="1262" w:type="pct"/>
            <w:shd w:val="clear" w:color="auto" w:fill="auto"/>
            <w:noWrap/>
            <w:vAlign w:val="center"/>
          </w:tcPr>
          <w:p w14:paraId="113E3AD4">
            <w:pPr>
              <w:pStyle w:val="23"/>
              <w:jc w:val="center"/>
              <w:rPr>
                <w:rFonts w:ascii="宋体" w:hAnsi="宋体"/>
                <w:kern w:val="0"/>
                <w:szCs w:val="21"/>
              </w:rPr>
            </w:pPr>
            <w:r>
              <w:rPr>
                <w:rFonts w:ascii="宋体" w:hAnsi="宋体"/>
                <w:kern w:val="0"/>
                <w:szCs w:val="21"/>
              </w:rPr>
              <w:t>-35.8</w:t>
            </w:r>
          </w:p>
        </w:tc>
      </w:tr>
      <w:tr w14:paraId="6E3B05D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476" w:type="pct"/>
            <w:shd w:val="clear" w:color="auto" w:fill="auto"/>
            <w:noWrap/>
            <w:vAlign w:val="bottom"/>
          </w:tcPr>
          <w:p w14:paraId="507A2F5D">
            <w:pPr>
              <w:pStyle w:val="23"/>
              <w:rPr>
                <w:rFonts w:ascii="宋体" w:hAnsi="宋体"/>
                <w:kern w:val="0"/>
                <w:szCs w:val="21"/>
              </w:rPr>
            </w:pPr>
            <w:r>
              <w:rPr>
                <w:rFonts w:ascii="宋体" w:hAnsi="宋体"/>
                <w:kern w:val="0"/>
                <w:szCs w:val="21"/>
              </w:rPr>
              <w:t>各项贷款余额</w:t>
            </w:r>
          </w:p>
        </w:tc>
        <w:tc>
          <w:tcPr>
            <w:tcW w:w="1262" w:type="pct"/>
            <w:shd w:val="clear" w:color="auto" w:fill="auto"/>
            <w:noWrap/>
            <w:vAlign w:val="center"/>
          </w:tcPr>
          <w:p w14:paraId="3C54BC3B">
            <w:pPr>
              <w:pStyle w:val="23"/>
              <w:jc w:val="center"/>
              <w:rPr>
                <w:rFonts w:ascii="宋体" w:hAnsi="宋体"/>
                <w:kern w:val="0"/>
                <w:szCs w:val="21"/>
              </w:rPr>
            </w:pPr>
            <w:r>
              <w:rPr>
                <w:rFonts w:ascii="宋体" w:hAnsi="宋体"/>
                <w:kern w:val="0"/>
                <w:szCs w:val="21"/>
              </w:rPr>
              <w:t>187371</w:t>
            </w:r>
          </w:p>
        </w:tc>
        <w:tc>
          <w:tcPr>
            <w:tcW w:w="1262" w:type="pct"/>
            <w:shd w:val="clear" w:color="auto" w:fill="auto"/>
            <w:noWrap/>
            <w:vAlign w:val="center"/>
          </w:tcPr>
          <w:p w14:paraId="4DCC85B7">
            <w:pPr>
              <w:pStyle w:val="23"/>
              <w:jc w:val="center"/>
              <w:rPr>
                <w:rFonts w:ascii="宋体" w:hAnsi="宋体"/>
                <w:kern w:val="0"/>
                <w:szCs w:val="21"/>
              </w:rPr>
            </w:pPr>
            <w:r>
              <w:rPr>
                <w:rFonts w:ascii="宋体" w:hAnsi="宋体"/>
                <w:kern w:val="0"/>
                <w:szCs w:val="21"/>
              </w:rPr>
              <w:t>25.4</w:t>
            </w:r>
          </w:p>
        </w:tc>
      </w:tr>
      <w:tr w14:paraId="1072E45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476" w:type="pct"/>
            <w:shd w:val="clear" w:color="auto" w:fill="auto"/>
            <w:noWrap/>
            <w:vAlign w:val="bottom"/>
          </w:tcPr>
          <w:p w14:paraId="4511442C">
            <w:pPr>
              <w:pStyle w:val="23"/>
              <w:ind w:firstLine="420" w:firstLineChars="200"/>
              <w:rPr>
                <w:rFonts w:ascii="宋体" w:hAnsi="宋体"/>
                <w:kern w:val="0"/>
                <w:szCs w:val="21"/>
              </w:rPr>
            </w:pPr>
            <w:r>
              <w:rPr>
                <w:rFonts w:ascii="宋体" w:hAnsi="宋体"/>
                <w:kern w:val="0"/>
                <w:szCs w:val="21"/>
              </w:rPr>
              <w:t>其中</w:t>
            </w:r>
            <w:r>
              <w:rPr>
                <w:rFonts w:hint="eastAsia" w:ascii="宋体" w:hAnsi="宋体"/>
                <w:kern w:val="0"/>
                <w:szCs w:val="21"/>
              </w:rPr>
              <w:t>：</w:t>
            </w:r>
            <w:r>
              <w:rPr>
                <w:rFonts w:ascii="宋体" w:hAnsi="宋体"/>
                <w:kern w:val="0"/>
                <w:szCs w:val="21"/>
              </w:rPr>
              <w:t>短期贷款</w:t>
            </w:r>
          </w:p>
        </w:tc>
        <w:tc>
          <w:tcPr>
            <w:tcW w:w="1262" w:type="pct"/>
            <w:shd w:val="clear" w:color="auto" w:fill="auto"/>
            <w:noWrap/>
            <w:vAlign w:val="center"/>
          </w:tcPr>
          <w:p w14:paraId="1FE48C41">
            <w:pPr>
              <w:pStyle w:val="23"/>
              <w:jc w:val="center"/>
              <w:rPr>
                <w:rFonts w:ascii="宋体" w:hAnsi="宋体"/>
                <w:kern w:val="0"/>
                <w:szCs w:val="21"/>
              </w:rPr>
            </w:pPr>
            <w:r>
              <w:rPr>
                <w:rFonts w:ascii="宋体" w:hAnsi="宋体"/>
                <w:kern w:val="0"/>
                <w:szCs w:val="21"/>
              </w:rPr>
              <w:t>39476</w:t>
            </w:r>
          </w:p>
        </w:tc>
        <w:tc>
          <w:tcPr>
            <w:tcW w:w="1262" w:type="pct"/>
            <w:shd w:val="clear" w:color="auto" w:fill="auto"/>
            <w:noWrap/>
            <w:vAlign w:val="center"/>
          </w:tcPr>
          <w:p w14:paraId="55C827F1">
            <w:pPr>
              <w:pStyle w:val="23"/>
              <w:jc w:val="center"/>
              <w:rPr>
                <w:rFonts w:ascii="宋体" w:hAnsi="宋体"/>
                <w:kern w:val="0"/>
                <w:szCs w:val="21"/>
              </w:rPr>
            </w:pPr>
            <w:r>
              <w:rPr>
                <w:rFonts w:ascii="宋体" w:hAnsi="宋体"/>
                <w:kern w:val="0"/>
                <w:szCs w:val="21"/>
              </w:rPr>
              <w:t>19.8</w:t>
            </w:r>
          </w:p>
        </w:tc>
      </w:tr>
      <w:tr w14:paraId="76D4181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476" w:type="pct"/>
            <w:shd w:val="clear" w:color="auto" w:fill="auto"/>
            <w:noWrap/>
            <w:vAlign w:val="bottom"/>
          </w:tcPr>
          <w:p w14:paraId="0D3B1DC3">
            <w:pPr>
              <w:pStyle w:val="23"/>
              <w:ind w:firstLine="1050" w:firstLineChars="500"/>
              <w:rPr>
                <w:rFonts w:ascii="宋体" w:hAnsi="宋体"/>
                <w:kern w:val="0"/>
                <w:szCs w:val="21"/>
              </w:rPr>
            </w:pPr>
            <w:r>
              <w:rPr>
                <w:rFonts w:ascii="宋体" w:hAnsi="宋体"/>
                <w:kern w:val="0"/>
                <w:szCs w:val="21"/>
              </w:rPr>
              <w:t>中长期贷款</w:t>
            </w:r>
          </w:p>
        </w:tc>
        <w:tc>
          <w:tcPr>
            <w:tcW w:w="1262" w:type="pct"/>
            <w:shd w:val="clear" w:color="auto" w:fill="auto"/>
            <w:noWrap/>
            <w:vAlign w:val="center"/>
          </w:tcPr>
          <w:p w14:paraId="254B4292">
            <w:pPr>
              <w:pStyle w:val="23"/>
              <w:jc w:val="center"/>
              <w:rPr>
                <w:rFonts w:ascii="宋体" w:hAnsi="宋体"/>
                <w:kern w:val="0"/>
                <w:szCs w:val="21"/>
              </w:rPr>
            </w:pPr>
            <w:r>
              <w:rPr>
                <w:rFonts w:ascii="宋体" w:hAnsi="宋体"/>
                <w:kern w:val="0"/>
                <w:szCs w:val="21"/>
              </w:rPr>
              <w:t>147895</w:t>
            </w:r>
          </w:p>
        </w:tc>
        <w:tc>
          <w:tcPr>
            <w:tcW w:w="1262" w:type="pct"/>
            <w:shd w:val="clear" w:color="auto" w:fill="auto"/>
            <w:noWrap/>
            <w:vAlign w:val="center"/>
          </w:tcPr>
          <w:p w14:paraId="37EC058D">
            <w:pPr>
              <w:pStyle w:val="23"/>
              <w:jc w:val="center"/>
              <w:rPr>
                <w:rFonts w:ascii="宋体" w:hAnsi="宋体"/>
                <w:kern w:val="0"/>
                <w:szCs w:val="21"/>
              </w:rPr>
            </w:pPr>
            <w:r>
              <w:rPr>
                <w:rFonts w:ascii="宋体" w:hAnsi="宋体"/>
                <w:kern w:val="0"/>
                <w:szCs w:val="21"/>
              </w:rPr>
              <w:t>27.0</w:t>
            </w:r>
          </w:p>
        </w:tc>
      </w:tr>
    </w:tbl>
    <w:p w14:paraId="1DB75E7E">
      <w:pPr>
        <w:ind w:firstLine="420"/>
        <w:rPr>
          <w:rFonts w:ascii="宋体" w:hAnsi="宋体"/>
          <w:szCs w:val="21"/>
        </w:rPr>
      </w:pPr>
      <w:r>
        <w:rPr>
          <w:rFonts w:hint="eastAsia" w:ascii="宋体" w:hAnsi="宋体"/>
          <w:szCs w:val="21"/>
        </w:rPr>
        <w:t>财政工作取得新成绩。围绕全市发展大局，灵活运用财政杠杆，有力地促进了地方经济社会发展。切实加强财税征管、财税协调工作，积极拓展税源，强化支出管理，落实惠民政策。严格收支两条线管理办法，规范非税收入征缴；严格执行财政预算，不断增强财政在稳增长、促转型、惠民生中的作用，有效提高资金运作，支出结构进一步优化。全年地税税收收入2.99亿元，同比增长1.0%；国税收入1.30亿元，同比增长18.4%。全年财政总收入达13.22亿元，同比增长35.7%；其中地方财政一般预算收入3.40亿元，同比增长20.2%；财政累计支出12.61亿元，财政收支基本平衡，略有结余。</w:t>
      </w:r>
    </w:p>
    <w:p w14:paraId="723B0A4D">
      <w:pPr>
        <w:ind w:firstLine="422"/>
        <w:jc w:val="center"/>
        <w:rPr>
          <w:rFonts w:ascii="宋体" w:hAnsi="宋体"/>
          <w:b/>
          <w:szCs w:val="21"/>
        </w:rPr>
      </w:pPr>
      <w:r>
        <w:rPr>
          <w:rFonts w:hint="eastAsia" w:ascii="宋体" w:hAnsi="宋体"/>
          <w:b/>
          <w:szCs w:val="21"/>
        </w:rPr>
        <w:t>表39 2011年财政支出项目表</w:t>
      </w:r>
    </w:p>
    <w:p w14:paraId="27B2C3FA">
      <w:pPr>
        <w:ind w:firstLine="420"/>
        <w:jc w:val="right"/>
        <w:rPr>
          <w:rFonts w:ascii="宋体" w:hAnsi="宋体"/>
          <w:szCs w:val="21"/>
        </w:rPr>
      </w:pPr>
      <w:r>
        <w:rPr>
          <w:rFonts w:hint="eastAsia" w:ascii="宋体" w:hAnsi="宋体"/>
          <w:szCs w:val="21"/>
        </w:rPr>
        <w:t>单位：万元</w:t>
      </w:r>
    </w:p>
    <w:tbl>
      <w:tblPr>
        <w:tblStyle w:val="14"/>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654"/>
        <w:gridCol w:w="2654"/>
        <w:gridCol w:w="2654"/>
      </w:tblGrid>
      <w:tr w14:paraId="272C3FA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336" w:type="pct"/>
            <w:shd w:val="clear" w:color="auto" w:fill="auto"/>
            <w:noWrap/>
            <w:vAlign w:val="center"/>
          </w:tcPr>
          <w:p w14:paraId="54156F3E">
            <w:pPr>
              <w:pStyle w:val="23"/>
              <w:jc w:val="center"/>
              <w:rPr>
                <w:rFonts w:ascii="宋体" w:hAnsi="宋体"/>
                <w:b/>
                <w:kern w:val="0"/>
              </w:rPr>
            </w:pPr>
            <w:r>
              <w:rPr>
                <w:rFonts w:ascii="宋体" w:hAnsi="宋体"/>
                <w:b/>
                <w:kern w:val="0"/>
              </w:rPr>
              <w:t>支出项目</w:t>
            </w:r>
          </w:p>
        </w:tc>
        <w:tc>
          <w:tcPr>
            <w:tcW w:w="1332" w:type="pct"/>
            <w:shd w:val="clear" w:color="auto" w:fill="auto"/>
            <w:noWrap/>
            <w:vAlign w:val="center"/>
          </w:tcPr>
          <w:p w14:paraId="4BD877AC">
            <w:pPr>
              <w:pStyle w:val="23"/>
              <w:jc w:val="center"/>
              <w:rPr>
                <w:rFonts w:ascii="宋体" w:hAnsi="宋体"/>
                <w:b/>
                <w:kern w:val="0"/>
              </w:rPr>
            </w:pPr>
            <w:r>
              <w:rPr>
                <w:rFonts w:ascii="宋体" w:hAnsi="宋体"/>
                <w:b/>
                <w:kern w:val="0"/>
              </w:rPr>
              <w:t>支出金额</w:t>
            </w:r>
          </w:p>
        </w:tc>
        <w:tc>
          <w:tcPr>
            <w:tcW w:w="1332" w:type="pct"/>
            <w:shd w:val="clear" w:color="auto" w:fill="auto"/>
            <w:noWrap/>
            <w:vAlign w:val="center"/>
          </w:tcPr>
          <w:p w14:paraId="5BC27B2A">
            <w:pPr>
              <w:pStyle w:val="23"/>
              <w:jc w:val="center"/>
              <w:rPr>
                <w:rFonts w:ascii="宋体" w:hAnsi="宋体"/>
                <w:b/>
                <w:kern w:val="0"/>
              </w:rPr>
            </w:pPr>
            <w:r>
              <w:rPr>
                <w:rFonts w:ascii="宋体" w:hAnsi="宋体"/>
                <w:b/>
                <w:kern w:val="0"/>
              </w:rPr>
              <w:t>比上年增长+-%</w:t>
            </w:r>
          </w:p>
        </w:tc>
      </w:tr>
      <w:tr w14:paraId="2491457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336" w:type="pct"/>
            <w:shd w:val="clear" w:color="auto" w:fill="auto"/>
            <w:noWrap/>
            <w:vAlign w:val="center"/>
          </w:tcPr>
          <w:p w14:paraId="6B4E55CA">
            <w:pPr>
              <w:pStyle w:val="23"/>
              <w:ind w:firstLine="420" w:firstLineChars="200"/>
              <w:rPr>
                <w:rFonts w:ascii="宋体" w:hAnsi="宋体"/>
                <w:kern w:val="0"/>
              </w:rPr>
            </w:pPr>
            <w:r>
              <w:rPr>
                <w:rFonts w:ascii="宋体" w:hAnsi="宋体"/>
                <w:kern w:val="0"/>
              </w:rPr>
              <w:t>一般预算支出合计</w:t>
            </w:r>
          </w:p>
        </w:tc>
        <w:tc>
          <w:tcPr>
            <w:tcW w:w="1332" w:type="pct"/>
            <w:shd w:val="clear" w:color="auto" w:fill="auto"/>
            <w:noWrap/>
            <w:vAlign w:val="center"/>
          </w:tcPr>
          <w:p w14:paraId="25583A5D">
            <w:pPr>
              <w:pStyle w:val="23"/>
              <w:jc w:val="center"/>
              <w:rPr>
                <w:rFonts w:ascii="宋体" w:hAnsi="宋体"/>
                <w:kern w:val="0"/>
              </w:rPr>
            </w:pPr>
            <w:r>
              <w:rPr>
                <w:rFonts w:ascii="宋体" w:hAnsi="宋体"/>
                <w:kern w:val="0"/>
              </w:rPr>
              <w:t>126058</w:t>
            </w:r>
          </w:p>
        </w:tc>
        <w:tc>
          <w:tcPr>
            <w:tcW w:w="1332" w:type="pct"/>
            <w:shd w:val="clear" w:color="auto" w:fill="auto"/>
            <w:noWrap/>
            <w:vAlign w:val="center"/>
          </w:tcPr>
          <w:p w14:paraId="4B579CBC">
            <w:pPr>
              <w:pStyle w:val="23"/>
              <w:jc w:val="center"/>
              <w:rPr>
                <w:rFonts w:ascii="宋体" w:hAnsi="宋体"/>
                <w:kern w:val="0"/>
              </w:rPr>
            </w:pPr>
            <w:r>
              <w:rPr>
                <w:rFonts w:ascii="宋体" w:hAnsi="宋体"/>
                <w:kern w:val="0"/>
              </w:rPr>
              <w:t>40.1</w:t>
            </w:r>
          </w:p>
        </w:tc>
      </w:tr>
      <w:tr w14:paraId="2709359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336" w:type="pct"/>
            <w:shd w:val="clear" w:color="auto" w:fill="auto"/>
            <w:noWrap/>
            <w:vAlign w:val="center"/>
          </w:tcPr>
          <w:p w14:paraId="28340DF6">
            <w:pPr>
              <w:pStyle w:val="23"/>
              <w:ind w:firstLine="420" w:firstLineChars="200"/>
              <w:rPr>
                <w:rFonts w:ascii="宋体" w:hAnsi="宋体"/>
                <w:kern w:val="0"/>
              </w:rPr>
            </w:pPr>
            <w:r>
              <w:rPr>
                <w:rFonts w:ascii="宋体" w:hAnsi="宋体"/>
                <w:kern w:val="0"/>
              </w:rPr>
              <w:t>其中:一般公共服务</w:t>
            </w:r>
          </w:p>
        </w:tc>
        <w:tc>
          <w:tcPr>
            <w:tcW w:w="1332" w:type="pct"/>
            <w:shd w:val="clear" w:color="auto" w:fill="auto"/>
            <w:noWrap/>
            <w:vAlign w:val="center"/>
          </w:tcPr>
          <w:p w14:paraId="486E2A2A">
            <w:pPr>
              <w:pStyle w:val="23"/>
              <w:jc w:val="center"/>
              <w:rPr>
                <w:rFonts w:ascii="宋体" w:hAnsi="宋体"/>
                <w:kern w:val="0"/>
              </w:rPr>
            </w:pPr>
            <w:r>
              <w:rPr>
                <w:rFonts w:ascii="宋体" w:hAnsi="宋体"/>
                <w:kern w:val="0"/>
              </w:rPr>
              <w:t>19954</w:t>
            </w:r>
          </w:p>
        </w:tc>
        <w:tc>
          <w:tcPr>
            <w:tcW w:w="1332" w:type="pct"/>
            <w:shd w:val="clear" w:color="auto" w:fill="auto"/>
            <w:noWrap/>
            <w:vAlign w:val="center"/>
          </w:tcPr>
          <w:p w14:paraId="5A636A99">
            <w:pPr>
              <w:pStyle w:val="23"/>
              <w:jc w:val="center"/>
              <w:rPr>
                <w:rFonts w:ascii="宋体" w:hAnsi="宋体"/>
                <w:kern w:val="0"/>
              </w:rPr>
            </w:pPr>
            <w:r>
              <w:rPr>
                <w:rFonts w:ascii="宋体" w:hAnsi="宋体"/>
                <w:kern w:val="0"/>
              </w:rPr>
              <w:t>32.7</w:t>
            </w:r>
          </w:p>
        </w:tc>
      </w:tr>
      <w:tr w14:paraId="12A6F75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336" w:type="pct"/>
            <w:shd w:val="clear" w:color="auto" w:fill="auto"/>
            <w:noWrap/>
            <w:vAlign w:val="center"/>
          </w:tcPr>
          <w:p w14:paraId="29FB7EBD">
            <w:pPr>
              <w:pStyle w:val="23"/>
              <w:ind w:firstLine="420" w:firstLineChars="200"/>
              <w:rPr>
                <w:rFonts w:ascii="宋体" w:hAnsi="宋体"/>
                <w:kern w:val="0"/>
              </w:rPr>
            </w:pPr>
            <w:r>
              <w:rPr>
                <w:rFonts w:ascii="宋体" w:hAnsi="宋体"/>
                <w:kern w:val="0"/>
              </w:rPr>
              <w:t>教育</w:t>
            </w:r>
          </w:p>
        </w:tc>
        <w:tc>
          <w:tcPr>
            <w:tcW w:w="1332" w:type="pct"/>
            <w:shd w:val="clear" w:color="auto" w:fill="auto"/>
            <w:noWrap/>
            <w:vAlign w:val="center"/>
          </w:tcPr>
          <w:p w14:paraId="29E2D791">
            <w:pPr>
              <w:pStyle w:val="23"/>
              <w:jc w:val="center"/>
              <w:rPr>
                <w:rFonts w:ascii="宋体" w:hAnsi="宋体"/>
                <w:kern w:val="0"/>
              </w:rPr>
            </w:pPr>
            <w:r>
              <w:rPr>
                <w:rFonts w:ascii="宋体" w:hAnsi="宋体"/>
                <w:kern w:val="0"/>
              </w:rPr>
              <w:t>26389</w:t>
            </w:r>
          </w:p>
        </w:tc>
        <w:tc>
          <w:tcPr>
            <w:tcW w:w="1332" w:type="pct"/>
            <w:shd w:val="clear" w:color="auto" w:fill="auto"/>
            <w:noWrap/>
            <w:vAlign w:val="center"/>
          </w:tcPr>
          <w:p w14:paraId="341C3B49">
            <w:pPr>
              <w:pStyle w:val="23"/>
              <w:jc w:val="center"/>
              <w:rPr>
                <w:rFonts w:ascii="宋体" w:hAnsi="宋体"/>
                <w:kern w:val="0"/>
              </w:rPr>
            </w:pPr>
            <w:r>
              <w:rPr>
                <w:rFonts w:ascii="宋体" w:hAnsi="宋体"/>
                <w:kern w:val="0"/>
              </w:rPr>
              <w:t>28.5</w:t>
            </w:r>
          </w:p>
        </w:tc>
      </w:tr>
      <w:tr w14:paraId="6A70BD5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336" w:type="pct"/>
            <w:shd w:val="clear" w:color="auto" w:fill="auto"/>
            <w:noWrap/>
            <w:vAlign w:val="center"/>
          </w:tcPr>
          <w:p w14:paraId="4410CE57">
            <w:pPr>
              <w:pStyle w:val="23"/>
              <w:ind w:firstLine="420" w:firstLineChars="200"/>
              <w:rPr>
                <w:rFonts w:ascii="宋体" w:hAnsi="宋体"/>
                <w:kern w:val="0"/>
              </w:rPr>
            </w:pPr>
            <w:r>
              <w:rPr>
                <w:rFonts w:ascii="宋体" w:hAnsi="宋体"/>
                <w:kern w:val="0"/>
              </w:rPr>
              <w:t>文化体育与传媒</w:t>
            </w:r>
          </w:p>
        </w:tc>
        <w:tc>
          <w:tcPr>
            <w:tcW w:w="1332" w:type="pct"/>
            <w:shd w:val="clear" w:color="auto" w:fill="auto"/>
            <w:noWrap/>
            <w:vAlign w:val="center"/>
          </w:tcPr>
          <w:p w14:paraId="5CC23B0B">
            <w:pPr>
              <w:pStyle w:val="23"/>
              <w:jc w:val="center"/>
              <w:rPr>
                <w:rFonts w:ascii="宋体" w:hAnsi="宋体"/>
                <w:kern w:val="0"/>
              </w:rPr>
            </w:pPr>
            <w:r>
              <w:rPr>
                <w:rFonts w:ascii="宋体" w:hAnsi="宋体"/>
                <w:kern w:val="0"/>
              </w:rPr>
              <w:t>1480</w:t>
            </w:r>
          </w:p>
        </w:tc>
        <w:tc>
          <w:tcPr>
            <w:tcW w:w="1332" w:type="pct"/>
            <w:shd w:val="clear" w:color="auto" w:fill="auto"/>
            <w:noWrap/>
            <w:vAlign w:val="center"/>
          </w:tcPr>
          <w:p w14:paraId="077F9C07">
            <w:pPr>
              <w:pStyle w:val="23"/>
              <w:jc w:val="center"/>
              <w:rPr>
                <w:rFonts w:ascii="宋体" w:hAnsi="宋体"/>
                <w:kern w:val="0"/>
              </w:rPr>
            </w:pPr>
            <w:r>
              <w:rPr>
                <w:rFonts w:ascii="宋体" w:hAnsi="宋体"/>
                <w:kern w:val="0"/>
              </w:rPr>
              <w:t>40.2</w:t>
            </w:r>
          </w:p>
        </w:tc>
      </w:tr>
      <w:tr w14:paraId="250053B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336" w:type="pct"/>
            <w:shd w:val="clear" w:color="auto" w:fill="auto"/>
            <w:noWrap/>
            <w:vAlign w:val="center"/>
          </w:tcPr>
          <w:p w14:paraId="7D185EDE">
            <w:pPr>
              <w:pStyle w:val="23"/>
              <w:ind w:firstLine="420" w:firstLineChars="200"/>
              <w:rPr>
                <w:rFonts w:ascii="宋体" w:hAnsi="宋体"/>
                <w:kern w:val="0"/>
              </w:rPr>
            </w:pPr>
            <w:r>
              <w:rPr>
                <w:rFonts w:ascii="宋体" w:hAnsi="宋体"/>
                <w:kern w:val="0"/>
              </w:rPr>
              <w:t>医疗卫生</w:t>
            </w:r>
          </w:p>
        </w:tc>
        <w:tc>
          <w:tcPr>
            <w:tcW w:w="1332" w:type="pct"/>
            <w:shd w:val="clear" w:color="auto" w:fill="auto"/>
            <w:noWrap/>
            <w:vAlign w:val="center"/>
          </w:tcPr>
          <w:p w14:paraId="7B0D92EC">
            <w:pPr>
              <w:pStyle w:val="23"/>
              <w:jc w:val="center"/>
              <w:rPr>
                <w:rFonts w:ascii="宋体" w:hAnsi="宋体"/>
                <w:kern w:val="0"/>
              </w:rPr>
            </w:pPr>
            <w:r>
              <w:rPr>
                <w:rFonts w:ascii="宋体" w:hAnsi="宋体"/>
                <w:kern w:val="0"/>
              </w:rPr>
              <w:t>14759</w:t>
            </w:r>
          </w:p>
        </w:tc>
        <w:tc>
          <w:tcPr>
            <w:tcW w:w="1332" w:type="pct"/>
            <w:shd w:val="clear" w:color="auto" w:fill="auto"/>
            <w:noWrap/>
            <w:vAlign w:val="center"/>
          </w:tcPr>
          <w:p w14:paraId="4A1DD0FE">
            <w:pPr>
              <w:pStyle w:val="23"/>
              <w:jc w:val="center"/>
              <w:rPr>
                <w:rFonts w:ascii="宋体" w:hAnsi="宋体"/>
                <w:kern w:val="0"/>
              </w:rPr>
            </w:pPr>
            <w:r>
              <w:rPr>
                <w:rFonts w:ascii="宋体" w:hAnsi="宋体"/>
                <w:kern w:val="0"/>
              </w:rPr>
              <w:t>36.3</w:t>
            </w:r>
          </w:p>
        </w:tc>
      </w:tr>
      <w:tr w14:paraId="6D1D71E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336" w:type="pct"/>
            <w:shd w:val="clear" w:color="auto" w:fill="auto"/>
            <w:noWrap/>
            <w:vAlign w:val="center"/>
          </w:tcPr>
          <w:p w14:paraId="121318D1">
            <w:pPr>
              <w:pStyle w:val="23"/>
              <w:ind w:firstLine="420" w:firstLineChars="200"/>
              <w:rPr>
                <w:rFonts w:ascii="宋体" w:hAnsi="宋体"/>
                <w:kern w:val="0"/>
              </w:rPr>
            </w:pPr>
            <w:r>
              <w:rPr>
                <w:rFonts w:ascii="宋体" w:hAnsi="宋体"/>
                <w:kern w:val="0"/>
              </w:rPr>
              <w:t>节能环保</w:t>
            </w:r>
          </w:p>
        </w:tc>
        <w:tc>
          <w:tcPr>
            <w:tcW w:w="1332" w:type="pct"/>
            <w:shd w:val="clear" w:color="auto" w:fill="auto"/>
            <w:noWrap/>
            <w:vAlign w:val="center"/>
          </w:tcPr>
          <w:p w14:paraId="3792AEF9">
            <w:pPr>
              <w:pStyle w:val="23"/>
              <w:jc w:val="center"/>
              <w:rPr>
                <w:rFonts w:ascii="宋体" w:hAnsi="宋体"/>
                <w:kern w:val="0"/>
              </w:rPr>
            </w:pPr>
            <w:r>
              <w:rPr>
                <w:rFonts w:ascii="宋体" w:hAnsi="宋体"/>
                <w:kern w:val="0"/>
              </w:rPr>
              <w:t>4323</w:t>
            </w:r>
          </w:p>
        </w:tc>
        <w:tc>
          <w:tcPr>
            <w:tcW w:w="1332" w:type="pct"/>
            <w:shd w:val="clear" w:color="auto" w:fill="auto"/>
            <w:noWrap/>
            <w:vAlign w:val="center"/>
          </w:tcPr>
          <w:p w14:paraId="166EC8CB">
            <w:pPr>
              <w:pStyle w:val="23"/>
              <w:jc w:val="center"/>
              <w:rPr>
                <w:rFonts w:ascii="宋体" w:hAnsi="宋体"/>
                <w:kern w:val="0"/>
              </w:rPr>
            </w:pPr>
            <w:r>
              <w:rPr>
                <w:rFonts w:ascii="宋体" w:hAnsi="宋体"/>
                <w:kern w:val="0"/>
              </w:rPr>
              <w:t>145.5</w:t>
            </w:r>
          </w:p>
        </w:tc>
      </w:tr>
      <w:tr w14:paraId="524F87E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336" w:type="pct"/>
            <w:shd w:val="clear" w:color="auto" w:fill="auto"/>
            <w:noWrap/>
            <w:vAlign w:val="center"/>
          </w:tcPr>
          <w:p w14:paraId="7CDEEBD7">
            <w:pPr>
              <w:pStyle w:val="23"/>
              <w:ind w:firstLine="420" w:firstLineChars="200"/>
              <w:rPr>
                <w:rFonts w:ascii="宋体" w:hAnsi="宋体"/>
                <w:kern w:val="0"/>
              </w:rPr>
            </w:pPr>
            <w:r>
              <w:rPr>
                <w:rFonts w:ascii="宋体" w:hAnsi="宋体"/>
                <w:kern w:val="0"/>
              </w:rPr>
              <w:t>农林水事务</w:t>
            </w:r>
          </w:p>
        </w:tc>
        <w:tc>
          <w:tcPr>
            <w:tcW w:w="1332" w:type="pct"/>
            <w:shd w:val="clear" w:color="auto" w:fill="auto"/>
            <w:noWrap/>
            <w:vAlign w:val="center"/>
          </w:tcPr>
          <w:p w14:paraId="3E7DC604">
            <w:pPr>
              <w:pStyle w:val="23"/>
              <w:jc w:val="center"/>
              <w:rPr>
                <w:rFonts w:ascii="宋体" w:hAnsi="宋体"/>
                <w:kern w:val="0"/>
              </w:rPr>
            </w:pPr>
            <w:r>
              <w:rPr>
                <w:rFonts w:ascii="宋体" w:hAnsi="宋体"/>
                <w:kern w:val="0"/>
              </w:rPr>
              <w:t>23172</w:t>
            </w:r>
          </w:p>
        </w:tc>
        <w:tc>
          <w:tcPr>
            <w:tcW w:w="1332" w:type="pct"/>
            <w:shd w:val="clear" w:color="auto" w:fill="auto"/>
            <w:noWrap/>
            <w:vAlign w:val="center"/>
          </w:tcPr>
          <w:p w14:paraId="01856F32">
            <w:pPr>
              <w:pStyle w:val="23"/>
              <w:jc w:val="center"/>
              <w:rPr>
                <w:rFonts w:ascii="宋体" w:hAnsi="宋体"/>
                <w:kern w:val="0"/>
              </w:rPr>
            </w:pPr>
            <w:r>
              <w:rPr>
                <w:rFonts w:ascii="宋体" w:hAnsi="宋体"/>
                <w:kern w:val="0"/>
              </w:rPr>
              <w:t>47.6</w:t>
            </w:r>
          </w:p>
        </w:tc>
      </w:tr>
      <w:tr w14:paraId="79BFD6E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336" w:type="pct"/>
            <w:shd w:val="clear" w:color="auto" w:fill="auto"/>
            <w:noWrap/>
            <w:vAlign w:val="center"/>
          </w:tcPr>
          <w:p w14:paraId="3F668777">
            <w:pPr>
              <w:pStyle w:val="23"/>
              <w:ind w:firstLine="420" w:firstLineChars="200"/>
              <w:rPr>
                <w:rFonts w:ascii="宋体" w:hAnsi="宋体"/>
                <w:kern w:val="0"/>
              </w:rPr>
            </w:pPr>
            <w:r>
              <w:rPr>
                <w:rFonts w:ascii="宋体" w:hAnsi="宋体"/>
                <w:kern w:val="0"/>
              </w:rPr>
              <w:t>交通运输</w:t>
            </w:r>
          </w:p>
        </w:tc>
        <w:tc>
          <w:tcPr>
            <w:tcW w:w="1332" w:type="pct"/>
            <w:shd w:val="clear" w:color="auto" w:fill="auto"/>
            <w:noWrap/>
            <w:vAlign w:val="center"/>
          </w:tcPr>
          <w:p w14:paraId="5A923DF1">
            <w:pPr>
              <w:pStyle w:val="23"/>
              <w:jc w:val="center"/>
              <w:rPr>
                <w:rFonts w:ascii="宋体" w:hAnsi="宋体"/>
                <w:kern w:val="0"/>
              </w:rPr>
            </w:pPr>
            <w:r>
              <w:rPr>
                <w:rFonts w:ascii="宋体" w:hAnsi="宋体"/>
                <w:kern w:val="0"/>
              </w:rPr>
              <w:t>1475</w:t>
            </w:r>
          </w:p>
        </w:tc>
        <w:tc>
          <w:tcPr>
            <w:tcW w:w="1332" w:type="pct"/>
            <w:shd w:val="clear" w:color="auto" w:fill="auto"/>
            <w:noWrap/>
            <w:vAlign w:val="center"/>
          </w:tcPr>
          <w:p w14:paraId="011513C5">
            <w:pPr>
              <w:pStyle w:val="23"/>
              <w:jc w:val="center"/>
              <w:rPr>
                <w:rFonts w:ascii="宋体" w:hAnsi="宋体"/>
                <w:kern w:val="0"/>
              </w:rPr>
            </w:pPr>
            <w:r>
              <w:rPr>
                <w:rFonts w:ascii="宋体" w:hAnsi="宋体"/>
                <w:kern w:val="0"/>
              </w:rPr>
              <w:t>43.1</w:t>
            </w:r>
          </w:p>
        </w:tc>
      </w:tr>
    </w:tbl>
    <w:p w14:paraId="00CA5EDF">
      <w:pPr>
        <w:ind w:firstLine="420"/>
        <w:rPr>
          <w:rFonts w:ascii="宋体" w:hAnsi="宋体"/>
          <w:szCs w:val="21"/>
        </w:rPr>
      </w:pPr>
      <w:r>
        <w:rPr>
          <w:rFonts w:hint="eastAsia" w:ascii="宋体" w:hAnsi="宋体"/>
          <w:szCs w:val="21"/>
        </w:rPr>
        <w:t>保险事业稳步发展，随着市场的开放和准入机制的逐步完善和成熟，我市保险事业稳步推进，中保、人寿、平安、新华、太平洋等保险公司业务日趋成熟。全年保费收入8257万元，同比增长6.8%，其中：财产险保费收入1574万元，人寿险保费收入6683万元。支付各项赔款给付2272万元，其中财产险赔付款878万元，下降23.0%；人身险赔付1394万元，增长59.0%。</w:t>
      </w:r>
    </w:p>
    <w:p w14:paraId="2248A773">
      <w:pPr>
        <w:ind w:firstLine="422"/>
        <w:rPr>
          <w:rFonts w:ascii="宋体" w:hAnsi="宋体"/>
          <w:b/>
          <w:szCs w:val="21"/>
        </w:rPr>
      </w:pPr>
      <w:r>
        <w:rPr>
          <w:rFonts w:hint="eastAsia" w:ascii="宋体" w:hAnsi="宋体"/>
          <w:b/>
          <w:szCs w:val="21"/>
        </w:rPr>
        <w:t>八、教育和科学技术</w:t>
      </w:r>
    </w:p>
    <w:p w14:paraId="1D4AAE03">
      <w:pPr>
        <w:ind w:firstLine="420"/>
        <w:rPr>
          <w:rFonts w:ascii="宋体" w:hAnsi="宋体"/>
          <w:szCs w:val="21"/>
        </w:rPr>
      </w:pPr>
      <w:r>
        <w:rPr>
          <w:rFonts w:hint="eastAsia" w:ascii="宋体" w:hAnsi="宋体"/>
          <w:szCs w:val="21"/>
        </w:rPr>
        <w:t>科技创新能力不断增强。2011年，我市围绕“国家可持续发展实验区”的标准和要求，进一步加大科技推广力度，科技成果的转化、知识产权管理和信息化建设取得新进步，科技队伍稳定，科学技术得到重视和应用，科技贡献率提高。全年举办科技交流会8次，交流会参加人数900人次；举办科普讲座8次，科普讲座参加人数1260人次；30篇科技论文获奖，22个科技项目攻关，全年专利申请86件。科技创新工作卓有成效，向省成功申报科技项目11个，获批“国家可持续发展实验区”。</w:t>
      </w:r>
    </w:p>
    <w:p w14:paraId="2494D8A0">
      <w:pPr>
        <w:ind w:firstLine="420"/>
        <w:rPr>
          <w:rFonts w:ascii="宋体" w:hAnsi="宋体"/>
          <w:szCs w:val="21"/>
        </w:rPr>
      </w:pPr>
      <w:r>
        <w:rPr>
          <w:rFonts w:hint="eastAsia" w:ascii="宋体" w:hAnsi="宋体"/>
          <w:szCs w:val="21"/>
        </w:rPr>
        <w:t>教育事业上新台阶。2011年，我市不断加大教育投入，加大优质教育工作力度，教育强市创建工作扎实推进，教育事业取得新进步。</w:t>
      </w:r>
    </w:p>
    <w:p w14:paraId="028857C2">
      <w:pPr>
        <w:ind w:firstLine="420"/>
        <w:rPr>
          <w:rFonts w:ascii="宋体" w:hAnsi="宋体"/>
          <w:szCs w:val="21"/>
        </w:rPr>
      </w:pPr>
      <w:r>
        <w:rPr>
          <w:rFonts w:hint="eastAsia" w:ascii="宋体" w:hAnsi="宋体"/>
          <w:szCs w:val="21"/>
        </w:rPr>
        <w:t>稳妥推进城乡学校布局调整，优化整合城乡教育资源配置，“普九”工作和素质教育进一步得到了巩固提高。全市基础教育学校数（含幼儿园）109所，其中小学45所，初中17所，高中3所，幼儿园44所。投资4193万元，完成了25所义务教育学校规范化建设、50个“校安工程”项目建设，南雄中学、市一中恢复初中办学，水口、澜河、帽子峰等镇顺利通过了广东省教育强镇督导评估验收。</w:t>
      </w:r>
    </w:p>
    <w:p w14:paraId="51CE7C4A">
      <w:pPr>
        <w:ind w:firstLine="420"/>
        <w:rPr>
          <w:rFonts w:ascii="宋体" w:hAnsi="宋体"/>
          <w:szCs w:val="21"/>
        </w:rPr>
      </w:pPr>
      <w:r>
        <w:rPr>
          <w:rFonts w:hint="eastAsia" w:ascii="宋体" w:hAnsi="宋体"/>
          <w:szCs w:val="21"/>
        </w:rPr>
        <w:t>教师队伍建设得到加强和充实，教育教学质量147543.1进步提高，教育事业取得喜人成绩。全市基础教育专任教师4487人，其中本科以上学历1506人，占专任教师人数比重为33.6%，专科学历人数为2139人，占专任教师人数比重为47.7%。全市适龄儿童入学率、初中入学率均达到100%。全市高中毕业考入大专院校2914人，其中：本科939人，专科1975人，分别比上年同期增长5.3%、2.3%和6.8%。</w:t>
      </w:r>
    </w:p>
    <w:p w14:paraId="19391B25">
      <w:pPr>
        <w:ind w:firstLine="422"/>
        <w:rPr>
          <w:rFonts w:ascii="宋体" w:hAnsi="宋体"/>
          <w:b/>
          <w:szCs w:val="21"/>
        </w:rPr>
      </w:pPr>
      <w:r>
        <w:rPr>
          <w:rFonts w:hint="eastAsia" w:ascii="宋体" w:hAnsi="宋体"/>
          <w:b/>
          <w:szCs w:val="21"/>
        </w:rPr>
        <w:t>九、文化、卫生和体育</w:t>
      </w:r>
    </w:p>
    <w:p w14:paraId="045173E3">
      <w:pPr>
        <w:ind w:firstLine="420"/>
        <w:rPr>
          <w:rFonts w:ascii="宋体" w:hAnsi="宋体"/>
          <w:szCs w:val="21"/>
        </w:rPr>
      </w:pPr>
      <w:r>
        <w:rPr>
          <w:rFonts w:hint="eastAsia" w:ascii="宋体" w:hAnsi="宋体"/>
          <w:szCs w:val="21"/>
        </w:rPr>
        <w:t>2011年，我市文化体育事业蓬勃发展。珠影文化广场、珠玑文化产业园等项目扎实推进。成功举办广东国际旅游文化节南雄分会场活动及梅岭梅花节暨首届旅游农土特产品博览会。认真组织实施数字电影进农村“2131”工程，积极开展送书下乡等文化惠民活动，城乡公共文化服务体系不断完善，人民群众文化生活不断丰富，精彩纷呈。</w:t>
      </w:r>
    </w:p>
    <w:p w14:paraId="7C490F3D">
      <w:pPr>
        <w:ind w:firstLine="420"/>
        <w:rPr>
          <w:rFonts w:ascii="宋体" w:hAnsi="宋体"/>
          <w:szCs w:val="21"/>
        </w:rPr>
      </w:pPr>
      <w:r>
        <w:rPr>
          <w:rFonts w:hint="eastAsia" w:ascii="宋体" w:hAnsi="宋体"/>
          <w:szCs w:val="21"/>
        </w:rPr>
        <w:t>文化事业进一步发展，新华书店转制顺利完成，实施了广电网络改革重组。城乡公共文化服务逐步完善，文化惠民活动不断深入。有一批群众文艺作品获得了省级奖励，“香火龙”列入国家非物质文化遗产名录公示，《龙船歌》通过省级第三批非物质文化遗产专家组论证。目前，我市已公布各级文物保护单位48处，其中全国重点文物保护单位1处，省级文物保护单位6处，市级文物保护单位41处，文物保护工作有序开展。市图书馆、博物馆、瑶坑省委机关旧址等爱国主义教育基地等文化服务场馆均实现免费开放。</w:t>
      </w:r>
    </w:p>
    <w:p w14:paraId="5B290892">
      <w:pPr>
        <w:ind w:firstLine="420"/>
        <w:rPr>
          <w:rFonts w:ascii="宋体" w:hAnsi="宋体"/>
          <w:szCs w:val="21"/>
        </w:rPr>
      </w:pPr>
      <w:r>
        <w:rPr>
          <w:rFonts w:hint="eastAsia" w:ascii="宋体" w:hAnsi="宋体"/>
          <w:szCs w:val="21"/>
        </w:rPr>
        <w:t>文化系列活动蓬勃开展。举办了庆祝建党90周年文艺晚会和“永远跟党走”书法图片展，大型交响声乐套曲《中国之路》在南雄巡演，让革命老区的土地激荡起红色热潮。市采茶剧团、金叶、夕阳红艺术团等演出团体积极开展送戏下乡活动，为全市人民献演了众多精彩节目。</w:t>
      </w:r>
    </w:p>
    <w:p w14:paraId="262EED44">
      <w:pPr>
        <w:ind w:firstLine="420"/>
        <w:rPr>
          <w:rFonts w:ascii="宋体" w:hAnsi="宋体"/>
          <w:szCs w:val="21"/>
        </w:rPr>
      </w:pPr>
      <w:r>
        <w:rPr>
          <w:rFonts w:hint="eastAsia" w:ascii="宋体" w:hAnsi="宋体"/>
          <w:szCs w:val="21"/>
        </w:rPr>
        <w:t>体育事业取得新进步。参加地级市以上运动会8次，获得奖牌54块，分别比上年增长20%和28.6%；全市各单位举办各类运动会51次，参加比赛人数达3.46万人。全民健身运动如火如荼，群众健身热情高涨。完成40个行政村“农民体育健身工程”建设。</w:t>
      </w:r>
    </w:p>
    <w:p w14:paraId="63239A0D">
      <w:pPr>
        <w:ind w:firstLine="420"/>
        <w:rPr>
          <w:rFonts w:ascii="宋体" w:hAnsi="宋体"/>
          <w:szCs w:val="21"/>
        </w:rPr>
      </w:pPr>
      <w:r>
        <w:rPr>
          <w:rFonts w:hint="eastAsia" w:ascii="宋体" w:hAnsi="宋体"/>
          <w:szCs w:val="21"/>
        </w:rPr>
        <w:t>积极参与了韶关市主办的“2011韶关好人”和“感动韶关十佳道德模范”评选活动。举办了“十大孝爱之星”评选活动。</w:t>
      </w:r>
    </w:p>
    <w:p w14:paraId="5D473C6E">
      <w:pPr>
        <w:ind w:firstLine="420"/>
        <w:rPr>
          <w:rFonts w:ascii="宋体" w:hAnsi="宋体"/>
          <w:szCs w:val="21"/>
        </w:rPr>
      </w:pPr>
      <w:r>
        <w:rPr>
          <w:rFonts w:hint="eastAsia" w:ascii="宋体" w:hAnsi="宋体"/>
          <w:szCs w:val="21"/>
        </w:rPr>
        <w:t>行政服务和政务环境不断优化。开展了系列“履行职责，加快发展年”大学习大讨论活动，并举办演讲比赛。电子政务建设和行政审批改革稳步推进，政府效能稳步提高，机关效能和服务水平明显提高。实施行政执法责任制和工作问责制，大力推进政府信息公开、政务公开和办事公开。</w:t>
      </w:r>
    </w:p>
    <w:p w14:paraId="57578204">
      <w:pPr>
        <w:ind w:firstLine="420"/>
        <w:rPr>
          <w:rFonts w:ascii="宋体" w:hAnsi="宋体"/>
          <w:szCs w:val="21"/>
        </w:rPr>
      </w:pPr>
      <w:r>
        <w:rPr>
          <w:rFonts w:hint="eastAsia" w:ascii="宋体" w:hAnsi="宋体"/>
          <w:szCs w:val="21"/>
        </w:rPr>
        <w:t>创建文化强市工作稳步推进。全市有线电视用户总数达5万户。积极推进数字电视工作。市图书馆藏书总量达8.19万册，同比上年增长2.5%。全市拥有名胜古迹和文物保护区26处。</w:t>
      </w:r>
    </w:p>
    <w:p w14:paraId="5CE98EED">
      <w:pPr>
        <w:ind w:firstLine="420"/>
        <w:rPr>
          <w:rFonts w:ascii="宋体" w:hAnsi="宋体"/>
          <w:szCs w:val="21"/>
        </w:rPr>
      </w:pPr>
      <w:r>
        <w:rPr>
          <w:rFonts w:hint="eastAsia" w:ascii="宋体" w:hAnsi="宋体"/>
          <w:szCs w:val="21"/>
        </w:rPr>
        <w:t>医疗卫生条件进一步改善，疾病预防和控制工作进一步加强，农村合作医疗工作稳步开展，公共卫生体系不断完善，公共卫生监督进一步加强，切加强了疾病的防控工作，突发公共卫生应急处理和疾病预防控制能力明显增强。稳妥推进了医药卫生体制改革，医疗卫生服务体系更加健全，医疗服务水平稳步提升。在全市范围内开展了食品药品安全整治工作，加强学校、幼儿园及周边食品安全检查，认真开展禁止使用硫磺熏制辣椒专项整治，确保了广大市民的食品安全。</w:t>
      </w:r>
    </w:p>
    <w:p w14:paraId="382EC5AB">
      <w:pPr>
        <w:ind w:firstLine="420"/>
        <w:rPr>
          <w:rFonts w:ascii="宋体" w:hAnsi="宋体"/>
          <w:szCs w:val="21"/>
        </w:rPr>
      </w:pPr>
      <w:r>
        <w:rPr>
          <w:rFonts w:hint="eastAsia" w:ascii="宋体" w:hAnsi="宋体"/>
          <w:szCs w:val="21"/>
        </w:rPr>
        <w:t>表402011年指标女性卫生事业全面发展。城乡医疗卫生体系日趋完善，卫生基础设施建设步伐加快，医疗卫生基层综改工作顺利完成并通过省的验收。全市拥有卫生机构28个，其中医院21间，医院病床位1100张，同比增长16.4%。医生、卫生院技术人员994人，同比上年增长8.0%，其中：医生人数365人、增长24.6%；主治医师以上人数174人，增长6.7%。医院、卫生院诊疗人数63.7万人次，婴儿死亡率0.59%，5岁以下儿童死亡率091%，产妇住院分娩比例继续保持100%。参加农村合作医疗人口覆盖率达100%，新型农村合作医疗补助7124万元。</w:t>
      </w:r>
    </w:p>
    <w:p w14:paraId="4F8BA2FF">
      <w:pPr>
        <w:ind w:firstLine="422"/>
        <w:rPr>
          <w:rFonts w:ascii="宋体" w:hAnsi="宋体"/>
          <w:b/>
          <w:szCs w:val="21"/>
        </w:rPr>
      </w:pPr>
      <w:r>
        <w:rPr>
          <w:rFonts w:hint="eastAsia" w:ascii="宋体" w:hAnsi="宋体"/>
          <w:b/>
          <w:szCs w:val="21"/>
        </w:rPr>
        <w:t>十、人口、人民生活和社会保障</w:t>
      </w:r>
    </w:p>
    <w:p w14:paraId="63B3435B">
      <w:pPr>
        <w:ind w:firstLine="420"/>
        <w:rPr>
          <w:rFonts w:ascii="宋体" w:hAnsi="宋体"/>
          <w:szCs w:val="21"/>
        </w:rPr>
      </w:pPr>
      <w:r>
        <w:rPr>
          <w:rFonts w:hint="eastAsia" w:ascii="宋体" w:hAnsi="宋体"/>
          <w:szCs w:val="21"/>
        </w:rPr>
        <w:t>人口持续低速增长。据公安部门统计，全市年末户籍人口47.35万人，其中：农业人口38.77万人，占总人口的81.8%；非农人口8.58万人，占总人口的18.2%；年末总户数13.51万户。全市常住人口32.06万人（省下管一级数据）。</w:t>
      </w:r>
    </w:p>
    <w:p w14:paraId="35583B81">
      <w:pPr>
        <w:ind w:firstLine="422"/>
        <w:jc w:val="center"/>
        <w:rPr>
          <w:rFonts w:ascii="宋体" w:hAnsi="宋体"/>
          <w:b/>
          <w:szCs w:val="21"/>
        </w:rPr>
      </w:pPr>
      <w:r>
        <w:rPr>
          <w:rFonts w:hint="eastAsia" w:ascii="宋体" w:hAnsi="宋体"/>
          <w:b/>
          <w:szCs w:val="21"/>
        </w:rPr>
        <w:t>表40 2011年人口数及其构成</w:t>
      </w:r>
    </w:p>
    <w:p w14:paraId="1ED6A448">
      <w:pPr>
        <w:ind w:firstLine="422"/>
        <w:jc w:val="right"/>
        <w:rPr>
          <w:rFonts w:ascii="宋体" w:hAnsi="宋体"/>
          <w:b/>
          <w:szCs w:val="21"/>
        </w:rPr>
      </w:pPr>
      <w:r>
        <w:rPr>
          <w:rFonts w:hint="eastAsia" w:ascii="宋体" w:hAnsi="宋体"/>
          <w:b/>
          <w:szCs w:val="21"/>
        </w:rPr>
        <w:t>单位：万人</w:t>
      </w:r>
    </w:p>
    <w:tbl>
      <w:tblPr>
        <w:tblStyle w:val="14"/>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474"/>
        <w:gridCol w:w="3244"/>
        <w:gridCol w:w="3244"/>
      </w:tblGrid>
      <w:tr w14:paraId="0D92909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744" w:type="pct"/>
            <w:shd w:val="clear" w:color="auto" w:fill="auto"/>
            <w:noWrap/>
            <w:vAlign w:val="center"/>
          </w:tcPr>
          <w:p w14:paraId="778506E1">
            <w:pPr>
              <w:pStyle w:val="23"/>
              <w:jc w:val="center"/>
              <w:rPr>
                <w:rFonts w:ascii="宋体" w:hAnsi="宋体"/>
                <w:b/>
                <w:kern w:val="0"/>
              </w:rPr>
            </w:pPr>
            <w:r>
              <w:rPr>
                <w:rFonts w:ascii="宋体" w:hAnsi="宋体"/>
                <w:b/>
                <w:kern w:val="0"/>
              </w:rPr>
              <w:t>指标</w:t>
            </w:r>
          </w:p>
        </w:tc>
        <w:tc>
          <w:tcPr>
            <w:tcW w:w="1628" w:type="pct"/>
            <w:shd w:val="clear" w:color="auto" w:fill="auto"/>
            <w:noWrap/>
            <w:vAlign w:val="center"/>
          </w:tcPr>
          <w:p w14:paraId="00A1BA1A">
            <w:pPr>
              <w:pStyle w:val="23"/>
              <w:jc w:val="center"/>
              <w:rPr>
                <w:rFonts w:ascii="宋体" w:hAnsi="宋体"/>
                <w:b/>
                <w:kern w:val="0"/>
              </w:rPr>
            </w:pPr>
            <w:r>
              <w:rPr>
                <w:rFonts w:ascii="宋体" w:hAnsi="宋体"/>
                <w:b/>
                <w:kern w:val="0"/>
              </w:rPr>
              <w:t>年末数</w:t>
            </w:r>
          </w:p>
        </w:tc>
        <w:tc>
          <w:tcPr>
            <w:tcW w:w="1628" w:type="pct"/>
            <w:shd w:val="clear" w:color="auto" w:fill="auto"/>
            <w:noWrap/>
            <w:vAlign w:val="center"/>
          </w:tcPr>
          <w:p w14:paraId="5D6C716D">
            <w:pPr>
              <w:pStyle w:val="23"/>
              <w:jc w:val="center"/>
              <w:rPr>
                <w:rFonts w:ascii="宋体" w:hAnsi="宋体"/>
                <w:b/>
                <w:kern w:val="0"/>
              </w:rPr>
            </w:pPr>
            <w:r>
              <w:rPr>
                <w:rFonts w:ascii="宋体" w:hAnsi="宋体"/>
                <w:b/>
                <w:kern w:val="0"/>
              </w:rPr>
              <w:t>比重(%)</w:t>
            </w:r>
          </w:p>
        </w:tc>
      </w:tr>
      <w:tr w14:paraId="40A808F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744" w:type="pct"/>
            <w:shd w:val="clear" w:color="auto" w:fill="auto"/>
            <w:noWrap/>
            <w:vAlign w:val="center"/>
          </w:tcPr>
          <w:p w14:paraId="125B8138">
            <w:pPr>
              <w:pStyle w:val="23"/>
              <w:ind w:firstLine="420" w:firstLineChars="200"/>
              <w:rPr>
                <w:rFonts w:ascii="宋体" w:hAnsi="宋体"/>
                <w:kern w:val="0"/>
              </w:rPr>
            </w:pPr>
            <w:r>
              <w:rPr>
                <w:rFonts w:ascii="宋体" w:hAnsi="宋体"/>
                <w:kern w:val="0"/>
              </w:rPr>
              <w:t>全市总人口</w:t>
            </w:r>
          </w:p>
        </w:tc>
        <w:tc>
          <w:tcPr>
            <w:tcW w:w="1628" w:type="pct"/>
            <w:shd w:val="clear" w:color="auto" w:fill="auto"/>
            <w:noWrap/>
            <w:vAlign w:val="center"/>
          </w:tcPr>
          <w:p w14:paraId="4249D65C">
            <w:pPr>
              <w:pStyle w:val="23"/>
              <w:jc w:val="center"/>
              <w:rPr>
                <w:rFonts w:ascii="宋体" w:hAnsi="宋体"/>
                <w:kern w:val="0"/>
              </w:rPr>
            </w:pPr>
            <w:r>
              <w:rPr>
                <w:rFonts w:ascii="宋体" w:hAnsi="宋体"/>
                <w:kern w:val="0"/>
              </w:rPr>
              <w:t>47.35</w:t>
            </w:r>
          </w:p>
        </w:tc>
        <w:tc>
          <w:tcPr>
            <w:tcW w:w="1628" w:type="pct"/>
            <w:shd w:val="clear" w:color="auto" w:fill="auto"/>
            <w:noWrap/>
            <w:vAlign w:val="center"/>
          </w:tcPr>
          <w:p w14:paraId="173500B1">
            <w:pPr>
              <w:pStyle w:val="23"/>
              <w:jc w:val="center"/>
              <w:rPr>
                <w:rFonts w:ascii="宋体" w:hAnsi="宋体"/>
                <w:kern w:val="0"/>
              </w:rPr>
            </w:pPr>
            <w:r>
              <w:rPr>
                <w:rFonts w:ascii="宋体" w:hAnsi="宋体"/>
                <w:kern w:val="0"/>
              </w:rPr>
              <w:t>100.0</w:t>
            </w:r>
          </w:p>
        </w:tc>
      </w:tr>
      <w:tr w14:paraId="0D76A8A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744" w:type="pct"/>
            <w:shd w:val="clear" w:color="auto" w:fill="auto"/>
            <w:noWrap/>
            <w:vAlign w:val="center"/>
          </w:tcPr>
          <w:p w14:paraId="248E7F55">
            <w:pPr>
              <w:pStyle w:val="23"/>
              <w:ind w:firstLine="420" w:firstLineChars="200"/>
              <w:rPr>
                <w:rFonts w:ascii="宋体" w:hAnsi="宋体"/>
                <w:kern w:val="0"/>
              </w:rPr>
            </w:pPr>
            <w:r>
              <w:rPr>
                <w:rFonts w:ascii="宋体" w:hAnsi="宋体"/>
                <w:kern w:val="0"/>
              </w:rPr>
              <w:t>其中:城镇</w:t>
            </w:r>
          </w:p>
        </w:tc>
        <w:tc>
          <w:tcPr>
            <w:tcW w:w="1628" w:type="pct"/>
            <w:shd w:val="clear" w:color="auto" w:fill="auto"/>
            <w:noWrap/>
            <w:vAlign w:val="center"/>
          </w:tcPr>
          <w:p w14:paraId="0BAA6DDA">
            <w:pPr>
              <w:pStyle w:val="23"/>
              <w:jc w:val="center"/>
              <w:rPr>
                <w:rFonts w:ascii="宋体" w:hAnsi="宋体"/>
                <w:kern w:val="0"/>
              </w:rPr>
            </w:pPr>
            <w:r>
              <w:rPr>
                <w:rFonts w:ascii="宋体" w:hAnsi="宋体"/>
                <w:kern w:val="0"/>
              </w:rPr>
              <w:t>8.58</w:t>
            </w:r>
          </w:p>
        </w:tc>
        <w:tc>
          <w:tcPr>
            <w:tcW w:w="1628" w:type="pct"/>
            <w:shd w:val="clear" w:color="auto" w:fill="auto"/>
            <w:noWrap/>
            <w:vAlign w:val="center"/>
          </w:tcPr>
          <w:p w14:paraId="6ECC639D">
            <w:pPr>
              <w:pStyle w:val="23"/>
              <w:jc w:val="center"/>
              <w:rPr>
                <w:rFonts w:ascii="宋体" w:hAnsi="宋体"/>
                <w:kern w:val="0"/>
              </w:rPr>
            </w:pPr>
            <w:r>
              <w:rPr>
                <w:rFonts w:ascii="宋体" w:hAnsi="宋体"/>
                <w:kern w:val="0"/>
              </w:rPr>
              <w:t>18.2</w:t>
            </w:r>
          </w:p>
        </w:tc>
      </w:tr>
      <w:tr w14:paraId="17E0D5E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744" w:type="pct"/>
            <w:shd w:val="clear" w:color="auto" w:fill="auto"/>
            <w:noWrap/>
            <w:vAlign w:val="center"/>
          </w:tcPr>
          <w:p w14:paraId="64F60073">
            <w:pPr>
              <w:pStyle w:val="23"/>
              <w:ind w:firstLine="420" w:firstLineChars="200"/>
              <w:rPr>
                <w:rFonts w:ascii="宋体" w:hAnsi="宋体"/>
                <w:kern w:val="0"/>
              </w:rPr>
            </w:pPr>
            <w:r>
              <w:rPr>
                <w:rFonts w:ascii="宋体" w:hAnsi="宋体"/>
                <w:kern w:val="0"/>
              </w:rPr>
              <w:t>乡村</w:t>
            </w:r>
          </w:p>
        </w:tc>
        <w:tc>
          <w:tcPr>
            <w:tcW w:w="1628" w:type="pct"/>
            <w:shd w:val="clear" w:color="auto" w:fill="auto"/>
            <w:noWrap/>
            <w:vAlign w:val="center"/>
          </w:tcPr>
          <w:p w14:paraId="3F142DF6">
            <w:pPr>
              <w:pStyle w:val="23"/>
              <w:jc w:val="center"/>
              <w:rPr>
                <w:rFonts w:ascii="宋体" w:hAnsi="宋体"/>
                <w:kern w:val="0"/>
              </w:rPr>
            </w:pPr>
            <w:r>
              <w:rPr>
                <w:rFonts w:ascii="宋体" w:hAnsi="宋体"/>
                <w:kern w:val="0"/>
              </w:rPr>
              <w:t>38.77</w:t>
            </w:r>
          </w:p>
        </w:tc>
        <w:tc>
          <w:tcPr>
            <w:tcW w:w="1628" w:type="pct"/>
            <w:shd w:val="clear" w:color="auto" w:fill="auto"/>
            <w:noWrap/>
            <w:vAlign w:val="center"/>
          </w:tcPr>
          <w:p w14:paraId="4FD9C692">
            <w:pPr>
              <w:pStyle w:val="23"/>
              <w:jc w:val="center"/>
              <w:rPr>
                <w:rFonts w:ascii="宋体" w:hAnsi="宋体"/>
                <w:kern w:val="0"/>
              </w:rPr>
            </w:pPr>
            <w:r>
              <w:rPr>
                <w:rFonts w:ascii="宋体" w:hAnsi="宋体"/>
                <w:kern w:val="0"/>
              </w:rPr>
              <w:t>81.8</w:t>
            </w:r>
          </w:p>
        </w:tc>
      </w:tr>
      <w:tr w14:paraId="475A1B9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744" w:type="pct"/>
            <w:shd w:val="clear" w:color="auto" w:fill="auto"/>
            <w:noWrap/>
            <w:vAlign w:val="center"/>
          </w:tcPr>
          <w:p w14:paraId="08D52641">
            <w:pPr>
              <w:pStyle w:val="23"/>
              <w:ind w:firstLine="420" w:firstLineChars="200"/>
              <w:rPr>
                <w:rFonts w:ascii="宋体" w:hAnsi="宋体"/>
                <w:kern w:val="0"/>
              </w:rPr>
            </w:pPr>
            <w:r>
              <w:rPr>
                <w:rFonts w:ascii="宋体" w:hAnsi="宋体"/>
                <w:kern w:val="0"/>
              </w:rPr>
              <w:t>其中:男性</w:t>
            </w:r>
          </w:p>
        </w:tc>
        <w:tc>
          <w:tcPr>
            <w:tcW w:w="1628" w:type="pct"/>
            <w:shd w:val="clear" w:color="auto" w:fill="auto"/>
            <w:noWrap/>
            <w:vAlign w:val="center"/>
          </w:tcPr>
          <w:p w14:paraId="33EFF5DC">
            <w:pPr>
              <w:pStyle w:val="23"/>
              <w:jc w:val="center"/>
              <w:rPr>
                <w:rFonts w:ascii="宋体" w:hAnsi="宋体"/>
                <w:kern w:val="0"/>
              </w:rPr>
            </w:pPr>
            <w:r>
              <w:rPr>
                <w:rFonts w:ascii="宋体" w:hAnsi="宋体"/>
                <w:kern w:val="0"/>
              </w:rPr>
              <w:t>24.06</w:t>
            </w:r>
          </w:p>
        </w:tc>
        <w:tc>
          <w:tcPr>
            <w:tcW w:w="1628" w:type="pct"/>
            <w:shd w:val="clear" w:color="auto" w:fill="auto"/>
            <w:noWrap/>
            <w:vAlign w:val="center"/>
          </w:tcPr>
          <w:p w14:paraId="38A42AF4">
            <w:pPr>
              <w:pStyle w:val="23"/>
              <w:jc w:val="center"/>
              <w:rPr>
                <w:rFonts w:ascii="宋体" w:hAnsi="宋体"/>
                <w:kern w:val="0"/>
              </w:rPr>
            </w:pPr>
            <w:r>
              <w:rPr>
                <w:rFonts w:ascii="宋体" w:hAnsi="宋体"/>
                <w:kern w:val="0"/>
              </w:rPr>
              <w:t>50.81</w:t>
            </w:r>
          </w:p>
        </w:tc>
      </w:tr>
      <w:tr w14:paraId="00E8B81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744" w:type="pct"/>
            <w:shd w:val="clear" w:color="auto" w:fill="auto"/>
            <w:noWrap/>
            <w:vAlign w:val="center"/>
          </w:tcPr>
          <w:p w14:paraId="5C615F09">
            <w:pPr>
              <w:pStyle w:val="23"/>
              <w:ind w:firstLine="420" w:firstLineChars="200"/>
              <w:rPr>
                <w:rFonts w:ascii="宋体" w:hAnsi="宋体"/>
                <w:kern w:val="0"/>
              </w:rPr>
            </w:pPr>
            <w:r>
              <w:rPr>
                <w:rFonts w:ascii="宋体" w:hAnsi="宋体"/>
                <w:kern w:val="0"/>
              </w:rPr>
              <w:t>女性</w:t>
            </w:r>
          </w:p>
        </w:tc>
        <w:tc>
          <w:tcPr>
            <w:tcW w:w="1628" w:type="pct"/>
            <w:shd w:val="clear" w:color="auto" w:fill="auto"/>
            <w:noWrap/>
            <w:vAlign w:val="center"/>
          </w:tcPr>
          <w:p w14:paraId="6C97A83E">
            <w:pPr>
              <w:pStyle w:val="23"/>
              <w:jc w:val="center"/>
              <w:rPr>
                <w:rFonts w:ascii="宋体" w:hAnsi="宋体"/>
                <w:kern w:val="0"/>
              </w:rPr>
            </w:pPr>
            <w:r>
              <w:rPr>
                <w:rFonts w:ascii="宋体" w:hAnsi="宋体"/>
                <w:kern w:val="0"/>
              </w:rPr>
              <w:t>23.29</w:t>
            </w:r>
          </w:p>
        </w:tc>
        <w:tc>
          <w:tcPr>
            <w:tcW w:w="1628" w:type="pct"/>
            <w:shd w:val="clear" w:color="auto" w:fill="auto"/>
            <w:noWrap/>
            <w:vAlign w:val="center"/>
          </w:tcPr>
          <w:p w14:paraId="49EA9660">
            <w:pPr>
              <w:pStyle w:val="23"/>
              <w:jc w:val="center"/>
              <w:rPr>
                <w:rFonts w:ascii="宋体" w:hAnsi="宋体"/>
                <w:kern w:val="0"/>
              </w:rPr>
            </w:pPr>
            <w:r>
              <w:rPr>
                <w:rFonts w:ascii="宋体" w:hAnsi="宋体"/>
                <w:kern w:val="0"/>
              </w:rPr>
              <w:t>49.19</w:t>
            </w:r>
          </w:p>
        </w:tc>
      </w:tr>
    </w:tbl>
    <w:p w14:paraId="324B29EE">
      <w:pPr>
        <w:ind w:firstLine="420"/>
        <w:rPr>
          <w:rFonts w:ascii="宋体" w:hAnsi="宋体"/>
          <w:szCs w:val="21"/>
        </w:rPr>
      </w:pPr>
      <w:r>
        <w:rPr>
          <w:rFonts w:hint="eastAsia" w:ascii="宋体" w:hAnsi="宋体"/>
          <w:szCs w:val="21"/>
        </w:rPr>
        <w:t>人口与计划生育工作扎实有效。人口与计划生育各项工作稳步推进，保持了稳定的低生育水平。全面落实计划生育各项优先优惠政策，计划生育服务能力和水平不断提升，继续保持了省一类地区管理、省人口和计划生育优质服务县的荣誉称号。全市落实计生“四术”6217例，现有已婚育龄夫妇落实节育措施8.89万例，节育率为85.38%。全年出生人口（计生口径）5711人，人口出生率为11.88%，政策生育率为95.55%，死亡率4.81%。自然增长率为7.07‰，较好地完成了2011年的人口包干计划。</w:t>
      </w:r>
    </w:p>
    <w:p w14:paraId="1505314A">
      <w:pPr>
        <w:ind w:firstLine="420"/>
        <w:rPr>
          <w:rFonts w:ascii="宋体" w:hAnsi="宋体"/>
          <w:szCs w:val="21"/>
        </w:rPr>
      </w:pPr>
      <w:r>
        <w:rPr>
          <w:rFonts w:hint="eastAsia" w:ascii="宋体" w:hAnsi="宋体"/>
          <w:szCs w:val="21"/>
        </w:rPr>
        <w:t>2011年，市委、市政府更加注重保障和改善民生，城乡居民收入不断提高。</w:t>
      </w:r>
    </w:p>
    <w:p w14:paraId="65FF1838">
      <w:pPr>
        <w:ind w:firstLine="420"/>
        <w:rPr>
          <w:rFonts w:ascii="宋体" w:hAnsi="宋体"/>
          <w:szCs w:val="21"/>
        </w:rPr>
      </w:pPr>
      <w:r>
        <w:rPr>
          <w:rFonts w:hint="eastAsia" w:ascii="宋体" w:hAnsi="宋体"/>
          <w:szCs w:val="21"/>
        </w:rPr>
        <w:t>在岗职工收入增加。认真落实机关事业单位生活补贴政策，年内城镇单位从业人员2.63万人，全年在岗职工工资总额7.26亿元。在岗职工年人均工资29080元，同比增长10.2%。</w:t>
      </w:r>
    </w:p>
    <w:p w14:paraId="01DFA907">
      <w:pPr>
        <w:ind w:firstLine="420"/>
        <w:rPr>
          <w:rFonts w:ascii="宋体" w:hAnsi="宋体"/>
          <w:szCs w:val="21"/>
        </w:rPr>
      </w:pPr>
      <w:r>
        <w:rPr>
          <w:rFonts w:hint="eastAsia" w:ascii="宋体" w:hAnsi="宋体"/>
          <w:szCs w:val="21"/>
        </w:rPr>
        <w:t>农民收入增长较快。全市农民人均纯收入6969元，同比上年增长17.0%，按可比口径增长11.4%；农村居民家庭恩格尔系数（即居民家庭食品消费支出占家庭消费总支出的比重）为52.33%，同比下降0.87个百分点。</w:t>
      </w:r>
    </w:p>
    <w:p w14:paraId="20943360">
      <w:pPr>
        <w:ind w:firstLine="420"/>
        <w:rPr>
          <w:rFonts w:ascii="宋体" w:hAnsi="宋体"/>
          <w:szCs w:val="21"/>
        </w:rPr>
      </w:pPr>
      <w:r>
        <w:rPr>
          <w:rFonts w:hint="eastAsia" w:ascii="宋体" w:hAnsi="宋体"/>
          <w:szCs w:val="21"/>
        </w:rPr>
        <w:t>城镇居民收入稳步提髙。全年城镇居民可支配收入为13374元，同比上年增长12.5%；城镇居民家庭恩格尔系数为42.50%。</w:t>
      </w:r>
    </w:p>
    <w:p w14:paraId="53E63ABA">
      <w:pPr>
        <w:ind w:firstLine="420"/>
        <w:rPr>
          <w:rFonts w:ascii="宋体" w:hAnsi="宋体"/>
          <w:szCs w:val="21"/>
        </w:rPr>
      </w:pPr>
      <w:r>
        <w:rPr>
          <w:rFonts w:hint="eastAsia" w:ascii="宋体" w:hAnsi="宋体"/>
          <w:szCs w:val="21"/>
        </w:rPr>
        <w:t>城、乡居民居住条件和居住环境不断改善。如期完成了上级下达的保障性住房建设任务，建成32套经济适用房和3套廉租房，100套廉租房已开工建设，196套危旧房改造、72套公租房建设任务已经落实。城市居民人均居住面积26.05平方米，农村居民人均居住面积27.86平方米。</w:t>
      </w:r>
    </w:p>
    <w:p w14:paraId="59A07A74">
      <w:pPr>
        <w:ind w:firstLine="420"/>
        <w:rPr>
          <w:rFonts w:ascii="宋体" w:hAnsi="宋体"/>
          <w:szCs w:val="21"/>
        </w:rPr>
      </w:pPr>
      <w:r>
        <w:rPr>
          <w:rFonts w:hint="eastAsia" w:ascii="宋体" w:hAnsi="宋体"/>
          <w:szCs w:val="21"/>
        </w:rPr>
        <w:t>深入实施“城市清洁工程”，城市管理明显加强，城市管理水平得到明显提高。环卫部门实行21小时清扫保洁制，抓好市区大街小巷、环城路、老323线穿城段、水南新村等路段130万m2的清扫保洁，使城区主、次干道和出入口通道以及三大市场、繁华地段的垃圾做到日产日清，确保城区街道干净整洁、卫生靓丽。市场清扫保洁，做到每月定期冲洗，使市场内干净卫生、空气清新。加强青云、沿江两路休闲小广场、河滨公园、三影塔广场等地的绿化美化工作。城区绿地面积达344.33万平方米，绿地率30.02%，人均公共绿地达16.59平方米，绿化覆盖面积达401.56万平方米，绿化覆盖率达35.01%。</w:t>
      </w:r>
    </w:p>
    <w:p w14:paraId="75891BC5">
      <w:pPr>
        <w:ind w:firstLine="420"/>
        <w:rPr>
          <w:rFonts w:ascii="宋体" w:hAnsi="宋体"/>
          <w:szCs w:val="21"/>
        </w:rPr>
      </w:pPr>
      <w:r>
        <w:rPr>
          <w:rFonts w:hint="eastAsia" w:ascii="宋体" w:hAnsi="宋体"/>
          <w:szCs w:val="21"/>
        </w:rPr>
        <w:t>社会保险覆盖面进一步扩大，城镇居民医保、养老保险和新农保三项保险参保人数分别为2.6万人、3.1万人和14.9万人，新农保超额完成省试点工作任务，60周岁以上老人中已有3.82万人开始按月领取新农保基础养老金，新型农村合作医疗覆盖率达100%。社会保险五个险种征缴2.34亿元，支出1.75亿元。社会救助体系更加健全，在册低保户7500户，1.6万多人，支出1880万元，基本实现应保尽保；1400名五保老人基本生活得到有效保障；医疗救助800多人次，支出180万元，较好解决了部分困难群众就医难问题。</w:t>
      </w:r>
    </w:p>
    <w:p w14:paraId="278526A9">
      <w:pPr>
        <w:ind w:firstLine="420"/>
        <w:rPr>
          <w:rFonts w:ascii="宋体" w:hAnsi="宋体"/>
          <w:szCs w:val="21"/>
        </w:rPr>
      </w:pPr>
      <w:r>
        <w:rPr>
          <w:rFonts w:hint="eastAsia" w:ascii="宋体" w:hAnsi="宋体"/>
          <w:szCs w:val="21"/>
        </w:rPr>
        <w:t>实施了一系列更加积极的就业政策，加快构建城乡一体化的人力资源市场，积极推进新农保试点工作；加大劳动力培训就业力度，扩大就业渠道，以就业促稳定、促和谐、促增收；积极落实就业各项政策，城镇新增就业5221人，新增农村劳动力转移12456人，城镇登记失业率控制在2.48%以内。</w:t>
      </w:r>
    </w:p>
    <w:p w14:paraId="485C96C4">
      <w:pPr>
        <w:ind w:firstLine="420"/>
        <w:rPr>
          <w:rFonts w:ascii="宋体" w:hAnsi="宋体"/>
          <w:szCs w:val="21"/>
        </w:rPr>
      </w:pPr>
      <w:r>
        <w:rPr>
          <w:rFonts w:hint="eastAsia" w:ascii="宋体" w:hAnsi="宋体"/>
          <w:szCs w:val="21"/>
        </w:rPr>
        <w:t>扶贫开发的“规划到户、责任到人”工作强力推进，使广大农民更好地共享发展成果。我市集中人力、物力、财力抓好扶贫“双到”工作，把扶贫开发与龙头企业、农业专业合作社结合起来，按照公司+支部+专业合作社+贫困户的捆绑式发展模式，动员金友公司、烟草公司、温氏集团南雄分公司、惠丰农业公司等龙头企业参与扶贫开发工作，制订了发展黄烟、优质稻、紫薯、马铃薯、三元猪、五黑鸡、罗汉果、水果等一批扶贫产业，通过积极筹措资金，加强各类扶贫培训，提高贫困户种养水平，帮助困难户增加收入。加大水利、道路、饮水工程等基础设施建设和农房改造，改善群众居住环境。全市45个省核定的贫困村，4460户贫困户，其中被帮扶的4080户可实现脱贫目标，尚有380户没有劳动能力的贫困户已纳入了低保。</w:t>
      </w:r>
    </w:p>
    <w:p w14:paraId="56BDE2F5">
      <w:pPr>
        <w:ind w:firstLine="422"/>
        <w:rPr>
          <w:rFonts w:ascii="宋体" w:hAnsi="宋体"/>
          <w:b/>
          <w:szCs w:val="21"/>
        </w:rPr>
      </w:pPr>
      <w:r>
        <w:rPr>
          <w:rFonts w:hint="eastAsia" w:ascii="宋体" w:hAnsi="宋体"/>
          <w:b/>
          <w:szCs w:val="21"/>
        </w:rPr>
        <w:t>十一、资源、环境和安全生产</w:t>
      </w:r>
    </w:p>
    <w:p w14:paraId="6ECC54AF">
      <w:pPr>
        <w:ind w:firstLine="420"/>
        <w:rPr>
          <w:rFonts w:ascii="宋体" w:hAnsi="宋体"/>
          <w:szCs w:val="21"/>
        </w:rPr>
      </w:pPr>
      <w:r>
        <w:rPr>
          <w:rFonts w:hint="eastAsia" w:ascii="宋体" w:hAnsi="宋体"/>
          <w:szCs w:val="21"/>
        </w:rPr>
        <w:t>资源保护力度加大。土地资源得到合理保护利用，获得用地指标2556亩，通过土地整理新增耕地4000多亩。“三项整治”成效明显，违法占地建房、乱砍滥伐、违法采矿等不良态势得到有效遏制。</w:t>
      </w:r>
    </w:p>
    <w:p w14:paraId="333D860A">
      <w:pPr>
        <w:ind w:firstLine="420"/>
        <w:rPr>
          <w:rFonts w:ascii="宋体" w:hAnsi="宋体"/>
          <w:szCs w:val="21"/>
        </w:rPr>
      </w:pPr>
      <w:r>
        <w:rPr>
          <w:rFonts w:hint="eastAsia" w:ascii="宋体" w:hAnsi="宋体"/>
          <w:szCs w:val="21"/>
        </w:rPr>
        <w:t>生态环境得到有效保护。完成造林4.5万亩，森林覆盖率达到63.43%，集体林权制度改革工作通过省政府验收并被评为优秀等级。孔江湿地公园被国家林业局批准为国家湿地公园。加强了环境综合治理，全面完成了上级下达的节能减排任务，关闭落后小型造纸企业3家，铺设老城区雨污分流管网3.95公里，完成浈江河流域1.73平方公里的红砂岭综合治理。园林绿化面积154.81公顷，建成区绿化覆盖面积达163.36公顷，均比上年增长0.4%。</w:t>
      </w:r>
    </w:p>
    <w:p w14:paraId="4461BC2F">
      <w:pPr>
        <w:ind w:firstLine="420"/>
        <w:rPr>
          <w:rFonts w:ascii="宋体" w:hAnsi="宋体"/>
          <w:szCs w:val="21"/>
        </w:rPr>
      </w:pPr>
      <w:r>
        <w:rPr>
          <w:rFonts w:hint="eastAsia" w:ascii="宋体" w:hAnsi="宋体"/>
          <w:szCs w:val="21"/>
        </w:rPr>
        <w:t>环境保护水平进一步提高。环境治理和节能减排成效显著，环境质量得到改善。加强了环境综合治理，全面完成了上级下达的节能减排任务，关闭落后小型造纸企业3家，铺设老城区雨污分流管网3.95公里，完成浈江河流域1.73平方公里的红砂岭综合治理。加强水源保护区水质检查，确保饮用水安全。全年废水排放总量904.46万吨，其中：工业废水排放总量385.19万吨，生活废水排放总量459.53万吨；工业废气排放量75703万标立方米，下降2.7%；工业固体废物综合利用率84.11%，提高0.11个百分点；工业烟尘排放量达标率90.25%，提高1.2个百分点。环境污染治理投资479万元，增长175.6%。城市污水日处理能力达到1万吨以上，生活垃圾无害化处理得到加强。</w:t>
      </w:r>
    </w:p>
    <w:p w14:paraId="15EB9748">
      <w:pPr>
        <w:ind w:firstLine="420"/>
        <w:rPr>
          <w:rFonts w:ascii="宋体" w:hAnsi="宋体"/>
          <w:szCs w:val="21"/>
        </w:rPr>
      </w:pPr>
      <w:r>
        <w:rPr>
          <w:rFonts w:hint="eastAsia" w:ascii="宋体" w:hAnsi="宋体"/>
          <w:szCs w:val="21"/>
        </w:rPr>
        <w:t>全年降雨量1254.1毫米，比上年减少440.3毫米，全年平均气温19.8摄氏度，比上年下降0.3摄氏度。全年总用水量591万立方米，比上年增长34.3%。其中，生活用水345万立方米，增长5.1%；工业和商业用水132万立方米，增长18.1%。</w:t>
      </w:r>
    </w:p>
    <w:p w14:paraId="5A00CE3E">
      <w:pPr>
        <w:ind w:firstLine="420"/>
        <w:rPr>
          <w:rFonts w:ascii="宋体" w:hAnsi="宋体"/>
          <w:szCs w:val="21"/>
        </w:rPr>
      </w:pPr>
      <w:r>
        <w:rPr>
          <w:rFonts w:hint="eastAsia" w:ascii="宋体" w:hAnsi="宋体"/>
          <w:szCs w:val="21"/>
        </w:rPr>
        <w:t>全市耕地总资源65.26万亩，其中水田44.11万亩，水浇地0.12万亩。全市山林面积239万亩，水面面积5.12万亩。自然保护区3个，面积121平方公里，其中省级自然保护区1个，面积42平方公里，正在积极申报国家级地质遗迹自然保护区。</w:t>
      </w:r>
    </w:p>
    <w:p w14:paraId="1971E9B2">
      <w:pPr>
        <w:ind w:firstLine="420"/>
        <w:rPr>
          <w:rFonts w:ascii="宋体" w:hAnsi="宋体"/>
          <w:szCs w:val="21"/>
        </w:rPr>
      </w:pPr>
      <w:r>
        <w:rPr>
          <w:rFonts w:hint="eastAsia" w:ascii="宋体" w:hAnsi="宋体"/>
          <w:szCs w:val="21"/>
        </w:rPr>
        <w:t>社会和谐稳定局面不断巩固。我市以打造“平安南雄”为契机，以构建社会治安防控体系为突破口，全面推进社会治安防控体系建设。加强治安防范控制工作力度，在市区和重点路段布建社会治安视频监控系统，并把技术防范措施逐步推广到社区、企事业单位和家庭。积极稳妥推进市委权力公开透明运行“阳光工程”试点工作，形成了一批“阳光采伐”、“阳光低保”、“阳光质监”等品牌，有效地推进了市委权力公开透明运行，推进了党务公开工作，打造了一流的发展环境。我市大力弘扬积极进取、干事创业的作风，引导干部想干事、能干事、干成事。进一步落实好《南雄市选拔任用老实人办法（试行）》，注重从履行岗位职责、完成急难险重任务、关键时刻表现、对待个人名利等方面考察干部，切实把任劳任怨、干事创业的干部选拔到领导岗位，真正让想干事者有机会、能干事者有舞台、干成事者有地位。深入推进“履行职责、加快发展”活动，健全履职机制、问责机制，规范工作流程、规章制度，引导广大领导干部主动履职、正确履职、忠实履职。进一步加强了作风建设，坚决查处以权谋私、吃拿卡要等违法违纪行为，坚决杜绝“门难进、脸难看、话难听、事难办”的现象，在全市范围内营造了干事创业的良好氛围。</w:t>
      </w:r>
    </w:p>
    <w:p w14:paraId="12BA7EA2">
      <w:pPr>
        <w:ind w:firstLine="420"/>
        <w:rPr>
          <w:rFonts w:ascii="宋体" w:hAnsi="宋体"/>
          <w:szCs w:val="21"/>
        </w:rPr>
      </w:pPr>
      <w:r>
        <w:rPr>
          <w:rFonts w:hint="eastAsia" w:ascii="宋体" w:hAnsi="宋体"/>
          <w:szCs w:val="21"/>
        </w:rPr>
        <w:t>建立了重点项目、重要工作督查督办机制。清理精简行政审批事项，进一步简化手续，提高办事效率，加大了政务公开工作力度，政务环境不断优化，政府工作更加规范透明。民主法制建设切实加强，廉政建设和机关作风建设不断深入，依法行政和服务水平稳步提高。</w:t>
      </w:r>
    </w:p>
    <w:p w14:paraId="089235BD">
      <w:pPr>
        <w:ind w:firstLine="420"/>
        <w:rPr>
          <w:rFonts w:ascii="宋体" w:hAnsi="宋体"/>
          <w:szCs w:val="21"/>
        </w:rPr>
      </w:pPr>
      <w:r>
        <w:rPr>
          <w:rFonts w:hint="eastAsia" w:ascii="宋体" w:hAnsi="宋体"/>
          <w:szCs w:val="21"/>
        </w:rPr>
        <w:t>注释：</w:t>
      </w:r>
    </w:p>
    <w:p w14:paraId="478C0DF4">
      <w:pPr>
        <w:ind w:firstLine="420"/>
        <w:rPr>
          <w:rFonts w:ascii="宋体" w:hAnsi="宋体"/>
          <w:szCs w:val="21"/>
        </w:rPr>
      </w:pPr>
      <w:r>
        <w:rPr>
          <w:rFonts w:hint="eastAsia" w:ascii="宋体" w:hAnsi="宋体"/>
          <w:szCs w:val="21"/>
        </w:rPr>
        <w:t>1、本公报中2011年数据为初步统计数。</w:t>
      </w:r>
    </w:p>
    <w:p w14:paraId="0B09AE69">
      <w:pPr>
        <w:ind w:firstLine="420"/>
        <w:rPr>
          <w:rFonts w:ascii="宋体" w:hAnsi="宋体"/>
          <w:szCs w:val="21"/>
        </w:rPr>
      </w:pPr>
      <w:r>
        <w:rPr>
          <w:rFonts w:hint="eastAsia" w:ascii="宋体" w:hAnsi="宋体"/>
          <w:szCs w:val="21"/>
        </w:rPr>
        <w:t>2、全市生产总值、各产业增加值和总产值绝对数按当年价格计算，增长速度按可比价格计算。</w:t>
      </w:r>
    </w:p>
    <w:p w14:paraId="08070215">
      <w:pPr>
        <w:ind w:firstLine="420"/>
        <w:rPr>
          <w:rFonts w:ascii="宋体" w:hAnsi="宋体"/>
          <w:szCs w:val="21"/>
        </w:rPr>
      </w:pPr>
      <w:r>
        <w:rPr>
          <w:rFonts w:hint="eastAsia" w:ascii="宋体" w:hAnsi="宋体"/>
          <w:szCs w:val="21"/>
        </w:rPr>
        <w:t>3、从2011年起，规模以上工业统计口径由500万元调整为2000万元及以上；固定资产投资项目统计起点由计划总投资50万元提高到500万元，增速为可比口径。</w:t>
      </w:r>
    </w:p>
    <w:p w14:paraId="4CD5A700">
      <w:pPr>
        <w:ind w:firstLine="420"/>
        <w:rPr>
          <w:rFonts w:ascii="宋体" w:hAnsi="宋体"/>
          <w:szCs w:val="21"/>
        </w:rPr>
      </w:pPr>
      <w:r>
        <w:rPr>
          <w:rFonts w:hint="eastAsia" w:ascii="宋体" w:hAnsi="宋体"/>
          <w:szCs w:val="21"/>
        </w:rPr>
        <w:t>4、部分数据因四舍五入的原因，存在着与分项合计不等的情况。资料来源：本公报中城镇新增就业、登记失业率、社会保障数据来自市人力资源社会保障局；财政数据来自市财政局；货币金融数据、外贸出口总额等数据来自中国人民银行南雄支行；外商直接投资、对外直接投资等数据来自市外经局；国际互联网用户、邮电业务总量等数据来自邮政及通信部门（单位）；旅游数据来自市旅游局；教育数据来自市教育局；专利数据来自市科技局；气象数据来自市气象局；测绘数据来自市国土资源局；艺术表演团体、博物馆、公共图书馆、文化馆数据来自市文广新局；广播、电视数据来自市电视台；体育数据来自市体育局；卫生、新农合数据来自市卫生局；低保社会组织数据来自市民政局；环境监测数据来自市环保局；林业数据来自市林业局；其他数据来自市统计局。</w:t>
      </w:r>
    </w:p>
    <w:p w14:paraId="0F44550E">
      <w:pPr>
        <w:pStyle w:val="3"/>
      </w:pPr>
      <w:r>
        <w:rPr>
          <w:rFonts w:hint="eastAsia"/>
        </w:rPr>
        <w:t>南雄市</w:t>
      </w:r>
      <w:r>
        <w:t>2011年国民经济和社会发展主要指标</w:t>
      </w:r>
    </w:p>
    <w:p w14:paraId="4D290D72">
      <w:pPr>
        <w:ind w:firstLine="422"/>
        <w:jc w:val="center"/>
        <w:rPr>
          <w:b/>
        </w:rPr>
      </w:pPr>
      <w:r>
        <w:rPr>
          <w:rFonts w:hint="eastAsia"/>
          <w:b/>
        </w:rPr>
        <w:t>表41 南雄市基本情况</w:t>
      </w:r>
    </w:p>
    <w:tbl>
      <w:tblPr>
        <w:tblStyle w:val="14"/>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588"/>
        <w:gridCol w:w="1791"/>
        <w:gridCol w:w="1791"/>
        <w:gridCol w:w="1792"/>
      </w:tblGrid>
      <w:tr w14:paraId="567917C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303" w:type="pct"/>
            <w:shd w:val="clear" w:color="auto" w:fill="auto"/>
            <w:noWrap/>
            <w:vAlign w:val="center"/>
          </w:tcPr>
          <w:p w14:paraId="416F75E5">
            <w:pPr>
              <w:pStyle w:val="23"/>
              <w:jc w:val="center"/>
              <w:rPr>
                <w:rFonts w:ascii="宋体" w:hAnsi="宋体"/>
                <w:b/>
                <w:kern w:val="0"/>
                <w:szCs w:val="21"/>
              </w:rPr>
            </w:pPr>
            <w:r>
              <w:rPr>
                <w:rFonts w:ascii="宋体" w:hAnsi="宋体"/>
                <w:b/>
                <w:kern w:val="0"/>
                <w:szCs w:val="21"/>
              </w:rPr>
              <w:t>指标名称</w:t>
            </w:r>
          </w:p>
        </w:tc>
        <w:tc>
          <w:tcPr>
            <w:tcW w:w="899" w:type="pct"/>
            <w:shd w:val="clear" w:color="auto" w:fill="auto"/>
            <w:noWrap/>
            <w:vAlign w:val="center"/>
          </w:tcPr>
          <w:p w14:paraId="7D81561B">
            <w:pPr>
              <w:pStyle w:val="23"/>
              <w:jc w:val="center"/>
              <w:rPr>
                <w:rFonts w:ascii="宋体" w:hAnsi="宋体"/>
                <w:b/>
                <w:kern w:val="0"/>
                <w:szCs w:val="21"/>
              </w:rPr>
            </w:pPr>
            <w:r>
              <w:rPr>
                <w:rFonts w:ascii="宋体" w:hAnsi="宋体"/>
                <w:b/>
                <w:kern w:val="0"/>
                <w:szCs w:val="21"/>
              </w:rPr>
              <w:t>计算单位</w:t>
            </w:r>
          </w:p>
        </w:tc>
        <w:tc>
          <w:tcPr>
            <w:tcW w:w="899" w:type="pct"/>
            <w:shd w:val="clear" w:color="auto" w:fill="auto"/>
            <w:noWrap/>
            <w:vAlign w:val="center"/>
          </w:tcPr>
          <w:p w14:paraId="77181A6B">
            <w:pPr>
              <w:pStyle w:val="23"/>
              <w:jc w:val="center"/>
              <w:rPr>
                <w:rFonts w:ascii="宋体" w:hAnsi="宋体"/>
                <w:b/>
                <w:kern w:val="0"/>
                <w:szCs w:val="21"/>
              </w:rPr>
            </w:pPr>
            <w:r>
              <w:rPr>
                <w:rFonts w:ascii="宋体" w:hAnsi="宋体"/>
                <w:b/>
                <w:kern w:val="0"/>
                <w:szCs w:val="21"/>
              </w:rPr>
              <w:t>2011年</w:t>
            </w:r>
          </w:p>
        </w:tc>
        <w:tc>
          <w:tcPr>
            <w:tcW w:w="899" w:type="pct"/>
            <w:shd w:val="clear" w:color="auto" w:fill="auto"/>
            <w:noWrap/>
            <w:vAlign w:val="center"/>
          </w:tcPr>
          <w:p w14:paraId="68843CFF">
            <w:pPr>
              <w:pStyle w:val="23"/>
              <w:jc w:val="center"/>
              <w:rPr>
                <w:rFonts w:ascii="宋体" w:hAnsi="宋体"/>
                <w:b/>
                <w:kern w:val="0"/>
                <w:szCs w:val="21"/>
              </w:rPr>
            </w:pPr>
            <w:r>
              <w:rPr>
                <w:rFonts w:ascii="宋体" w:hAnsi="宋体"/>
                <w:b/>
                <w:kern w:val="0"/>
                <w:szCs w:val="21"/>
              </w:rPr>
              <w:t>比上年±%</w:t>
            </w:r>
          </w:p>
        </w:tc>
      </w:tr>
      <w:tr w14:paraId="3F24DEA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303" w:type="pct"/>
            <w:shd w:val="clear" w:color="auto" w:fill="auto"/>
            <w:noWrap/>
            <w:vAlign w:val="center"/>
          </w:tcPr>
          <w:p w14:paraId="1A5EE2B3">
            <w:pPr>
              <w:pStyle w:val="23"/>
              <w:rPr>
                <w:rFonts w:ascii="宋体" w:hAnsi="宋体"/>
                <w:kern w:val="0"/>
                <w:szCs w:val="21"/>
              </w:rPr>
            </w:pPr>
            <w:r>
              <w:rPr>
                <w:rFonts w:ascii="宋体" w:hAnsi="宋体"/>
                <w:kern w:val="0"/>
                <w:szCs w:val="21"/>
              </w:rPr>
              <w:t>一、人口</w:t>
            </w:r>
          </w:p>
        </w:tc>
        <w:tc>
          <w:tcPr>
            <w:tcW w:w="899" w:type="pct"/>
            <w:shd w:val="clear" w:color="auto" w:fill="auto"/>
            <w:noWrap/>
            <w:vAlign w:val="center"/>
          </w:tcPr>
          <w:p w14:paraId="40EE539B">
            <w:pPr>
              <w:pStyle w:val="23"/>
              <w:jc w:val="center"/>
              <w:rPr>
                <w:rFonts w:ascii="宋体" w:hAnsi="宋体"/>
                <w:kern w:val="0"/>
                <w:szCs w:val="21"/>
              </w:rPr>
            </w:pPr>
          </w:p>
        </w:tc>
        <w:tc>
          <w:tcPr>
            <w:tcW w:w="899" w:type="pct"/>
            <w:shd w:val="clear" w:color="auto" w:fill="auto"/>
            <w:noWrap/>
            <w:vAlign w:val="center"/>
          </w:tcPr>
          <w:p w14:paraId="05C77E79">
            <w:pPr>
              <w:pStyle w:val="23"/>
              <w:jc w:val="center"/>
              <w:rPr>
                <w:rFonts w:ascii="宋体" w:hAnsi="宋体"/>
                <w:kern w:val="0"/>
                <w:szCs w:val="21"/>
              </w:rPr>
            </w:pPr>
          </w:p>
        </w:tc>
        <w:tc>
          <w:tcPr>
            <w:tcW w:w="899" w:type="pct"/>
            <w:shd w:val="clear" w:color="auto" w:fill="auto"/>
            <w:noWrap/>
            <w:vAlign w:val="center"/>
          </w:tcPr>
          <w:p w14:paraId="424264A6">
            <w:pPr>
              <w:pStyle w:val="23"/>
              <w:jc w:val="center"/>
              <w:rPr>
                <w:rFonts w:ascii="宋体" w:hAnsi="宋体"/>
                <w:kern w:val="0"/>
                <w:szCs w:val="21"/>
              </w:rPr>
            </w:pPr>
          </w:p>
        </w:tc>
      </w:tr>
      <w:tr w14:paraId="306A11A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303" w:type="pct"/>
            <w:shd w:val="clear" w:color="auto" w:fill="auto"/>
            <w:noWrap/>
            <w:vAlign w:val="center"/>
          </w:tcPr>
          <w:p w14:paraId="2F071A6B">
            <w:pPr>
              <w:pStyle w:val="23"/>
              <w:ind w:firstLine="840" w:firstLineChars="400"/>
              <w:rPr>
                <w:rFonts w:ascii="宋体" w:hAnsi="宋体"/>
                <w:kern w:val="0"/>
                <w:szCs w:val="21"/>
              </w:rPr>
            </w:pPr>
            <w:r>
              <w:rPr>
                <w:rFonts w:ascii="宋体" w:hAnsi="宋体"/>
                <w:kern w:val="0"/>
                <w:szCs w:val="21"/>
              </w:rPr>
              <w:t>总人口</w:t>
            </w:r>
          </w:p>
        </w:tc>
        <w:tc>
          <w:tcPr>
            <w:tcW w:w="899" w:type="pct"/>
            <w:shd w:val="clear" w:color="auto" w:fill="auto"/>
            <w:noWrap/>
            <w:vAlign w:val="center"/>
          </w:tcPr>
          <w:p w14:paraId="6C3DC681">
            <w:pPr>
              <w:pStyle w:val="23"/>
              <w:jc w:val="center"/>
              <w:rPr>
                <w:rFonts w:ascii="宋体" w:hAnsi="宋体"/>
                <w:kern w:val="0"/>
                <w:szCs w:val="21"/>
              </w:rPr>
            </w:pPr>
            <w:r>
              <w:rPr>
                <w:rFonts w:ascii="宋体" w:hAnsi="宋体"/>
                <w:kern w:val="0"/>
                <w:szCs w:val="21"/>
              </w:rPr>
              <w:t>人</w:t>
            </w:r>
          </w:p>
        </w:tc>
        <w:tc>
          <w:tcPr>
            <w:tcW w:w="899" w:type="pct"/>
            <w:shd w:val="clear" w:color="auto" w:fill="auto"/>
            <w:noWrap/>
            <w:vAlign w:val="center"/>
          </w:tcPr>
          <w:p w14:paraId="34FD05BE">
            <w:pPr>
              <w:pStyle w:val="23"/>
              <w:jc w:val="center"/>
              <w:rPr>
                <w:rFonts w:ascii="宋体" w:hAnsi="宋体"/>
                <w:kern w:val="0"/>
                <w:szCs w:val="21"/>
              </w:rPr>
            </w:pPr>
            <w:r>
              <w:rPr>
                <w:rFonts w:ascii="宋体" w:hAnsi="宋体"/>
                <w:kern w:val="0"/>
                <w:szCs w:val="21"/>
              </w:rPr>
              <w:t>473469</w:t>
            </w:r>
          </w:p>
        </w:tc>
        <w:tc>
          <w:tcPr>
            <w:tcW w:w="899" w:type="pct"/>
            <w:shd w:val="clear" w:color="auto" w:fill="auto"/>
            <w:noWrap/>
            <w:vAlign w:val="center"/>
          </w:tcPr>
          <w:p w14:paraId="222E5986">
            <w:pPr>
              <w:pStyle w:val="23"/>
              <w:jc w:val="center"/>
              <w:rPr>
                <w:rFonts w:ascii="宋体" w:hAnsi="宋体"/>
                <w:kern w:val="0"/>
                <w:szCs w:val="21"/>
              </w:rPr>
            </w:pPr>
            <w:r>
              <w:rPr>
                <w:rFonts w:ascii="宋体" w:hAnsi="宋体"/>
                <w:kern w:val="0"/>
                <w:szCs w:val="21"/>
              </w:rPr>
              <w:t>0.5</w:t>
            </w:r>
          </w:p>
        </w:tc>
      </w:tr>
      <w:tr w14:paraId="6931F39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303" w:type="pct"/>
            <w:shd w:val="clear" w:color="auto" w:fill="auto"/>
            <w:noWrap/>
            <w:vAlign w:val="center"/>
          </w:tcPr>
          <w:p w14:paraId="5AA0D134">
            <w:pPr>
              <w:pStyle w:val="23"/>
              <w:ind w:firstLine="1260" w:firstLineChars="600"/>
              <w:rPr>
                <w:rFonts w:ascii="宋体" w:hAnsi="宋体"/>
                <w:kern w:val="0"/>
                <w:szCs w:val="21"/>
              </w:rPr>
            </w:pPr>
            <w:r>
              <w:rPr>
                <w:rFonts w:ascii="宋体" w:hAnsi="宋体"/>
                <w:kern w:val="0"/>
                <w:szCs w:val="21"/>
              </w:rPr>
              <w:t>其中:非农业人口</w:t>
            </w:r>
          </w:p>
        </w:tc>
        <w:tc>
          <w:tcPr>
            <w:tcW w:w="899" w:type="pct"/>
            <w:shd w:val="clear" w:color="auto" w:fill="auto"/>
            <w:noWrap/>
            <w:vAlign w:val="center"/>
          </w:tcPr>
          <w:p w14:paraId="6F43AC63">
            <w:pPr>
              <w:pStyle w:val="23"/>
              <w:jc w:val="center"/>
              <w:rPr>
                <w:rFonts w:ascii="宋体" w:hAnsi="宋体"/>
                <w:kern w:val="0"/>
                <w:szCs w:val="21"/>
              </w:rPr>
            </w:pPr>
            <w:r>
              <w:rPr>
                <w:rFonts w:ascii="宋体" w:hAnsi="宋体"/>
                <w:kern w:val="0"/>
                <w:szCs w:val="21"/>
              </w:rPr>
              <w:t>人</w:t>
            </w:r>
          </w:p>
        </w:tc>
        <w:tc>
          <w:tcPr>
            <w:tcW w:w="899" w:type="pct"/>
            <w:shd w:val="clear" w:color="auto" w:fill="auto"/>
            <w:noWrap/>
            <w:vAlign w:val="center"/>
          </w:tcPr>
          <w:p w14:paraId="522683EC">
            <w:pPr>
              <w:pStyle w:val="23"/>
              <w:jc w:val="center"/>
              <w:rPr>
                <w:rFonts w:ascii="宋体" w:hAnsi="宋体"/>
                <w:kern w:val="0"/>
                <w:szCs w:val="21"/>
              </w:rPr>
            </w:pPr>
            <w:r>
              <w:rPr>
                <w:rFonts w:ascii="宋体" w:hAnsi="宋体"/>
                <w:kern w:val="0"/>
                <w:szCs w:val="21"/>
              </w:rPr>
              <w:t>85800</w:t>
            </w:r>
          </w:p>
        </w:tc>
        <w:tc>
          <w:tcPr>
            <w:tcW w:w="899" w:type="pct"/>
            <w:shd w:val="clear" w:color="auto" w:fill="auto"/>
            <w:noWrap/>
            <w:vAlign w:val="center"/>
          </w:tcPr>
          <w:p w14:paraId="7B76772E">
            <w:pPr>
              <w:pStyle w:val="23"/>
              <w:jc w:val="center"/>
              <w:rPr>
                <w:rFonts w:ascii="宋体" w:hAnsi="宋体"/>
                <w:kern w:val="0"/>
                <w:szCs w:val="21"/>
              </w:rPr>
            </w:pPr>
            <w:r>
              <w:rPr>
                <w:rFonts w:ascii="宋体" w:hAnsi="宋体"/>
                <w:kern w:val="0"/>
                <w:szCs w:val="21"/>
              </w:rPr>
              <w:t>0.4</w:t>
            </w:r>
          </w:p>
        </w:tc>
      </w:tr>
      <w:tr w14:paraId="066DD1D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303" w:type="pct"/>
            <w:shd w:val="clear" w:color="auto" w:fill="auto"/>
            <w:noWrap/>
            <w:vAlign w:val="center"/>
          </w:tcPr>
          <w:p w14:paraId="7879CF50">
            <w:pPr>
              <w:pStyle w:val="23"/>
              <w:ind w:firstLine="840" w:firstLineChars="400"/>
              <w:rPr>
                <w:rFonts w:ascii="宋体" w:hAnsi="宋体"/>
                <w:kern w:val="0"/>
                <w:szCs w:val="21"/>
              </w:rPr>
            </w:pPr>
            <w:r>
              <w:rPr>
                <w:rFonts w:ascii="宋体" w:hAnsi="宋体"/>
                <w:kern w:val="0"/>
                <w:szCs w:val="21"/>
              </w:rPr>
              <w:t>总户数</w:t>
            </w:r>
          </w:p>
        </w:tc>
        <w:tc>
          <w:tcPr>
            <w:tcW w:w="899" w:type="pct"/>
            <w:shd w:val="clear" w:color="auto" w:fill="auto"/>
            <w:noWrap/>
            <w:vAlign w:val="center"/>
          </w:tcPr>
          <w:p w14:paraId="53BB8D4B">
            <w:pPr>
              <w:pStyle w:val="23"/>
              <w:jc w:val="center"/>
              <w:rPr>
                <w:rFonts w:ascii="宋体" w:hAnsi="宋体"/>
                <w:kern w:val="0"/>
                <w:szCs w:val="21"/>
              </w:rPr>
            </w:pPr>
            <w:r>
              <w:rPr>
                <w:rFonts w:ascii="宋体" w:hAnsi="宋体"/>
                <w:kern w:val="0"/>
                <w:szCs w:val="21"/>
              </w:rPr>
              <w:t>户</w:t>
            </w:r>
          </w:p>
        </w:tc>
        <w:tc>
          <w:tcPr>
            <w:tcW w:w="899" w:type="pct"/>
            <w:shd w:val="clear" w:color="auto" w:fill="auto"/>
            <w:noWrap/>
            <w:vAlign w:val="center"/>
          </w:tcPr>
          <w:p w14:paraId="00BE4343">
            <w:pPr>
              <w:pStyle w:val="23"/>
              <w:jc w:val="center"/>
              <w:rPr>
                <w:rFonts w:ascii="宋体" w:hAnsi="宋体"/>
                <w:kern w:val="0"/>
                <w:szCs w:val="21"/>
              </w:rPr>
            </w:pPr>
            <w:r>
              <w:rPr>
                <w:rFonts w:ascii="宋体" w:hAnsi="宋体"/>
                <w:kern w:val="0"/>
                <w:szCs w:val="21"/>
              </w:rPr>
              <w:t>135089</w:t>
            </w:r>
          </w:p>
        </w:tc>
        <w:tc>
          <w:tcPr>
            <w:tcW w:w="899" w:type="pct"/>
            <w:shd w:val="clear" w:color="auto" w:fill="auto"/>
            <w:noWrap/>
            <w:vAlign w:val="center"/>
          </w:tcPr>
          <w:p w14:paraId="6ABB15A6">
            <w:pPr>
              <w:pStyle w:val="23"/>
              <w:jc w:val="center"/>
              <w:rPr>
                <w:rFonts w:ascii="宋体" w:hAnsi="宋体"/>
                <w:kern w:val="0"/>
                <w:szCs w:val="21"/>
              </w:rPr>
            </w:pPr>
            <w:r>
              <w:rPr>
                <w:rFonts w:ascii="宋体" w:hAnsi="宋体"/>
                <w:kern w:val="0"/>
                <w:szCs w:val="21"/>
              </w:rPr>
              <w:t>0.3</w:t>
            </w:r>
          </w:p>
        </w:tc>
      </w:tr>
      <w:tr w14:paraId="77BC400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303" w:type="pct"/>
            <w:shd w:val="clear" w:color="auto" w:fill="auto"/>
            <w:noWrap/>
            <w:vAlign w:val="center"/>
          </w:tcPr>
          <w:p w14:paraId="4EA933AC">
            <w:pPr>
              <w:pStyle w:val="23"/>
              <w:rPr>
                <w:rFonts w:ascii="宋体" w:hAnsi="宋体"/>
                <w:kern w:val="0"/>
                <w:szCs w:val="21"/>
              </w:rPr>
            </w:pPr>
            <w:r>
              <w:rPr>
                <w:rFonts w:ascii="宋体" w:hAnsi="宋体"/>
                <w:kern w:val="0"/>
                <w:szCs w:val="21"/>
              </w:rPr>
              <w:t>二、综合经济水平</w:t>
            </w:r>
          </w:p>
        </w:tc>
        <w:tc>
          <w:tcPr>
            <w:tcW w:w="899" w:type="pct"/>
            <w:shd w:val="clear" w:color="auto" w:fill="auto"/>
            <w:noWrap/>
            <w:vAlign w:val="center"/>
          </w:tcPr>
          <w:p w14:paraId="3FEE6602">
            <w:pPr>
              <w:pStyle w:val="23"/>
              <w:jc w:val="center"/>
              <w:rPr>
                <w:rFonts w:ascii="宋体" w:hAnsi="宋体"/>
                <w:kern w:val="0"/>
                <w:szCs w:val="21"/>
              </w:rPr>
            </w:pPr>
          </w:p>
        </w:tc>
        <w:tc>
          <w:tcPr>
            <w:tcW w:w="899" w:type="pct"/>
            <w:shd w:val="clear" w:color="auto" w:fill="auto"/>
            <w:noWrap/>
            <w:vAlign w:val="center"/>
          </w:tcPr>
          <w:p w14:paraId="1A05F1D0">
            <w:pPr>
              <w:pStyle w:val="23"/>
              <w:jc w:val="center"/>
              <w:rPr>
                <w:rFonts w:ascii="宋体" w:hAnsi="宋体"/>
                <w:kern w:val="0"/>
                <w:szCs w:val="21"/>
              </w:rPr>
            </w:pPr>
          </w:p>
        </w:tc>
        <w:tc>
          <w:tcPr>
            <w:tcW w:w="899" w:type="pct"/>
            <w:shd w:val="clear" w:color="auto" w:fill="auto"/>
            <w:noWrap/>
            <w:vAlign w:val="center"/>
          </w:tcPr>
          <w:p w14:paraId="1E34A37B">
            <w:pPr>
              <w:pStyle w:val="23"/>
              <w:jc w:val="center"/>
              <w:rPr>
                <w:rFonts w:ascii="宋体" w:hAnsi="宋体"/>
                <w:kern w:val="0"/>
                <w:szCs w:val="21"/>
              </w:rPr>
            </w:pPr>
          </w:p>
        </w:tc>
      </w:tr>
      <w:tr w14:paraId="2C0DC50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303" w:type="pct"/>
            <w:shd w:val="clear" w:color="auto" w:fill="auto"/>
            <w:noWrap/>
            <w:vAlign w:val="center"/>
          </w:tcPr>
          <w:p w14:paraId="5CC4C999">
            <w:pPr>
              <w:pStyle w:val="23"/>
              <w:ind w:firstLine="840" w:firstLineChars="400"/>
              <w:rPr>
                <w:rFonts w:ascii="宋体" w:hAnsi="宋体"/>
                <w:kern w:val="0"/>
                <w:szCs w:val="21"/>
              </w:rPr>
            </w:pPr>
            <w:r>
              <w:rPr>
                <w:rFonts w:ascii="宋体" w:hAnsi="宋体"/>
                <w:kern w:val="0"/>
                <w:szCs w:val="21"/>
              </w:rPr>
              <w:t>总产出(当年价)</w:t>
            </w:r>
          </w:p>
        </w:tc>
        <w:tc>
          <w:tcPr>
            <w:tcW w:w="899" w:type="pct"/>
            <w:shd w:val="clear" w:color="auto" w:fill="auto"/>
            <w:noWrap/>
            <w:vAlign w:val="center"/>
          </w:tcPr>
          <w:p w14:paraId="407CE919">
            <w:pPr>
              <w:pStyle w:val="23"/>
              <w:jc w:val="center"/>
              <w:rPr>
                <w:rFonts w:ascii="宋体" w:hAnsi="宋体"/>
                <w:kern w:val="0"/>
                <w:szCs w:val="21"/>
              </w:rPr>
            </w:pPr>
            <w:r>
              <w:rPr>
                <w:rFonts w:ascii="宋体" w:hAnsi="宋体"/>
                <w:kern w:val="0"/>
                <w:szCs w:val="21"/>
              </w:rPr>
              <w:t>万元</w:t>
            </w:r>
          </w:p>
        </w:tc>
        <w:tc>
          <w:tcPr>
            <w:tcW w:w="899" w:type="pct"/>
            <w:shd w:val="clear" w:color="auto" w:fill="auto"/>
            <w:noWrap/>
            <w:vAlign w:val="center"/>
          </w:tcPr>
          <w:p w14:paraId="562DC7DB">
            <w:pPr>
              <w:pStyle w:val="23"/>
              <w:jc w:val="center"/>
              <w:rPr>
                <w:rFonts w:ascii="宋体" w:hAnsi="宋体"/>
                <w:kern w:val="0"/>
                <w:szCs w:val="21"/>
              </w:rPr>
            </w:pPr>
            <w:r>
              <w:rPr>
                <w:rFonts w:ascii="宋体" w:hAnsi="宋体"/>
                <w:kern w:val="0"/>
                <w:szCs w:val="21"/>
              </w:rPr>
              <w:t>1754345</w:t>
            </w:r>
          </w:p>
        </w:tc>
        <w:tc>
          <w:tcPr>
            <w:tcW w:w="899" w:type="pct"/>
            <w:shd w:val="clear" w:color="auto" w:fill="auto"/>
            <w:noWrap/>
            <w:vAlign w:val="center"/>
          </w:tcPr>
          <w:p w14:paraId="45E07246">
            <w:pPr>
              <w:pStyle w:val="23"/>
              <w:jc w:val="center"/>
              <w:rPr>
                <w:rFonts w:ascii="宋体" w:hAnsi="宋体"/>
                <w:kern w:val="0"/>
                <w:szCs w:val="21"/>
              </w:rPr>
            </w:pPr>
          </w:p>
        </w:tc>
      </w:tr>
      <w:tr w14:paraId="616C190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303" w:type="pct"/>
            <w:shd w:val="clear" w:color="auto" w:fill="auto"/>
            <w:noWrap/>
            <w:vAlign w:val="center"/>
          </w:tcPr>
          <w:p w14:paraId="423A81F7">
            <w:pPr>
              <w:pStyle w:val="23"/>
              <w:ind w:firstLine="840" w:firstLineChars="400"/>
              <w:rPr>
                <w:rFonts w:ascii="宋体" w:hAnsi="宋体"/>
                <w:kern w:val="0"/>
                <w:szCs w:val="21"/>
              </w:rPr>
            </w:pPr>
            <w:r>
              <w:rPr>
                <w:rFonts w:ascii="宋体" w:hAnsi="宋体"/>
                <w:kern w:val="0"/>
                <w:szCs w:val="21"/>
              </w:rPr>
              <w:t>总产出(2010年不变价)</w:t>
            </w:r>
          </w:p>
        </w:tc>
        <w:tc>
          <w:tcPr>
            <w:tcW w:w="899" w:type="pct"/>
            <w:shd w:val="clear" w:color="auto" w:fill="auto"/>
            <w:noWrap/>
            <w:vAlign w:val="center"/>
          </w:tcPr>
          <w:p w14:paraId="7C30E27A">
            <w:pPr>
              <w:pStyle w:val="23"/>
              <w:jc w:val="center"/>
              <w:rPr>
                <w:rFonts w:ascii="宋体" w:hAnsi="宋体"/>
                <w:kern w:val="0"/>
                <w:szCs w:val="21"/>
              </w:rPr>
            </w:pPr>
            <w:r>
              <w:rPr>
                <w:rFonts w:ascii="宋体" w:hAnsi="宋体"/>
                <w:kern w:val="0"/>
                <w:szCs w:val="21"/>
              </w:rPr>
              <w:t>万元</w:t>
            </w:r>
          </w:p>
        </w:tc>
        <w:tc>
          <w:tcPr>
            <w:tcW w:w="899" w:type="pct"/>
            <w:shd w:val="clear" w:color="auto" w:fill="auto"/>
            <w:noWrap/>
            <w:vAlign w:val="center"/>
          </w:tcPr>
          <w:p w14:paraId="2C878097">
            <w:pPr>
              <w:pStyle w:val="23"/>
              <w:jc w:val="center"/>
              <w:rPr>
                <w:rFonts w:ascii="宋体" w:hAnsi="宋体"/>
                <w:kern w:val="0"/>
                <w:szCs w:val="21"/>
              </w:rPr>
            </w:pPr>
            <w:r>
              <w:rPr>
                <w:rFonts w:ascii="宋体" w:hAnsi="宋体"/>
                <w:kern w:val="0"/>
                <w:szCs w:val="21"/>
              </w:rPr>
              <w:t>1561442</w:t>
            </w:r>
          </w:p>
        </w:tc>
        <w:tc>
          <w:tcPr>
            <w:tcW w:w="899" w:type="pct"/>
            <w:shd w:val="clear" w:color="auto" w:fill="auto"/>
            <w:noWrap/>
            <w:vAlign w:val="center"/>
          </w:tcPr>
          <w:p w14:paraId="0241DD9D">
            <w:pPr>
              <w:pStyle w:val="23"/>
              <w:jc w:val="center"/>
              <w:rPr>
                <w:rFonts w:ascii="宋体" w:hAnsi="宋体"/>
                <w:kern w:val="0"/>
                <w:szCs w:val="21"/>
              </w:rPr>
            </w:pPr>
            <w:r>
              <w:rPr>
                <w:rFonts w:ascii="宋体" w:hAnsi="宋体"/>
                <w:kern w:val="0"/>
                <w:szCs w:val="21"/>
              </w:rPr>
              <w:t>19.7</w:t>
            </w:r>
          </w:p>
        </w:tc>
      </w:tr>
      <w:tr w14:paraId="158BE1B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303" w:type="pct"/>
            <w:shd w:val="clear" w:color="auto" w:fill="auto"/>
            <w:noWrap/>
            <w:vAlign w:val="center"/>
          </w:tcPr>
          <w:p w14:paraId="38C11A7C">
            <w:pPr>
              <w:pStyle w:val="23"/>
              <w:ind w:firstLine="840" w:firstLineChars="400"/>
              <w:rPr>
                <w:rFonts w:ascii="宋体" w:hAnsi="宋体"/>
                <w:kern w:val="0"/>
                <w:szCs w:val="21"/>
              </w:rPr>
            </w:pPr>
            <w:r>
              <w:rPr>
                <w:rFonts w:ascii="宋体" w:hAnsi="宋体"/>
                <w:kern w:val="0"/>
                <w:szCs w:val="21"/>
              </w:rPr>
              <w:t>生产总值(当年价)</w:t>
            </w:r>
          </w:p>
        </w:tc>
        <w:tc>
          <w:tcPr>
            <w:tcW w:w="899" w:type="pct"/>
            <w:shd w:val="clear" w:color="auto" w:fill="auto"/>
            <w:noWrap/>
            <w:vAlign w:val="center"/>
          </w:tcPr>
          <w:p w14:paraId="10E99C51">
            <w:pPr>
              <w:pStyle w:val="23"/>
              <w:jc w:val="center"/>
              <w:rPr>
                <w:rFonts w:ascii="宋体" w:hAnsi="宋体"/>
                <w:kern w:val="0"/>
                <w:szCs w:val="21"/>
              </w:rPr>
            </w:pPr>
            <w:r>
              <w:rPr>
                <w:rFonts w:ascii="宋体" w:hAnsi="宋体"/>
                <w:kern w:val="0"/>
                <w:szCs w:val="21"/>
              </w:rPr>
              <w:t>万元</w:t>
            </w:r>
          </w:p>
        </w:tc>
        <w:tc>
          <w:tcPr>
            <w:tcW w:w="899" w:type="pct"/>
            <w:shd w:val="clear" w:color="auto" w:fill="auto"/>
            <w:noWrap/>
            <w:vAlign w:val="center"/>
          </w:tcPr>
          <w:p w14:paraId="31CD907A">
            <w:pPr>
              <w:pStyle w:val="23"/>
              <w:jc w:val="center"/>
              <w:rPr>
                <w:rFonts w:ascii="宋体" w:hAnsi="宋体"/>
                <w:kern w:val="0"/>
                <w:szCs w:val="21"/>
              </w:rPr>
            </w:pPr>
            <w:r>
              <w:rPr>
                <w:rFonts w:ascii="宋体" w:hAnsi="宋体"/>
                <w:kern w:val="0"/>
                <w:szCs w:val="21"/>
              </w:rPr>
              <w:t>733045</w:t>
            </w:r>
          </w:p>
        </w:tc>
        <w:tc>
          <w:tcPr>
            <w:tcW w:w="899" w:type="pct"/>
            <w:shd w:val="clear" w:color="auto" w:fill="auto"/>
            <w:noWrap/>
            <w:vAlign w:val="center"/>
          </w:tcPr>
          <w:p w14:paraId="7C076FCD">
            <w:pPr>
              <w:pStyle w:val="23"/>
              <w:jc w:val="center"/>
              <w:rPr>
                <w:rFonts w:ascii="宋体" w:hAnsi="宋体"/>
                <w:kern w:val="0"/>
                <w:szCs w:val="21"/>
              </w:rPr>
            </w:pPr>
          </w:p>
        </w:tc>
      </w:tr>
      <w:tr w14:paraId="5A14F9F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303" w:type="pct"/>
            <w:shd w:val="clear" w:color="auto" w:fill="auto"/>
            <w:noWrap/>
            <w:vAlign w:val="center"/>
          </w:tcPr>
          <w:p w14:paraId="736BC486">
            <w:pPr>
              <w:pStyle w:val="23"/>
              <w:ind w:firstLine="840" w:firstLineChars="400"/>
              <w:rPr>
                <w:rFonts w:ascii="宋体" w:hAnsi="宋体"/>
                <w:kern w:val="0"/>
                <w:szCs w:val="21"/>
              </w:rPr>
            </w:pPr>
            <w:r>
              <w:rPr>
                <w:rFonts w:ascii="宋体" w:hAnsi="宋体"/>
                <w:kern w:val="0"/>
                <w:szCs w:val="21"/>
              </w:rPr>
              <w:t>生产总值(2010年不变价)</w:t>
            </w:r>
          </w:p>
        </w:tc>
        <w:tc>
          <w:tcPr>
            <w:tcW w:w="899" w:type="pct"/>
            <w:shd w:val="clear" w:color="auto" w:fill="auto"/>
            <w:noWrap/>
            <w:vAlign w:val="center"/>
          </w:tcPr>
          <w:p w14:paraId="6B523CD0">
            <w:pPr>
              <w:pStyle w:val="23"/>
              <w:jc w:val="center"/>
              <w:rPr>
                <w:rFonts w:ascii="宋体" w:hAnsi="宋体"/>
                <w:kern w:val="0"/>
                <w:szCs w:val="21"/>
              </w:rPr>
            </w:pPr>
            <w:r>
              <w:rPr>
                <w:rFonts w:ascii="宋体" w:hAnsi="宋体"/>
                <w:kern w:val="0"/>
                <w:szCs w:val="21"/>
              </w:rPr>
              <w:t>万元</w:t>
            </w:r>
          </w:p>
        </w:tc>
        <w:tc>
          <w:tcPr>
            <w:tcW w:w="899" w:type="pct"/>
            <w:shd w:val="clear" w:color="auto" w:fill="auto"/>
            <w:noWrap/>
            <w:vAlign w:val="center"/>
          </w:tcPr>
          <w:p w14:paraId="19A82640">
            <w:pPr>
              <w:pStyle w:val="23"/>
              <w:jc w:val="center"/>
              <w:rPr>
                <w:rFonts w:ascii="宋体" w:hAnsi="宋体"/>
                <w:kern w:val="0"/>
                <w:szCs w:val="21"/>
              </w:rPr>
            </w:pPr>
            <w:r>
              <w:rPr>
                <w:rFonts w:ascii="宋体" w:hAnsi="宋体"/>
                <w:kern w:val="0"/>
                <w:szCs w:val="21"/>
              </w:rPr>
              <w:t>697474</w:t>
            </w:r>
          </w:p>
        </w:tc>
        <w:tc>
          <w:tcPr>
            <w:tcW w:w="899" w:type="pct"/>
            <w:shd w:val="clear" w:color="auto" w:fill="auto"/>
            <w:noWrap/>
            <w:vAlign w:val="center"/>
          </w:tcPr>
          <w:p w14:paraId="5C6FAFBD">
            <w:pPr>
              <w:pStyle w:val="23"/>
              <w:jc w:val="center"/>
              <w:rPr>
                <w:rFonts w:ascii="宋体" w:hAnsi="宋体"/>
                <w:kern w:val="0"/>
                <w:szCs w:val="21"/>
              </w:rPr>
            </w:pPr>
            <w:r>
              <w:rPr>
                <w:rFonts w:ascii="宋体" w:hAnsi="宋体"/>
                <w:kern w:val="0"/>
                <w:szCs w:val="21"/>
              </w:rPr>
              <w:t>15.7</w:t>
            </w:r>
          </w:p>
        </w:tc>
      </w:tr>
      <w:tr w14:paraId="038CDA9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303" w:type="pct"/>
            <w:shd w:val="clear" w:color="auto" w:fill="auto"/>
            <w:noWrap/>
            <w:vAlign w:val="center"/>
          </w:tcPr>
          <w:p w14:paraId="125473E8">
            <w:pPr>
              <w:pStyle w:val="23"/>
              <w:rPr>
                <w:rFonts w:ascii="宋体" w:hAnsi="宋体"/>
                <w:kern w:val="0"/>
                <w:szCs w:val="21"/>
              </w:rPr>
            </w:pPr>
            <w:r>
              <w:rPr>
                <w:rFonts w:ascii="宋体" w:hAnsi="宋体"/>
                <w:kern w:val="0"/>
                <w:szCs w:val="21"/>
              </w:rPr>
              <w:t>三、农业</w:t>
            </w:r>
          </w:p>
        </w:tc>
        <w:tc>
          <w:tcPr>
            <w:tcW w:w="899" w:type="pct"/>
            <w:shd w:val="clear" w:color="auto" w:fill="auto"/>
            <w:noWrap/>
            <w:vAlign w:val="center"/>
          </w:tcPr>
          <w:p w14:paraId="02E07898">
            <w:pPr>
              <w:pStyle w:val="23"/>
              <w:jc w:val="center"/>
              <w:rPr>
                <w:rFonts w:ascii="宋体" w:hAnsi="宋体"/>
                <w:kern w:val="0"/>
                <w:szCs w:val="21"/>
              </w:rPr>
            </w:pPr>
          </w:p>
        </w:tc>
        <w:tc>
          <w:tcPr>
            <w:tcW w:w="899" w:type="pct"/>
            <w:shd w:val="clear" w:color="auto" w:fill="auto"/>
            <w:noWrap/>
            <w:vAlign w:val="center"/>
          </w:tcPr>
          <w:p w14:paraId="69558BFD">
            <w:pPr>
              <w:pStyle w:val="23"/>
              <w:jc w:val="center"/>
              <w:rPr>
                <w:rFonts w:ascii="宋体" w:hAnsi="宋体"/>
                <w:kern w:val="0"/>
                <w:szCs w:val="21"/>
              </w:rPr>
            </w:pPr>
          </w:p>
        </w:tc>
        <w:tc>
          <w:tcPr>
            <w:tcW w:w="899" w:type="pct"/>
            <w:shd w:val="clear" w:color="auto" w:fill="auto"/>
            <w:noWrap/>
            <w:vAlign w:val="center"/>
          </w:tcPr>
          <w:p w14:paraId="79795922">
            <w:pPr>
              <w:pStyle w:val="23"/>
              <w:jc w:val="center"/>
              <w:rPr>
                <w:rFonts w:ascii="宋体" w:hAnsi="宋体"/>
                <w:kern w:val="0"/>
                <w:szCs w:val="21"/>
              </w:rPr>
            </w:pPr>
          </w:p>
        </w:tc>
      </w:tr>
      <w:tr w14:paraId="787C1CA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303" w:type="pct"/>
            <w:shd w:val="clear" w:color="auto" w:fill="auto"/>
            <w:noWrap/>
            <w:vAlign w:val="center"/>
          </w:tcPr>
          <w:p w14:paraId="64E7D2B8">
            <w:pPr>
              <w:pStyle w:val="23"/>
              <w:ind w:firstLine="840" w:firstLineChars="400"/>
              <w:rPr>
                <w:rFonts w:ascii="宋体" w:hAnsi="宋体"/>
                <w:kern w:val="0"/>
                <w:szCs w:val="21"/>
              </w:rPr>
            </w:pPr>
            <w:r>
              <w:rPr>
                <w:rFonts w:ascii="宋体" w:hAnsi="宋体"/>
                <w:kern w:val="0"/>
                <w:szCs w:val="21"/>
              </w:rPr>
              <w:t>农业总产值(当年价)</w:t>
            </w:r>
          </w:p>
        </w:tc>
        <w:tc>
          <w:tcPr>
            <w:tcW w:w="899" w:type="pct"/>
            <w:shd w:val="clear" w:color="auto" w:fill="auto"/>
            <w:noWrap/>
            <w:vAlign w:val="center"/>
          </w:tcPr>
          <w:p w14:paraId="080D1210">
            <w:pPr>
              <w:pStyle w:val="23"/>
              <w:jc w:val="center"/>
              <w:rPr>
                <w:rFonts w:ascii="宋体" w:hAnsi="宋体"/>
                <w:kern w:val="0"/>
                <w:szCs w:val="21"/>
              </w:rPr>
            </w:pPr>
            <w:r>
              <w:rPr>
                <w:rFonts w:ascii="宋体" w:hAnsi="宋体"/>
                <w:kern w:val="0"/>
                <w:szCs w:val="21"/>
              </w:rPr>
              <w:t>万元</w:t>
            </w:r>
          </w:p>
        </w:tc>
        <w:tc>
          <w:tcPr>
            <w:tcW w:w="899" w:type="pct"/>
            <w:shd w:val="clear" w:color="auto" w:fill="auto"/>
            <w:noWrap/>
            <w:vAlign w:val="center"/>
          </w:tcPr>
          <w:p w14:paraId="22028E84">
            <w:pPr>
              <w:pStyle w:val="23"/>
              <w:jc w:val="center"/>
              <w:rPr>
                <w:rFonts w:ascii="宋体" w:hAnsi="宋体"/>
                <w:kern w:val="0"/>
                <w:szCs w:val="21"/>
              </w:rPr>
            </w:pPr>
            <w:r>
              <w:rPr>
                <w:rFonts w:ascii="宋体" w:hAnsi="宋体"/>
                <w:kern w:val="0"/>
                <w:szCs w:val="21"/>
              </w:rPr>
              <w:t>326004</w:t>
            </w:r>
          </w:p>
        </w:tc>
        <w:tc>
          <w:tcPr>
            <w:tcW w:w="899" w:type="pct"/>
            <w:shd w:val="clear" w:color="auto" w:fill="auto"/>
            <w:noWrap/>
            <w:vAlign w:val="center"/>
          </w:tcPr>
          <w:p w14:paraId="384C943C">
            <w:pPr>
              <w:pStyle w:val="23"/>
              <w:jc w:val="center"/>
              <w:rPr>
                <w:rFonts w:ascii="宋体" w:hAnsi="宋体"/>
                <w:kern w:val="0"/>
                <w:szCs w:val="21"/>
              </w:rPr>
            </w:pPr>
          </w:p>
        </w:tc>
      </w:tr>
      <w:tr w14:paraId="39BC030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303" w:type="pct"/>
            <w:shd w:val="clear" w:color="auto" w:fill="auto"/>
            <w:noWrap/>
            <w:vAlign w:val="center"/>
          </w:tcPr>
          <w:p w14:paraId="1198A5B1">
            <w:pPr>
              <w:pStyle w:val="23"/>
              <w:ind w:firstLine="840" w:firstLineChars="400"/>
              <w:rPr>
                <w:rFonts w:ascii="宋体" w:hAnsi="宋体"/>
                <w:kern w:val="0"/>
                <w:szCs w:val="21"/>
              </w:rPr>
            </w:pPr>
            <w:r>
              <w:rPr>
                <w:rFonts w:ascii="宋体" w:hAnsi="宋体"/>
                <w:kern w:val="0"/>
                <w:szCs w:val="21"/>
              </w:rPr>
              <w:t>农业总产值(2010年不变价)</w:t>
            </w:r>
          </w:p>
        </w:tc>
        <w:tc>
          <w:tcPr>
            <w:tcW w:w="899" w:type="pct"/>
            <w:shd w:val="clear" w:color="auto" w:fill="auto"/>
            <w:noWrap/>
            <w:vAlign w:val="center"/>
          </w:tcPr>
          <w:p w14:paraId="03D4EA81">
            <w:pPr>
              <w:pStyle w:val="23"/>
              <w:jc w:val="center"/>
              <w:rPr>
                <w:rFonts w:ascii="宋体" w:hAnsi="宋体"/>
                <w:kern w:val="0"/>
                <w:szCs w:val="21"/>
              </w:rPr>
            </w:pPr>
            <w:r>
              <w:rPr>
                <w:rFonts w:ascii="宋体" w:hAnsi="宋体"/>
                <w:kern w:val="0"/>
                <w:szCs w:val="21"/>
              </w:rPr>
              <w:t>万元</w:t>
            </w:r>
          </w:p>
        </w:tc>
        <w:tc>
          <w:tcPr>
            <w:tcW w:w="899" w:type="pct"/>
            <w:shd w:val="clear" w:color="auto" w:fill="auto"/>
            <w:noWrap/>
            <w:vAlign w:val="center"/>
          </w:tcPr>
          <w:p w14:paraId="22B83729">
            <w:pPr>
              <w:pStyle w:val="23"/>
              <w:jc w:val="center"/>
              <w:rPr>
                <w:rFonts w:ascii="宋体" w:hAnsi="宋体"/>
                <w:kern w:val="0"/>
                <w:szCs w:val="21"/>
              </w:rPr>
            </w:pPr>
            <w:r>
              <w:rPr>
                <w:rFonts w:ascii="宋体" w:hAnsi="宋体"/>
                <w:kern w:val="0"/>
                <w:szCs w:val="21"/>
              </w:rPr>
              <w:t>283838</w:t>
            </w:r>
          </w:p>
        </w:tc>
        <w:tc>
          <w:tcPr>
            <w:tcW w:w="899" w:type="pct"/>
            <w:shd w:val="clear" w:color="auto" w:fill="auto"/>
            <w:noWrap/>
            <w:vAlign w:val="center"/>
          </w:tcPr>
          <w:p w14:paraId="7372B362">
            <w:pPr>
              <w:pStyle w:val="23"/>
              <w:jc w:val="center"/>
              <w:rPr>
                <w:rFonts w:ascii="宋体" w:hAnsi="宋体"/>
                <w:kern w:val="0"/>
                <w:szCs w:val="21"/>
              </w:rPr>
            </w:pPr>
            <w:r>
              <w:rPr>
                <w:rFonts w:ascii="宋体" w:hAnsi="宋体"/>
                <w:kern w:val="0"/>
                <w:szCs w:val="21"/>
              </w:rPr>
              <w:t>4.1</w:t>
            </w:r>
          </w:p>
        </w:tc>
      </w:tr>
      <w:tr w14:paraId="3BBD419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303" w:type="pct"/>
            <w:shd w:val="clear" w:color="auto" w:fill="auto"/>
            <w:noWrap/>
            <w:vAlign w:val="center"/>
          </w:tcPr>
          <w:p w14:paraId="59E762F6">
            <w:pPr>
              <w:pStyle w:val="23"/>
              <w:ind w:firstLine="840" w:firstLineChars="400"/>
              <w:rPr>
                <w:rFonts w:ascii="宋体" w:hAnsi="宋体"/>
                <w:kern w:val="0"/>
                <w:szCs w:val="21"/>
              </w:rPr>
            </w:pPr>
            <w:r>
              <w:rPr>
                <w:rFonts w:ascii="宋体" w:hAnsi="宋体"/>
                <w:kern w:val="0"/>
                <w:szCs w:val="21"/>
              </w:rPr>
              <w:t>粮食总产量</w:t>
            </w:r>
          </w:p>
        </w:tc>
        <w:tc>
          <w:tcPr>
            <w:tcW w:w="899" w:type="pct"/>
            <w:shd w:val="clear" w:color="auto" w:fill="auto"/>
            <w:noWrap/>
            <w:vAlign w:val="center"/>
          </w:tcPr>
          <w:p w14:paraId="1481A8C3">
            <w:pPr>
              <w:pStyle w:val="23"/>
              <w:jc w:val="center"/>
              <w:rPr>
                <w:rFonts w:ascii="宋体" w:hAnsi="宋体"/>
                <w:kern w:val="0"/>
                <w:szCs w:val="21"/>
              </w:rPr>
            </w:pPr>
            <w:r>
              <w:rPr>
                <w:rFonts w:ascii="宋体" w:hAnsi="宋体"/>
                <w:kern w:val="0"/>
                <w:szCs w:val="21"/>
              </w:rPr>
              <w:t>吨</w:t>
            </w:r>
          </w:p>
        </w:tc>
        <w:tc>
          <w:tcPr>
            <w:tcW w:w="899" w:type="pct"/>
            <w:shd w:val="clear" w:color="auto" w:fill="auto"/>
            <w:noWrap/>
            <w:vAlign w:val="center"/>
          </w:tcPr>
          <w:p w14:paraId="67EDE42B">
            <w:pPr>
              <w:pStyle w:val="23"/>
              <w:jc w:val="center"/>
              <w:rPr>
                <w:rFonts w:ascii="宋体" w:hAnsi="宋体"/>
                <w:kern w:val="0"/>
                <w:szCs w:val="21"/>
              </w:rPr>
            </w:pPr>
            <w:r>
              <w:rPr>
                <w:rFonts w:ascii="宋体" w:hAnsi="宋体"/>
                <w:kern w:val="0"/>
                <w:szCs w:val="21"/>
              </w:rPr>
              <w:t>222356</w:t>
            </w:r>
          </w:p>
        </w:tc>
        <w:tc>
          <w:tcPr>
            <w:tcW w:w="899" w:type="pct"/>
            <w:shd w:val="clear" w:color="auto" w:fill="auto"/>
            <w:noWrap/>
            <w:vAlign w:val="center"/>
          </w:tcPr>
          <w:p w14:paraId="6133A69D">
            <w:pPr>
              <w:pStyle w:val="23"/>
              <w:jc w:val="center"/>
              <w:rPr>
                <w:rFonts w:ascii="宋体" w:hAnsi="宋体"/>
                <w:kern w:val="0"/>
                <w:szCs w:val="21"/>
              </w:rPr>
            </w:pPr>
            <w:r>
              <w:rPr>
                <w:rFonts w:ascii="宋体" w:hAnsi="宋体"/>
                <w:kern w:val="0"/>
                <w:szCs w:val="21"/>
              </w:rPr>
              <w:t>3.4</w:t>
            </w:r>
          </w:p>
        </w:tc>
      </w:tr>
      <w:tr w14:paraId="2CE2CCA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303" w:type="pct"/>
            <w:shd w:val="clear" w:color="auto" w:fill="auto"/>
            <w:noWrap/>
            <w:vAlign w:val="center"/>
          </w:tcPr>
          <w:p w14:paraId="3D88C80F">
            <w:pPr>
              <w:pStyle w:val="23"/>
              <w:ind w:firstLine="840" w:firstLineChars="400"/>
              <w:rPr>
                <w:rFonts w:ascii="宋体" w:hAnsi="宋体"/>
                <w:kern w:val="0"/>
                <w:szCs w:val="21"/>
              </w:rPr>
            </w:pPr>
            <w:r>
              <w:rPr>
                <w:rFonts w:ascii="宋体" w:hAnsi="宋体"/>
                <w:kern w:val="0"/>
                <w:szCs w:val="21"/>
              </w:rPr>
              <w:t>水稻总产量</w:t>
            </w:r>
          </w:p>
        </w:tc>
        <w:tc>
          <w:tcPr>
            <w:tcW w:w="899" w:type="pct"/>
            <w:shd w:val="clear" w:color="auto" w:fill="auto"/>
            <w:noWrap/>
            <w:vAlign w:val="center"/>
          </w:tcPr>
          <w:p w14:paraId="26087FF7">
            <w:pPr>
              <w:pStyle w:val="23"/>
              <w:jc w:val="center"/>
              <w:rPr>
                <w:rFonts w:ascii="宋体" w:hAnsi="宋体"/>
                <w:kern w:val="0"/>
                <w:szCs w:val="21"/>
              </w:rPr>
            </w:pPr>
            <w:r>
              <w:rPr>
                <w:rFonts w:ascii="宋体" w:hAnsi="宋体"/>
                <w:kern w:val="0"/>
                <w:szCs w:val="21"/>
              </w:rPr>
              <w:t>吨</w:t>
            </w:r>
          </w:p>
        </w:tc>
        <w:tc>
          <w:tcPr>
            <w:tcW w:w="899" w:type="pct"/>
            <w:shd w:val="clear" w:color="auto" w:fill="auto"/>
            <w:noWrap/>
            <w:vAlign w:val="center"/>
          </w:tcPr>
          <w:p w14:paraId="761B48B7">
            <w:pPr>
              <w:pStyle w:val="23"/>
              <w:jc w:val="center"/>
              <w:rPr>
                <w:rFonts w:ascii="宋体" w:hAnsi="宋体"/>
                <w:kern w:val="0"/>
                <w:szCs w:val="21"/>
              </w:rPr>
            </w:pPr>
            <w:r>
              <w:rPr>
                <w:rFonts w:ascii="宋体" w:hAnsi="宋体"/>
                <w:kern w:val="0"/>
                <w:szCs w:val="21"/>
              </w:rPr>
              <w:t>198678</w:t>
            </w:r>
          </w:p>
        </w:tc>
        <w:tc>
          <w:tcPr>
            <w:tcW w:w="899" w:type="pct"/>
            <w:shd w:val="clear" w:color="auto" w:fill="auto"/>
            <w:noWrap/>
            <w:vAlign w:val="center"/>
          </w:tcPr>
          <w:p w14:paraId="40CC5607">
            <w:pPr>
              <w:pStyle w:val="23"/>
              <w:jc w:val="center"/>
              <w:rPr>
                <w:rFonts w:ascii="宋体" w:hAnsi="宋体"/>
                <w:kern w:val="0"/>
                <w:szCs w:val="21"/>
              </w:rPr>
            </w:pPr>
            <w:r>
              <w:rPr>
                <w:rFonts w:ascii="宋体" w:hAnsi="宋体"/>
                <w:kern w:val="0"/>
                <w:szCs w:val="21"/>
              </w:rPr>
              <w:t>2.7</w:t>
            </w:r>
          </w:p>
        </w:tc>
      </w:tr>
      <w:tr w14:paraId="73A2BC3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303" w:type="pct"/>
            <w:shd w:val="clear" w:color="auto" w:fill="auto"/>
            <w:noWrap/>
            <w:vAlign w:val="center"/>
          </w:tcPr>
          <w:p w14:paraId="061C2A34">
            <w:pPr>
              <w:pStyle w:val="23"/>
              <w:ind w:firstLine="840" w:firstLineChars="400"/>
              <w:rPr>
                <w:rFonts w:ascii="宋体" w:hAnsi="宋体"/>
                <w:kern w:val="0"/>
                <w:szCs w:val="21"/>
              </w:rPr>
            </w:pPr>
            <w:r>
              <w:rPr>
                <w:rFonts w:ascii="宋体" w:hAnsi="宋体"/>
                <w:kern w:val="0"/>
                <w:szCs w:val="21"/>
              </w:rPr>
              <w:t>烟叶总产量</w:t>
            </w:r>
          </w:p>
        </w:tc>
        <w:tc>
          <w:tcPr>
            <w:tcW w:w="899" w:type="pct"/>
            <w:shd w:val="clear" w:color="auto" w:fill="auto"/>
            <w:noWrap/>
            <w:vAlign w:val="center"/>
          </w:tcPr>
          <w:p w14:paraId="3040A444">
            <w:pPr>
              <w:pStyle w:val="23"/>
              <w:jc w:val="center"/>
              <w:rPr>
                <w:rFonts w:ascii="宋体" w:hAnsi="宋体"/>
                <w:kern w:val="0"/>
                <w:szCs w:val="21"/>
              </w:rPr>
            </w:pPr>
            <w:r>
              <w:rPr>
                <w:rFonts w:ascii="宋体" w:hAnsi="宋体"/>
                <w:kern w:val="0"/>
                <w:szCs w:val="21"/>
              </w:rPr>
              <w:t>吨</w:t>
            </w:r>
          </w:p>
        </w:tc>
        <w:tc>
          <w:tcPr>
            <w:tcW w:w="899" w:type="pct"/>
            <w:shd w:val="clear" w:color="auto" w:fill="auto"/>
            <w:noWrap/>
            <w:vAlign w:val="center"/>
          </w:tcPr>
          <w:p w14:paraId="2B61FD83">
            <w:pPr>
              <w:pStyle w:val="23"/>
              <w:jc w:val="center"/>
              <w:rPr>
                <w:rFonts w:ascii="宋体" w:hAnsi="宋体"/>
                <w:kern w:val="0"/>
                <w:szCs w:val="21"/>
              </w:rPr>
            </w:pPr>
            <w:r>
              <w:rPr>
                <w:rFonts w:ascii="宋体" w:hAnsi="宋体"/>
                <w:kern w:val="0"/>
                <w:szCs w:val="21"/>
              </w:rPr>
              <w:t>24001</w:t>
            </w:r>
          </w:p>
        </w:tc>
        <w:tc>
          <w:tcPr>
            <w:tcW w:w="899" w:type="pct"/>
            <w:shd w:val="clear" w:color="auto" w:fill="auto"/>
            <w:noWrap/>
            <w:vAlign w:val="center"/>
          </w:tcPr>
          <w:p w14:paraId="6ABCA81D">
            <w:pPr>
              <w:pStyle w:val="23"/>
              <w:jc w:val="center"/>
              <w:rPr>
                <w:rFonts w:ascii="宋体" w:hAnsi="宋体"/>
                <w:kern w:val="0"/>
                <w:szCs w:val="21"/>
              </w:rPr>
            </w:pPr>
            <w:r>
              <w:rPr>
                <w:rFonts w:ascii="宋体" w:hAnsi="宋体"/>
                <w:kern w:val="0"/>
                <w:szCs w:val="21"/>
              </w:rPr>
              <w:t>1.3</w:t>
            </w:r>
          </w:p>
        </w:tc>
      </w:tr>
      <w:tr w14:paraId="18F6BE8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303" w:type="pct"/>
            <w:shd w:val="clear" w:color="auto" w:fill="auto"/>
            <w:noWrap/>
            <w:vAlign w:val="center"/>
          </w:tcPr>
          <w:p w14:paraId="0550AC8A">
            <w:pPr>
              <w:pStyle w:val="23"/>
              <w:ind w:firstLine="840" w:firstLineChars="400"/>
              <w:rPr>
                <w:rFonts w:ascii="宋体" w:hAnsi="宋体"/>
                <w:kern w:val="0"/>
                <w:szCs w:val="21"/>
              </w:rPr>
            </w:pPr>
            <w:r>
              <w:rPr>
                <w:rFonts w:ascii="宋体" w:hAnsi="宋体"/>
                <w:kern w:val="0"/>
                <w:szCs w:val="21"/>
              </w:rPr>
              <w:t>花生总产量</w:t>
            </w:r>
          </w:p>
        </w:tc>
        <w:tc>
          <w:tcPr>
            <w:tcW w:w="899" w:type="pct"/>
            <w:shd w:val="clear" w:color="auto" w:fill="auto"/>
            <w:noWrap/>
            <w:vAlign w:val="center"/>
          </w:tcPr>
          <w:p w14:paraId="4EC39280">
            <w:pPr>
              <w:pStyle w:val="23"/>
              <w:jc w:val="center"/>
              <w:rPr>
                <w:rFonts w:ascii="宋体" w:hAnsi="宋体"/>
                <w:kern w:val="0"/>
                <w:szCs w:val="21"/>
              </w:rPr>
            </w:pPr>
            <w:r>
              <w:rPr>
                <w:rFonts w:ascii="宋体" w:hAnsi="宋体"/>
                <w:kern w:val="0"/>
                <w:szCs w:val="21"/>
              </w:rPr>
              <w:t>吨</w:t>
            </w:r>
          </w:p>
        </w:tc>
        <w:tc>
          <w:tcPr>
            <w:tcW w:w="899" w:type="pct"/>
            <w:shd w:val="clear" w:color="auto" w:fill="auto"/>
            <w:noWrap/>
            <w:vAlign w:val="center"/>
          </w:tcPr>
          <w:p w14:paraId="6E660E43">
            <w:pPr>
              <w:pStyle w:val="23"/>
              <w:jc w:val="center"/>
              <w:rPr>
                <w:rFonts w:ascii="宋体" w:hAnsi="宋体"/>
                <w:kern w:val="0"/>
                <w:szCs w:val="21"/>
              </w:rPr>
            </w:pPr>
            <w:r>
              <w:rPr>
                <w:rFonts w:ascii="宋体" w:hAnsi="宋体"/>
                <w:kern w:val="0"/>
                <w:szCs w:val="21"/>
              </w:rPr>
              <w:t>22062</w:t>
            </w:r>
          </w:p>
        </w:tc>
        <w:tc>
          <w:tcPr>
            <w:tcW w:w="899" w:type="pct"/>
            <w:shd w:val="clear" w:color="auto" w:fill="auto"/>
            <w:noWrap/>
            <w:vAlign w:val="center"/>
          </w:tcPr>
          <w:p w14:paraId="6B494CB7">
            <w:pPr>
              <w:pStyle w:val="23"/>
              <w:jc w:val="center"/>
              <w:rPr>
                <w:rFonts w:ascii="宋体" w:hAnsi="宋体"/>
                <w:kern w:val="0"/>
                <w:szCs w:val="21"/>
              </w:rPr>
            </w:pPr>
            <w:r>
              <w:rPr>
                <w:rFonts w:ascii="宋体" w:hAnsi="宋体"/>
                <w:kern w:val="0"/>
                <w:szCs w:val="21"/>
              </w:rPr>
              <w:t>4.5</w:t>
            </w:r>
          </w:p>
        </w:tc>
      </w:tr>
      <w:tr w14:paraId="1668F10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303" w:type="pct"/>
            <w:shd w:val="clear" w:color="auto" w:fill="auto"/>
            <w:noWrap/>
            <w:vAlign w:val="center"/>
          </w:tcPr>
          <w:p w14:paraId="59B7A358">
            <w:pPr>
              <w:pStyle w:val="23"/>
              <w:ind w:firstLine="840" w:firstLineChars="400"/>
              <w:rPr>
                <w:rFonts w:ascii="宋体" w:hAnsi="宋体"/>
                <w:kern w:val="0"/>
                <w:szCs w:val="21"/>
              </w:rPr>
            </w:pPr>
            <w:r>
              <w:rPr>
                <w:rFonts w:ascii="宋体" w:hAnsi="宋体"/>
                <w:kern w:val="0"/>
                <w:szCs w:val="21"/>
              </w:rPr>
              <w:t>生猪年末存栏量</w:t>
            </w:r>
          </w:p>
        </w:tc>
        <w:tc>
          <w:tcPr>
            <w:tcW w:w="899" w:type="pct"/>
            <w:shd w:val="clear" w:color="auto" w:fill="auto"/>
            <w:noWrap/>
            <w:vAlign w:val="center"/>
          </w:tcPr>
          <w:p w14:paraId="1A0EA173">
            <w:pPr>
              <w:pStyle w:val="23"/>
              <w:jc w:val="center"/>
              <w:rPr>
                <w:rFonts w:ascii="宋体" w:hAnsi="宋体"/>
                <w:kern w:val="0"/>
                <w:szCs w:val="21"/>
              </w:rPr>
            </w:pPr>
            <w:r>
              <w:rPr>
                <w:rFonts w:ascii="宋体" w:hAnsi="宋体"/>
                <w:kern w:val="0"/>
                <w:szCs w:val="21"/>
              </w:rPr>
              <w:t>头</w:t>
            </w:r>
          </w:p>
        </w:tc>
        <w:tc>
          <w:tcPr>
            <w:tcW w:w="899" w:type="pct"/>
            <w:shd w:val="clear" w:color="auto" w:fill="auto"/>
            <w:noWrap/>
            <w:vAlign w:val="center"/>
          </w:tcPr>
          <w:p w14:paraId="3D56ADFE">
            <w:pPr>
              <w:pStyle w:val="23"/>
              <w:jc w:val="center"/>
              <w:rPr>
                <w:rFonts w:ascii="宋体" w:hAnsi="宋体"/>
                <w:kern w:val="0"/>
                <w:szCs w:val="21"/>
              </w:rPr>
            </w:pPr>
            <w:r>
              <w:rPr>
                <w:rFonts w:ascii="宋体" w:hAnsi="宋体"/>
                <w:kern w:val="0"/>
                <w:szCs w:val="21"/>
              </w:rPr>
              <w:t>228764</w:t>
            </w:r>
          </w:p>
        </w:tc>
        <w:tc>
          <w:tcPr>
            <w:tcW w:w="899" w:type="pct"/>
            <w:shd w:val="clear" w:color="auto" w:fill="auto"/>
            <w:noWrap/>
            <w:vAlign w:val="center"/>
          </w:tcPr>
          <w:p w14:paraId="0A9A1979">
            <w:pPr>
              <w:pStyle w:val="23"/>
              <w:jc w:val="center"/>
              <w:rPr>
                <w:rFonts w:ascii="宋体" w:hAnsi="宋体"/>
                <w:kern w:val="0"/>
                <w:szCs w:val="21"/>
              </w:rPr>
            </w:pPr>
            <w:r>
              <w:rPr>
                <w:rFonts w:ascii="宋体" w:hAnsi="宋体"/>
                <w:kern w:val="0"/>
                <w:szCs w:val="21"/>
              </w:rPr>
              <w:t>2.4</w:t>
            </w:r>
          </w:p>
        </w:tc>
      </w:tr>
      <w:tr w14:paraId="358E03D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303" w:type="pct"/>
            <w:shd w:val="clear" w:color="auto" w:fill="auto"/>
            <w:noWrap/>
            <w:vAlign w:val="center"/>
          </w:tcPr>
          <w:p w14:paraId="3BBBA743">
            <w:pPr>
              <w:pStyle w:val="23"/>
              <w:ind w:firstLine="840" w:firstLineChars="400"/>
              <w:rPr>
                <w:rFonts w:ascii="宋体" w:hAnsi="宋体"/>
                <w:kern w:val="0"/>
                <w:szCs w:val="21"/>
              </w:rPr>
            </w:pPr>
            <w:r>
              <w:rPr>
                <w:rFonts w:ascii="宋体" w:hAnsi="宋体"/>
                <w:kern w:val="0"/>
                <w:szCs w:val="21"/>
              </w:rPr>
              <w:t>肉类产量</w:t>
            </w:r>
          </w:p>
        </w:tc>
        <w:tc>
          <w:tcPr>
            <w:tcW w:w="899" w:type="pct"/>
            <w:shd w:val="clear" w:color="auto" w:fill="auto"/>
            <w:noWrap/>
            <w:vAlign w:val="center"/>
          </w:tcPr>
          <w:p w14:paraId="00FCB4D2">
            <w:pPr>
              <w:pStyle w:val="23"/>
              <w:jc w:val="center"/>
              <w:rPr>
                <w:rFonts w:ascii="宋体" w:hAnsi="宋体"/>
                <w:kern w:val="0"/>
                <w:szCs w:val="21"/>
              </w:rPr>
            </w:pPr>
            <w:r>
              <w:rPr>
                <w:rFonts w:ascii="宋体" w:hAnsi="宋体"/>
                <w:kern w:val="0"/>
                <w:szCs w:val="21"/>
              </w:rPr>
              <w:t>吨</w:t>
            </w:r>
          </w:p>
        </w:tc>
        <w:tc>
          <w:tcPr>
            <w:tcW w:w="899" w:type="pct"/>
            <w:shd w:val="clear" w:color="auto" w:fill="auto"/>
            <w:noWrap/>
            <w:vAlign w:val="center"/>
          </w:tcPr>
          <w:p w14:paraId="4FBC0D63">
            <w:pPr>
              <w:pStyle w:val="23"/>
              <w:jc w:val="center"/>
              <w:rPr>
                <w:rFonts w:ascii="宋体" w:hAnsi="宋体"/>
                <w:kern w:val="0"/>
                <w:szCs w:val="21"/>
              </w:rPr>
            </w:pPr>
            <w:r>
              <w:rPr>
                <w:rFonts w:ascii="宋体" w:hAnsi="宋体"/>
                <w:kern w:val="0"/>
                <w:szCs w:val="21"/>
              </w:rPr>
              <w:t>34733</w:t>
            </w:r>
          </w:p>
        </w:tc>
        <w:tc>
          <w:tcPr>
            <w:tcW w:w="899" w:type="pct"/>
            <w:shd w:val="clear" w:color="auto" w:fill="auto"/>
            <w:noWrap/>
            <w:vAlign w:val="center"/>
          </w:tcPr>
          <w:p w14:paraId="3B63AA43">
            <w:pPr>
              <w:pStyle w:val="23"/>
              <w:jc w:val="center"/>
              <w:rPr>
                <w:rFonts w:ascii="宋体" w:hAnsi="宋体"/>
                <w:kern w:val="0"/>
                <w:szCs w:val="21"/>
              </w:rPr>
            </w:pPr>
            <w:r>
              <w:rPr>
                <w:rFonts w:ascii="宋体" w:hAnsi="宋体"/>
                <w:kern w:val="0"/>
                <w:szCs w:val="21"/>
              </w:rPr>
              <w:t>-2.2</w:t>
            </w:r>
          </w:p>
        </w:tc>
      </w:tr>
      <w:tr w14:paraId="55F2D68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303" w:type="pct"/>
            <w:shd w:val="clear" w:color="auto" w:fill="auto"/>
            <w:noWrap/>
            <w:vAlign w:val="center"/>
          </w:tcPr>
          <w:p w14:paraId="5077E4EB">
            <w:pPr>
              <w:pStyle w:val="23"/>
              <w:ind w:firstLine="840" w:firstLineChars="400"/>
              <w:rPr>
                <w:rFonts w:ascii="宋体" w:hAnsi="宋体"/>
                <w:kern w:val="0"/>
                <w:szCs w:val="21"/>
              </w:rPr>
            </w:pPr>
            <w:r>
              <w:rPr>
                <w:rFonts w:ascii="宋体" w:hAnsi="宋体"/>
                <w:kern w:val="0"/>
                <w:szCs w:val="21"/>
              </w:rPr>
              <w:t>水果产量</w:t>
            </w:r>
          </w:p>
        </w:tc>
        <w:tc>
          <w:tcPr>
            <w:tcW w:w="899" w:type="pct"/>
            <w:shd w:val="clear" w:color="auto" w:fill="auto"/>
            <w:noWrap/>
            <w:vAlign w:val="center"/>
          </w:tcPr>
          <w:p w14:paraId="0E13DBC9">
            <w:pPr>
              <w:pStyle w:val="23"/>
              <w:jc w:val="center"/>
              <w:rPr>
                <w:rFonts w:ascii="宋体" w:hAnsi="宋体"/>
                <w:kern w:val="0"/>
                <w:szCs w:val="21"/>
              </w:rPr>
            </w:pPr>
            <w:r>
              <w:rPr>
                <w:rFonts w:ascii="宋体" w:hAnsi="宋体"/>
                <w:kern w:val="0"/>
                <w:szCs w:val="21"/>
              </w:rPr>
              <w:t>吨</w:t>
            </w:r>
          </w:p>
        </w:tc>
        <w:tc>
          <w:tcPr>
            <w:tcW w:w="899" w:type="pct"/>
            <w:shd w:val="clear" w:color="auto" w:fill="auto"/>
            <w:noWrap/>
            <w:vAlign w:val="center"/>
          </w:tcPr>
          <w:p w14:paraId="5C8C71CF">
            <w:pPr>
              <w:pStyle w:val="23"/>
              <w:jc w:val="center"/>
              <w:rPr>
                <w:rFonts w:ascii="宋体" w:hAnsi="宋体"/>
                <w:kern w:val="0"/>
                <w:szCs w:val="21"/>
              </w:rPr>
            </w:pPr>
            <w:r>
              <w:rPr>
                <w:rFonts w:ascii="宋体" w:hAnsi="宋体"/>
                <w:kern w:val="0"/>
                <w:szCs w:val="21"/>
              </w:rPr>
              <w:t>18976</w:t>
            </w:r>
          </w:p>
        </w:tc>
        <w:tc>
          <w:tcPr>
            <w:tcW w:w="899" w:type="pct"/>
            <w:shd w:val="clear" w:color="auto" w:fill="auto"/>
            <w:noWrap/>
            <w:vAlign w:val="center"/>
          </w:tcPr>
          <w:p w14:paraId="74C17376">
            <w:pPr>
              <w:pStyle w:val="23"/>
              <w:jc w:val="center"/>
              <w:rPr>
                <w:rFonts w:ascii="宋体" w:hAnsi="宋体"/>
                <w:kern w:val="0"/>
                <w:szCs w:val="21"/>
              </w:rPr>
            </w:pPr>
            <w:r>
              <w:rPr>
                <w:rFonts w:ascii="宋体" w:hAnsi="宋体"/>
                <w:kern w:val="0"/>
                <w:szCs w:val="21"/>
              </w:rPr>
              <w:t>10</w:t>
            </w:r>
          </w:p>
        </w:tc>
      </w:tr>
      <w:tr w14:paraId="5CAC773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303" w:type="pct"/>
            <w:shd w:val="clear" w:color="auto" w:fill="auto"/>
            <w:noWrap/>
            <w:vAlign w:val="center"/>
          </w:tcPr>
          <w:p w14:paraId="29D45C0C">
            <w:pPr>
              <w:pStyle w:val="23"/>
              <w:ind w:firstLine="840" w:firstLineChars="400"/>
              <w:rPr>
                <w:rFonts w:ascii="宋体" w:hAnsi="宋体"/>
                <w:kern w:val="0"/>
                <w:szCs w:val="21"/>
              </w:rPr>
            </w:pPr>
            <w:r>
              <w:rPr>
                <w:rFonts w:ascii="宋体" w:hAnsi="宋体"/>
                <w:kern w:val="0"/>
                <w:szCs w:val="21"/>
              </w:rPr>
              <w:t>水产品产量</w:t>
            </w:r>
          </w:p>
        </w:tc>
        <w:tc>
          <w:tcPr>
            <w:tcW w:w="899" w:type="pct"/>
            <w:shd w:val="clear" w:color="auto" w:fill="auto"/>
            <w:noWrap/>
            <w:vAlign w:val="center"/>
          </w:tcPr>
          <w:p w14:paraId="16F44857">
            <w:pPr>
              <w:pStyle w:val="23"/>
              <w:jc w:val="center"/>
              <w:rPr>
                <w:rFonts w:ascii="宋体" w:hAnsi="宋体"/>
                <w:kern w:val="0"/>
                <w:szCs w:val="21"/>
              </w:rPr>
            </w:pPr>
            <w:r>
              <w:rPr>
                <w:rFonts w:ascii="宋体" w:hAnsi="宋体"/>
                <w:kern w:val="0"/>
                <w:szCs w:val="21"/>
              </w:rPr>
              <w:t>吨</w:t>
            </w:r>
          </w:p>
        </w:tc>
        <w:tc>
          <w:tcPr>
            <w:tcW w:w="899" w:type="pct"/>
            <w:shd w:val="clear" w:color="auto" w:fill="auto"/>
            <w:noWrap/>
            <w:vAlign w:val="center"/>
          </w:tcPr>
          <w:p w14:paraId="4A6B2698">
            <w:pPr>
              <w:pStyle w:val="23"/>
              <w:jc w:val="center"/>
              <w:rPr>
                <w:rFonts w:ascii="宋体" w:hAnsi="宋体"/>
                <w:kern w:val="0"/>
                <w:szCs w:val="21"/>
              </w:rPr>
            </w:pPr>
            <w:r>
              <w:rPr>
                <w:rFonts w:ascii="宋体" w:hAnsi="宋体"/>
                <w:kern w:val="0"/>
                <w:szCs w:val="21"/>
              </w:rPr>
              <w:t>14320</w:t>
            </w:r>
          </w:p>
        </w:tc>
        <w:tc>
          <w:tcPr>
            <w:tcW w:w="899" w:type="pct"/>
            <w:shd w:val="clear" w:color="auto" w:fill="auto"/>
            <w:noWrap/>
            <w:vAlign w:val="center"/>
          </w:tcPr>
          <w:p w14:paraId="09D20004">
            <w:pPr>
              <w:pStyle w:val="23"/>
              <w:jc w:val="center"/>
              <w:rPr>
                <w:rFonts w:ascii="宋体" w:hAnsi="宋体"/>
                <w:kern w:val="0"/>
                <w:szCs w:val="21"/>
              </w:rPr>
            </w:pPr>
            <w:r>
              <w:rPr>
                <w:rFonts w:ascii="宋体" w:hAnsi="宋体"/>
                <w:kern w:val="0"/>
                <w:szCs w:val="21"/>
              </w:rPr>
              <w:t>3.9</w:t>
            </w:r>
          </w:p>
        </w:tc>
      </w:tr>
      <w:tr w14:paraId="22635CD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303" w:type="pct"/>
            <w:shd w:val="clear" w:color="auto" w:fill="auto"/>
            <w:noWrap/>
            <w:vAlign w:val="center"/>
          </w:tcPr>
          <w:p w14:paraId="7EFBD60E">
            <w:pPr>
              <w:pStyle w:val="23"/>
              <w:ind w:firstLine="840" w:firstLineChars="400"/>
              <w:rPr>
                <w:rFonts w:ascii="宋体" w:hAnsi="宋体"/>
                <w:kern w:val="0"/>
                <w:szCs w:val="21"/>
              </w:rPr>
            </w:pPr>
            <w:r>
              <w:rPr>
                <w:rFonts w:ascii="宋体" w:hAnsi="宋体"/>
                <w:kern w:val="0"/>
                <w:szCs w:val="21"/>
              </w:rPr>
              <w:t>化肥施用量(折纯)</w:t>
            </w:r>
          </w:p>
        </w:tc>
        <w:tc>
          <w:tcPr>
            <w:tcW w:w="899" w:type="pct"/>
            <w:shd w:val="clear" w:color="auto" w:fill="auto"/>
            <w:noWrap/>
            <w:vAlign w:val="center"/>
          </w:tcPr>
          <w:p w14:paraId="380942FA">
            <w:pPr>
              <w:pStyle w:val="23"/>
              <w:jc w:val="center"/>
              <w:rPr>
                <w:rFonts w:ascii="宋体" w:hAnsi="宋体"/>
                <w:kern w:val="0"/>
                <w:szCs w:val="21"/>
              </w:rPr>
            </w:pPr>
            <w:r>
              <w:rPr>
                <w:rFonts w:ascii="宋体" w:hAnsi="宋体"/>
                <w:kern w:val="0"/>
                <w:szCs w:val="21"/>
              </w:rPr>
              <w:t>吨</w:t>
            </w:r>
          </w:p>
        </w:tc>
        <w:tc>
          <w:tcPr>
            <w:tcW w:w="899" w:type="pct"/>
            <w:shd w:val="clear" w:color="auto" w:fill="auto"/>
            <w:noWrap/>
            <w:vAlign w:val="center"/>
          </w:tcPr>
          <w:p w14:paraId="5A72074B">
            <w:pPr>
              <w:pStyle w:val="23"/>
              <w:jc w:val="center"/>
              <w:rPr>
                <w:rFonts w:ascii="宋体" w:hAnsi="宋体"/>
                <w:kern w:val="0"/>
                <w:szCs w:val="21"/>
              </w:rPr>
            </w:pPr>
            <w:r>
              <w:rPr>
                <w:rFonts w:ascii="宋体" w:hAnsi="宋体"/>
                <w:kern w:val="0"/>
                <w:szCs w:val="21"/>
              </w:rPr>
              <w:t>17937</w:t>
            </w:r>
          </w:p>
        </w:tc>
        <w:tc>
          <w:tcPr>
            <w:tcW w:w="899" w:type="pct"/>
            <w:shd w:val="clear" w:color="auto" w:fill="auto"/>
            <w:noWrap/>
            <w:vAlign w:val="center"/>
          </w:tcPr>
          <w:p w14:paraId="0F9FFDA4">
            <w:pPr>
              <w:pStyle w:val="23"/>
              <w:jc w:val="center"/>
              <w:rPr>
                <w:rFonts w:ascii="宋体" w:hAnsi="宋体"/>
                <w:kern w:val="0"/>
                <w:szCs w:val="21"/>
              </w:rPr>
            </w:pPr>
            <w:r>
              <w:rPr>
                <w:rFonts w:ascii="宋体" w:hAnsi="宋体"/>
                <w:kern w:val="0"/>
                <w:szCs w:val="21"/>
              </w:rPr>
              <w:t>0.7</w:t>
            </w:r>
          </w:p>
        </w:tc>
      </w:tr>
      <w:tr w14:paraId="6A1757C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303" w:type="pct"/>
            <w:shd w:val="clear" w:color="auto" w:fill="auto"/>
            <w:noWrap/>
            <w:vAlign w:val="center"/>
          </w:tcPr>
          <w:p w14:paraId="1FCB0427">
            <w:pPr>
              <w:pStyle w:val="23"/>
              <w:ind w:firstLine="840" w:firstLineChars="400"/>
              <w:rPr>
                <w:rFonts w:ascii="宋体" w:hAnsi="宋体"/>
                <w:kern w:val="0"/>
                <w:szCs w:val="21"/>
              </w:rPr>
            </w:pPr>
            <w:r>
              <w:rPr>
                <w:rFonts w:ascii="宋体" w:hAnsi="宋体"/>
                <w:kern w:val="0"/>
                <w:szCs w:val="21"/>
              </w:rPr>
              <w:t>农药使用量</w:t>
            </w:r>
          </w:p>
        </w:tc>
        <w:tc>
          <w:tcPr>
            <w:tcW w:w="899" w:type="pct"/>
            <w:shd w:val="clear" w:color="auto" w:fill="auto"/>
            <w:noWrap/>
            <w:vAlign w:val="center"/>
          </w:tcPr>
          <w:p w14:paraId="23741A8E">
            <w:pPr>
              <w:pStyle w:val="23"/>
              <w:jc w:val="center"/>
              <w:rPr>
                <w:rFonts w:ascii="宋体" w:hAnsi="宋体"/>
                <w:kern w:val="0"/>
                <w:szCs w:val="21"/>
              </w:rPr>
            </w:pPr>
            <w:r>
              <w:rPr>
                <w:rFonts w:ascii="宋体" w:hAnsi="宋体"/>
                <w:kern w:val="0"/>
                <w:szCs w:val="21"/>
              </w:rPr>
              <w:t>吨</w:t>
            </w:r>
          </w:p>
        </w:tc>
        <w:tc>
          <w:tcPr>
            <w:tcW w:w="899" w:type="pct"/>
            <w:shd w:val="clear" w:color="auto" w:fill="auto"/>
            <w:noWrap/>
            <w:vAlign w:val="center"/>
          </w:tcPr>
          <w:p w14:paraId="5F7D1618">
            <w:pPr>
              <w:pStyle w:val="23"/>
              <w:jc w:val="center"/>
              <w:rPr>
                <w:rFonts w:ascii="宋体" w:hAnsi="宋体"/>
                <w:kern w:val="0"/>
                <w:szCs w:val="21"/>
              </w:rPr>
            </w:pPr>
            <w:r>
              <w:rPr>
                <w:rFonts w:ascii="宋体" w:hAnsi="宋体"/>
                <w:kern w:val="0"/>
                <w:szCs w:val="21"/>
              </w:rPr>
              <w:t>909</w:t>
            </w:r>
          </w:p>
        </w:tc>
        <w:tc>
          <w:tcPr>
            <w:tcW w:w="899" w:type="pct"/>
            <w:shd w:val="clear" w:color="auto" w:fill="auto"/>
            <w:noWrap/>
            <w:vAlign w:val="center"/>
          </w:tcPr>
          <w:p w14:paraId="72C8B152">
            <w:pPr>
              <w:pStyle w:val="23"/>
              <w:jc w:val="center"/>
              <w:rPr>
                <w:rFonts w:ascii="宋体" w:hAnsi="宋体"/>
                <w:kern w:val="0"/>
                <w:szCs w:val="21"/>
              </w:rPr>
            </w:pPr>
            <w:r>
              <w:rPr>
                <w:rFonts w:ascii="宋体" w:hAnsi="宋体"/>
                <w:kern w:val="0"/>
                <w:szCs w:val="21"/>
              </w:rPr>
              <w:t>0.4</w:t>
            </w:r>
          </w:p>
        </w:tc>
      </w:tr>
      <w:tr w14:paraId="77822D6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303" w:type="pct"/>
            <w:shd w:val="clear" w:color="auto" w:fill="auto"/>
            <w:noWrap/>
            <w:vAlign w:val="center"/>
          </w:tcPr>
          <w:p w14:paraId="5E7EA03B">
            <w:pPr>
              <w:pStyle w:val="23"/>
              <w:ind w:firstLine="840" w:firstLineChars="400"/>
              <w:rPr>
                <w:rFonts w:ascii="宋体" w:hAnsi="宋体"/>
                <w:kern w:val="0"/>
                <w:szCs w:val="21"/>
              </w:rPr>
            </w:pPr>
            <w:r>
              <w:rPr>
                <w:rFonts w:ascii="宋体" w:hAnsi="宋体"/>
                <w:kern w:val="0"/>
                <w:szCs w:val="21"/>
              </w:rPr>
              <w:t>农村用电量</w:t>
            </w:r>
          </w:p>
        </w:tc>
        <w:tc>
          <w:tcPr>
            <w:tcW w:w="899" w:type="pct"/>
            <w:shd w:val="clear" w:color="auto" w:fill="auto"/>
            <w:noWrap/>
            <w:vAlign w:val="center"/>
          </w:tcPr>
          <w:p w14:paraId="07FA783A">
            <w:pPr>
              <w:pStyle w:val="23"/>
              <w:jc w:val="center"/>
              <w:rPr>
                <w:rFonts w:ascii="宋体" w:hAnsi="宋体"/>
                <w:kern w:val="0"/>
                <w:szCs w:val="21"/>
              </w:rPr>
            </w:pPr>
            <w:r>
              <w:rPr>
                <w:rFonts w:ascii="宋体" w:hAnsi="宋体"/>
                <w:kern w:val="0"/>
                <w:szCs w:val="21"/>
              </w:rPr>
              <w:t>万千瓦时</w:t>
            </w:r>
          </w:p>
        </w:tc>
        <w:tc>
          <w:tcPr>
            <w:tcW w:w="899" w:type="pct"/>
            <w:shd w:val="clear" w:color="auto" w:fill="auto"/>
            <w:noWrap/>
            <w:vAlign w:val="center"/>
          </w:tcPr>
          <w:p w14:paraId="1D33D84F">
            <w:pPr>
              <w:pStyle w:val="23"/>
              <w:jc w:val="center"/>
              <w:rPr>
                <w:rFonts w:ascii="宋体" w:hAnsi="宋体"/>
                <w:kern w:val="0"/>
                <w:szCs w:val="21"/>
              </w:rPr>
            </w:pPr>
            <w:r>
              <w:rPr>
                <w:rFonts w:ascii="宋体" w:hAnsi="宋体"/>
                <w:kern w:val="0"/>
                <w:szCs w:val="21"/>
              </w:rPr>
              <w:t>5698</w:t>
            </w:r>
          </w:p>
        </w:tc>
        <w:tc>
          <w:tcPr>
            <w:tcW w:w="899" w:type="pct"/>
            <w:shd w:val="clear" w:color="auto" w:fill="auto"/>
            <w:noWrap/>
            <w:vAlign w:val="center"/>
          </w:tcPr>
          <w:p w14:paraId="26B77AA5">
            <w:pPr>
              <w:pStyle w:val="23"/>
              <w:jc w:val="center"/>
              <w:rPr>
                <w:rFonts w:ascii="宋体" w:hAnsi="宋体"/>
                <w:kern w:val="0"/>
                <w:szCs w:val="21"/>
              </w:rPr>
            </w:pPr>
            <w:r>
              <w:rPr>
                <w:rFonts w:ascii="宋体" w:hAnsi="宋体"/>
                <w:kern w:val="0"/>
                <w:szCs w:val="21"/>
              </w:rPr>
              <w:t>0.2</w:t>
            </w:r>
          </w:p>
        </w:tc>
      </w:tr>
      <w:tr w14:paraId="5876BD0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303" w:type="pct"/>
            <w:shd w:val="clear" w:color="auto" w:fill="auto"/>
            <w:noWrap/>
            <w:vAlign w:val="center"/>
          </w:tcPr>
          <w:p w14:paraId="340D9F91">
            <w:pPr>
              <w:pStyle w:val="23"/>
              <w:ind w:firstLine="840" w:firstLineChars="400"/>
              <w:rPr>
                <w:rFonts w:ascii="宋体" w:hAnsi="宋体"/>
                <w:kern w:val="0"/>
                <w:szCs w:val="21"/>
              </w:rPr>
            </w:pPr>
            <w:r>
              <w:rPr>
                <w:rFonts w:ascii="宋体" w:hAnsi="宋体"/>
                <w:kern w:val="0"/>
                <w:szCs w:val="21"/>
              </w:rPr>
              <w:t>农业机械总动力</w:t>
            </w:r>
          </w:p>
        </w:tc>
        <w:tc>
          <w:tcPr>
            <w:tcW w:w="899" w:type="pct"/>
            <w:shd w:val="clear" w:color="auto" w:fill="auto"/>
            <w:noWrap/>
            <w:vAlign w:val="center"/>
          </w:tcPr>
          <w:p w14:paraId="540A6E27">
            <w:pPr>
              <w:pStyle w:val="23"/>
              <w:jc w:val="center"/>
              <w:rPr>
                <w:rFonts w:ascii="宋体" w:hAnsi="宋体"/>
                <w:kern w:val="0"/>
                <w:szCs w:val="21"/>
              </w:rPr>
            </w:pPr>
            <w:r>
              <w:rPr>
                <w:rFonts w:ascii="宋体" w:hAnsi="宋体"/>
                <w:kern w:val="0"/>
                <w:szCs w:val="21"/>
              </w:rPr>
              <w:t>万千瓦</w:t>
            </w:r>
          </w:p>
        </w:tc>
        <w:tc>
          <w:tcPr>
            <w:tcW w:w="899" w:type="pct"/>
            <w:shd w:val="clear" w:color="auto" w:fill="auto"/>
            <w:noWrap/>
            <w:vAlign w:val="center"/>
          </w:tcPr>
          <w:p w14:paraId="79974F17">
            <w:pPr>
              <w:pStyle w:val="23"/>
              <w:jc w:val="center"/>
              <w:rPr>
                <w:rFonts w:ascii="宋体" w:hAnsi="宋体"/>
                <w:kern w:val="0"/>
                <w:szCs w:val="21"/>
              </w:rPr>
            </w:pPr>
            <w:r>
              <w:rPr>
                <w:rFonts w:ascii="宋体" w:hAnsi="宋体"/>
                <w:kern w:val="0"/>
                <w:szCs w:val="21"/>
              </w:rPr>
              <w:t>28</w:t>
            </w:r>
          </w:p>
        </w:tc>
        <w:tc>
          <w:tcPr>
            <w:tcW w:w="899" w:type="pct"/>
            <w:shd w:val="clear" w:color="auto" w:fill="auto"/>
            <w:noWrap/>
            <w:vAlign w:val="center"/>
          </w:tcPr>
          <w:p w14:paraId="2B55491A">
            <w:pPr>
              <w:pStyle w:val="23"/>
              <w:jc w:val="center"/>
              <w:rPr>
                <w:rFonts w:ascii="宋体" w:hAnsi="宋体"/>
                <w:kern w:val="0"/>
                <w:szCs w:val="21"/>
              </w:rPr>
            </w:pPr>
            <w:r>
              <w:rPr>
                <w:rFonts w:ascii="宋体" w:hAnsi="宋体"/>
                <w:kern w:val="0"/>
                <w:szCs w:val="21"/>
              </w:rPr>
              <w:t>持平</w:t>
            </w:r>
          </w:p>
        </w:tc>
      </w:tr>
      <w:tr w14:paraId="64E277A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303" w:type="pct"/>
            <w:shd w:val="clear" w:color="auto" w:fill="auto"/>
            <w:noWrap/>
            <w:vAlign w:val="center"/>
          </w:tcPr>
          <w:p w14:paraId="294934E2">
            <w:pPr>
              <w:pStyle w:val="23"/>
              <w:ind w:firstLine="840" w:firstLineChars="400"/>
              <w:rPr>
                <w:rFonts w:ascii="宋体" w:hAnsi="宋体"/>
                <w:kern w:val="0"/>
                <w:szCs w:val="21"/>
              </w:rPr>
            </w:pPr>
            <w:r>
              <w:rPr>
                <w:rFonts w:ascii="宋体" w:hAnsi="宋体"/>
                <w:kern w:val="0"/>
                <w:szCs w:val="21"/>
              </w:rPr>
              <w:t>农民人均纯收入</w:t>
            </w:r>
          </w:p>
        </w:tc>
        <w:tc>
          <w:tcPr>
            <w:tcW w:w="899" w:type="pct"/>
            <w:shd w:val="clear" w:color="auto" w:fill="auto"/>
            <w:noWrap/>
            <w:vAlign w:val="center"/>
          </w:tcPr>
          <w:p w14:paraId="6E9E4330">
            <w:pPr>
              <w:pStyle w:val="23"/>
              <w:jc w:val="center"/>
              <w:rPr>
                <w:rFonts w:ascii="宋体" w:hAnsi="宋体"/>
                <w:kern w:val="0"/>
                <w:szCs w:val="21"/>
              </w:rPr>
            </w:pPr>
            <w:r>
              <w:rPr>
                <w:rFonts w:ascii="宋体" w:hAnsi="宋体"/>
                <w:kern w:val="0"/>
                <w:szCs w:val="21"/>
              </w:rPr>
              <w:t>元</w:t>
            </w:r>
          </w:p>
        </w:tc>
        <w:tc>
          <w:tcPr>
            <w:tcW w:w="899" w:type="pct"/>
            <w:shd w:val="clear" w:color="auto" w:fill="auto"/>
            <w:noWrap/>
            <w:vAlign w:val="center"/>
          </w:tcPr>
          <w:p w14:paraId="13CE5B1A">
            <w:pPr>
              <w:pStyle w:val="23"/>
              <w:jc w:val="center"/>
              <w:rPr>
                <w:rFonts w:ascii="宋体" w:hAnsi="宋体"/>
                <w:kern w:val="0"/>
                <w:szCs w:val="21"/>
              </w:rPr>
            </w:pPr>
            <w:r>
              <w:rPr>
                <w:rFonts w:ascii="宋体" w:hAnsi="宋体"/>
                <w:kern w:val="0"/>
                <w:szCs w:val="21"/>
              </w:rPr>
              <w:t>7023</w:t>
            </w:r>
          </w:p>
        </w:tc>
        <w:tc>
          <w:tcPr>
            <w:tcW w:w="899" w:type="pct"/>
            <w:shd w:val="clear" w:color="auto" w:fill="auto"/>
            <w:noWrap/>
            <w:vAlign w:val="center"/>
          </w:tcPr>
          <w:p w14:paraId="610CDBC7">
            <w:pPr>
              <w:pStyle w:val="23"/>
              <w:jc w:val="center"/>
              <w:rPr>
                <w:rFonts w:ascii="宋体" w:hAnsi="宋体"/>
                <w:kern w:val="0"/>
                <w:szCs w:val="21"/>
              </w:rPr>
            </w:pPr>
            <w:r>
              <w:rPr>
                <w:rFonts w:ascii="宋体" w:hAnsi="宋体"/>
                <w:kern w:val="0"/>
                <w:szCs w:val="21"/>
              </w:rPr>
              <w:t>17.9</w:t>
            </w:r>
          </w:p>
        </w:tc>
      </w:tr>
      <w:tr w14:paraId="42B00B7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303" w:type="pct"/>
            <w:shd w:val="clear" w:color="auto" w:fill="auto"/>
            <w:noWrap/>
            <w:vAlign w:val="center"/>
          </w:tcPr>
          <w:p w14:paraId="02889AE1">
            <w:pPr>
              <w:pStyle w:val="23"/>
              <w:rPr>
                <w:rFonts w:ascii="宋体" w:hAnsi="宋体"/>
                <w:kern w:val="0"/>
                <w:szCs w:val="21"/>
              </w:rPr>
            </w:pPr>
            <w:r>
              <w:rPr>
                <w:rFonts w:ascii="宋体" w:hAnsi="宋体"/>
                <w:kern w:val="0"/>
                <w:szCs w:val="21"/>
              </w:rPr>
              <w:t>四、工业</w:t>
            </w:r>
          </w:p>
        </w:tc>
        <w:tc>
          <w:tcPr>
            <w:tcW w:w="899" w:type="pct"/>
            <w:shd w:val="clear" w:color="auto" w:fill="auto"/>
            <w:noWrap/>
            <w:vAlign w:val="center"/>
          </w:tcPr>
          <w:p w14:paraId="06171E92">
            <w:pPr>
              <w:pStyle w:val="23"/>
              <w:jc w:val="center"/>
              <w:rPr>
                <w:rFonts w:ascii="宋体" w:hAnsi="宋体"/>
                <w:kern w:val="0"/>
                <w:szCs w:val="21"/>
              </w:rPr>
            </w:pPr>
          </w:p>
        </w:tc>
        <w:tc>
          <w:tcPr>
            <w:tcW w:w="899" w:type="pct"/>
            <w:shd w:val="clear" w:color="auto" w:fill="auto"/>
            <w:noWrap/>
            <w:vAlign w:val="center"/>
          </w:tcPr>
          <w:p w14:paraId="0E026D75">
            <w:pPr>
              <w:pStyle w:val="23"/>
              <w:jc w:val="center"/>
              <w:rPr>
                <w:rFonts w:ascii="宋体" w:hAnsi="宋体"/>
                <w:kern w:val="0"/>
                <w:szCs w:val="21"/>
              </w:rPr>
            </w:pPr>
          </w:p>
        </w:tc>
        <w:tc>
          <w:tcPr>
            <w:tcW w:w="899" w:type="pct"/>
            <w:shd w:val="clear" w:color="auto" w:fill="auto"/>
            <w:noWrap/>
            <w:vAlign w:val="center"/>
          </w:tcPr>
          <w:p w14:paraId="7989D61E">
            <w:pPr>
              <w:pStyle w:val="23"/>
              <w:jc w:val="center"/>
              <w:rPr>
                <w:rFonts w:ascii="宋体" w:hAnsi="宋体"/>
                <w:kern w:val="0"/>
                <w:szCs w:val="21"/>
              </w:rPr>
            </w:pPr>
          </w:p>
        </w:tc>
      </w:tr>
      <w:tr w14:paraId="378868B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303" w:type="pct"/>
            <w:shd w:val="clear" w:color="auto" w:fill="auto"/>
            <w:noWrap/>
            <w:vAlign w:val="center"/>
          </w:tcPr>
          <w:p w14:paraId="5CE23668">
            <w:pPr>
              <w:pStyle w:val="23"/>
              <w:ind w:firstLine="420" w:firstLineChars="200"/>
              <w:rPr>
                <w:rFonts w:ascii="宋体" w:hAnsi="宋体"/>
                <w:kern w:val="0"/>
                <w:szCs w:val="21"/>
              </w:rPr>
            </w:pPr>
            <w:r>
              <w:rPr>
                <w:rFonts w:ascii="宋体" w:hAnsi="宋体"/>
                <w:kern w:val="0"/>
                <w:szCs w:val="21"/>
              </w:rPr>
              <w:t>全市工业总产值(当年价)</w:t>
            </w:r>
          </w:p>
        </w:tc>
        <w:tc>
          <w:tcPr>
            <w:tcW w:w="899" w:type="pct"/>
            <w:shd w:val="clear" w:color="auto" w:fill="auto"/>
            <w:noWrap/>
            <w:vAlign w:val="center"/>
          </w:tcPr>
          <w:p w14:paraId="72A55812">
            <w:pPr>
              <w:pStyle w:val="23"/>
              <w:jc w:val="center"/>
              <w:rPr>
                <w:rFonts w:ascii="宋体" w:hAnsi="宋体"/>
                <w:kern w:val="0"/>
                <w:szCs w:val="21"/>
              </w:rPr>
            </w:pPr>
            <w:r>
              <w:rPr>
                <w:rFonts w:ascii="宋体" w:hAnsi="宋体"/>
                <w:kern w:val="0"/>
                <w:szCs w:val="21"/>
              </w:rPr>
              <w:t>万元</w:t>
            </w:r>
          </w:p>
        </w:tc>
        <w:tc>
          <w:tcPr>
            <w:tcW w:w="899" w:type="pct"/>
            <w:shd w:val="clear" w:color="auto" w:fill="auto"/>
            <w:noWrap/>
            <w:vAlign w:val="center"/>
          </w:tcPr>
          <w:p w14:paraId="52EC0E18">
            <w:pPr>
              <w:pStyle w:val="23"/>
              <w:jc w:val="center"/>
              <w:rPr>
                <w:rFonts w:ascii="宋体" w:hAnsi="宋体"/>
                <w:kern w:val="0"/>
                <w:szCs w:val="21"/>
              </w:rPr>
            </w:pPr>
            <w:r>
              <w:rPr>
                <w:rFonts w:ascii="宋体" w:hAnsi="宋体"/>
                <w:kern w:val="0"/>
                <w:szCs w:val="21"/>
              </w:rPr>
              <w:t>595824</w:t>
            </w:r>
          </w:p>
        </w:tc>
        <w:tc>
          <w:tcPr>
            <w:tcW w:w="899" w:type="pct"/>
            <w:shd w:val="clear" w:color="auto" w:fill="auto"/>
            <w:noWrap/>
            <w:vAlign w:val="center"/>
          </w:tcPr>
          <w:p w14:paraId="55DF20E9">
            <w:pPr>
              <w:pStyle w:val="23"/>
              <w:jc w:val="center"/>
              <w:rPr>
                <w:rFonts w:ascii="宋体" w:hAnsi="宋体"/>
                <w:kern w:val="0"/>
                <w:szCs w:val="21"/>
              </w:rPr>
            </w:pPr>
            <w:r>
              <w:rPr>
                <w:rFonts w:ascii="宋体" w:hAnsi="宋体"/>
                <w:kern w:val="0"/>
                <w:szCs w:val="21"/>
              </w:rPr>
              <w:t>37.5</w:t>
            </w:r>
          </w:p>
        </w:tc>
      </w:tr>
      <w:tr w14:paraId="37C141E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303" w:type="pct"/>
            <w:shd w:val="clear" w:color="auto" w:fill="auto"/>
            <w:noWrap/>
            <w:vAlign w:val="center"/>
          </w:tcPr>
          <w:p w14:paraId="5BE3421D">
            <w:pPr>
              <w:pStyle w:val="23"/>
              <w:ind w:firstLine="840" w:firstLineChars="400"/>
              <w:rPr>
                <w:rFonts w:ascii="宋体" w:hAnsi="宋体"/>
                <w:kern w:val="0"/>
                <w:szCs w:val="21"/>
              </w:rPr>
            </w:pPr>
            <w:r>
              <w:rPr>
                <w:rFonts w:ascii="宋体" w:hAnsi="宋体"/>
                <w:kern w:val="0"/>
                <w:szCs w:val="21"/>
              </w:rPr>
              <w:t>1、规模以上工业</w:t>
            </w:r>
          </w:p>
        </w:tc>
        <w:tc>
          <w:tcPr>
            <w:tcW w:w="899" w:type="pct"/>
            <w:shd w:val="clear" w:color="auto" w:fill="auto"/>
            <w:noWrap/>
            <w:vAlign w:val="center"/>
          </w:tcPr>
          <w:p w14:paraId="3381AFD0">
            <w:pPr>
              <w:pStyle w:val="23"/>
              <w:jc w:val="center"/>
              <w:rPr>
                <w:rFonts w:ascii="宋体" w:hAnsi="宋体"/>
                <w:kern w:val="0"/>
                <w:szCs w:val="21"/>
              </w:rPr>
            </w:pPr>
            <w:r>
              <w:rPr>
                <w:rFonts w:ascii="宋体" w:hAnsi="宋体"/>
                <w:kern w:val="0"/>
                <w:szCs w:val="21"/>
              </w:rPr>
              <w:t>万元</w:t>
            </w:r>
          </w:p>
        </w:tc>
        <w:tc>
          <w:tcPr>
            <w:tcW w:w="899" w:type="pct"/>
            <w:shd w:val="clear" w:color="auto" w:fill="auto"/>
            <w:noWrap/>
            <w:vAlign w:val="center"/>
          </w:tcPr>
          <w:p w14:paraId="047448EB">
            <w:pPr>
              <w:pStyle w:val="23"/>
              <w:jc w:val="center"/>
              <w:rPr>
                <w:rFonts w:ascii="宋体" w:hAnsi="宋体"/>
                <w:kern w:val="0"/>
                <w:szCs w:val="21"/>
              </w:rPr>
            </w:pPr>
            <w:r>
              <w:rPr>
                <w:rFonts w:ascii="宋体" w:hAnsi="宋体"/>
                <w:kern w:val="0"/>
                <w:szCs w:val="21"/>
              </w:rPr>
              <w:t>477208</w:t>
            </w:r>
          </w:p>
        </w:tc>
        <w:tc>
          <w:tcPr>
            <w:tcW w:w="899" w:type="pct"/>
            <w:shd w:val="clear" w:color="auto" w:fill="auto"/>
            <w:noWrap/>
            <w:vAlign w:val="center"/>
          </w:tcPr>
          <w:p w14:paraId="79DF0873">
            <w:pPr>
              <w:pStyle w:val="23"/>
              <w:jc w:val="center"/>
              <w:rPr>
                <w:rFonts w:ascii="宋体" w:hAnsi="宋体"/>
                <w:kern w:val="0"/>
                <w:szCs w:val="21"/>
              </w:rPr>
            </w:pPr>
            <w:r>
              <w:rPr>
                <w:rFonts w:ascii="宋体" w:hAnsi="宋体"/>
                <w:kern w:val="0"/>
                <w:szCs w:val="21"/>
              </w:rPr>
              <w:t>55.3</w:t>
            </w:r>
          </w:p>
        </w:tc>
      </w:tr>
      <w:tr w14:paraId="7D76E1C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303" w:type="pct"/>
            <w:shd w:val="clear" w:color="auto" w:fill="auto"/>
            <w:noWrap/>
            <w:vAlign w:val="center"/>
          </w:tcPr>
          <w:p w14:paraId="083AC654">
            <w:pPr>
              <w:pStyle w:val="23"/>
              <w:ind w:firstLine="840" w:firstLineChars="400"/>
              <w:rPr>
                <w:rFonts w:ascii="宋体" w:hAnsi="宋体"/>
                <w:kern w:val="0"/>
                <w:szCs w:val="21"/>
              </w:rPr>
            </w:pPr>
            <w:r>
              <w:rPr>
                <w:rFonts w:ascii="宋体" w:hAnsi="宋体"/>
                <w:kern w:val="0"/>
                <w:szCs w:val="21"/>
              </w:rPr>
              <w:t>其中:国有工业</w:t>
            </w:r>
          </w:p>
        </w:tc>
        <w:tc>
          <w:tcPr>
            <w:tcW w:w="899" w:type="pct"/>
            <w:shd w:val="clear" w:color="auto" w:fill="auto"/>
            <w:noWrap/>
            <w:vAlign w:val="center"/>
          </w:tcPr>
          <w:p w14:paraId="62D30E5A">
            <w:pPr>
              <w:pStyle w:val="23"/>
              <w:jc w:val="center"/>
              <w:rPr>
                <w:rFonts w:ascii="宋体" w:hAnsi="宋体"/>
                <w:kern w:val="0"/>
                <w:szCs w:val="21"/>
              </w:rPr>
            </w:pPr>
            <w:r>
              <w:rPr>
                <w:rFonts w:ascii="宋体" w:hAnsi="宋体"/>
                <w:kern w:val="0"/>
                <w:szCs w:val="21"/>
              </w:rPr>
              <w:t>万元</w:t>
            </w:r>
          </w:p>
        </w:tc>
        <w:tc>
          <w:tcPr>
            <w:tcW w:w="899" w:type="pct"/>
            <w:shd w:val="clear" w:color="auto" w:fill="auto"/>
            <w:noWrap/>
            <w:vAlign w:val="center"/>
          </w:tcPr>
          <w:p w14:paraId="13A7D72E">
            <w:pPr>
              <w:pStyle w:val="23"/>
              <w:jc w:val="center"/>
              <w:rPr>
                <w:rFonts w:ascii="宋体" w:hAnsi="宋体"/>
                <w:kern w:val="0"/>
                <w:szCs w:val="21"/>
              </w:rPr>
            </w:pPr>
            <w:r>
              <w:rPr>
                <w:rFonts w:ascii="宋体" w:hAnsi="宋体"/>
                <w:kern w:val="0"/>
                <w:szCs w:val="21"/>
              </w:rPr>
              <w:t>27166</w:t>
            </w:r>
          </w:p>
        </w:tc>
        <w:tc>
          <w:tcPr>
            <w:tcW w:w="899" w:type="pct"/>
            <w:shd w:val="clear" w:color="auto" w:fill="auto"/>
            <w:noWrap/>
            <w:vAlign w:val="center"/>
          </w:tcPr>
          <w:p w14:paraId="6260D541">
            <w:pPr>
              <w:pStyle w:val="23"/>
              <w:jc w:val="center"/>
              <w:rPr>
                <w:rFonts w:ascii="宋体" w:hAnsi="宋体"/>
                <w:kern w:val="0"/>
                <w:szCs w:val="21"/>
              </w:rPr>
            </w:pPr>
            <w:r>
              <w:rPr>
                <w:rFonts w:ascii="宋体" w:hAnsi="宋体"/>
                <w:kern w:val="0"/>
                <w:szCs w:val="21"/>
              </w:rPr>
              <w:t>2.3</w:t>
            </w:r>
          </w:p>
        </w:tc>
      </w:tr>
      <w:tr w14:paraId="7BC8C89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303" w:type="pct"/>
            <w:shd w:val="clear" w:color="auto" w:fill="auto"/>
            <w:noWrap/>
            <w:vAlign w:val="center"/>
          </w:tcPr>
          <w:p w14:paraId="367824F9">
            <w:pPr>
              <w:pStyle w:val="23"/>
              <w:ind w:firstLine="840" w:firstLineChars="400"/>
              <w:rPr>
                <w:rFonts w:ascii="宋体" w:hAnsi="宋体"/>
                <w:kern w:val="0"/>
                <w:szCs w:val="21"/>
              </w:rPr>
            </w:pPr>
            <w:r>
              <w:rPr>
                <w:rFonts w:ascii="宋体" w:hAnsi="宋体"/>
                <w:kern w:val="0"/>
                <w:szCs w:val="21"/>
              </w:rPr>
              <w:t>2、规模以下工业</w:t>
            </w:r>
          </w:p>
        </w:tc>
        <w:tc>
          <w:tcPr>
            <w:tcW w:w="899" w:type="pct"/>
            <w:shd w:val="clear" w:color="auto" w:fill="auto"/>
            <w:noWrap/>
            <w:vAlign w:val="center"/>
          </w:tcPr>
          <w:p w14:paraId="516915AC">
            <w:pPr>
              <w:pStyle w:val="23"/>
              <w:jc w:val="center"/>
              <w:rPr>
                <w:rFonts w:ascii="宋体" w:hAnsi="宋体"/>
                <w:kern w:val="0"/>
                <w:szCs w:val="21"/>
              </w:rPr>
            </w:pPr>
            <w:r>
              <w:rPr>
                <w:rFonts w:ascii="宋体" w:hAnsi="宋体"/>
                <w:kern w:val="0"/>
                <w:szCs w:val="21"/>
              </w:rPr>
              <w:t>万元</w:t>
            </w:r>
          </w:p>
        </w:tc>
        <w:tc>
          <w:tcPr>
            <w:tcW w:w="899" w:type="pct"/>
            <w:shd w:val="clear" w:color="auto" w:fill="auto"/>
            <w:noWrap/>
            <w:vAlign w:val="center"/>
          </w:tcPr>
          <w:p w14:paraId="1B2444C9">
            <w:pPr>
              <w:pStyle w:val="23"/>
              <w:jc w:val="center"/>
              <w:rPr>
                <w:rFonts w:ascii="宋体" w:hAnsi="宋体"/>
                <w:kern w:val="0"/>
                <w:szCs w:val="21"/>
              </w:rPr>
            </w:pPr>
            <w:r>
              <w:rPr>
                <w:rFonts w:ascii="宋体" w:hAnsi="宋体"/>
                <w:kern w:val="0"/>
                <w:szCs w:val="21"/>
              </w:rPr>
              <w:t>118616</w:t>
            </w:r>
          </w:p>
        </w:tc>
        <w:tc>
          <w:tcPr>
            <w:tcW w:w="899" w:type="pct"/>
            <w:shd w:val="clear" w:color="auto" w:fill="auto"/>
            <w:noWrap/>
            <w:vAlign w:val="center"/>
          </w:tcPr>
          <w:p w14:paraId="6D57B285">
            <w:pPr>
              <w:pStyle w:val="23"/>
              <w:jc w:val="center"/>
              <w:rPr>
                <w:rFonts w:ascii="宋体" w:hAnsi="宋体"/>
                <w:kern w:val="0"/>
                <w:szCs w:val="21"/>
              </w:rPr>
            </w:pPr>
            <w:r>
              <w:rPr>
                <w:rFonts w:ascii="宋体" w:hAnsi="宋体"/>
                <w:kern w:val="0"/>
                <w:szCs w:val="21"/>
              </w:rPr>
              <w:t>7.6</w:t>
            </w:r>
          </w:p>
        </w:tc>
      </w:tr>
      <w:tr w14:paraId="7D8EE44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303" w:type="pct"/>
            <w:shd w:val="clear" w:color="auto" w:fill="auto"/>
            <w:noWrap/>
            <w:vAlign w:val="center"/>
          </w:tcPr>
          <w:p w14:paraId="14F8157B">
            <w:pPr>
              <w:pStyle w:val="23"/>
              <w:ind w:firstLine="420" w:firstLineChars="200"/>
              <w:rPr>
                <w:rFonts w:ascii="宋体" w:hAnsi="宋体"/>
                <w:kern w:val="0"/>
                <w:szCs w:val="21"/>
              </w:rPr>
            </w:pPr>
            <w:r>
              <w:rPr>
                <w:rFonts w:ascii="宋体" w:hAnsi="宋体"/>
                <w:kern w:val="0"/>
                <w:szCs w:val="21"/>
              </w:rPr>
              <w:t>全市工业增加值(当年价)</w:t>
            </w:r>
          </w:p>
        </w:tc>
        <w:tc>
          <w:tcPr>
            <w:tcW w:w="899" w:type="pct"/>
            <w:shd w:val="clear" w:color="auto" w:fill="auto"/>
            <w:noWrap/>
            <w:vAlign w:val="center"/>
          </w:tcPr>
          <w:p w14:paraId="1AB52219">
            <w:pPr>
              <w:pStyle w:val="23"/>
              <w:jc w:val="center"/>
              <w:rPr>
                <w:rFonts w:ascii="宋体" w:hAnsi="宋体"/>
                <w:kern w:val="0"/>
                <w:szCs w:val="21"/>
              </w:rPr>
            </w:pPr>
            <w:r>
              <w:rPr>
                <w:rFonts w:ascii="宋体" w:hAnsi="宋体"/>
                <w:kern w:val="0"/>
                <w:szCs w:val="21"/>
              </w:rPr>
              <w:t>万元</w:t>
            </w:r>
          </w:p>
        </w:tc>
        <w:tc>
          <w:tcPr>
            <w:tcW w:w="899" w:type="pct"/>
            <w:shd w:val="clear" w:color="auto" w:fill="auto"/>
            <w:noWrap/>
            <w:vAlign w:val="center"/>
          </w:tcPr>
          <w:p w14:paraId="39743E8C">
            <w:pPr>
              <w:pStyle w:val="23"/>
              <w:jc w:val="center"/>
              <w:rPr>
                <w:rFonts w:ascii="宋体" w:hAnsi="宋体"/>
                <w:kern w:val="0"/>
                <w:szCs w:val="21"/>
              </w:rPr>
            </w:pPr>
            <w:r>
              <w:rPr>
                <w:rFonts w:ascii="宋体" w:hAnsi="宋体"/>
                <w:kern w:val="0"/>
                <w:szCs w:val="21"/>
              </w:rPr>
              <w:t>158472</w:t>
            </w:r>
          </w:p>
        </w:tc>
        <w:tc>
          <w:tcPr>
            <w:tcW w:w="899" w:type="pct"/>
            <w:shd w:val="clear" w:color="auto" w:fill="auto"/>
            <w:noWrap/>
            <w:vAlign w:val="center"/>
          </w:tcPr>
          <w:p w14:paraId="11C50F81">
            <w:pPr>
              <w:pStyle w:val="23"/>
              <w:jc w:val="center"/>
              <w:rPr>
                <w:rFonts w:ascii="宋体" w:hAnsi="宋体"/>
                <w:kern w:val="0"/>
                <w:szCs w:val="21"/>
              </w:rPr>
            </w:pPr>
            <w:r>
              <w:rPr>
                <w:rFonts w:ascii="宋体" w:hAnsi="宋体"/>
                <w:kern w:val="0"/>
                <w:szCs w:val="21"/>
              </w:rPr>
              <w:t>35.5</w:t>
            </w:r>
          </w:p>
        </w:tc>
      </w:tr>
      <w:tr w14:paraId="6845BCD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303" w:type="pct"/>
            <w:shd w:val="clear" w:color="auto" w:fill="auto"/>
            <w:noWrap/>
            <w:vAlign w:val="center"/>
          </w:tcPr>
          <w:p w14:paraId="6C37CA38">
            <w:pPr>
              <w:pStyle w:val="23"/>
              <w:ind w:firstLine="840" w:firstLineChars="400"/>
              <w:rPr>
                <w:rFonts w:ascii="宋体" w:hAnsi="宋体"/>
                <w:kern w:val="0"/>
                <w:szCs w:val="21"/>
              </w:rPr>
            </w:pPr>
            <w:r>
              <w:rPr>
                <w:rFonts w:ascii="宋体" w:hAnsi="宋体"/>
                <w:kern w:val="0"/>
                <w:szCs w:val="21"/>
              </w:rPr>
              <w:t>1、规模以上工业</w:t>
            </w:r>
          </w:p>
        </w:tc>
        <w:tc>
          <w:tcPr>
            <w:tcW w:w="899" w:type="pct"/>
            <w:shd w:val="clear" w:color="auto" w:fill="auto"/>
            <w:noWrap/>
            <w:vAlign w:val="center"/>
          </w:tcPr>
          <w:p w14:paraId="2350ACDA">
            <w:pPr>
              <w:pStyle w:val="23"/>
              <w:jc w:val="center"/>
              <w:rPr>
                <w:rFonts w:ascii="宋体" w:hAnsi="宋体"/>
                <w:kern w:val="0"/>
                <w:szCs w:val="21"/>
              </w:rPr>
            </w:pPr>
            <w:r>
              <w:rPr>
                <w:rFonts w:ascii="宋体" w:hAnsi="宋体"/>
                <w:kern w:val="0"/>
                <w:szCs w:val="21"/>
              </w:rPr>
              <w:t>万元</w:t>
            </w:r>
          </w:p>
        </w:tc>
        <w:tc>
          <w:tcPr>
            <w:tcW w:w="899" w:type="pct"/>
            <w:shd w:val="clear" w:color="auto" w:fill="auto"/>
            <w:noWrap/>
            <w:vAlign w:val="center"/>
          </w:tcPr>
          <w:p w14:paraId="116ECB2B">
            <w:pPr>
              <w:pStyle w:val="23"/>
              <w:jc w:val="center"/>
              <w:rPr>
                <w:rFonts w:ascii="宋体" w:hAnsi="宋体"/>
                <w:kern w:val="0"/>
                <w:szCs w:val="21"/>
              </w:rPr>
            </w:pPr>
            <w:r>
              <w:rPr>
                <w:rFonts w:ascii="宋体" w:hAnsi="宋体"/>
                <w:kern w:val="0"/>
                <w:szCs w:val="21"/>
              </w:rPr>
              <w:t>124785</w:t>
            </w:r>
          </w:p>
        </w:tc>
        <w:tc>
          <w:tcPr>
            <w:tcW w:w="899" w:type="pct"/>
            <w:shd w:val="clear" w:color="auto" w:fill="auto"/>
            <w:noWrap/>
            <w:vAlign w:val="center"/>
          </w:tcPr>
          <w:p w14:paraId="2C4CE2BD">
            <w:pPr>
              <w:pStyle w:val="23"/>
              <w:jc w:val="center"/>
              <w:rPr>
                <w:rFonts w:ascii="宋体" w:hAnsi="宋体"/>
                <w:kern w:val="0"/>
                <w:szCs w:val="21"/>
              </w:rPr>
            </w:pPr>
            <w:r>
              <w:rPr>
                <w:rFonts w:ascii="宋体" w:hAnsi="宋体"/>
                <w:kern w:val="0"/>
                <w:szCs w:val="21"/>
              </w:rPr>
              <w:t>47.2</w:t>
            </w:r>
          </w:p>
        </w:tc>
      </w:tr>
      <w:tr w14:paraId="3A8F494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303" w:type="pct"/>
            <w:shd w:val="clear" w:color="auto" w:fill="auto"/>
            <w:noWrap/>
            <w:vAlign w:val="center"/>
          </w:tcPr>
          <w:p w14:paraId="36E916E5">
            <w:pPr>
              <w:pStyle w:val="23"/>
              <w:ind w:firstLine="840" w:firstLineChars="400"/>
              <w:rPr>
                <w:rFonts w:ascii="宋体" w:hAnsi="宋体"/>
                <w:kern w:val="0"/>
                <w:szCs w:val="21"/>
              </w:rPr>
            </w:pPr>
            <w:r>
              <w:rPr>
                <w:rFonts w:ascii="宋体" w:hAnsi="宋体"/>
                <w:kern w:val="0"/>
                <w:szCs w:val="21"/>
              </w:rPr>
              <w:t>2、规模以下工业</w:t>
            </w:r>
          </w:p>
        </w:tc>
        <w:tc>
          <w:tcPr>
            <w:tcW w:w="899" w:type="pct"/>
            <w:shd w:val="clear" w:color="auto" w:fill="auto"/>
            <w:noWrap/>
            <w:vAlign w:val="center"/>
          </w:tcPr>
          <w:p w14:paraId="32136C67">
            <w:pPr>
              <w:pStyle w:val="23"/>
              <w:jc w:val="center"/>
              <w:rPr>
                <w:rFonts w:ascii="宋体" w:hAnsi="宋体"/>
                <w:kern w:val="0"/>
                <w:szCs w:val="21"/>
              </w:rPr>
            </w:pPr>
            <w:r>
              <w:rPr>
                <w:rFonts w:ascii="宋体" w:hAnsi="宋体"/>
                <w:kern w:val="0"/>
                <w:szCs w:val="21"/>
              </w:rPr>
              <w:t>万元</w:t>
            </w:r>
          </w:p>
        </w:tc>
        <w:tc>
          <w:tcPr>
            <w:tcW w:w="899" w:type="pct"/>
            <w:shd w:val="clear" w:color="auto" w:fill="auto"/>
            <w:noWrap/>
            <w:vAlign w:val="center"/>
          </w:tcPr>
          <w:p w14:paraId="1F027E54">
            <w:pPr>
              <w:pStyle w:val="23"/>
              <w:jc w:val="center"/>
              <w:rPr>
                <w:rFonts w:ascii="宋体" w:hAnsi="宋体"/>
                <w:kern w:val="0"/>
                <w:szCs w:val="21"/>
              </w:rPr>
            </w:pPr>
            <w:r>
              <w:rPr>
                <w:rFonts w:ascii="宋体" w:hAnsi="宋体"/>
                <w:kern w:val="0"/>
                <w:szCs w:val="21"/>
              </w:rPr>
              <w:t>33687</w:t>
            </w:r>
          </w:p>
        </w:tc>
        <w:tc>
          <w:tcPr>
            <w:tcW w:w="899" w:type="pct"/>
            <w:shd w:val="clear" w:color="auto" w:fill="auto"/>
            <w:noWrap/>
            <w:vAlign w:val="center"/>
          </w:tcPr>
          <w:p w14:paraId="3C564FE5">
            <w:pPr>
              <w:pStyle w:val="23"/>
              <w:jc w:val="center"/>
              <w:rPr>
                <w:rFonts w:ascii="宋体" w:hAnsi="宋体"/>
                <w:kern w:val="0"/>
                <w:szCs w:val="21"/>
              </w:rPr>
            </w:pPr>
            <w:r>
              <w:rPr>
                <w:rFonts w:ascii="宋体" w:hAnsi="宋体"/>
                <w:kern w:val="0"/>
                <w:szCs w:val="21"/>
              </w:rPr>
              <w:t>7.6</w:t>
            </w:r>
          </w:p>
        </w:tc>
      </w:tr>
      <w:tr w14:paraId="012F815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303" w:type="pct"/>
            <w:shd w:val="clear" w:color="auto" w:fill="auto"/>
            <w:noWrap/>
            <w:vAlign w:val="center"/>
          </w:tcPr>
          <w:p w14:paraId="34E3F577">
            <w:pPr>
              <w:pStyle w:val="23"/>
              <w:ind w:firstLine="420" w:firstLineChars="200"/>
              <w:rPr>
                <w:rFonts w:ascii="宋体" w:hAnsi="宋体"/>
                <w:kern w:val="0"/>
                <w:szCs w:val="21"/>
              </w:rPr>
            </w:pPr>
            <w:r>
              <w:rPr>
                <w:rFonts w:ascii="宋体" w:hAnsi="宋体"/>
                <w:kern w:val="0"/>
                <w:szCs w:val="21"/>
              </w:rPr>
              <w:t>规模以上工业单位数</w:t>
            </w:r>
          </w:p>
        </w:tc>
        <w:tc>
          <w:tcPr>
            <w:tcW w:w="899" w:type="pct"/>
            <w:shd w:val="clear" w:color="auto" w:fill="auto"/>
            <w:noWrap/>
            <w:vAlign w:val="center"/>
          </w:tcPr>
          <w:p w14:paraId="0173EAC7">
            <w:pPr>
              <w:pStyle w:val="23"/>
              <w:jc w:val="center"/>
              <w:rPr>
                <w:rFonts w:ascii="宋体" w:hAnsi="宋体"/>
                <w:kern w:val="0"/>
                <w:szCs w:val="21"/>
              </w:rPr>
            </w:pPr>
            <w:r>
              <w:rPr>
                <w:rFonts w:ascii="宋体" w:hAnsi="宋体"/>
                <w:kern w:val="0"/>
                <w:szCs w:val="21"/>
              </w:rPr>
              <w:t>个</w:t>
            </w:r>
          </w:p>
        </w:tc>
        <w:tc>
          <w:tcPr>
            <w:tcW w:w="899" w:type="pct"/>
            <w:shd w:val="clear" w:color="auto" w:fill="auto"/>
            <w:noWrap/>
            <w:vAlign w:val="center"/>
          </w:tcPr>
          <w:p w14:paraId="220DFA9F">
            <w:pPr>
              <w:pStyle w:val="23"/>
              <w:jc w:val="center"/>
              <w:rPr>
                <w:rFonts w:ascii="宋体" w:hAnsi="宋体"/>
                <w:kern w:val="0"/>
                <w:szCs w:val="21"/>
              </w:rPr>
            </w:pPr>
            <w:r>
              <w:rPr>
                <w:rFonts w:ascii="宋体" w:hAnsi="宋体"/>
                <w:kern w:val="0"/>
                <w:szCs w:val="21"/>
              </w:rPr>
              <w:t>57</w:t>
            </w:r>
          </w:p>
        </w:tc>
        <w:tc>
          <w:tcPr>
            <w:tcW w:w="899" w:type="pct"/>
            <w:shd w:val="clear" w:color="auto" w:fill="auto"/>
            <w:noWrap/>
            <w:vAlign w:val="center"/>
          </w:tcPr>
          <w:p w14:paraId="79A1C3B0">
            <w:pPr>
              <w:pStyle w:val="23"/>
              <w:jc w:val="center"/>
              <w:rPr>
                <w:rFonts w:ascii="宋体" w:hAnsi="宋体"/>
                <w:kern w:val="0"/>
                <w:szCs w:val="21"/>
              </w:rPr>
            </w:pPr>
            <w:r>
              <w:rPr>
                <w:rFonts w:ascii="宋体" w:hAnsi="宋体"/>
                <w:kern w:val="0"/>
                <w:szCs w:val="21"/>
              </w:rPr>
              <w:t>23.9</w:t>
            </w:r>
          </w:p>
        </w:tc>
      </w:tr>
      <w:tr w14:paraId="0B4EB5D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303" w:type="pct"/>
            <w:shd w:val="clear" w:color="auto" w:fill="auto"/>
            <w:noWrap/>
            <w:vAlign w:val="center"/>
          </w:tcPr>
          <w:p w14:paraId="63FDD27C">
            <w:pPr>
              <w:pStyle w:val="23"/>
              <w:ind w:firstLine="420" w:firstLineChars="200"/>
              <w:rPr>
                <w:rFonts w:ascii="宋体" w:hAnsi="宋体"/>
                <w:kern w:val="0"/>
                <w:szCs w:val="21"/>
              </w:rPr>
            </w:pPr>
            <w:r>
              <w:rPr>
                <w:rFonts w:ascii="宋体" w:hAnsi="宋体"/>
                <w:kern w:val="0"/>
                <w:szCs w:val="21"/>
              </w:rPr>
              <w:t>规模以下工业企业个数</w:t>
            </w:r>
          </w:p>
        </w:tc>
        <w:tc>
          <w:tcPr>
            <w:tcW w:w="899" w:type="pct"/>
            <w:shd w:val="clear" w:color="auto" w:fill="auto"/>
            <w:noWrap/>
            <w:vAlign w:val="center"/>
          </w:tcPr>
          <w:p w14:paraId="4A202862">
            <w:pPr>
              <w:pStyle w:val="23"/>
              <w:jc w:val="center"/>
              <w:rPr>
                <w:rFonts w:ascii="宋体" w:hAnsi="宋体"/>
                <w:kern w:val="0"/>
                <w:szCs w:val="21"/>
              </w:rPr>
            </w:pPr>
            <w:r>
              <w:rPr>
                <w:rFonts w:ascii="宋体" w:hAnsi="宋体"/>
                <w:kern w:val="0"/>
                <w:szCs w:val="21"/>
              </w:rPr>
              <w:t>一个</w:t>
            </w:r>
          </w:p>
        </w:tc>
        <w:tc>
          <w:tcPr>
            <w:tcW w:w="899" w:type="pct"/>
            <w:shd w:val="clear" w:color="auto" w:fill="auto"/>
            <w:noWrap/>
            <w:vAlign w:val="center"/>
          </w:tcPr>
          <w:p w14:paraId="657E7F51">
            <w:pPr>
              <w:pStyle w:val="23"/>
              <w:jc w:val="center"/>
              <w:rPr>
                <w:rFonts w:ascii="宋体" w:hAnsi="宋体"/>
                <w:kern w:val="0"/>
                <w:szCs w:val="21"/>
              </w:rPr>
            </w:pPr>
            <w:r>
              <w:rPr>
                <w:rFonts w:ascii="宋体" w:hAnsi="宋体"/>
                <w:kern w:val="0"/>
                <w:szCs w:val="21"/>
              </w:rPr>
              <w:t>453</w:t>
            </w:r>
          </w:p>
        </w:tc>
        <w:tc>
          <w:tcPr>
            <w:tcW w:w="899" w:type="pct"/>
            <w:shd w:val="clear" w:color="auto" w:fill="auto"/>
            <w:noWrap/>
            <w:vAlign w:val="center"/>
          </w:tcPr>
          <w:p w14:paraId="07F44D5E">
            <w:pPr>
              <w:pStyle w:val="23"/>
              <w:jc w:val="center"/>
              <w:rPr>
                <w:rFonts w:ascii="宋体" w:hAnsi="宋体"/>
                <w:kern w:val="0"/>
                <w:szCs w:val="21"/>
              </w:rPr>
            </w:pPr>
            <w:r>
              <w:rPr>
                <w:rFonts w:ascii="宋体" w:hAnsi="宋体"/>
                <w:kern w:val="0"/>
                <w:szCs w:val="21"/>
              </w:rPr>
              <w:t>9.2</w:t>
            </w:r>
          </w:p>
        </w:tc>
      </w:tr>
      <w:tr w14:paraId="67E661B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303" w:type="pct"/>
            <w:shd w:val="clear" w:color="auto" w:fill="auto"/>
            <w:noWrap/>
            <w:vAlign w:val="center"/>
          </w:tcPr>
          <w:p w14:paraId="7DDE154F">
            <w:pPr>
              <w:pStyle w:val="23"/>
              <w:rPr>
                <w:rFonts w:ascii="宋体" w:hAnsi="宋体"/>
                <w:kern w:val="0"/>
                <w:szCs w:val="21"/>
              </w:rPr>
            </w:pPr>
            <w:r>
              <w:rPr>
                <w:rFonts w:ascii="宋体" w:hAnsi="宋体"/>
                <w:kern w:val="0"/>
                <w:szCs w:val="21"/>
              </w:rPr>
              <w:t>五、交通通信</w:t>
            </w:r>
          </w:p>
        </w:tc>
        <w:tc>
          <w:tcPr>
            <w:tcW w:w="899" w:type="pct"/>
            <w:shd w:val="clear" w:color="auto" w:fill="auto"/>
            <w:noWrap/>
            <w:vAlign w:val="center"/>
          </w:tcPr>
          <w:p w14:paraId="4937D077">
            <w:pPr>
              <w:pStyle w:val="23"/>
              <w:jc w:val="center"/>
              <w:rPr>
                <w:rFonts w:ascii="宋体" w:hAnsi="宋体"/>
                <w:kern w:val="0"/>
                <w:szCs w:val="21"/>
              </w:rPr>
            </w:pPr>
          </w:p>
        </w:tc>
        <w:tc>
          <w:tcPr>
            <w:tcW w:w="899" w:type="pct"/>
            <w:shd w:val="clear" w:color="auto" w:fill="auto"/>
            <w:noWrap/>
            <w:vAlign w:val="center"/>
          </w:tcPr>
          <w:p w14:paraId="43ADD3AD">
            <w:pPr>
              <w:pStyle w:val="23"/>
              <w:jc w:val="center"/>
              <w:rPr>
                <w:rFonts w:ascii="宋体" w:hAnsi="宋体"/>
                <w:kern w:val="0"/>
                <w:szCs w:val="21"/>
              </w:rPr>
            </w:pPr>
          </w:p>
        </w:tc>
        <w:tc>
          <w:tcPr>
            <w:tcW w:w="899" w:type="pct"/>
            <w:shd w:val="clear" w:color="auto" w:fill="auto"/>
            <w:noWrap/>
            <w:vAlign w:val="center"/>
          </w:tcPr>
          <w:p w14:paraId="2FA5409C">
            <w:pPr>
              <w:pStyle w:val="23"/>
              <w:jc w:val="center"/>
              <w:rPr>
                <w:rFonts w:ascii="宋体" w:hAnsi="宋体"/>
                <w:kern w:val="0"/>
                <w:szCs w:val="21"/>
              </w:rPr>
            </w:pPr>
          </w:p>
        </w:tc>
      </w:tr>
      <w:tr w14:paraId="7EB840C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303" w:type="pct"/>
            <w:shd w:val="clear" w:color="auto" w:fill="auto"/>
            <w:noWrap/>
            <w:vAlign w:val="center"/>
          </w:tcPr>
          <w:p w14:paraId="2E8F41C8">
            <w:pPr>
              <w:pStyle w:val="23"/>
              <w:ind w:firstLine="840" w:firstLineChars="400"/>
              <w:rPr>
                <w:rFonts w:ascii="宋体" w:hAnsi="宋体"/>
                <w:kern w:val="0"/>
                <w:szCs w:val="21"/>
              </w:rPr>
            </w:pPr>
            <w:r>
              <w:rPr>
                <w:rFonts w:ascii="宋体" w:hAnsi="宋体"/>
                <w:kern w:val="0"/>
                <w:szCs w:val="21"/>
              </w:rPr>
              <w:t>公路通车里程</w:t>
            </w:r>
          </w:p>
        </w:tc>
        <w:tc>
          <w:tcPr>
            <w:tcW w:w="899" w:type="pct"/>
            <w:shd w:val="clear" w:color="auto" w:fill="auto"/>
            <w:noWrap/>
            <w:vAlign w:val="center"/>
          </w:tcPr>
          <w:p w14:paraId="50266D35">
            <w:pPr>
              <w:pStyle w:val="23"/>
              <w:jc w:val="center"/>
              <w:rPr>
                <w:rFonts w:ascii="宋体" w:hAnsi="宋体"/>
                <w:kern w:val="0"/>
                <w:szCs w:val="21"/>
              </w:rPr>
            </w:pPr>
            <w:r>
              <w:rPr>
                <w:rFonts w:ascii="宋体" w:hAnsi="宋体"/>
                <w:kern w:val="0"/>
                <w:szCs w:val="21"/>
              </w:rPr>
              <w:t>公里</w:t>
            </w:r>
          </w:p>
        </w:tc>
        <w:tc>
          <w:tcPr>
            <w:tcW w:w="899" w:type="pct"/>
            <w:shd w:val="clear" w:color="auto" w:fill="auto"/>
            <w:noWrap/>
            <w:vAlign w:val="center"/>
          </w:tcPr>
          <w:p w14:paraId="456AA200">
            <w:pPr>
              <w:pStyle w:val="23"/>
              <w:jc w:val="center"/>
              <w:rPr>
                <w:rFonts w:ascii="宋体" w:hAnsi="宋体"/>
                <w:kern w:val="0"/>
                <w:szCs w:val="21"/>
              </w:rPr>
            </w:pPr>
            <w:r>
              <w:rPr>
                <w:rFonts w:ascii="宋体" w:hAnsi="宋体"/>
                <w:kern w:val="0"/>
                <w:szCs w:val="21"/>
              </w:rPr>
              <w:t>2122</w:t>
            </w:r>
          </w:p>
        </w:tc>
        <w:tc>
          <w:tcPr>
            <w:tcW w:w="899" w:type="pct"/>
            <w:shd w:val="clear" w:color="auto" w:fill="auto"/>
            <w:noWrap/>
            <w:vAlign w:val="center"/>
          </w:tcPr>
          <w:p w14:paraId="51015890">
            <w:pPr>
              <w:pStyle w:val="23"/>
              <w:jc w:val="center"/>
              <w:rPr>
                <w:rFonts w:ascii="宋体" w:hAnsi="宋体"/>
                <w:kern w:val="0"/>
                <w:szCs w:val="21"/>
              </w:rPr>
            </w:pPr>
            <w:r>
              <w:rPr>
                <w:rFonts w:ascii="宋体" w:hAnsi="宋体"/>
                <w:kern w:val="0"/>
                <w:szCs w:val="21"/>
              </w:rPr>
              <w:t>持平</w:t>
            </w:r>
          </w:p>
        </w:tc>
      </w:tr>
      <w:tr w14:paraId="71C1ADB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303" w:type="pct"/>
            <w:shd w:val="clear" w:color="auto" w:fill="auto"/>
            <w:noWrap/>
            <w:vAlign w:val="center"/>
          </w:tcPr>
          <w:p w14:paraId="3CE2CAD0">
            <w:pPr>
              <w:pStyle w:val="23"/>
              <w:ind w:firstLine="840" w:firstLineChars="400"/>
              <w:rPr>
                <w:rFonts w:ascii="宋体" w:hAnsi="宋体"/>
                <w:kern w:val="0"/>
                <w:szCs w:val="21"/>
              </w:rPr>
            </w:pPr>
            <w:r>
              <w:rPr>
                <w:rFonts w:ascii="宋体" w:hAnsi="宋体"/>
                <w:kern w:val="0"/>
                <w:szCs w:val="21"/>
              </w:rPr>
              <w:t>客运量</w:t>
            </w:r>
          </w:p>
        </w:tc>
        <w:tc>
          <w:tcPr>
            <w:tcW w:w="899" w:type="pct"/>
            <w:shd w:val="clear" w:color="auto" w:fill="auto"/>
            <w:noWrap/>
            <w:vAlign w:val="center"/>
          </w:tcPr>
          <w:p w14:paraId="1CF9C0DE">
            <w:pPr>
              <w:pStyle w:val="23"/>
              <w:jc w:val="center"/>
              <w:rPr>
                <w:rFonts w:ascii="宋体" w:hAnsi="宋体"/>
                <w:kern w:val="0"/>
                <w:szCs w:val="21"/>
              </w:rPr>
            </w:pPr>
            <w:r>
              <w:rPr>
                <w:rFonts w:ascii="宋体" w:hAnsi="宋体"/>
                <w:kern w:val="0"/>
                <w:szCs w:val="21"/>
              </w:rPr>
              <w:t>万人</w:t>
            </w:r>
          </w:p>
        </w:tc>
        <w:tc>
          <w:tcPr>
            <w:tcW w:w="899" w:type="pct"/>
            <w:shd w:val="clear" w:color="auto" w:fill="auto"/>
            <w:noWrap/>
            <w:vAlign w:val="center"/>
          </w:tcPr>
          <w:p w14:paraId="34168467">
            <w:pPr>
              <w:pStyle w:val="23"/>
              <w:jc w:val="center"/>
              <w:rPr>
                <w:rFonts w:ascii="宋体" w:hAnsi="宋体"/>
                <w:kern w:val="0"/>
                <w:szCs w:val="21"/>
              </w:rPr>
            </w:pPr>
            <w:r>
              <w:rPr>
                <w:rFonts w:ascii="宋体" w:hAnsi="宋体"/>
                <w:kern w:val="0"/>
                <w:szCs w:val="21"/>
              </w:rPr>
              <w:t>302</w:t>
            </w:r>
          </w:p>
        </w:tc>
        <w:tc>
          <w:tcPr>
            <w:tcW w:w="899" w:type="pct"/>
            <w:shd w:val="clear" w:color="auto" w:fill="auto"/>
            <w:noWrap/>
            <w:vAlign w:val="center"/>
          </w:tcPr>
          <w:p w14:paraId="76142084">
            <w:pPr>
              <w:pStyle w:val="23"/>
              <w:jc w:val="center"/>
              <w:rPr>
                <w:rFonts w:ascii="宋体" w:hAnsi="宋体"/>
                <w:kern w:val="0"/>
                <w:szCs w:val="21"/>
              </w:rPr>
            </w:pPr>
            <w:r>
              <w:rPr>
                <w:rFonts w:ascii="宋体" w:hAnsi="宋体"/>
                <w:kern w:val="0"/>
                <w:szCs w:val="21"/>
              </w:rPr>
              <w:t>6.3</w:t>
            </w:r>
          </w:p>
        </w:tc>
      </w:tr>
      <w:tr w14:paraId="0569675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303" w:type="pct"/>
            <w:shd w:val="clear" w:color="auto" w:fill="auto"/>
            <w:noWrap/>
            <w:vAlign w:val="center"/>
          </w:tcPr>
          <w:p w14:paraId="51C1F0A6">
            <w:pPr>
              <w:pStyle w:val="23"/>
              <w:ind w:firstLine="840" w:firstLineChars="400"/>
              <w:rPr>
                <w:rFonts w:ascii="宋体" w:hAnsi="宋体"/>
                <w:kern w:val="0"/>
                <w:szCs w:val="21"/>
              </w:rPr>
            </w:pPr>
            <w:r>
              <w:rPr>
                <w:rFonts w:ascii="宋体" w:hAnsi="宋体"/>
                <w:kern w:val="0"/>
                <w:szCs w:val="21"/>
              </w:rPr>
              <w:t>旅客周转量</w:t>
            </w:r>
          </w:p>
        </w:tc>
        <w:tc>
          <w:tcPr>
            <w:tcW w:w="899" w:type="pct"/>
            <w:shd w:val="clear" w:color="auto" w:fill="auto"/>
            <w:noWrap/>
            <w:vAlign w:val="center"/>
          </w:tcPr>
          <w:p w14:paraId="7062A108">
            <w:pPr>
              <w:pStyle w:val="23"/>
              <w:jc w:val="center"/>
              <w:rPr>
                <w:rFonts w:ascii="宋体" w:hAnsi="宋体"/>
                <w:kern w:val="0"/>
                <w:szCs w:val="21"/>
              </w:rPr>
            </w:pPr>
            <w:r>
              <w:rPr>
                <w:rFonts w:ascii="宋体" w:hAnsi="宋体"/>
                <w:kern w:val="0"/>
                <w:szCs w:val="21"/>
              </w:rPr>
              <w:t>万人公里</w:t>
            </w:r>
          </w:p>
        </w:tc>
        <w:tc>
          <w:tcPr>
            <w:tcW w:w="899" w:type="pct"/>
            <w:shd w:val="clear" w:color="auto" w:fill="auto"/>
            <w:noWrap/>
            <w:vAlign w:val="center"/>
          </w:tcPr>
          <w:p w14:paraId="4884D9B9">
            <w:pPr>
              <w:pStyle w:val="23"/>
              <w:jc w:val="center"/>
              <w:rPr>
                <w:rFonts w:ascii="宋体" w:hAnsi="宋体"/>
                <w:kern w:val="0"/>
                <w:szCs w:val="21"/>
              </w:rPr>
            </w:pPr>
            <w:r>
              <w:rPr>
                <w:rFonts w:ascii="宋体" w:hAnsi="宋体"/>
                <w:kern w:val="0"/>
                <w:szCs w:val="21"/>
              </w:rPr>
              <w:t>20757</w:t>
            </w:r>
          </w:p>
        </w:tc>
        <w:tc>
          <w:tcPr>
            <w:tcW w:w="899" w:type="pct"/>
            <w:shd w:val="clear" w:color="auto" w:fill="auto"/>
            <w:noWrap/>
            <w:vAlign w:val="center"/>
          </w:tcPr>
          <w:p w14:paraId="38B6635D">
            <w:pPr>
              <w:pStyle w:val="23"/>
              <w:jc w:val="center"/>
              <w:rPr>
                <w:rFonts w:ascii="宋体" w:hAnsi="宋体"/>
                <w:kern w:val="0"/>
                <w:szCs w:val="21"/>
              </w:rPr>
            </w:pPr>
            <w:r>
              <w:rPr>
                <w:rFonts w:ascii="宋体" w:hAnsi="宋体"/>
                <w:kern w:val="0"/>
                <w:szCs w:val="21"/>
              </w:rPr>
              <w:t>7.1</w:t>
            </w:r>
          </w:p>
        </w:tc>
      </w:tr>
      <w:tr w14:paraId="338A706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303" w:type="pct"/>
            <w:shd w:val="clear" w:color="auto" w:fill="auto"/>
            <w:noWrap/>
            <w:vAlign w:val="center"/>
          </w:tcPr>
          <w:p w14:paraId="467983E8">
            <w:pPr>
              <w:pStyle w:val="23"/>
              <w:ind w:firstLine="840" w:firstLineChars="400"/>
              <w:rPr>
                <w:rFonts w:ascii="宋体" w:hAnsi="宋体"/>
                <w:kern w:val="0"/>
                <w:szCs w:val="21"/>
              </w:rPr>
            </w:pPr>
            <w:r>
              <w:rPr>
                <w:rFonts w:ascii="宋体" w:hAnsi="宋体"/>
                <w:kern w:val="0"/>
                <w:szCs w:val="21"/>
              </w:rPr>
              <w:t>货物周转量</w:t>
            </w:r>
          </w:p>
        </w:tc>
        <w:tc>
          <w:tcPr>
            <w:tcW w:w="899" w:type="pct"/>
            <w:shd w:val="clear" w:color="auto" w:fill="auto"/>
            <w:noWrap/>
            <w:vAlign w:val="center"/>
          </w:tcPr>
          <w:p w14:paraId="2CFDA901">
            <w:pPr>
              <w:pStyle w:val="23"/>
              <w:jc w:val="center"/>
              <w:rPr>
                <w:rFonts w:ascii="宋体" w:hAnsi="宋体"/>
                <w:kern w:val="0"/>
                <w:szCs w:val="21"/>
              </w:rPr>
            </w:pPr>
            <w:r>
              <w:rPr>
                <w:rFonts w:ascii="宋体" w:hAnsi="宋体"/>
                <w:kern w:val="0"/>
                <w:szCs w:val="21"/>
              </w:rPr>
              <w:t>万吨公里</w:t>
            </w:r>
          </w:p>
        </w:tc>
        <w:tc>
          <w:tcPr>
            <w:tcW w:w="899" w:type="pct"/>
            <w:shd w:val="clear" w:color="auto" w:fill="auto"/>
            <w:noWrap/>
            <w:vAlign w:val="center"/>
          </w:tcPr>
          <w:p w14:paraId="1A37CA09">
            <w:pPr>
              <w:pStyle w:val="23"/>
              <w:jc w:val="center"/>
              <w:rPr>
                <w:rFonts w:ascii="宋体" w:hAnsi="宋体"/>
                <w:kern w:val="0"/>
                <w:szCs w:val="21"/>
              </w:rPr>
            </w:pPr>
            <w:r>
              <w:rPr>
                <w:rFonts w:ascii="宋体" w:hAnsi="宋体"/>
                <w:kern w:val="0"/>
                <w:szCs w:val="21"/>
              </w:rPr>
              <w:t>15919</w:t>
            </w:r>
          </w:p>
        </w:tc>
        <w:tc>
          <w:tcPr>
            <w:tcW w:w="899" w:type="pct"/>
            <w:shd w:val="clear" w:color="auto" w:fill="auto"/>
            <w:noWrap/>
            <w:vAlign w:val="center"/>
          </w:tcPr>
          <w:p w14:paraId="57AAB636">
            <w:pPr>
              <w:pStyle w:val="23"/>
              <w:jc w:val="center"/>
              <w:rPr>
                <w:rFonts w:ascii="宋体" w:hAnsi="宋体"/>
                <w:kern w:val="0"/>
                <w:szCs w:val="21"/>
              </w:rPr>
            </w:pPr>
            <w:r>
              <w:rPr>
                <w:rFonts w:ascii="宋体" w:hAnsi="宋体"/>
                <w:kern w:val="0"/>
                <w:szCs w:val="21"/>
              </w:rPr>
              <w:t>10.3</w:t>
            </w:r>
          </w:p>
        </w:tc>
      </w:tr>
      <w:tr w14:paraId="312E55E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303" w:type="pct"/>
            <w:shd w:val="clear" w:color="auto" w:fill="auto"/>
            <w:noWrap/>
            <w:vAlign w:val="center"/>
          </w:tcPr>
          <w:p w14:paraId="79915146">
            <w:pPr>
              <w:pStyle w:val="23"/>
              <w:ind w:firstLine="840" w:firstLineChars="400"/>
              <w:rPr>
                <w:rFonts w:ascii="宋体" w:hAnsi="宋体"/>
                <w:kern w:val="0"/>
                <w:szCs w:val="21"/>
              </w:rPr>
            </w:pPr>
            <w:r>
              <w:rPr>
                <w:rFonts w:ascii="宋体" w:hAnsi="宋体"/>
                <w:kern w:val="0"/>
                <w:szCs w:val="21"/>
              </w:rPr>
              <w:t>邮政业务总收入</w:t>
            </w:r>
          </w:p>
        </w:tc>
        <w:tc>
          <w:tcPr>
            <w:tcW w:w="899" w:type="pct"/>
            <w:shd w:val="clear" w:color="auto" w:fill="auto"/>
            <w:noWrap/>
            <w:vAlign w:val="center"/>
          </w:tcPr>
          <w:p w14:paraId="12796747">
            <w:pPr>
              <w:pStyle w:val="23"/>
              <w:jc w:val="center"/>
              <w:rPr>
                <w:rFonts w:ascii="宋体" w:hAnsi="宋体"/>
                <w:kern w:val="0"/>
                <w:szCs w:val="21"/>
              </w:rPr>
            </w:pPr>
            <w:r>
              <w:rPr>
                <w:rFonts w:ascii="宋体" w:hAnsi="宋体"/>
                <w:kern w:val="0"/>
                <w:szCs w:val="21"/>
              </w:rPr>
              <w:t>万元</w:t>
            </w:r>
          </w:p>
        </w:tc>
        <w:tc>
          <w:tcPr>
            <w:tcW w:w="899" w:type="pct"/>
            <w:shd w:val="clear" w:color="auto" w:fill="auto"/>
            <w:noWrap/>
            <w:vAlign w:val="center"/>
          </w:tcPr>
          <w:p w14:paraId="44DCCABE">
            <w:pPr>
              <w:pStyle w:val="23"/>
              <w:jc w:val="center"/>
              <w:rPr>
                <w:rFonts w:ascii="宋体" w:hAnsi="宋体"/>
                <w:kern w:val="0"/>
                <w:szCs w:val="21"/>
              </w:rPr>
            </w:pPr>
            <w:r>
              <w:rPr>
                <w:rFonts w:ascii="宋体" w:hAnsi="宋体"/>
                <w:kern w:val="0"/>
                <w:szCs w:val="21"/>
              </w:rPr>
              <w:t>2239</w:t>
            </w:r>
          </w:p>
        </w:tc>
        <w:tc>
          <w:tcPr>
            <w:tcW w:w="899" w:type="pct"/>
            <w:shd w:val="clear" w:color="auto" w:fill="auto"/>
            <w:noWrap/>
            <w:vAlign w:val="center"/>
          </w:tcPr>
          <w:p w14:paraId="62EDD428">
            <w:pPr>
              <w:pStyle w:val="23"/>
              <w:jc w:val="center"/>
              <w:rPr>
                <w:rFonts w:ascii="宋体" w:hAnsi="宋体"/>
                <w:kern w:val="0"/>
                <w:szCs w:val="21"/>
              </w:rPr>
            </w:pPr>
            <w:r>
              <w:rPr>
                <w:rFonts w:ascii="宋体" w:hAnsi="宋体"/>
                <w:kern w:val="0"/>
                <w:szCs w:val="21"/>
              </w:rPr>
              <w:t>12.9</w:t>
            </w:r>
          </w:p>
        </w:tc>
      </w:tr>
      <w:tr w14:paraId="23F4C77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303" w:type="pct"/>
            <w:shd w:val="clear" w:color="auto" w:fill="auto"/>
            <w:noWrap/>
            <w:vAlign w:val="center"/>
          </w:tcPr>
          <w:p w14:paraId="7ABA8A4D">
            <w:pPr>
              <w:pStyle w:val="23"/>
              <w:ind w:firstLine="840" w:firstLineChars="400"/>
              <w:rPr>
                <w:rFonts w:ascii="宋体" w:hAnsi="宋体"/>
                <w:kern w:val="0"/>
                <w:szCs w:val="21"/>
              </w:rPr>
            </w:pPr>
            <w:r>
              <w:rPr>
                <w:rFonts w:ascii="宋体" w:hAnsi="宋体"/>
                <w:kern w:val="0"/>
                <w:szCs w:val="21"/>
              </w:rPr>
              <w:t>电信企业营业收入</w:t>
            </w:r>
          </w:p>
        </w:tc>
        <w:tc>
          <w:tcPr>
            <w:tcW w:w="899" w:type="pct"/>
            <w:shd w:val="clear" w:color="auto" w:fill="auto"/>
            <w:noWrap/>
            <w:vAlign w:val="center"/>
          </w:tcPr>
          <w:p w14:paraId="7B522F69">
            <w:pPr>
              <w:pStyle w:val="23"/>
              <w:jc w:val="center"/>
              <w:rPr>
                <w:rFonts w:ascii="宋体" w:hAnsi="宋体"/>
                <w:kern w:val="0"/>
                <w:szCs w:val="21"/>
              </w:rPr>
            </w:pPr>
            <w:r>
              <w:rPr>
                <w:rFonts w:ascii="宋体" w:hAnsi="宋体"/>
                <w:kern w:val="0"/>
                <w:szCs w:val="21"/>
              </w:rPr>
              <w:t>万元</w:t>
            </w:r>
          </w:p>
        </w:tc>
        <w:tc>
          <w:tcPr>
            <w:tcW w:w="899" w:type="pct"/>
            <w:shd w:val="clear" w:color="auto" w:fill="auto"/>
            <w:noWrap/>
            <w:vAlign w:val="center"/>
          </w:tcPr>
          <w:p w14:paraId="18F9CEE5">
            <w:pPr>
              <w:pStyle w:val="23"/>
              <w:jc w:val="center"/>
              <w:rPr>
                <w:rFonts w:ascii="宋体" w:hAnsi="宋体"/>
                <w:kern w:val="0"/>
                <w:szCs w:val="21"/>
              </w:rPr>
            </w:pPr>
            <w:r>
              <w:rPr>
                <w:rFonts w:ascii="宋体" w:hAnsi="宋体"/>
                <w:kern w:val="0"/>
                <w:szCs w:val="21"/>
              </w:rPr>
              <w:t>16421</w:t>
            </w:r>
          </w:p>
        </w:tc>
        <w:tc>
          <w:tcPr>
            <w:tcW w:w="899" w:type="pct"/>
            <w:shd w:val="clear" w:color="auto" w:fill="auto"/>
            <w:noWrap/>
            <w:vAlign w:val="center"/>
          </w:tcPr>
          <w:p w14:paraId="39B990F2">
            <w:pPr>
              <w:pStyle w:val="23"/>
              <w:jc w:val="center"/>
              <w:rPr>
                <w:rFonts w:ascii="宋体" w:hAnsi="宋体"/>
                <w:kern w:val="0"/>
                <w:szCs w:val="21"/>
              </w:rPr>
            </w:pPr>
            <w:r>
              <w:rPr>
                <w:rFonts w:ascii="宋体" w:hAnsi="宋体"/>
                <w:kern w:val="0"/>
                <w:szCs w:val="21"/>
              </w:rPr>
              <w:t>7.3</w:t>
            </w:r>
          </w:p>
        </w:tc>
      </w:tr>
      <w:tr w14:paraId="3587AE1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303" w:type="pct"/>
            <w:shd w:val="clear" w:color="auto" w:fill="auto"/>
            <w:noWrap/>
            <w:vAlign w:val="center"/>
          </w:tcPr>
          <w:p w14:paraId="49458D87">
            <w:pPr>
              <w:pStyle w:val="23"/>
              <w:ind w:firstLine="840" w:firstLineChars="400"/>
              <w:rPr>
                <w:rFonts w:ascii="宋体" w:hAnsi="宋体"/>
                <w:kern w:val="0"/>
                <w:szCs w:val="21"/>
              </w:rPr>
            </w:pPr>
            <w:r>
              <w:rPr>
                <w:rFonts w:ascii="宋体" w:hAnsi="宋体"/>
                <w:kern w:val="0"/>
                <w:szCs w:val="21"/>
              </w:rPr>
              <w:t>移动电话户数</w:t>
            </w:r>
          </w:p>
        </w:tc>
        <w:tc>
          <w:tcPr>
            <w:tcW w:w="899" w:type="pct"/>
            <w:shd w:val="clear" w:color="auto" w:fill="auto"/>
            <w:noWrap/>
            <w:vAlign w:val="center"/>
          </w:tcPr>
          <w:p w14:paraId="6EAC3330">
            <w:pPr>
              <w:pStyle w:val="23"/>
              <w:jc w:val="center"/>
              <w:rPr>
                <w:rFonts w:ascii="宋体" w:hAnsi="宋体"/>
                <w:kern w:val="0"/>
                <w:szCs w:val="21"/>
              </w:rPr>
            </w:pPr>
            <w:r>
              <w:rPr>
                <w:rFonts w:ascii="宋体" w:hAnsi="宋体"/>
                <w:kern w:val="0"/>
                <w:szCs w:val="21"/>
              </w:rPr>
              <w:t>万户</w:t>
            </w:r>
          </w:p>
        </w:tc>
        <w:tc>
          <w:tcPr>
            <w:tcW w:w="899" w:type="pct"/>
            <w:shd w:val="clear" w:color="auto" w:fill="auto"/>
            <w:noWrap/>
            <w:vAlign w:val="center"/>
          </w:tcPr>
          <w:p w14:paraId="4062E77D">
            <w:pPr>
              <w:pStyle w:val="23"/>
              <w:jc w:val="center"/>
              <w:rPr>
                <w:rFonts w:ascii="宋体" w:hAnsi="宋体"/>
                <w:kern w:val="0"/>
                <w:szCs w:val="21"/>
              </w:rPr>
            </w:pPr>
            <w:r>
              <w:rPr>
                <w:rFonts w:ascii="宋体" w:hAnsi="宋体"/>
                <w:kern w:val="0"/>
                <w:szCs w:val="21"/>
              </w:rPr>
              <w:t>14.14</w:t>
            </w:r>
          </w:p>
        </w:tc>
        <w:tc>
          <w:tcPr>
            <w:tcW w:w="899" w:type="pct"/>
            <w:shd w:val="clear" w:color="auto" w:fill="auto"/>
            <w:noWrap/>
            <w:vAlign w:val="center"/>
          </w:tcPr>
          <w:p w14:paraId="0F064529">
            <w:pPr>
              <w:pStyle w:val="23"/>
              <w:jc w:val="center"/>
              <w:rPr>
                <w:rFonts w:ascii="宋体" w:hAnsi="宋体"/>
                <w:kern w:val="0"/>
                <w:szCs w:val="21"/>
              </w:rPr>
            </w:pPr>
            <w:r>
              <w:rPr>
                <w:rFonts w:ascii="宋体" w:hAnsi="宋体"/>
                <w:kern w:val="0"/>
                <w:szCs w:val="21"/>
              </w:rPr>
              <w:t>2.8</w:t>
            </w:r>
          </w:p>
        </w:tc>
      </w:tr>
      <w:tr w14:paraId="09175B8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303" w:type="pct"/>
            <w:shd w:val="clear" w:color="auto" w:fill="auto"/>
            <w:noWrap/>
            <w:vAlign w:val="center"/>
          </w:tcPr>
          <w:p w14:paraId="0A70E940">
            <w:pPr>
              <w:pStyle w:val="23"/>
              <w:ind w:firstLine="840" w:firstLineChars="400"/>
              <w:rPr>
                <w:rFonts w:ascii="宋体" w:hAnsi="宋体"/>
                <w:kern w:val="0"/>
                <w:szCs w:val="21"/>
              </w:rPr>
            </w:pPr>
            <w:r>
              <w:rPr>
                <w:rFonts w:ascii="宋体" w:hAnsi="宋体"/>
                <w:kern w:val="0"/>
                <w:szCs w:val="21"/>
              </w:rPr>
              <w:t>互联网用户</w:t>
            </w:r>
          </w:p>
        </w:tc>
        <w:tc>
          <w:tcPr>
            <w:tcW w:w="899" w:type="pct"/>
            <w:shd w:val="clear" w:color="auto" w:fill="auto"/>
            <w:noWrap/>
            <w:vAlign w:val="center"/>
          </w:tcPr>
          <w:p w14:paraId="27BC68BB">
            <w:pPr>
              <w:pStyle w:val="23"/>
              <w:jc w:val="center"/>
              <w:rPr>
                <w:rFonts w:ascii="宋体" w:hAnsi="宋体"/>
                <w:kern w:val="0"/>
                <w:szCs w:val="21"/>
              </w:rPr>
            </w:pPr>
            <w:r>
              <w:rPr>
                <w:rFonts w:ascii="宋体" w:hAnsi="宋体"/>
                <w:kern w:val="0"/>
                <w:szCs w:val="21"/>
              </w:rPr>
              <w:t>万户</w:t>
            </w:r>
          </w:p>
        </w:tc>
        <w:tc>
          <w:tcPr>
            <w:tcW w:w="899" w:type="pct"/>
            <w:shd w:val="clear" w:color="auto" w:fill="auto"/>
            <w:noWrap/>
            <w:vAlign w:val="center"/>
          </w:tcPr>
          <w:p w14:paraId="5C91310B">
            <w:pPr>
              <w:pStyle w:val="23"/>
              <w:jc w:val="center"/>
              <w:rPr>
                <w:rFonts w:ascii="宋体" w:hAnsi="宋体"/>
                <w:kern w:val="0"/>
                <w:szCs w:val="21"/>
              </w:rPr>
            </w:pPr>
            <w:r>
              <w:rPr>
                <w:rFonts w:ascii="宋体" w:hAnsi="宋体"/>
                <w:kern w:val="0"/>
                <w:szCs w:val="21"/>
              </w:rPr>
              <w:t>2</w:t>
            </w:r>
          </w:p>
        </w:tc>
        <w:tc>
          <w:tcPr>
            <w:tcW w:w="899" w:type="pct"/>
            <w:shd w:val="clear" w:color="auto" w:fill="auto"/>
            <w:noWrap/>
            <w:vAlign w:val="center"/>
          </w:tcPr>
          <w:p w14:paraId="363C22A5">
            <w:pPr>
              <w:pStyle w:val="23"/>
              <w:jc w:val="center"/>
              <w:rPr>
                <w:rFonts w:ascii="宋体" w:hAnsi="宋体"/>
                <w:kern w:val="0"/>
                <w:szCs w:val="21"/>
              </w:rPr>
            </w:pPr>
            <w:r>
              <w:rPr>
                <w:rFonts w:ascii="宋体" w:hAnsi="宋体"/>
                <w:kern w:val="0"/>
                <w:szCs w:val="21"/>
              </w:rPr>
              <w:t>25.8</w:t>
            </w:r>
          </w:p>
        </w:tc>
      </w:tr>
      <w:tr w14:paraId="78C4900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303" w:type="pct"/>
            <w:shd w:val="clear" w:color="auto" w:fill="auto"/>
            <w:noWrap/>
            <w:vAlign w:val="center"/>
          </w:tcPr>
          <w:p w14:paraId="74BED00A">
            <w:pPr>
              <w:pStyle w:val="23"/>
              <w:rPr>
                <w:rFonts w:ascii="宋体" w:hAnsi="宋体"/>
                <w:kern w:val="0"/>
                <w:szCs w:val="21"/>
              </w:rPr>
            </w:pPr>
            <w:r>
              <w:rPr>
                <w:rFonts w:ascii="宋体" w:hAnsi="宋体"/>
                <w:kern w:val="0"/>
                <w:szCs w:val="21"/>
              </w:rPr>
              <w:t>六、投资</w:t>
            </w:r>
          </w:p>
        </w:tc>
        <w:tc>
          <w:tcPr>
            <w:tcW w:w="899" w:type="pct"/>
            <w:shd w:val="clear" w:color="auto" w:fill="auto"/>
            <w:noWrap/>
            <w:vAlign w:val="center"/>
          </w:tcPr>
          <w:p w14:paraId="256D92AB">
            <w:pPr>
              <w:pStyle w:val="23"/>
              <w:jc w:val="center"/>
              <w:rPr>
                <w:rFonts w:ascii="宋体" w:hAnsi="宋体"/>
                <w:kern w:val="0"/>
                <w:szCs w:val="21"/>
              </w:rPr>
            </w:pPr>
          </w:p>
        </w:tc>
        <w:tc>
          <w:tcPr>
            <w:tcW w:w="899" w:type="pct"/>
            <w:shd w:val="clear" w:color="auto" w:fill="auto"/>
            <w:noWrap/>
            <w:vAlign w:val="center"/>
          </w:tcPr>
          <w:p w14:paraId="6BBF7324">
            <w:pPr>
              <w:pStyle w:val="23"/>
              <w:jc w:val="center"/>
              <w:rPr>
                <w:rFonts w:ascii="宋体" w:hAnsi="宋体"/>
                <w:kern w:val="0"/>
                <w:szCs w:val="21"/>
              </w:rPr>
            </w:pPr>
          </w:p>
        </w:tc>
        <w:tc>
          <w:tcPr>
            <w:tcW w:w="899" w:type="pct"/>
            <w:shd w:val="clear" w:color="auto" w:fill="auto"/>
            <w:noWrap/>
            <w:vAlign w:val="center"/>
          </w:tcPr>
          <w:p w14:paraId="68434DB7">
            <w:pPr>
              <w:pStyle w:val="23"/>
              <w:jc w:val="center"/>
              <w:rPr>
                <w:rFonts w:ascii="宋体" w:hAnsi="宋体"/>
                <w:kern w:val="0"/>
                <w:szCs w:val="21"/>
              </w:rPr>
            </w:pPr>
          </w:p>
        </w:tc>
      </w:tr>
      <w:tr w14:paraId="55C7456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303" w:type="pct"/>
            <w:shd w:val="clear" w:color="auto" w:fill="auto"/>
            <w:noWrap/>
            <w:vAlign w:val="center"/>
          </w:tcPr>
          <w:p w14:paraId="341B1D8F">
            <w:pPr>
              <w:pStyle w:val="23"/>
              <w:ind w:firstLine="420" w:firstLineChars="200"/>
              <w:rPr>
                <w:rFonts w:ascii="宋体" w:hAnsi="宋体"/>
                <w:kern w:val="0"/>
                <w:szCs w:val="21"/>
              </w:rPr>
            </w:pPr>
            <w:r>
              <w:rPr>
                <w:rFonts w:ascii="宋体" w:hAnsi="宋体"/>
                <w:kern w:val="0"/>
                <w:szCs w:val="21"/>
              </w:rPr>
              <w:t>全社会固定资产投资完成额</w:t>
            </w:r>
          </w:p>
        </w:tc>
        <w:tc>
          <w:tcPr>
            <w:tcW w:w="899" w:type="pct"/>
            <w:shd w:val="clear" w:color="auto" w:fill="auto"/>
            <w:noWrap/>
            <w:vAlign w:val="center"/>
          </w:tcPr>
          <w:p w14:paraId="758924C2">
            <w:pPr>
              <w:pStyle w:val="23"/>
              <w:jc w:val="center"/>
              <w:rPr>
                <w:rFonts w:ascii="宋体" w:hAnsi="宋体"/>
                <w:kern w:val="0"/>
                <w:szCs w:val="21"/>
              </w:rPr>
            </w:pPr>
            <w:r>
              <w:rPr>
                <w:rFonts w:ascii="宋体" w:hAnsi="宋体"/>
                <w:kern w:val="0"/>
                <w:szCs w:val="21"/>
              </w:rPr>
              <w:t>万元</w:t>
            </w:r>
          </w:p>
        </w:tc>
        <w:tc>
          <w:tcPr>
            <w:tcW w:w="899" w:type="pct"/>
            <w:shd w:val="clear" w:color="auto" w:fill="auto"/>
            <w:noWrap/>
            <w:vAlign w:val="center"/>
          </w:tcPr>
          <w:p w14:paraId="10227A32">
            <w:pPr>
              <w:pStyle w:val="23"/>
              <w:jc w:val="center"/>
              <w:rPr>
                <w:rFonts w:ascii="宋体" w:hAnsi="宋体"/>
                <w:kern w:val="0"/>
                <w:szCs w:val="21"/>
              </w:rPr>
            </w:pPr>
            <w:r>
              <w:rPr>
                <w:rFonts w:ascii="宋体" w:hAnsi="宋体"/>
                <w:kern w:val="0"/>
                <w:szCs w:val="21"/>
              </w:rPr>
              <w:t>627340</w:t>
            </w:r>
          </w:p>
        </w:tc>
        <w:tc>
          <w:tcPr>
            <w:tcW w:w="899" w:type="pct"/>
            <w:shd w:val="clear" w:color="auto" w:fill="auto"/>
            <w:noWrap/>
            <w:vAlign w:val="center"/>
          </w:tcPr>
          <w:p w14:paraId="6CDA6F39">
            <w:pPr>
              <w:pStyle w:val="23"/>
              <w:jc w:val="center"/>
              <w:rPr>
                <w:rFonts w:ascii="宋体" w:hAnsi="宋体"/>
                <w:kern w:val="0"/>
                <w:szCs w:val="21"/>
              </w:rPr>
            </w:pPr>
            <w:r>
              <w:rPr>
                <w:rFonts w:ascii="宋体" w:hAnsi="宋体"/>
                <w:kern w:val="0"/>
                <w:szCs w:val="21"/>
              </w:rPr>
              <w:t>21.6</w:t>
            </w:r>
          </w:p>
        </w:tc>
      </w:tr>
      <w:tr w14:paraId="189590D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303" w:type="pct"/>
            <w:shd w:val="clear" w:color="auto" w:fill="auto"/>
            <w:noWrap/>
            <w:vAlign w:val="center"/>
          </w:tcPr>
          <w:p w14:paraId="2EF1B478">
            <w:pPr>
              <w:pStyle w:val="23"/>
              <w:ind w:firstLine="840" w:firstLineChars="400"/>
              <w:rPr>
                <w:rFonts w:ascii="宋体" w:hAnsi="宋体"/>
                <w:kern w:val="0"/>
                <w:szCs w:val="21"/>
              </w:rPr>
            </w:pPr>
            <w:r>
              <w:rPr>
                <w:rFonts w:ascii="宋体" w:hAnsi="宋体"/>
                <w:kern w:val="0"/>
                <w:szCs w:val="21"/>
              </w:rPr>
              <w:t>1、国有及国有控股经济</w:t>
            </w:r>
          </w:p>
        </w:tc>
        <w:tc>
          <w:tcPr>
            <w:tcW w:w="899" w:type="pct"/>
            <w:shd w:val="clear" w:color="auto" w:fill="auto"/>
            <w:noWrap/>
            <w:vAlign w:val="center"/>
          </w:tcPr>
          <w:p w14:paraId="5CD9E425">
            <w:pPr>
              <w:pStyle w:val="23"/>
              <w:jc w:val="center"/>
              <w:rPr>
                <w:rFonts w:ascii="宋体" w:hAnsi="宋体"/>
                <w:kern w:val="0"/>
                <w:szCs w:val="21"/>
              </w:rPr>
            </w:pPr>
            <w:r>
              <w:rPr>
                <w:rFonts w:ascii="宋体" w:hAnsi="宋体"/>
                <w:kern w:val="0"/>
                <w:szCs w:val="21"/>
              </w:rPr>
              <w:t>万元</w:t>
            </w:r>
          </w:p>
        </w:tc>
        <w:tc>
          <w:tcPr>
            <w:tcW w:w="899" w:type="pct"/>
            <w:shd w:val="clear" w:color="auto" w:fill="auto"/>
            <w:noWrap/>
            <w:vAlign w:val="center"/>
          </w:tcPr>
          <w:p w14:paraId="3629D5FF">
            <w:pPr>
              <w:pStyle w:val="23"/>
              <w:jc w:val="center"/>
              <w:rPr>
                <w:rFonts w:ascii="宋体" w:hAnsi="宋体"/>
                <w:kern w:val="0"/>
                <w:szCs w:val="21"/>
              </w:rPr>
            </w:pPr>
            <w:r>
              <w:rPr>
                <w:rFonts w:ascii="宋体" w:hAnsi="宋体"/>
                <w:kern w:val="0"/>
                <w:szCs w:val="21"/>
              </w:rPr>
              <w:t>190424</w:t>
            </w:r>
          </w:p>
        </w:tc>
        <w:tc>
          <w:tcPr>
            <w:tcW w:w="899" w:type="pct"/>
            <w:shd w:val="clear" w:color="auto" w:fill="auto"/>
            <w:noWrap/>
            <w:vAlign w:val="center"/>
          </w:tcPr>
          <w:p w14:paraId="1A799C77">
            <w:pPr>
              <w:pStyle w:val="23"/>
              <w:jc w:val="center"/>
              <w:rPr>
                <w:rFonts w:ascii="宋体" w:hAnsi="宋体"/>
                <w:kern w:val="0"/>
                <w:szCs w:val="21"/>
              </w:rPr>
            </w:pPr>
            <w:r>
              <w:rPr>
                <w:rFonts w:ascii="宋体" w:hAnsi="宋体"/>
                <w:kern w:val="0"/>
                <w:szCs w:val="21"/>
              </w:rPr>
              <w:t>-30.8</w:t>
            </w:r>
          </w:p>
        </w:tc>
      </w:tr>
      <w:tr w14:paraId="5A5F8DA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303" w:type="pct"/>
            <w:shd w:val="clear" w:color="auto" w:fill="auto"/>
            <w:noWrap/>
            <w:vAlign w:val="center"/>
          </w:tcPr>
          <w:p w14:paraId="15D0B310">
            <w:pPr>
              <w:pStyle w:val="23"/>
              <w:ind w:firstLine="840" w:firstLineChars="400"/>
              <w:rPr>
                <w:rFonts w:ascii="宋体" w:hAnsi="宋体"/>
                <w:kern w:val="0"/>
                <w:szCs w:val="21"/>
              </w:rPr>
            </w:pPr>
            <w:r>
              <w:rPr>
                <w:rFonts w:ascii="宋体" w:hAnsi="宋体"/>
                <w:kern w:val="0"/>
                <w:szCs w:val="21"/>
              </w:rPr>
              <w:t>2、民营经济</w:t>
            </w:r>
          </w:p>
        </w:tc>
        <w:tc>
          <w:tcPr>
            <w:tcW w:w="899" w:type="pct"/>
            <w:shd w:val="clear" w:color="auto" w:fill="auto"/>
            <w:noWrap/>
            <w:vAlign w:val="center"/>
          </w:tcPr>
          <w:p w14:paraId="3EBCCFF2">
            <w:pPr>
              <w:pStyle w:val="23"/>
              <w:jc w:val="center"/>
              <w:rPr>
                <w:rFonts w:ascii="宋体" w:hAnsi="宋体"/>
                <w:kern w:val="0"/>
                <w:szCs w:val="21"/>
              </w:rPr>
            </w:pPr>
            <w:r>
              <w:rPr>
                <w:rFonts w:ascii="宋体" w:hAnsi="宋体"/>
                <w:kern w:val="0"/>
                <w:szCs w:val="21"/>
              </w:rPr>
              <w:t>万元</w:t>
            </w:r>
          </w:p>
        </w:tc>
        <w:tc>
          <w:tcPr>
            <w:tcW w:w="899" w:type="pct"/>
            <w:shd w:val="clear" w:color="auto" w:fill="auto"/>
            <w:noWrap/>
            <w:vAlign w:val="center"/>
          </w:tcPr>
          <w:p w14:paraId="3C52B156">
            <w:pPr>
              <w:pStyle w:val="23"/>
              <w:jc w:val="center"/>
              <w:rPr>
                <w:rFonts w:ascii="宋体" w:hAnsi="宋体"/>
                <w:kern w:val="0"/>
                <w:szCs w:val="21"/>
              </w:rPr>
            </w:pPr>
            <w:r>
              <w:rPr>
                <w:rFonts w:ascii="宋体" w:hAnsi="宋体"/>
                <w:kern w:val="0"/>
                <w:szCs w:val="21"/>
              </w:rPr>
              <w:t>436916</w:t>
            </w:r>
          </w:p>
        </w:tc>
        <w:tc>
          <w:tcPr>
            <w:tcW w:w="899" w:type="pct"/>
            <w:shd w:val="clear" w:color="auto" w:fill="auto"/>
            <w:noWrap/>
            <w:vAlign w:val="center"/>
          </w:tcPr>
          <w:p w14:paraId="2B9400C0">
            <w:pPr>
              <w:pStyle w:val="23"/>
              <w:jc w:val="center"/>
              <w:rPr>
                <w:rFonts w:ascii="宋体" w:hAnsi="宋体"/>
                <w:kern w:val="0"/>
                <w:szCs w:val="21"/>
              </w:rPr>
            </w:pPr>
            <w:r>
              <w:rPr>
                <w:rFonts w:ascii="宋体" w:hAnsi="宋体"/>
                <w:kern w:val="0"/>
                <w:szCs w:val="21"/>
              </w:rPr>
              <w:t>81.5</w:t>
            </w:r>
          </w:p>
        </w:tc>
      </w:tr>
      <w:tr w14:paraId="1944125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303" w:type="pct"/>
            <w:shd w:val="clear" w:color="auto" w:fill="auto"/>
            <w:noWrap/>
            <w:vAlign w:val="center"/>
          </w:tcPr>
          <w:p w14:paraId="497E715E">
            <w:pPr>
              <w:pStyle w:val="23"/>
              <w:ind w:firstLine="840" w:firstLineChars="400"/>
              <w:rPr>
                <w:rFonts w:ascii="宋体" w:hAnsi="宋体"/>
                <w:kern w:val="0"/>
                <w:szCs w:val="21"/>
              </w:rPr>
            </w:pPr>
            <w:r>
              <w:rPr>
                <w:rFonts w:ascii="宋体" w:hAnsi="宋体"/>
                <w:kern w:val="0"/>
                <w:szCs w:val="21"/>
              </w:rPr>
              <w:t>3、外商及港澳台投资经济</w:t>
            </w:r>
          </w:p>
        </w:tc>
        <w:tc>
          <w:tcPr>
            <w:tcW w:w="899" w:type="pct"/>
            <w:shd w:val="clear" w:color="auto" w:fill="auto"/>
            <w:noWrap/>
            <w:vAlign w:val="center"/>
          </w:tcPr>
          <w:p w14:paraId="60450EF7">
            <w:pPr>
              <w:pStyle w:val="23"/>
              <w:jc w:val="center"/>
              <w:rPr>
                <w:rFonts w:ascii="宋体" w:hAnsi="宋体"/>
                <w:kern w:val="0"/>
                <w:szCs w:val="21"/>
              </w:rPr>
            </w:pPr>
            <w:r>
              <w:rPr>
                <w:rFonts w:ascii="宋体" w:hAnsi="宋体"/>
                <w:kern w:val="0"/>
                <w:szCs w:val="21"/>
              </w:rPr>
              <w:t>万元</w:t>
            </w:r>
          </w:p>
        </w:tc>
        <w:tc>
          <w:tcPr>
            <w:tcW w:w="899" w:type="pct"/>
            <w:shd w:val="clear" w:color="auto" w:fill="auto"/>
            <w:noWrap/>
            <w:vAlign w:val="center"/>
          </w:tcPr>
          <w:p w14:paraId="7DD0203E">
            <w:pPr>
              <w:pStyle w:val="23"/>
              <w:jc w:val="center"/>
              <w:rPr>
                <w:rFonts w:ascii="宋体" w:hAnsi="宋体"/>
                <w:kern w:val="0"/>
                <w:szCs w:val="21"/>
              </w:rPr>
            </w:pPr>
            <w:r>
              <w:rPr>
                <w:rFonts w:ascii="宋体" w:hAnsi="宋体"/>
                <w:kern w:val="0"/>
                <w:szCs w:val="21"/>
              </w:rPr>
              <w:t>0</w:t>
            </w:r>
          </w:p>
        </w:tc>
        <w:tc>
          <w:tcPr>
            <w:tcW w:w="899" w:type="pct"/>
            <w:shd w:val="clear" w:color="auto" w:fill="auto"/>
            <w:noWrap/>
            <w:vAlign w:val="center"/>
          </w:tcPr>
          <w:p w14:paraId="28AED33D">
            <w:pPr>
              <w:pStyle w:val="23"/>
              <w:jc w:val="center"/>
              <w:rPr>
                <w:rFonts w:ascii="宋体" w:hAnsi="宋体"/>
                <w:kern w:val="0"/>
                <w:szCs w:val="21"/>
              </w:rPr>
            </w:pPr>
            <w:r>
              <w:rPr>
                <w:rFonts w:ascii="宋体" w:hAnsi="宋体"/>
                <w:kern w:val="0"/>
                <w:szCs w:val="21"/>
              </w:rPr>
              <w:t>0</w:t>
            </w:r>
          </w:p>
        </w:tc>
      </w:tr>
      <w:tr w14:paraId="1134CE3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303" w:type="pct"/>
            <w:shd w:val="clear" w:color="auto" w:fill="auto"/>
            <w:noWrap/>
            <w:vAlign w:val="center"/>
          </w:tcPr>
          <w:p w14:paraId="5ABC8D0A">
            <w:pPr>
              <w:pStyle w:val="23"/>
              <w:ind w:firstLine="840" w:firstLineChars="400"/>
              <w:rPr>
                <w:rFonts w:ascii="宋体" w:hAnsi="宋体"/>
                <w:kern w:val="0"/>
                <w:szCs w:val="21"/>
              </w:rPr>
            </w:pPr>
            <w:r>
              <w:rPr>
                <w:rFonts w:ascii="宋体" w:hAnsi="宋体"/>
                <w:kern w:val="0"/>
                <w:szCs w:val="21"/>
              </w:rPr>
              <w:t>4、房地产投资</w:t>
            </w:r>
          </w:p>
        </w:tc>
        <w:tc>
          <w:tcPr>
            <w:tcW w:w="899" w:type="pct"/>
            <w:shd w:val="clear" w:color="auto" w:fill="auto"/>
            <w:noWrap/>
            <w:vAlign w:val="center"/>
          </w:tcPr>
          <w:p w14:paraId="66DA72AF">
            <w:pPr>
              <w:pStyle w:val="23"/>
              <w:jc w:val="center"/>
              <w:rPr>
                <w:rFonts w:ascii="宋体" w:hAnsi="宋体"/>
                <w:kern w:val="0"/>
                <w:szCs w:val="21"/>
              </w:rPr>
            </w:pPr>
            <w:r>
              <w:rPr>
                <w:rFonts w:ascii="宋体" w:hAnsi="宋体"/>
                <w:kern w:val="0"/>
                <w:szCs w:val="21"/>
              </w:rPr>
              <w:t>万元</w:t>
            </w:r>
          </w:p>
        </w:tc>
        <w:tc>
          <w:tcPr>
            <w:tcW w:w="899" w:type="pct"/>
            <w:shd w:val="clear" w:color="auto" w:fill="auto"/>
            <w:noWrap/>
            <w:vAlign w:val="center"/>
          </w:tcPr>
          <w:p w14:paraId="48003E63">
            <w:pPr>
              <w:pStyle w:val="23"/>
              <w:jc w:val="center"/>
              <w:rPr>
                <w:rFonts w:ascii="宋体" w:hAnsi="宋体"/>
                <w:kern w:val="0"/>
                <w:szCs w:val="21"/>
              </w:rPr>
            </w:pPr>
            <w:r>
              <w:rPr>
                <w:rFonts w:ascii="宋体" w:hAnsi="宋体"/>
                <w:kern w:val="0"/>
                <w:szCs w:val="21"/>
              </w:rPr>
              <w:t>41262</w:t>
            </w:r>
          </w:p>
        </w:tc>
        <w:tc>
          <w:tcPr>
            <w:tcW w:w="899" w:type="pct"/>
            <w:shd w:val="clear" w:color="auto" w:fill="auto"/>
            <w:noWrap/>
            <w:vAlign w:val="center"/>
          </w:tcPr>
          <w:p w14:paraId="16F4B845">
            <w:pPr>
              <w:pStyle w:val="23"/>
              <w:jc w:val="center"/>
              <w:rPr>
                <w:rFonts w:ascii="宋体" w:hAnsi="宋体"/>
                <w:kern w:val="0"/>
                <w:szCs w:val="21"/>
              </w:rPr>
            </w:pPr>
            <w:r>
              <w:rPr>
                <w:rFonts w:ascii="宋体" w:hAnsi="宋体"/>
                <w:kern w:val="0"/>
                <w:szCs w:val="21"/>
              </w:rPr>
              <w:t>24.5</w:t>
            </w:r>
          </w:p>
        </w:tc>
      </w:tr>
      <w:tr w14:paraId="08E170A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303" w:type="pct"/>
            <w:shd w:val="clear" w:color="auto" w:fill="auto"/>
            <w:noWrap/>
            <w:vAlign w:val="center"/>
          </w:tcPr>
          <w:p w14:paraId="1787A603">
            <w:pPr>
              <w:pStyle w:val="23"/>
              <w:rPr>
                <w:rFonts w:ascii="宋体" w:hAnsi="宋体"/>
                <w:kern w:val="0"/>
                <w:szCs w:val="21"/>
              </w:rPr>
            </w:pPr>
            <w:r>
              <w:rPr>
                <w:rFonts w:ascii="宋体" w:hAnsi="宋体"/>
                <w:kern w:val="0"/>
                <w:szCs w:val="21"/>
              </w:rPr>
              <w:t>七、贸易</w:t>
            </w:r>
          </w:p>
        </w:tc>
        <w:tc>
          <w:tcPr>
            <w:tcW w:w="899" w:type="pct"/>
            <w:shd w:val="clear" w:color="auto" w:fill="auto"/>
            <w:noWrap/>
            <w:vAlign w:val="center"/>
          </w:tcPr>
          <w:p w14:paraId="7AB7D425">
            <w:pPr>
              <w:pStyle w:val="23"/>
              <w:jc w:val="center"/>
              <w:rPr>
                <w:rFonts w:ascii="宋体" w:hAnsi="宋体"/>
                <w:kern w:val="0"/>
                <w:szCs w:val="21"/>
              </w:rPr>
            </w:pPr>
          </w:p>
        </w:tc>
        <w:tc>
          <w:tcPr>
            <w:tcW w:w="899" w:type="pct"/>
            <w:shd w:val="clear" w:color="auto" w:fill="auto"/>
            <w:noWrap/>
            <w:vAlign w:val="center"/>
          </w:tcPr>
          <w:p w14:paraId="115C08F8">
            <w:pPr>
              <w:pStyle w:val="23"/>
              <w:jc w:val="center"/>
              <w:rPr>
                <w:rFonts w:ascii="宋体" w:hAnsi="宋体"/>
                <w:kern w:val="0"/>
                <w:szCs w:val="21"/>
              </w:rPr>
            </w:pPr>
          </w:p>
        </w:tc>
        <w:tc>
          <w:tcPr>
            <w:tcW w:w="899" w:type="pct"/>
            <w:shd w:val="clear" w:color="auto" w:fill="auto"/>
            <w:noWrap/>
            <w:vAlign w:val="center"/>
          </w:tcPr>
          <w:p w14:paraId="026B2ED5">
            <w:pPr>
              <w:pStyle w:val="23"/>
              <w:jc w:val="center"/>
              <w:rPr>
                <w:rFonts w:ascii="宋体" w:hAnsi="宋体"/>
                <w:kern w:val="0"/>
                <w:szCs w:val="21"/>
              </w:rPr>
            </w:pPr>
          </w:p>
        </w:tc>
      </w:tr>
      <w:tr w14:paraId="5420044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303" w:type="pct"/>
            <w:shd w:val="clear" w:color="auto" w:fill="auto"/>
            <w:noWrap/>
            <w:vAlign w:val="center"/>
          </w:tcPr>
          <w:p w14:paraId="0EA11E16">
            <w:pPr>
              <w:pStyle w:val="23"/>
              <w:ind w:firstLine="840" w:firstLineChars="400"/>
              <w:rPr>
                <w:rFonts w:ascii="宋体" w:hAnsi="宋体"/>
                <w:kern w:val="0"/>
                <w:szCs w:val="21"/>
              </w:rPr>
            </w:pPr>
            <w:r>
              <w:rPr>
                <w:rFonts w:ascii="宋体" w:hAnsi="宋体"/>
                <w:kern w:val="0"/>
                <w:szCs w:val="21"/>
              </w:rPr>
              <w:t>社会消费品零售总额</w:t>
            </w:r>
          </w:p>
        </w:tc>
        <w:tc>
          <w:tcPr>
            <w:tcW w:w="899" w:type="pct"/>
            <w:shd w:val="clear" w:color="auto" w:fill="auto"/>
            <w:noWrap/>
            <w:vAlign w:val="center"/>
          </w:tcPr>
          <w:p w14:paraId="53CEBBE0">
            <w:pPr>
              <w:pStyle w:val="23"/>
              <w:jc w:val="center"/>
              <w:rPr>
                <w:rFonts w:ascii="宋体" w:hAnsi="宋体"/>
                <w:kern w:val="0"/>
                <w:szCs w:val="21"/>
              </w:rPr>
            </w:pPr>
            <w:r>
              <w:rPr>
                <w:rFonts w:ascii="宋体" w:hAnsi="宋体"/>
                <w:kern w:val="0"/>
                <w:szCs w:val="21"/>
              </w:rPr>
              <w:t>万元</w:t>
            </w:r>
          </w:p>
        </w:tc>
        <w:tc>
          <w:tcPr>
            <w:tcW w:w="899" w:type="pct"/>
            <w:shd w:val="clear" w:color="auto" w:fill="auto"/>
            <w:noWrap/>
            <w:vAlign w:val="center"/>
          </w:tcPr>
          <w:p w14:paraId="1DDD800C">
            <w:pPr>
              <w:pStyle w:val="23"/>
              <w:jc w:val="center"/>
              <w:rPr>
                <w:rFonts w:ascii="宋体" w:hAnsi="宋体"/>
                <w:kern w:val="0"/>
                <w:szCs w:val="21"/>
              </w:rPr>
            </w:pPr>
            <w:r>
              <w:rPr>
                <w:rFonts w:ascii="宋体" w:hAnsi="宋体"/>
                <w:kern w:val="0"/>
                <w:szCs w:val="21"/>
              </w:rPr>
              <w:t>266488</w:t>
            </w:r>
          </w:p>
        </w:tc>
        <w:tc>
          <w:tcPr>
            <w:tcW w:w="899" w:type="pct"/>
            <w:shd w:val="clear" w:color="auto" w:fill="auto"/>
            <w:noWrap/>
            <w:vAlign w:val="center"/>
          </w:tcPr>
          <w:p w14:paraId="5D35ACB4">
            <w:pPr>
              <w:pStyle w:val="23"/>
              <w:jc w:val="center"/>
              <w:rPr>
                <w:rFonts w:ascii="宋体" w:hAnsi="宋体"/>
                <w:kern w:val="0"/>
                <w:szCs w:val="21"/>
              </w:rPr>
            </w:pPr>
            <w:r>
              <w:rPr>
                <w:rFonts w:ascii="宋体" w:hAnsi="宋体"/>
                <w:kern w:val="0"/>
                <w:szCs w:val="21"/>
              </w:rPr>
              <w:t>8.6</w:t>
            </w:r>
          </w:p>
        </w:tc>
      </w:tr>
      <w:tr w14:paraId="4D4CFDA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303" w:type="pct"/>
            <w:shd w:val="clear" w:color="auto" w:fill="auto"/>
            <w:noWrap/>
            <w:vAlign w:val="center"/>
          </w:tcPr>
          <w:p w14:paraId="7D60D333">
            <w:pPr>
              <w:pStyle w:val="23"/>
              <w:ind w:firstLine="840" w:firstLineChars="400"/>
              <w:rPr>
                <w:rFonts w:ascii="宋体" w:hAnsi="宋体"/>
                <w:kern w:val="0"/>
                <w:szCs w:val="21"/>
              </w:rPr>
            </w:pPr>
            <w:r>
              <w:rPr>
                <w:rFonts w:ascii="宋体" w:hAnsi="宋体"/>
                <w:kern w:val="0"/>
                <w:szCs w:val="21"/>
              </w:rPr>
              <w:t>外贸出口总额</w:t>
            </w:r>
          </w:p>
        </w:tc>
        <w:tc>
          <w:tcPr>
            <w:tcW w:w="899" w:type="pct"/>
            <w:shd w:val="clear" w:color="auto" w:fill="auto"/>
            <w:noWrap/>
            <w:vAlign w:val="center"/>
          </w:tcPr>
          <w:p w14:paraId="165C177C">
            <w:pPr>
              <w:pStyle w:val="23"/>
              <w:jc w:val="center"/>
              <w:rPr>
                <w:rFonts w:ascii="宋体" w:hAnsi="宋体"/>
                <w:kern w:val="0"/>
                <w:szCs w:val="21"/>
              </w:rPr>
            </w:pPr>
            <w:r>
              <w:rPr>
                <w:rFonts w:ascii="宋体" w:hAnsi="宋体"/>
                <w:kern w:val="0"/>
                <w:szCs w:val="21"/>
              </w:rPr>
              <w:t>万美元</w:t>
            </w:r>
          </w:p>
        </w:tc>
        <w:tc>
          <w:tcPr>
            <w:tcW w:w="899" w:type="pct"/>
            <w:shd w:val="clear" w:color="auto" w:fill="auto"/>
            <w:noWrap/>
            <w:vAlign w:val="center"/>
          </w:tcPr>
          <w:p w14:paraId="0BA5BE0B">
            <w:pPr>
              <w:pStyle w:val="23"/>
              <w:jc w:val="center"/>
              <w:rPr>
                <w:rFonts w:ascii="宋体" w:hAnsi="宋体"/>
                <w:kern w:val="0"/>
                <w:szCs w:val="21"/>
              </w:rPr>
            </w:pPr>
            <w:r>
              <w:rPr>
                <w:rFonts w:ascii="宋体" w:hAnsi="宋体"/>
                <w:kern w:val="0"/>
                <w:szCs w:val="21"/>
              </w:rPr>
              <w:t>2360</w:t>
            </w:r>
          </w:p>
        </w:tc>
        <w:tc>
          <w:tcPr>
            <w:tcW w:w="899" w:type="pct"/>
            <w:shd w:val="clear" w:color="auto" w:fill="auto"/>
            <w:noWrap/>
            <w:vAlign w:val="center"/>
          </w:tcPr>
          <w:p w14:paraId="5B04BCBD">
            <w:pPr>
              <w:pStyle w:val="23"/>
              <w:jc w:val="center"/>
              <w:rPr>
                <w:rFonts w:ascii="宋体" w:hAnsi="宋体"/>
                <w:kern w:val="0"/>
                <w:szCs w:val="21"/>
              </w:rPr>
            </w:pPr>
            <w:r>
              <w:rPr>
                <w:rFonts w:ascii="宋体" w:hAnsi="宋体"/>
                <w:kern w:val="0"/>
                <w:szCs w:val="21"/>
              </w:rPr>
              <w:t>17.8</w:t>
            </w:r>
          </w:p>
        </w:tc>
      </w:tr>
      <w:tr w14:paraId="29AE569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303" w:type="pct"/>
            <w:shd w:val="clear" w:color="auto" w:fill="auto"/>
            <w:noWrap/>
            <w:vAlign w:val="center"/>
          </w:tcPr>
          <w:p w14:paraId="7C594454">
            <w:pPr>
              <w:pStyle w:val="23"/>
              <w:ind w:firstLine="840" w:firstLineChars="400"/>
              <w:rPr>
                <w:rFonts w:ascii="宋体" w:hAnsi="宋体"/>
                <w:kern w:val="0"/>
                <w:szCs w:val="21"/>
              </w:rPr>
            </w:pPr>
            <w:r>
              <w:rPr>
                <w:rFonts w:ascii="宋体" w:hAnsi="宋体"/>
                <w:kern w:val="0"/>
                <w:szCs w:val="21"/>
              </w:rPr>
              <w:t>当年签订合同数</w:t>
            </w:r>
          </w:p>
        </w:tc>
        <w:tc>
          <w:tcPr>
            <w:tcW w:w="899" w:type="pct"/>
            <w:shd w:val="clear" w:color="auto" w:fill="auto"/>
            <w:noWrap/>
            <w:vAlign w:val="center"/>
          </w:tcPr>
          <w:p w14:paraId="39E10E04">
            <w:pPr>
              <w:pStyle w:val="23"/>
              <w:jc w:val="center"/>
              <w:rPr>
                <w:rFonts w:ascii="宋体" w:hAnsi="宋体"/>
                <w:kern w:val="0"/>
                <w:szCs w:val="21"/>
              </w:rPr>
            </w:pPr>
            <w:r>
              <w:rPr>
                <w:rFonts w:ascii="宋体" w:hAnsi="宋体"/>
                <w:kern w:val="0"/>
                <w:szCs w:val="21"/>
              </w:rPr>
              <w:t>宗</w:t>
            </w:r>
          </w:p>
        </w:tc>
        <w:tc>
          <w:tcPr>
            <w:tcW w:w="899" w:type="pct"/>
            <w:shd w:val="clear" w:color="auto" w:fill="auto"/>
            <w:noWrap/>
            <w:vAlign w:val="center"/>
          </w:tcPr>
          <w:p w14:paraId="746E298D">
            <w:pPr>
              <w:pStyle w:val="23"/>
              <w:jc w:val="center"/>
              <w:rPr>
                <w:rFonts w:ascii="宋体" w:hAnsi="宋体"/>
                <w:kern w:val="0"/>
                <w:szCs w:val="21"/>
              </w:rPr>
            </w:pPr>
            <w:r>
              <w:rPr>
                <w:rFonts w:ascii="宋体" w:hAnsi="宋体"/>
                <w:kern w:val="0"/>
                <w:szCs w:val="21"/>
              </w:rPr>
              <w:t>20</w:t>
            </w:r>
          </w:p>
        </w:tc>
        <w:tc>
          <w:tcPr>
            <w:tcW w:w="899" w:type="pct"/>
            <w:shd w:val="clear" w:color="auto" w:fill="auto"/>
            <w:noWrap/>
            <w:vAlign w:val="center"/>
          </w:tcPr>
          <w:p w14:paraId="0AE9D3C5">
            <w:pPr>
              <w:pStyle w:val="23"/>
              <w:jc w:val="center"/>
              <w:rPr>
                <w:rFonts w:ascii="宋体" w:hAnsi="宋体"/>
                <w:kern w:val="0"/>
                <w:szCs w:val="21"/>
              </w:rPr>
            </w:pPr>
            <w:r>
              <w:rPr>
                <w:rFonts w:ascii="宋体" w:hAnsi="宋体"/>
                <w:kern w:val="0"/>
                <w:szCs w:val="21"/>
              </w:rPr>
              <w:t>-31</w:t>
            </w:r>
          </w:p>
        </w:tc>
      </w:tr>
      <w:tr w14:paraId="4ADD7C4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303" w:type="pct"/>
            <w:shd w:val="clear" w:color="auto" w:fill="auto"/>
            <w:noWrap/>
            <w:vAlign w:val="center"/>
          </w:tcPr>
          <w:p w14:paraId="3705C007">
            <w:pPr>
              <w:pStyle w:val="23"/>
              <w:ind w:firstLine="840" w:firstLineChars="400"/>
              <w:rPr>
                <w:rFonts w:ascii="宋体" w:hAnsi="宋体"/>
                <w:kern w:val="0"/>
                <w:szCs w:val="21"/>
              </w:rPr>
            </w:pPr>
            <w:r>
              <w:rPr>
                <w:rFonts w:ascii="宋体" w:hAnsi="宋体"/>
                <w:kern w:val="0"/>
                <w:szCs w:val="21"/>
              </w:rPr>
              <w:t>实际利用外来资金</w:t>
            </w:r>
          </w:p>
        </w:tc>
        <w:tc>
          <w:tcPr>
            <w:tcW w:w="899" w:type="pct"/>
            <w:shd w:val="clear" w:color="auto" w:fill="auto"/>
            <w:noWrap/>
            <w:vAlign w:val="center"/>
          </w:tcPr>
          <w:p w14:paraId="3E27F003">
            <w:pPr>
              <w:pStyle w:val="23"/>
              <w:jc w:val="center"/>
              <w:rPr>
                <w:rFonts w:ascii="宋体" w:hAnsi="宋体"/>
                <w:kern w:val="0"/>
                <w:szCs w:val="21"/>
              </w:rPr>
            </w:pPr>
            <w:r>
              <w:rPr>
                <w:rFonts w:ascii="宋体" w:hAnsi="宋体"/>
                <w:kern w:val="0"/>
                <w:szCs w:val="21"/>
              </w:rPr>
              <w:t>万美元</w:t>
            </w:r>
          </w:p>
        </w:tc>
        <w:tc>
          <w:tcPr>
            <w:tcW w:w="899" w:type="pct"/>
            <w:shd w:val="clear" w:color="auto" w:fill="auto"/>
            <w:noWrap/>
            <w:vAlign w:val="center"/>
          </w:tcPr>
          <w:p w14:paraId="4007685B">
            <w:pPr>
              <w:pStyle w:val="23"/>
              <w:jc w:val="center"/>
              <w:rPr>
                <w:rFonts w:ascii="宋体" w:hAnsi="宋体"/>
                <w:kern w:val="0"/>
                <w:szCs w:val="21"/>
              </w:rPr>
            </w:pPr>
            <w:r>
              <w:rPr>
                <w:rFonts w:ascii="宋体" w:hAnsi="宋体"/>
                <w:kern w:val="0"/>
                <w:szCs w:val="21"/>
              </w:rPr>
              <w:t>2021</w:t>
            </w:r>
          </w:p>
        </w:tc>
        <w:tc>
          <w:tcPr>
            <w:tcW w:w="899" w:type="pct"/>
            <w:shd w:val="clear" w:color="auto" w:fill="auto"/>
            <w:noWrap/>
            <w:vAlign w:val="center"/>
          </w:tcPr>
          <w:p w14:paraId="0093FF1E">
            <w:pPr>
              <w:pStyle w:val="23"/>
              <w:jc w:val="center"/>
              <w:rPr>
                <w:rFonts w:ascii="宋体" w:hAnsi="宋体"/>
                <w:kern w:val="0"/>
                <w:szCs w:val="21"/>
              </w:rPr>
            </w:pPr>
            <w:r>
              <w:rPr>
                <w:rFonts w:ascii="宋体" w:hAnsi="宋体"/>
                <w:kern w:val="0"/>
                <w:szCs w:val="21"/>
              </w:rPr>
              <w:t>12.1</w:t>
            </w:r>
          </w:p>
        </w:tc>
      </w:tr>
      <w:tr w14:paraId="731E7EA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303" w:type="pct"/>
            <w:shd w:val="clear" w:color="auto" w:fill="auto"/>
            <w:noWrap/>
            <w:vAlign w:val="center"/>
          </w:tcPr>
          <w:p w14:paraId="09893791">
            <w:pPr>
              <w:pStyle w:val="23"/>
              <w:rPr>
                <w:rFonts w:ascii="宋体" w:hAnsi="宋体"/>
                <w:kern w:val="0"/>
                <w:szCs w:val="21"/>
              </w:rPr>
            </w:pPr>
            <w:r>
              <w:rPr>
                <w:rFonts w:ascii="宋体" w:hAnsi="宋体"/>
                <w:kern w:val="0"/>
                <w:szCs w:val="21"/>
              </w:rPr>
              <w:t>八、教育</w:t>
            </w:r>
          </w:p>
        </w:tc>
        <w:tc>
          <w:tcPr>
            <w:tcW w:w="899" w:type="pct"/>
            <w:shd w:val="clear" w:color="auto" w:fill="auto"/>
            <w:noWrap/>
            <w:vAlign w:val="center"/>
          </w:tcPr>
          <w:p w14:paraId="7786AE35">
            <w:pPr>
              <w:pStyle w:val="23"/>
              <w:jc w:val="center"/>
              <w:rPr>
                <w:rFonts w:ascii="宋体" w:hAnsi="宋体"/>
                <w:kern w:val="0"/>
                <w:szCs w:val="21"/>
              </w:rPr>
            </w:pPr>
          </w:p>
        </w:tc>
        <w:tc>
          <w:tcPr>
            <w:tcW w:w="899" w:type="pct"/>
            <w:shd w:val="clear" w:color="auto" w:fill="auto"/>
            <w:noWrap/>
            <w:vAlign w:val="center"/>
          </w:tcPr>
          <w:p w14:paraId="66C059B4">
            <w:pPr>
              <w:pStyle w:val="23"/>
              <w:jc w:val="center"/>
              <w:rPr>
                <w:rFonts w:ascii="宋体" w:hAnsi="宋体"/>
                <w:kern w:val="0"/>
                <w:szCs w:val="21"/>
              </w:rPr>
            </w:pPr>
          </w:p>
        </w:tc>
        <w:tc>
          <w:tcPr>
            <w:tcW w:w="899" w:type="pct"/>
            <w:shd w:val="clear" w:color="auto" w:fill="auto"/>
            <w:noWrap/>
            <w:vAlign w:val="center"/>
          </w:tcPr>
          <w:p w14:paraId="344172DB">
            <w:pPr>
              <w:pStyle w:val="23"/>
              <w:jc w:val="center"/>
              <w:rPr>
                <w:rFonts w:ascii="宋体" w:hAnsi="宋体"/>
                <w:kern w:val="0"/>
                <w:szCs w:val="21"/>
              </w:rPr>
            </w:pPr>
          </w:p>
        </w:tc>
      </w:tr>
      <w:tr w14:paraId="49B45D1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303" w:type="pct"/>
            <w:shd w:val="clear" w:color="auto" w:fill="auto"/>
            <w:noWrap/>
            <w:vAlign w:val="center"/>
          </w:tcPr>
          <w:p w14:paraId="4DF83516">
            <w:pPr>
              <w:pStyle w:val="23"/>
              <w:ind w:firstLine="840" w:firstLineChars="400"/>
              <w:rPr>
                <w:rFonts w:ascii="宋体" w:hAnsi="宋体"/>
                <w:kern w:val="0"/>
                <w:szCs w:val="21"/>
              </w:rPr>
            </w:pPr>
            <w:r>
              <w:rPr>
                <w:rFonts w:ascii="宋体" w:hAnsi="宋体"/>
                <w:kern w:val="0"/>
                <w:szCs w:val="21"/>
              </w:rPr>
              <w:t>学校间数</w:t>
            </w:r>
          </w:p>
        </w:tc>
        <w:tc>
          <w:tcPr>
            <w:tcW w:w="899" w:type="pct"/>
            <w:shd w:val="clear" w:color="auto" w:fill="auto"/>
            <w:noWrap/>
            <w:vAlign w:val="center"/>
          </w:tcPr>
          <w:p w14:paraId="17D8E89D">
            <w:pPr>
              <w:pStyle w:val="23"/>
              <w:jc w:val="center"/>
              <w:rPr>
                <w:rFonts w:ascii="宋体" w:hAnsi="宋体"/>
                <w:kern w:val="0"/>
                <w:szCs w:val="21"/>
              </w:rPr>
            </w:pPr>
            <w:r>
              <w:rPr>
                <w:rFonts w:ascii="宋体" w:hAnsi="宋体"/>
                <w:kern w:val="0"/>
                <w:szCs w:val="21"/>
              </w:rPr>
              <w:t>间</w:t>
            </w:r>
          </w:p>
        </w:tc>
        <w:tc>
          <w:tcPr>
            <w:tcW w:w="899" w:type="pct"/>
            <w:shd w:val="clear" w:color="auto" w:fill="auto"/>
            <w:noWrap/>
            <w:vAlign w:val="center"/>
          </w:tcPr>
          <w:p w14:paraId="20D4EC47">
            <w:pPr>
              <w:pStyle w:val="23"/>
              <w:jc w:val="center"/>
              <w:rPr>
                <w:rFonts w:ascii="宋体" w:hAnsi="宋体"/>
                <w:kern w:val="0"/>
                <w:szCs w:val="21"/>
              </w:rPr>
            </w:pPr>
            <w:r>
              <w:rPr>
                <w:rFonts w:ascii="宋体" w:hAnsi="宋体"/>
                <w:kern w:val="0"/>
                <w:szCs w:val="21"/>
              </w:rPr>
              <w:t>109</w:t>
            </w:r>
          </w:p>
        </w:tc>
        <w:tc>
          <w:tcPr>
            <w:tcW w:w="899" w:type="pct"/>
            <w:shd w:val="clear" w:color="auto" w:fill="auto"/>
            <w:noWrap/>
            <w:vAlign w:val="center"/>
          </w:tcPr>
          <w:p w14:paraId="60E16784">
            <w:pPr>
              <w:pStyle w:val="23"/>
              <w:jc w:val="center"/>
              <w:rPr>
                <w:rFonts w:ascii="宋体" w:hAnsi="宋体"/>
                <w:kern w:val="0"/>
                <w:szCs w:val="21"/>
              </w:rPr>
            </w:pPr>
            <w:r>
              <w:rPr>
                <w:rFonts w:ascii="宋体" w:hAnsi="宋体"/>
                <w:kern w:val="0"/>
                <w:szCs w:val="21"/>
              </w:rPr>
              <w:t>-20.4</w:t>
            </w:r>
          </w:p>
        </w:tc>
      </w:tr>
      <w:tr w14:paraId="3AB7CAA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303" w:type="pct"/>
            <w:shd w:val="clear" w:color="auto" w:fill="auto"/>
            <w:noWrap/>
            <w:vAlign w:val="center"/>
          </w:tcPr>
          <w:p w14:paraId="148F020A">
            <w:pPr>
              <w:pStyle w:val="23"/>
              <w:ind w:firstLine="840" w:firstLineChars="400"/>
              <w:rPr>
                <w:rFonts w:ascii="宋体" w:hAnsi="宋体"/>
                <w:kern w:val="0"/>
                <w:szCs w:val="21"/>
              </w:rPr>
            </w:pPr>
            <w:r>
              <w:rPr>
                <w:rFonts w:ascii="宋体" w:hAnsi="宋体"/>
                <w:kern w:val="0"/>
                <w:szCs w:val="21"/>
              </w:rPr>
              <w:t>专任教师</w:t>
            </w:r>
          </w:p>
        </w:tc>
        <w:tc>
          <w:tcPr>
            <w:tcW w:w="899" w:type="pct"/>
            <w:shd w:val="clear" w:color="auto" w:fill="auto"/>
            <w:noWrap/>
            <w:vAlign w:val="center"/>
          </w:tcPr>
          <w:p w14:paraId="24C32818">
            <w:pPr>
              <w:pStyle w:val="23"/>
              <w:jc w:val="center"/>
              <w:rPr>
                <w:rFonts w:ascii="宋体" w:hAnsi="宋体"/>
                <w:kern w:val="0"/>
                <w:szCs w:val="21"/>
              </w:rPr>
            </w:pPr>
            <w:r>
              <w:rPr>
                <w:rFonts w:ascii="宋体" w:hAnsi="宋体"/>
                <w:kern w:val="0"/>
                <w:szCs w:val="21"/>
              </w:rPr>
              <w:t>人</w:t>
            </w:r>
          </w:p>
        </w:tc>
        <w:tc>
          <w:tcPr>
            <w:tcW w:w="899" w:type="pct"/>
            <w:shd w:val="clear" w:color="auto" w:fill="auto"/>
            <w:noWrap/>
            <w:vAlign w:val="center"/>
          </w:tcPr>
          <w:p w14:paraId="4D89C686">
            <w:pPr>
              <w:pStyle w:val="23"/>
              <w:jc w:val="center"/>
              <w:rPr>
                <w:rFonts w:ascii="宋体" w:hAnsi="宋体"/>
                <w:kern w:val="0"/>
                <w:szCs w:val="21"/>
              </w:rPr>
            </w:pPr>
            <w:r>
              <w:rPr>
                <w:rFonts w:ascii="宋体" w:hAnsi="宋体"/>
                <w:kern w:val="0"/>
                <w:szCs w:val="21"/>
              </w:rPr>
              <w:t>4487</w:t>
            </w:r>
          </w:p>
        </w:tc>
        <w:tc>
          <w:tcPr>
            <w:tcW w:w="899" w:type="pct"/>
            <w:shd w:val="clear" w:color="auto" w:fill="auto"/>
            <w:noWrap/>
            <w:vAlign w:val="center"/>
          </w:tcPr>
          <w:p w14:paraId="4EA7EBCA">
            <w:pPr>
              <w:pStyle w:val="23"/>
              <w:jc w:val="center"/>
              <w:rPr>
                <w:rFonts w:ascii="宋体" w:hAnsi="宋体"/>
                <w:kern w:val="0"/>
                <w:szCs w:val="21"/>
              </w:rPr>
            </w:pPr>
            <w:r>
              <w:rPr>
                <w:rFonts w:ascii="宋体" w:hAnsi="宋体"/>
                <w:kern w:val="0"/>
                <w:szCs w:val="21"/>
              </w:rPr>
              <w:t>-0.9</w:t>
            </w:r>
          </w:p>
        </w:tc>
      </w:tr>
      <w:tr w14:paraId="2CC173C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303" w:type="pct"/>
            <w:shd w:val="clear" w:color="auto" w:fill="auto"/>
            <w:noWrap/>
            <w:vAlign w:val="center"/>
          </w:tcPr>
          <w:p w14:paraId="0512D710">
            <w:pPr>
              <w:pStyle w:val="23"/>
              <w:ind w:firstLine="840" w:firstLineChars="400"/>
              <w:rPr>
                <w:rFonts w:ascii="宋体" w:hAnsi="宋体"/>
                <w:kern w:val="0"/>
                <w:szCs w:val="21"/>
              </w:rPr>
            </w:pPr>
            <w:r>
              <w:rPr>
                <w:rFonts w:ascii="宋体" w:hAnsi="宋体"/>
                <w:kern w:val="0"/>
                <w:szCs w:val="21"/>
              </w:rPr>
              <w:t>在校学生</w:t>
            </w:r>
          </w:p>
        </w:tc>
        <w:tc>
          <w:tcPr>
            <w:tcW w:w="899" w:type="pct"/>
            <w:shd w:val="clear" w:color="auto" w:fill="auto"/>
            <w:noWrap/>
            <w:vAlign w:val="center"/>
          </w:tcPr>
          <w:p w14:paraId="7089D0C8">
            <w:pPr>
              <w:pStyle w:val="23"/>
              <w:jc w:val="center"/>
              <w:rPr>
                <w:rFonts w:ascii="宋体" w:hAnsi="宋体"/>
                <w:kern w:val="0"/>
                <w:szCs w:val="21"/>
              </w:rPr>
            </w:pPr>
            <w:r>
              <w:rPr>
                <w:rFonts w:ascii="宋体" w:hAnsi="宋体"/>
                <w:kern w:val="0"/>
                <w:szCs w:val="21"/>
              </w:rPr>
              <w:t>万人</w:t>
            </w:r>
          </w:p>
        </w:tc>
        <w:tc>
          <w:tcPr>
            <w:tcW w:w="899" w:type="pct"/>
            <w:shd w:val="clear" w:color="auto" w:fill="auto"/>
            <w:noWrap/>
            <w:vAlign w:val="center"/>
          </w:tcPr>
          <w:p w14:paraId="79EB602C">
            <w:pPr>
              <w:pStyle w:val="23"/>
              <w:jc w:val="center"/>
              <w:rPr>
                <w:rFonts w:ascii="宋体" w:hAnsi="宋体"/>
                <w:kern w:val="0"/>
                <w:szCs w:val="21"/>
              </w:rPr>
            </w:pPr>
            <w:r>
              <w:rPr>
                <w:rFonts w:ascii="宋体" w:hAnsi="宋体"/>
                <w:kern w:val="0"/>
                <w:szCs w:val="21"/>
              </w:rPr>
              <w:t>6.86</w:t>
            </w:r>
          </w:p>
        </w:tc>
        <w:tc>
          <w:tcPr>
            <w:tcW w:w="899" w:type="pct"/>
            <w:shd w:val="clear" w:color="auto" w:fill="auto"/>
            <w:noWrap/>
            <w:vAlign w:val="center"/>
          </w:tcPr>
          <w:p w14:paraId="35DFEC01">
            <w:pPr>
              <w:pStyle w:val="23"/>
              <w:jc w:val="center"/>
              <w:rPr>
                <w:rFonts w:ascii="宋体" w:hAnsi="宋体"/>
                <w:kern w:val="0"/>
                <w:szCs w:val="21"/>
              </w:rPr>
            </w:pPr>
            <w:r>
              <w:rPr>
                <w:rFonts w:ascii="宋体" w:hAnsi="宋体"/>
                <w:kern w:val="0"/>
                <w:szCs w:val="21"/>
              </w:rPr>
              <w:t>-6.7</w:t>
            </w:r>
          </w:p>
        </w:tc>
      </w:tr>
      <w:tr w14:paraId="197B337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303" w:type="pct"/>
            <w:shd w:val="clear" w:color="auto" w:fill="auto"/>
            <w:noWrap/>
            <w:vAlign w:val="center"/>
          </w:tcPr>
          <w:p w14:paraId="446C4D2E">
            <w:pPr>
              <w:pStyle w:val="23"/>
              <w:ind w:firstLine="840" w:firstLineChars="400"/>
              <w:rPr>
                <w:rFonts w:ascii="宋体" w:hAnsi="宋体"/>
                <w:kern w:val="0"/>
                <w:szCs w:val="21"/>
              </w:rPr>
            </w:pPr>
            <w:r>
              <w:rPr>
                <w:rFonts w:ascii="宋体" w:hAnsi="宋体"/>
                <w:kern w:val="0"/>
                <w:szCs w:val="21"/>
              </w:rPr>
              <w:t>学龄儿童入学率</w:t>
            </w:r>
          </w:p>
        </w:tc>
        <w:tc>
          <w:tcPr>
            <w:tcW w:w="899" w:type="pct"/>
            <w:shd w:val="clear" w:color="auto" w:fill="auto"/>
            <w:noWrap/>
            <w:vAlign w:val="center"/>
          </w:tcPr>
          <w:p w14:paraId="10C038DB">
            <w:pPr>
              <w:pStyle w:val="23"/>
              <w:jc w:val="center"/>
              <w:rPr>
                <w:rFonts w:ascii="宋体" w:hAnsi="宋体"/>
                <w:kern w:val="0"/>
                <w:szCs w:val="21"/>
              </w:rPr>
            </w:pPr>
            <w:r>
              <w:rPr>
                <w:rFonts w:ascii="宋体" w:hAnsi="宋体"/>
                <w:kern w:val="0"/>
                <w:szCs w:val="21"/>
              </w:rPr>
              <w:t>%</w:t>
            </w:r>
          </w:p>
        </w:tc>
        <w:tc>
          <w:tcPr>
            <w:tcW w:w="899" w:type="pct"/>
            <w:shd w:val="clear" w:color="auto" w:fill="auto"/>
            <w:noWrap/>
            <w:vAlign w:val="center"/>
          </w:tcPr>
          <w:p w14:paraId="61277D47">
            <w:pPr>
              <w:pStyle w:val="23"/>
              <w:jc w:val="center"/>
              <w:rPr>
                <w:rFonts w:ascii="宋体" w:hAnsi="宋体"/>
                <w:kern w:val="0"/>
                <w:szCs w:val="21"/>
              </w:rPr>
            </w:pPr>
            <w:r>
              <w:rPr>
                <w:rFonts w:ascii="宋体" w:hAnsi="宋体"/>
                <w:kern w:val="0"/>
                <w:szCs w:val="21"/>
              </w:rPr>
              <w:t>100</w:t>
            </w:r>
          </w:p>
        </w:tc>
        <w:tc>
          <w:tcPr>
            <w:tcW w:w="899" w:type="pct"/>
            <w:shd w:val="clear" w:color="auto" w:fill="auto"/>
            <w:noWrap/>
            <w:vAlign w:val="center"/>
          </w:tcPr>
          <w:p w14:paraId="3AD3A520">
            <w:pPr>
              <w:pStyle w:val="23"/>
              <w:jc w:val="center"/>
              <w:rPr>
                <w:rFonts w:ascii="宋体" w:hAnsi="宋体"/>
                <w:kern w:val="0"/>
                <w:szCs w:val="21"/>
              </w:rPr>
            </w:pPr>
          </w:p>
        </w:tc>
      </w:tr>
      <w:tr w14:paraId="4B24998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303" w:type="pct"/>
            <w:shd w:val="clear" w:color="auto" w:fill="auto"/>
            <w:noWrap/>
            <w:vAlign w:val="center"/>
          </w:tcPr>
          <w:p w14:paraId="410AA4FC">
            <w:pPr>
              <w:pStyle w:val="23"/>
              <w:ind w:firstLine="840" w:firstLineChars="400"/>
              <w:rPr>
                <w:rFonts w:ascii="宋体" w:hAnsi="宋体"/>
                <w:kern w:val="0"/>
                <w:szCs w:val="21"/>
              </w:rPr>
            </w:pPr>
            <w:r>
              <w:rPr>
                <w:rFonts w:ascii="宋体" w:hAnsi="宋体"/>
                <w:kern w:val="0"/>
                <w:szCs w:val="21"/>
              </w:rPr>
              <w:t>小学升学率</w:t>
            </w:r>
          </w:p>
        </w:tc>
        <w:tc>
          <w:tcPr>
            <w:tcW w:w="899" w:type="pct"/>
            <w:shd w:val="clear" w:color="auto" w:fill="auto"/>
            <w:noWrap/>
            <w:vAlign w:val="center"/>
          </w:tcPr>
          <w:p w14:paraId="6CDDEDF0">
            <w:pPr>
              <w:pStyle w:val="23"/>
              <w:jc w:val="center"/>
              <w:rPr>
                <w:rFonts w:ascii="宋体" w:hAnsi="宋体"/>
                <w:kern w:val="0"/>
                <w:szCs w:val="21"/>
              </w:rPr>
            </w:pPr>
            <w:r>
              <w:rPr>
                <w:rFonts w:ascii="宋体" w:hAnsi="宋体"/>
                <w:kern w:val="0"/>
                <w:szCs w:val="21"/>
              </w:rPr>
              <w:t>%</w:t>
            </w:r>
          </w:p>
        </w:tc>
        <w:tc>
          <w:tcPr>
            <w:tcW w:w="899" w:type="pct"/>
            <w:shd w:val="clear" w:color="auto" w:fill="auto"/>
            <w:noWrap/>
            <w:vAlign w:val="center"/>
          </w:tcPr>
          <w:p w14:paraId="33A8E878">
            <w:pPr>
              <w:pStyle w:val="23"/>
              <w:jc w:val="center"/>
              <w:rPr>
                <w:rFonts w:ascii="宋体" w:hAnsi="宋体"/>
                <w:kern w:val="0"/>
                <w:szCs w:val="21"/>
              </w:rPr>
            </w:pPr>
            <w:r>
              <w:rPr>
                <w:rFonts w:ascii="宋体" w:hAnsi="宋体"/>
                <w:kern w:val="0"/>
                <w:szCs w:val="21"/>
              </w:rPr>
              <w:t>100</w:t>
            </w:r>
          </w:p>
        </w:tc>
        <w:tc>
          <w:tcPr>
            <w:tcW w:w="899" w:type="pct"/>
            <w:shd w:val="clear" w:color="auto" w:fill="auto"/>
            <w:noWrap/>
            <w:vAlign w:val="center"/>
          </w:tcPr>
          <w:p w14:paraId="6D30F18E">
            <w:pPr>
              <w:pStyle w:val="23"/>
              <w:jc w:val="center"/>
              <w:rPr>
                <w:rFonts w:ascii="宋体" w:hAnsi="宋体"/>
                <w:kern w:val="0"/>
                <w:szCs w:val="21"/>
              </w:rPr>
            </w:pPr>
          </w:p>
        </w:tc>
      </w:tr>
      <w:tr w14:paraId="300AEEE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303" w:type="pct"/>
            <w:shd w:val="clear" w:color="auto" w:fill="auto"/>
            <w:noWrap/>
            <w:vAlign w:val="center"/>
          </w:tcPr>
          <w:p w14:paraId="6BA179B8">
            <w:pPr>
              <w:pStyle w:val="23"/>
              <w:rPr>
                <w:rFonts w:ascii="宋体" w:hAnsi="宋体"/>
                <w:kern w:val="0"/>
                <w:szCs w:val="21"/>
              </w:rPr>
            </w:pPr>
            <w:r>
              <w:rPr>
                <w:rFonts w:ascii="宋体" w:hAnsi="宋体"/>
                <w:kern w:val="0"/>
                <w:szCs w:val="21"/>
              </w:rPr>
              <w:t>九、卫生</w:t>
            </w:r>
          </w:p>
        </w:tc>
        <w:tc>
          <w:tcPr>
            <w:tcW w:w="899" w:type="pct"/>
            <w:shd w:val="clear" w:color="auto" w:fill="auto"/>
            <w:noWrap/>
            <w:vAlign w:val="center"/>
          </w:tcPr>
          <w:p w14:paraId="03F1E2A3">
            <w:pPr>
              <w:pStyle w:val="23"/>
              <w:jc w:val="center"/>
              <w:rPr>
                <w:rFonts w:ascii="宋体" w:hAnsi="宋体"/>
                <w:kern w:val="0"/>
                <w:szCs w:val="21"/>
              </w:rPr>
            </w:pPr>
          </w:p>
        </w:tc>
        <w:tc>
          <w:tcPr>
            <w:tcW w:w="899" w:type="pct"/>
            <w:shd w:val="clear" w:color="auto" w:fill="auto"/>
            <w:noWrap/>
            <w:vAlign w:val="center"/>
          </w:tcPr>
          <w:p w14:paraId="4EB7F2B2">
            <w:pPr>
              <w:pStyle w:val="23"/>
              <w:jc w:val="center"/>
              <w:rPr>
                <w:rFonts w:ascii="宋体" w:hAnsi="宋体"/>
                <w:kern w:val="0"/>
                <w:szCs w:val="21"/>
              </w:rPr>
            </w:pPr>
          </w:p>
        </w:tc>
        <w:tc>
          <w:tcPr>
            <w:tcW w:w="899" w:type="pct"/>
            <w:shd w:val="clear" w:color="auto" w:fill="auto"/>
            <w:noWrap/>
            <w:vAlign w:val="center"/>
          </w:tcPr>
          <w:p w14:paraId="7BC11E82">
            <w:pPr>
              <w:pStyle w:val="23"/>
              <w:jc w:val="center"/>
              <w:rPr>
                <w:rFonts w:ascii="宋体" w:hAnsi="宋体"/>
                <w:kern w:val="0"/>
                <w:szCs w:val="21"/>
              </w:rPr>
            </w:pPr>
          </w:p>
        </w:tc>
      </w:tr>
      <w:tr w14:paraId="7DF083B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303" w:type="pct"/>
            <w:shd w:val="clear" w:color="auto" w:fill="auto"/>
            <w:noWrap/>
            <w:vAlign w:val="center"/>
          </w:tcPr>
          <w:p w14:paraId="617665D0">
            <w:pPr>
              <w:pStyle w:val="23"/>
              <w:ind w:firstLine="840" w:firstLineChars="400"/>
              <w:rPr>
                <w:rFonts w:ascii="宋体" w:hAnsi="宋体"/>
                <w:kern w:val="0"/>
                <w:szCs w:val="21"/>
              </w:rPr>
            </w:pPr>
            <w:r>
              <w:rPr>
                <w:rFonts w:ascii="宋体" w:hAnsi="宋体"/>
                <w:kern w:val="0"/>
                <w:szCs w:val="21"/>
              </w:rPr>
              <w:t>医院床位数</w:t>
            </w:r>
          </w:p>
        </w:tc>
        <w:tc>
          <w:tcPr>
            <w:tcW w:w="899" w:type="pct"/>
            <w:shd w:val="clear" w:color="auto" w:fill="auto"/>
            <w:noWrap/>
            <w:vAlign w:val="center"/>
          </w:tcPr>
          <w:p w14:paraId="27BDE4D7">
            <w:pPr>
              <w:pStyle w:val="23"/>
              <w:jc w:val="center"/>
              <w:rPr>
                <w:rFonts w:ascii="宋体" w:hAnsi="宋体"/>
                <w:kern w:val="0"/>
                <w:szCs w:val="21"/>
              </w:rPr>
            </w:pPr>
            <w:r>
              <w:rPr>
                <w:rFonts w:ascii="宋体" w:hAnsi="宋体"/>
                <w:kern w:val="0"/>
                <w:szCs w:val="21"/>
              </w:rPr>
              <w:t>床</w:t>
            </w:r>
          </w:p>
        </w:tc>
        <w:tc>
          <w:tcPr>
            <w:tcW w:w="899" w:type="pct"/>
            <w:shd w:val="clear" w:color="auto" w:fill="auto"/>
            <w:noWrap/>
            <w:vAlign w:val="center"/>
          </w:tcPr>
          <w:p w14:paraId="474F9B14">
            <w:pPr>
              <w:pStyle w:val="23"/>
              <w:jc w:val="center"/>
              <w:rPr>
                <w:rFonts w:ascii="宋体" w:hAnsi="宋体"/>
                <w:kern w:val="0"/>
                <w:szCs w:val="21"/>
              </w:rPr>
            </w:pPr>
            <w:r>
              <w:rPr>
                <w:rFonts w:ascii="宋体" w:hAnsi="宋体"/>
                <w:kern w:val="0"/>
                <w:szCs w:val="21"/>
              </w:rPr>
              <w:t>1100</w:t>
            </w:r>
          </w:p>
        </w:tc>
        <w:tc>
          <w:tcPr>
            <w:tcW w:w="899" w:type="pct"/>
            <w:shd w:val="clear" w:color="auto" w:fill="auto"/>
            <w:noWrap/>
            <w:vAlign w:val="center"/>
          </w:tcPr>
          <w:p w14:paraId="60D479F2">
            <w:pPr>
              <w:pStyle w:val="23"/>
              <w:jc w:val="center"/>
              <w:rPr>
                <w:rFonts w:ascii="宋体" w:hAnsi="宋体"/>
                <w:kern w:val="0"/>
                <w:szCs w:val="21"/>
              </w:rPr>
            </w:pPr>
            <w:r>
              <w:rPr>
                <w:rFonts w:ascii="宋体" w:hAnsi="宋体"/>
                <w:kern w:val="0"/>
                <w:szCs w:val="21"/>
              </w:rPr>
              <w:t>16.4</w:t>
            </w:r>
          </w:p>
        </w:tc>
      </w:tr>
      <w:tr w14:paraId="26BF1F4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303" w:type="pct"/>
            <w:shd w:val="clear" w:color="auto" w:fill="auto"/>
            <w:noWrap/>
            <w:vAlign w:val="center"/>
          </w:tcPr>
          <w:p w14:paraId="46AFCA96">
            <w:pPr>
              <w:pStyle w:val="23"/>
              <w:ind w:firstLine="840" w:firstLineChars="400"/>
              <w:rPr>
                <w:rFonts w:ascii="宋体" w:hAnsi="宋体"/>
                <w:kern w:val="0"/>
                <w:szCs w:val="21"/>
              </w:rPr>
            </w:pPr>
            <w:r>
              <w:rPr>
                <w:rFonts w:ascii="宋体" w:hAnsi="宋体"/>
                <w:kern w:val="0"/>
                <w:szCs w:val="21"/>
              </w:rPr>
              <w:t>卫生技术人员</w:t>
            </w:r>
          </w:p>
        </w:tc>
        <w:tc>
          <w:tcPr>
            <w:tcW w:w="899" w:type="pct"/>
            <w:shd w:val="clear" w:color="auto" w:fill="auto"/>
            <w:noWrap/>
            <w:vAlign w:val="center"/>
          </w:tcPr>
          <w:p w14:paraId="1D5D9D71">
            <w:pPr>
              <w:pStyle w:val="23"/>
              <w:jc w:val="center"/>
              <w:rPr>
                <w:rFonts w:ascii="宋体" w:hAnsi="宋体"/>
                <w:kern w:val="0"/>
                <w:szCs w:val="21"/>
              </w:rPr>
            </w:pPr>
            <w:r>
              <w:rPr>
                <w:rFonts w:ascii="宋体" w:hAnsi="宋体"/>
                <w:kern w:val="0"/>
                <w:szCs w:val="21"/>
              </w:rPr>
              <w:t>人</w:t>
            </w:r>
          </w:p>
        </w:tc>
        <w:tc>
          <w:tcPr>
            <w:tcW w:w="899" w:type="pct"/>
            <w:shd w:val="clear" w:color="auto" w:fill="auto"/>
            <w:noWrap/>
            <w:vAlign w:val="center"/>
          </w:tcPr>
          <w:p w14:paraId="17426E52">
            <w:pPr>
              <w:pStyle w:val="23"/>
              <w:jc w:val="center"/>
              <w:rPr>
                <w:rFonts w:ascii="宋体" w:hAnsi="宋体"/>
                <w:kern w:val="0"/>
                <w:szCs w:val="21"/>
              </w:rPr>
            </w:pPr>
            <w:r>
              <w:rPr>
                <w:rFonts w:ascii="宋体" w:hAnsi="宋体"/>
                <w:kern w:val="0"/>
                <w:szCs w:val="21"/>
              </w:rPr>
              <w:t>994</w:t>
            </w:r>
          </w:p>
        </w:tc>
        <w:tc>
          <w:tcPr>
            <w:tcW w:w="899" w:type="pct"/>
            <w:shd w:val="clear" w:color="auto" w:fill="auto"/>
            <w:noWrap/>
            <w:vAlign w:val="center"/>
          </w:tcPr>
          <w:p w14:paraId="0CDDCD5B">
            <w:pPr>
              <w:pStyle w:val="23"/>
              <w:jc w:val="center"/>
              <w:rPr>
                <w:rFonts w:ascii="宋体" w:hAnsi="宋体"/>
                <w:kern w:val="0"/>
                <w:szCs w:val="21"/>
              </w:rPr>
            </w:pPr>
            <w:r>
              <w:rPr>
                <w:rFonts w:ascii="宋体" w:hAnsi="宋体"/>
                <w:kern w:val="0"/>
                <w:szCs w:val="21"/>
              </w:rPr>
              <w:t>8</w:t>
            </w:r>
          </w:p>
        </w:tc>
      </w:tr>
      <w:tr w14:paraId="230356A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303" w:type="pct"/>
            <w:shd w:val="clear" w:color="auto" w:fill="auto"/>
            <w:noWrap/>
            <w:vAlign w:val="center"/>
          </w:tcPr>
          <w:p w14:paraId="26789AEA">
            <w:pPr>
              <w:pStyle w:val="23"/>
              <w:rPr>
                <w:rFonts w:ascii="宋体" w:hAnsi="宋体"/>
                <w:kern w:val="0"/>
                <w:szCs w:val="21"/>
              </w:rPr>
            </w:pPr>
            <w:r>
              <w:rPr>
                <w:rFonts w:ascii="宋体" w:hAnsi="宋体"/>
                <w:kern w:val="0"/>
                <w:szCs w:val="21"/>
              </w:rPr>
              <w:t>十、财政</w:t>
            </w:r>
          </w:p>
        </w:tc>
        <w:tc>
          <w:tcPr>
            <w:tcW w:w="899" w:type="pct"/>
            <w:shd w:val="clear" w:color="auto" w:fill="auto"/>
            <w:noWrap/>
            <w:vAlign w:val="center"/>
          </w:tcPr>
          <w:p w14:paraId="384590CC">
            <w:pPr>
              <w:pStyle w:val="23"/>
              <w:jc w:val="center"/>
              <w:rPr>
                <w:rFonts w:ascii="宋体" w:hAnsi="宋体"/>
                <w:kern w:val="0"/>
                <w:szCs w:val="21"/>
              </w:rPr>
            </w:pPr>
          </w:p>
        </w:tc>
        <w:tc>
          <w:tcPr>
            <w:tcW w:w="899" w:type="pct"/>
            <w:shd w:val="clear" w:color="auto" w:fill="auto"/>
            <w:noWrap/>
            <w:vAlign w:val="center"/>
          </w:tcPr>
          <w:p w14:paraId="1EB6E316">
            <w:pPr>
              <w:pStyle w:val="23"/>
              <w:jc w:val="center"/>
              <w:rPr>
                <w:rFonts w:ascii="宋体" w:hAnsi="宋体"/>
                <w:kern w:val="0"/>
                <w:szCs w:val="21"/>
              </w:rPr>
            </w:pPr>
          </w:p>
        </w:tc>
        <w:tc>
          <w:tcPr>
            <w:tcW w:w="899" w:type="pct"/>
            <w:shd w:val="clear" w:color="auto" w:fill="auto"/>
            <w:noWrap/>
            <w:vAlign w:val="center"/>
          </w:tcPr>
          <w:p w14:paraId="65222461">
            <w:pPr>
              <w:pStyle w:val="23"/>
              <w:jc w:val="center"/>
              <w:rPr>
                <w:rFonts w:ascii="宋体" w:hAnsi="宋体"/>
                <w:kern w:val="0"/>
                <w:szCs w:val="21"/>
              </w:rPr>
            </w:pPr>
          </w:p>
        </w:tc>
      </w:tr>
      <w:tr w14:paraId="7B68F47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303" w:type="pct"/>
            <w:shd w:val="clear" w:color="auto" w:fill="auto"/>
            <w:noWrap/>
            <w:vAlign w:val="center"/>
          </w:tcPr>
          <w:p w14:paraId="50437180">
            <w:pPr>
              <w:pStyle w:val="23"/>
              <w:ind w:firstLine="840" w:firstLineChars="400"/>
              <w:rPr>
                <w:rFonts w:ascii="宋体" w:hAnsi="宋体"/>
                <w:kern w:val="0"/>
                <w:szCs w:val="21"/>
              </w:rPr>
            </w:pPr>
            <w:r>
              <w:rPr>
                <w:rFonts w:ascii="宋体" w:hAnsi="宋体"/>
                <w:kern w:val="0"/>
                <w:szCs w:val="21"/>
              </w:rPr>
              <w:t>财政总收入</w:t>
            </w:r>
          </w:p>
        </w:tc>
        <w:tc>
          <w:tcPr>
            <w:tcW w:w="899" w:type="pct"/>
            <w:shd w:val="clear" w:color="auto" w:fill="auto"/>
            <w:noWrap/>
            <w:vAlign w:val="center"/>
          </w:tcPr>
          <w:p w14:paraId="2B4341CA">
            <w:pPr>
              <w:pStyle w:val="23"/>
              <w:jc w:val="center"/>
              <w:rPr>
                <w:rFonts w:ascii="宋体" w:hAnsi="宋体"/>
                <w:kern w:val="0"/>
                <w:szCs w:val="21"/>
              </w:rPr>
            </w:pPr>
            <w:r>
              <w:rPr>
                <w:rFonts w:ascii="宋体" w:hAnsi="宋体"/>
                <w:kern w:val="0"/>
                <w:szCs w:val="21"/>
              </w:rPr>
              <w:t>万元</w:t>
            </w:r>
          </w:p>
        </w:tc>
        <w:tc>
          <w:tcPr>
            <w:tcW w:w="899" w:type="pct"/>
            <w:shd w:val="clear" w:color="auto" w:fill="auto"/>
            <w:noWrap/>
            <w:vAlign w:val="center"/>
          </w:tcPr>
          <w:p w14:paraId="448F04F6">
            <w:pPr>
              <w:pStyle w:val="23"/>
              <w:jc w:val="center"/>
              <w:rPr>
                <w:rFonts w:ascii="宋体" w:hAnsi="宋体"/>
                <w:kern w:val="0"/>
                <w:szCs w:val="21"/>
              </w:rPr>
            </w:pPr>
            <w:r>
              <w:rPr>
                <w:rFonts w:ascii="宋体" w:hAnsi="宋体"/>
                <w:kern w:val="0"/>
                <w:szCs w:val="21"/>
              </w:rPr>
              <w:t>132178</w:t>
            </w:r>
          </w:p>
        </w:tc>
        <w:tc>
          <w:tcPr>
            <w:tcW w:w="899" w:type="pct"/>
            <w:shd w:val="clear" w:color="auto" w:fill="auto"/>
            <w:noWrap/>
            <w:vAlign w:val="center"/>
          </w:tcPr>
          <w:p w14:paraId="0426886E">
            <w:pPr>
              <w:pStyle w:val="23"/>
              <w:jc w:val="center"/>
              <w:rPr>
                <w:rFonts w:ascii="宋体" w:hAnsi="宋体"/>
                <w:kern w:val="0"/>
                <w:szCs w:val="21"/>
              </w:rPr>
            </w:pPr>
            <w:r>
              <w:rPr>
                <w:rFonts w:ascii="宋体" w:hAnsi="宋体"/>
                <w:kern w:val="0"/>
                <w:szCs w:val="21"/>
              </w:rPr>
              <w:t>35.7</w:t>
            </w:r>
          </w:p>
        </w:tc>
      </w:tr>
      <w:tr w14:paraId="0556C51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303" w:type="pct"/>
            <w:shd w:val="clear" w:color="auto" w:fill="auto"/>
            <w:noWrap/>
            <w:vAlign w:val="center"/>
          </w:tcPr>
          <w:p w14:paraId="62EF4DAC">
            <w:pPr>
              <w:pStyle w:val="23"/>
              <w:ind w:firstLine="840" w:firstLineChars="400"/>
              <w:rPr>
                <w:rFonts w:ascii="宋体" w:hAnsi="宋体"/>
                <w:kern w:val="0"/>
                <w:szCs w:val="21"/>
              </w:rPr>
            </w:pPr>
            <w:r>
              <w:rPr>
                <w:rFonts w:ascii="宋体" w:hAnsi="宋体"/>
                <w:kern w:val="0"/>
                <w:szCs w:val="21"/>
              </w:rPr>
              <w:t>财政总支出</w:t>
            </w:r>
          </w:p>
        </w:tc>
        <w:tc>
          <w:tcPr>
            <w:tcW w:w="899" w:type="pct"/>
            <w:shd w:val="clear" w:color="auto" w:fill="auto"/>
            <w:noWrap/>
            <w:vAlign w:val="center"/>
          </w:tcPr>
          <w:p w14:paraId="0D6349EA">
            <w:pPr>
              <w:pStyle w:val="23"/>
              <w:jc w:val="center"/>
              <w:rPr>
                <w:rFonts w:ascii="宋体" w:hAnsi="宋体"/>
                <w:kern w:val="0"/>
                <w:szCs w:val="21"/>
              </w:rPr>
            </w:pPr>
            <w:r>
              <w:rPr>
                <w:rFonts w:ascii="宋体" w:hAnsi="宋体"/>
                <w:kern w:val="0"/>
                <w:szCs w:val="21"/>
              </w:rPr>
              <w:t>万元</w:t>
            </w:r>
          </w:p>
        </w:tc>
        <w:tc>
          <w:tcPr>
            <w:tcW w:w="899" w:type="pct"/>
            <w:shd w:val="clear" w:color="auto" w:fill="auto"/>
            <w:noWrap/>
            <w:vAlign w:val="center"/>
          </w:tcPr>
          <w:p w14:paraId="4B1ECA70">
            <w:pPr>
              <w:pStyle w:val="23"/>
              <w:jc w:val="center"/>
              <w:rPr>
                <w:rFonts w:ascii="宋体" w:hAnsi="宋体"/>
                <w:kern w:val="0"/>
                <w:szCs w:val="21"/>
              </w:rPr>
            </w:pPr>
            <w:r>
              <w:rPr>
                <w:rFonts w:ascii="宋体" w:hAnsi="宋体"/>
                <w:kern w:val="0"/>
                <w:szCs w:val="21"/>
              </w:rPr>
              <w:t>132078</w:t>
            </w:r>
          </w:p>
        </w:tc>
        <w:tc>
          <w:tcPr>
            <w:tcW w:w="899" w:type="pct"/>
            <w:shd w:val="clear" w:color="auto" w:fill="auto"/>
            <w:noWrap/>
            <w:vAlign w:val="center"/>
          </w:tcPr>
          <w:p w14:paraId="6FE2B543">
            <w:pPr>
              <w:pStyle w:val="23"/>
              <w:jc w:val="center"/>
              <w:rPr>
                <w:rFonts w:ascii="宋体" w:hAnsi="宋体"/>
                <w:kern w:val="0"/>
                <w:szCs w:val="21"/>
              </w:rPr>
            </w:pPr>
            <w:r>
              <w:rPr>
                <w:rFonts w:ascii="宋体" w:hAnsi="宋体"/>
                <w:kern w:val="0"/>
                <w:szCs w:val="21"/>
              </w:rPr>
              <w:t>38.7</w:t>
            </w:r>
          </w:p>
        </w:tc>
      </w:tr>
      <w:tr w14:paraId="328893B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303" w:type="pct"/>
            <w:shd w:val="clear" w:color="auto" w:fill="auto"/>
            <w:noWrap/>
            <w:vAlign w:val="center"/>
          </w:tcPr>
          <w:p w14:paraId="5AAD3656">
            <w:pPr>
              <w:pStyle w:val="23"/>
              <w:rPr>
                <w:rFonts w:ascii="宋体" w:hAnsi="宋体"/>
                <w:kern w:val="0"/>
                <w:szCs w:val="21"/>
              </w:rPr>
            </w:pPr>
            <w:r>
              <w:rPr>
                <w:rFonts w:ascii="宋体" w:hAnsi="宋体"/>
                <w:kern w:val="0"/>
                <w:szCs w:val="21"/>
              </w:rPr>
              <w:t>十一、金融保险</w:t>
            </w:r>
          </w:p>
        </w:tc>
        <w:tc>
          <w:tcPr>
            <w:tcW w:w="899" w:type="pct"/>
            <w:shd w:val="clear" w:color="auto" w:fill="auto"/>
            <w:noWrap/>
            <w:vAlign w:val="center"/>
          </w:tcPr>
          <w:p w14:paraId="56B6D3F8">
            <w:pPr>
              <w:pStyle w:val="23"/>
              <w:jc w:val="center"/>
              <w:rPr>
                <w:rFonts w:ascii="宋体" w:hAnsi="宋体"/>
                <w:kern w:val="0"/>
                <w:szCs w:val="21"/>
              </w:rPr>
            </w:pPr>
          </w:p>
        </w:tc>
        <w:tc>
          <w:tcPr>
            <w:tcW w:w="899" w:type="pct"/>
            <w:shd w:val="clear" w:color="auto" w:fill="auto"/>
            <w:noWrap/>
            <w:vAlign w:val="center"/>
          </w:tcPr>
          <w:p w14:paraId="1785A2B9">
            <w:pPr>
              <w:pStyle w:val="23"/>
              <w:jc w:val="center"/>
              <w:rPr>
                <w:rFonts w:ascii="宋体" w:hAnsi="宋体"/>
                <w:kern w:val="0"/>
                <w:szCs w:val="21"/>
              </w:rPr>
            </w:pPr>
          </w:p>
        </w:tc>
        <w:tc>
          <w:tcPr>
            <w:tcW w:w="899" w:type="pct"/>
            <w:shd w:val="clear" w:color="auto" w:fill="auto"/>
            <w:noWrap/>
            <w:vAlign w:val="center"/>
          </w:tcPr>
          <w:p w14:paraId="67CD1C69">
            <w:pPr>
              <w:pStyle w:val="23"/>
              <w:jc w:val="center"/>
              <w:rPr>
                <w:rFonts w:ascii="宋体" w:hAnsi="宋体"/>
                <w:kern w:val="0"/>
                <w:szCs w:val="21"/>
              </w:rPr>
            </w:pPr>
          </w:p>
        </w:tc>
      </w:tr>
      <w:tr w14:paraId="1332596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303" w:type="pct"/>
            <w:shd w:val="clear" w:color="auto" w:fill="auto"/>
            <w:noWrap/>
            <w:vAlign w:val="center"/>
          </w:tcPr>
          <w:p w14:paraId="63A23164">
            <w:pPr>
              <w:pStyle w:val="23"/>
              <w:ind w:firstLine="420" w:firstLineChars="200"/>
              <w:rPr>
                <w:rFonts w:ascii="宋体" w:hAnsi="宋体"/>
                <w:kern w:val="0"/>
                <w:szCs w:val="21"/>
              </w:rPr>
            </w:pPr>
            <w:r>
              <w:rPr>
                <w:rFonts w:ascii="宋体" w:hAnsi="宋体"/>
                <w:kern w:val="0"/>
                <w:szCs w:val="21"/>
              </w:rPr>
              <w:t>城乡居民储蓄存款余额</w:t>
            </w:r>
          </w:p>
        </w:tc>
        <w:tc>
          <w:tcPr>
            <w:tcW w:w="899" w:type="pct"/>
            <w:shd w:val="clear" w:color="auto" w:fill="auto"/>
            <w:noWrap/>
            <w:vAlign w:val="center"/>
          </w:tcPr>
          <w:p w14:paraId="4C18350E">
            <w:pPr>
              <w:pStyle w:val="23"/>
              <w:jc w:val="center"/>
              <w:rPr>
                <w:rFonts w:ascii="宋体" w:hAnsi="宋体"/>
                <w:kern w:val="0"/>
                <w:szCs w:val="21"/>
              </w:rPr>
            </w:pPr>
            <w:r>
              <w:rPr>
                <w:rFonts w:ascii="宋体" w:hAnsi="宋体"/>
                <w:kern w:val="0"/>
                <w:szCs w:val="21"/>
              </w:rPr>
              <w:t>万元</w:t>
            </w:r>
          </w:p>
        </w:tc>
        <w:tc>
          <w:tcPr>
            <w:tcW w:w="899" w:type="pct"/>
            <w:shd w:val="clear" w:color="auto" w:fill="auto"/>
            <w:noWrap/>
            <w:vAlign w:val="center"/>
          </w:tcPr>
          <w:p w14:paraId="0703A159">
            <w:pPr>
              <w:pStyle w:val="23"/>
              <w:jc w:val="center"/>
              <w:rPr>
                <w:rFonts w:ascii="宋体" w:hAnsi="宋体"/>
                <w:kern w:val="0"/>
                <w:szCs w:val="21"/>
              </w:rPr>
            </w:pPr>
            <w:r>
              <w:rPr>
                <w:rFonts w:ascii="宋体" w:hAnsi="宋体"/>
                <w:kern w:val="0"/>
                <w:szCs w:val="21"/>
              </w:rPr>
              <w:t>512627</w:t>
            </w:r>
          </w:p>
        </w:tc>
        <w:tc>
          <w:tcPr>
            <w:tcW w:w="899" w:type="pct"/>
            <w:shd w:val="clear" w:color="auto" w:fill="auto"/>
            <w:noWrap/>
            <w:vAlign w:val="center"/>
          </w:tcPr>
          <w:p w14:paraId="211A34FA">
            <w:pPr>
              <w:pStyle w:val="23"/>
              <w:jc w:val="center"/>
              <w:rPr>
                <w:rFonts w:ascii="宋体" w:hAnsi="宋体"/>
                <w:kern w:val="0"/>
                <w:szCs w:val="21"/>
              </w:rPr>
            </w:pPr>
            <w:r>
              <w:rPr>
                <w:rFonts w:ascii="宋体" w:hAnsi="宋体"/>
                <w:kern w:val="0"/>
                <w:szCs w:val="21"/>
              </w:rPr>
              <w:t>14</w:t>
            </w:r>
          </w:p>
        </w:tc>
      </w:tr>
      <w:tr w14:paraId="7415FD6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303" w:type="pct"/>
            <w:shd w:val="clear" w:color="auto" w:fill="auto"/>
            <w:noWrap/>
            <w:vAlign w:val="center"/>
          </w:tcPr>
          <w:p w14:paraId="6B5F0F30">
            <w:pPr>
              <w:pStyle w:val="23"/>
              <w:ind w:firstLine="840" w:firstLineChars="400"/>
              <w:rPr>
                <w:rFonts w:ascii="宋体" w:hAnsi="宋体"/>
                <w:kern w:val="0"/>
                <w:szCs w:val="21"/>
              </w:rPr>
            </w:pPr>
            <w:r>
              <w:rPr>
                <w:rFonts w:ascii="宋体" w:hAnsi="宋体"/>
                <w:kern w:val="0"/>
                <w:szCs w:val="21"/>
              </w:rPr>
              <w:t>各项贷款余额</w:t>
            </w:r>
          </w:p>
        </w:tc>
        <w:tc>
          <w:tcPr>
            <w:tcW w:w="899" w:type="pct"/>
            <w:shd w:val="clear" w:color="auto" w:fill="auto"/>
            <w:noWrap/>
            <w:vAlign w:val="center"/>
          </w:tcPr>
          <w:p w14:paraId="1992C4A4">
            <w:pPr>
              <w:pStyle w:val="23"/>
              <w:jc w:val="center"/>
              <w:rPr>
                <w:rFonts w:ascii="宋体" w:hAnsi="宋体"/>
                <w:kern w:val="0"/>
                <w:szCs w:val="21"/>
              </w:rPr>
            </w:pPr>
            <w:r>
              <w:rPr>
                <w:rFonts w:ascii="宋体" w:hAnsi="宋体"/>
                <w:kern w:val="0"/>
                <w:szCs w:val="21"/>
              </w:rPr>
              <w:t>万元</w:t>
            </w:r>
          </w:p>
        </w:tc>
        <w:tc>
          <w:tcPr>
            <w:tcW w:w="899" w:type="pct"/>
            <w:shd w:val="clear" w:color="auto" w:fill="auto"/>
            <w:noWrap/>
            <w:vAlign w:val="center"/>
          </w:tcPr>
          <w:p w14:paraId="486AAFB4">
            <w:pPr>
              <w:pStyle w:val="23"/>
              <w:jc w:val="center"/>
              <w:rPr>
                <w:rFonts w:ascii="宋体" w:hAnsi="宋体"/>
                <w:kern w:val="0"/>
                <w:szCs w:val="21"/>
              </w:rPr>
            </w:pPr>
            <w:r>
              <w:rPr>
                <w:rFonts w:ascii="宋体" w:hAnsi="宋体"/>
                <w:kern w:val="0"/>
                <w:szCs w:val="21"/>
              </w:rPr>
              <w:t>187371</w:t>
            </w:r>
          </w:p>
        </w:tc>
        <w:tc>
          <w:tcPr>
            <w:tcW w:w="899" w:type="pct"/>
            <w:shd w:val="clear" w:color="auto" w:fill="auto"/>
            <w:noWrap/>
            <w:vAlign w:val="center"/>
          </w:tcPr>
          <w:p w14:paraId="3E5D4226">
            <w:pPr>
              <w:pStyle w:val="23"/>
              <w:jc w:val="center"/>
              <w:rPr>
                <w:rFonts w:ascii="宋体" w:hAnsi="宋体"/>
                <w:kern w:val="0"/>
                <w:szCs w:val="21"/>
              </w:rPr>
            </w:pPr>
            <w:r>
              <w:rPr>
                <w:rFonts w:ascii="宋体" w:hAnsi="宋体"/>
                <w:kern w:val="0"/>
                <w:szCs w:val="21"/>
              </w:rPr>
              <w:t>25.4</w:t>
            </w:r>
          </w:p>
        </w:tc>
      </w:tr>
      <w:tr w14:paraId="60E367F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303" w:type="pct"/>
            <w:shd w:val="clear" w:color="auto" w:fill="auto"/>
            <w:noWrap/>
            <w:vAlign w:val="center"/>
          </w:tcPr>
          <w:p w14:paraId="7F0B2147">
            <w:pPr>
              <w:pStyle w:val="23"/>
              <w:ind w:firstLine="1260" w:firstLineChars="600"/>
              <w:rPr>
                <w:rFonts w:ascii="宋体" w:hAnsi="宋体"/>
                <w:kern w:val="0"/>
                <w:szCs w:val="21"/>
              </w:rPr>
            </w:pPr>
            <w:r>
              <w:rPr>
                <w:rFonts w:ascii="宋体" w:hAnsi="宋体"/>
                <w:kern w:val="0"/>
                <w:szCs w:val="21"/>
              </w:rPr>
              <w:t>其中</w:t>
            </w:r>
            <w:r>
              <w:rPr>
                <w:rFonts w:hint="eastAsia" w:ascii="宋体" w:hAnsi="宋体"/>
                <w:kern w:val="0"/>
                <w:szCs w:val="21"/>
              </w:rPr>
              <w:t>：</w:t>
            </w:r>
            <w:r>
              <w:rPr>
                <w:rFonts w:ascii="宋体" w:hAnsi="宋体"/>
                <w:kern w:val="0"/>
                <w:szCs w:val="21"/>
              </w:rPr>
              <w:t>中长期贷款</w:t>
            </w:r>
          </w:p>
        </w:tc>
        <w:tc>
          <w:tcPr>
            <w:tcW w:w="899" w:type="pct"/>
            <w:shd w:val="clear" w:color="auto" w:fill="auto"/>
            <w:noWrap/>
            <w:vAlign w:val="center"/>
          </w:tcPr>
          <w:p w14:paraId="28FF7918">
            <w:pPr>
              <w:pStyle w:val="23"/>
              <w:jc w:val="center"/>
              <w:rPr>
                <w:rFonts w:ascii="宋体" w:hAnsi="宋体"/>
                <w:kern w:val="0"/>
                <w:szCs w:val="21"/>
              </w:rPr>
            </w:pPr>
            <w:r>
              <w:rPr>
                <w:rFonts w:ascii="宋体" w:hAnsi="宋体"/>
                <w:kern w:val="0"/>
                <w:szCs w:val="21"/>
              </w:rPr>
              <w:t>万元</w:t>
            </w:r>
          </w:p>
        </w:tc>
        <w:tc>
          <w:tcPr>
            <w:tcW w:w="899" w:type="pct"/>
            <w:shd w:val="clear" w:color="auto" w:fill="auto"/>
            <w:noWrap/>
            <w:vAlign w:val="center"/>
          </w:tcPr>
          <w:p w14:paraId="1D391C38">
            <w:pPr>
              <w:pStyle w:val="23"/>
              <w:jc w:val="center"/>
              <w:rPr>
                <w:rFonts w:ascii="宋体" w:hAnsi="宋体"/>
                <w:kern w:val="0"/>
                <w:szCs w:val="21"/>
              </w:rPr>
            </w:pPr>
            <w:r>
              <w:rPr>
                <w:rFonts w:ascii="宋体" w:hAnsi="宋体"/>
                <w:kern w:val="0"/>
                <w:szCs w:val="21"/>
              </w:rPr>
              <w:t>147895</w:t>
            </w:r>
          </w:p>
        </w:tc>
        <w:tc>
          <w:tcPr>
            <w:tcW w:w="899" w:type="pct"/>
            <w:shd w:val="clear" w:color="auto" w:fill="auto"/>
            <w:noWrap/>
            <w:vAlign w:val="center"/>
          </w:tcPr>
          <w:p w14:paraId="0DE47AAC">
            <w:pPr>
              <w:pStyle w:val="23"/>
              <w:jc w:val="center"/>
              <w:rPr>
                <w:rFonts w:ascii="宋体" w:hAnsi="宋体"/>
                <w:kern w:val="0"/>
                <w:szCs w:val="21"/>
              </w:rPr>
            </w:pPr>
            <w:r>
              <w:rPr>
                <w:rFonts w:ascii="宋体" w:hAnsi="宋体"/>
                <w:kern w:val="0"/>
                <w:szCs w:val="21"/>
              </w:rPr>
              <w:t>27</w:t>
            </w:r>
          </w:p>
        </w:tc>
      </w:tr>
      <w:tr w14:paraId="5D3243C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303" w:type="pct"/>
            <w:shd w:val="clear" w:color="auto" w:fill="auto"/>
            <w:noWrap/>
            <w:vAlign w:val="center"/>
          </w:tcPr>
          <w:p w14:paraId="4DA6DCF4">
            <w:pPr>
              <w:pStyle w:val="23"/>
              <w:ind w:firstLine="840" w:firstLineChars="400"/>
              <w:rPr>
                <w:rFonts w:ascii="宋体" w:hAnsi="宋体"/>
                <w:kern w:val="0"/>
                <w:szCs w:val="21"/>
              </w:rPr>
            </w:pPr>
            <w:r>
              <w:rPr>
                <w:rFonts w:ascii="宋体" w:hAnsi="宋体"/>
                <w:kern w:val="0"/>
                <w:szCs w:val="21"/>
              </w:rPr>
              <w:t>财产保险业务收入</w:t>
            </w:r>
          </w:p>
        </w:tc>
        <w:tc>
          <w:tcPr>
            <w:tcW w:w="899" w:type="pct"/>
            <w:shd w:val="clear" w:color="auto" w:fill="auto"/>
            <w:noWrap/>
            <w:vAlign w:val="center"/>
          </w:tcPr>
          <w:p w14:paraId="7E7A3C01">
            <w:pPr>
              <w:pStyle w:val="23"/>
              <w:jc w:val="center"/>
              <w:rPr>
                <w:rFonts w:ascii="宋体" w:hAnsi="宋体"/>
                <w:kern w:val="0"/>
                <w:szCs w:val="21"/>
              </w:rPr>
            </w:pPr>
            <w:r>
              <w:rPr>
                <w:rFonts w:ascii="宋体" w:hAnsi="宋体"/>
                <w:kern w:val="0"/>
                <w:szCs w:val="21"/>
              </w:rPr>
              <w:t>万元</w:t>
            </w:r>
          </w:p>
        </w:tc>
        <w:tc>
          <w:tcPr>
            <w:tcW w:w="899" w:type="pct"/>
            <w:shd w:val="clear" w:color="auto" w:fill="auto"/>
            <w:noWrap/>
            <w:vAlign w:val="center"/>
          </w:tcPr>
          <w:p w14:paraId="1F922ACD">
            <w:pPr>
              <w:pStyle w:val="23"/>
              <w:jc w:val="center"/>
              <w:rPr>
                <w:rFonts w:ascii="宋体" w:hAnsi="宋体"/>
                <w:kern w:val="0"/>
                <w:szCs w:val="21"/>
              </w:rPr>
            </w:pPr>
            <w:r>
              <w:rPr>
                <w:rFonts w:ascii="宋体" w:hAnsi="宋体"/>
                <w:kern w:val="0"/>
                <w:szCs w:val="21"/>
              </w:rPr>
              <w:t>1574</w:t>
            </w:r>
          </w:p>
        </w:tc>
        <w:tc>
          <w:tcPr>
            <w:tcW w:w="899" w:type="pct"/>
            <w:shd w:val="clear" w:color="auto" w:fill="auto"/>
            <w:noWrap/>
            <w:vAlign w:val="center"/>
          </w:tcPr>
          <w:p w14:paraId="2B11E172">
            <w:pPr>
              <w:pStyle w:val="23"/>
              <w:jc w:val="center"/>
              <w:rPr>
                <w:rFonts w:ascii="宋体" w:hAnsi="宋体"/>
                <w:kern w:val="0"/>
                <w:szCs w:val="21"/>
              </w:rPr>
            </w:pPr>
            <w:r>
              <w:rPr>
                <w:rFonts w:ascii="宋体" w:hAnsi="宋体"/>
                <w:kern w:val="0"/>
                <w:szCs w:val="21"/>
              </w:rPr>
              <w:t>-3.5</w:t>
            </w:r>
          </w:p>
        </w:tc>
      </w:tr>
      <w:tr w14:paraId="5E42EFC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303" w:type="pct"/>
            <w:shd w:val="clear" w:color="auto" w:fill="auto"/>
            <w:noWrap/>
            <w:vAlign w:val="center"/>
          </w:tcPr>
          <w:p w14:paraId="723230B9">
            <w:pPr>
              <w:pStyle w:val="23"/>
              <w:ind w:firstLine="840" w:firstLineChars="400"/>
              <w:rPr>
                <w:rFonts w:ascii="宋体" w:hAnsi="宋体"/>
                <w:kern w:val="0"/>
                <w:szCs w:val="21"/>
              </w:rPr>
            </w:pPr>
            <w:r>
              <w:rPr>
                <w:rFonts w:ascii="宋体" w:hAnsi="宋体"/>
                <w:kern w:val="0"/>
                <w:szCs w:val="21"/>
              </w:rPr>
              <w:t>人寿保险业务收入</w:t>
            </w:r>
          </w:p>
        </w:tc>
        <w:tc>
          <w:tcPr>
            <w:tcW w:w="899" w:type="pct"/>
            <w:shd w:val="clear" w:color="auto" w:fill="auto"/>
            <w:noWrap/>
            <w:vAlign w:val="center"/>
          </w:tcPr>
          <w:p w14:paraId="09868067">
            <w:pPr>
              <w:pStyle w:val="23"/>
              <w:jc w:val="center"/>
              <w:rPr>
                <w:rFonts w:ascii="宋体" w:hAnsi="宋体"/>
                <w:kern w:val="0"/>
                <w:szCs w:val="21"/>
              </w:rPr>
            </w:pPr>
            <w:r>
              <w:rPr>
                <w:rFonts w:ascii="宋体" w:hAnsi="宋体"/>
                <w:kern w:val="0"/>
                <w:szCs w:val="21"/>
              </w:rPr>
              <w:t>万元</w:t>
            </w:r>
          </w:p>
        </w:tc>
        <w:tc>
          <w:tcPr>
            <w:tcW w:w="899" w:type="pct"/>
            <w:shd w:val="clear" w:color="auto" w:fill="auto"/>
            <w:noWrap/>
            <w:vAlign w:val="center"/>
          </w:tcPr>
          <w:p w14:paraId="2A780C90">
            <w:pPr>
              <w:pStyle w:val="23"/>
              <w:jc w:val="center"/>
              <w:rPr>
                <w:rFonts w:ascii="宋体" w:hAnsi="宋体"/>
                <w:kern w:val="0"/>
                <w:szCs w:val="21"/>
              </w:rPr>
            </w:pPr>
            <w:r>
              <w:rPr>
                <w:rFonts w:ascii="宋体" w:hAnsi="宋体"/>
                <w:kern w:val="0"/>
                <w:szCs w:val="21"/>
              </w:rPr>
              <w:t>6683</w:t>
            </w:r>
          </w:p>
        </w:tc>
        <w:tc>
          <w:tcPr>
            <w:tcW w:w="899" w:type="pct"/>
            <w:shd w:val="clear" w:color="auto" w:fill="auto"/>
            <w:noWrap/>
            <w:vAlign w:val="center"/>
          </w:tcPr>
          <w:p w14:paraId="30926BD1">
            <w:pPr>
              <w:pStyle w:val="23"/>
              <w:jc w:val="center"/>
              <w:rPr>
                <w:rFonts w:ascii="宋体" w:hAnsi="宋体"/>
                <w:kern w:val="0"/>
                <w:szCs w:val="21"/>
              </w:rPr>
            </w:pPr>
            <w:r>
              <w:rPr>
                <w:rFonts w:ascii="宋体" w:hAnsi="宋体"/>
                <w:kern w:val="0"/>
                <w:szCs w:val="21"/>
              </w:rPr>
              <w:t>9.5</w:t>
            </w:r>
          </w:p>
        </w:tc>
      </w:tr>
      <w:tr w14:paraId="46B8565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303" w:type="pct"/>
            <w:shd w:val="clear" w:color="auto" w:fill="auto"/>
            <w:noWrap/>
            <w:vAlign w:val="center"/>
          </w:tcPr>
          <w:p w14:paraId="48802C4E">
            <w:pPr>
              <w:pStyle w:val="23"/>
              <w:rPr>
                <w:rFonts w:ascii="宋体" w:hAnsi="宋体"/>
                <w:kern w:val="0"/>
                <w:szCs w:val="21"/>
              </w:rPr>
            </w:pPr>
            <w:r>
              <w:rPr>
                <w:rFonts w:ascii="宋体" w:hAnsi="宋体"/>
                <w:kern w:val="0"/>
                <w:szCs w:val="21"/>
              </w:rPr>
              <w:t>十二、工资水平</w:t>
            </w:r>
          </w:p>
        </w:tc>
        <w:tc>
          <w:tcPr>
            <w:tcW w:w="899" w:type="pct"/>
            <w:shd w:val="clear" w:color="auto" w:fill="auto"/>
            <w:noWrap/>
            <w:vAlign w:val="center"/>
          </w:tcPr>
          <w:p w14:paraId="626B5DDF">
            <w:pPr>
              <w:pStyle w:val="23"/>
              <w:jc w:val="center"/>
              <w:rPr>
                <w:rFonts w:ascii="宋体" w:hAnsi="宋体"/>
                <w:kern w:val="0"/>
                <w:szCs w:val="21"/>
              </w:rPr>
            </w:pPr>
          </w:p>
        </w:tc>
        <w:tc>
          <w:tcPr>
            <w:tcW w:w="899" w:type="pct"/>
            <w:shd w:val="clear" w:color="auto" w:fill="auto"/>
            <w:noWrap/>
            <w:vAlign w:val="center"/>
          </w:tcPr>
          <w:p w14:paraId="458BA072">
            <w:pPr>
              <w:pStyle w:val="23"/>
              <w:jc w:val="center"/>
              <w:rPr>
                <w:rFonts w:ascii="宋体" w:hAnsi="宋体"/>
                <w:kern w:val="0"/>
                <w:szCs w:val="21"/>
              </w:rPr>
            </w:pPr>
          </w:p>
        </w:tc>
        <w:tc>
          <w:tcPr>
            <w:tcW w:w="899" w:type="pct"/>
            <w:shd w:val="clear" w:color="auto" w:fill="auto"/>
            <w:noWrap/>
            <w:vAlign w:val="center"/>
          </w:tcPr>
          <w:p w14:paraId="0EE4F08E">
            <w:pPr>
              <w:pStyle w:val="23"/>
              <w:jc w:val="center"/>
              <w:rPr>
                <w:rFonts w:ascii="宋体" w:hAnsi="宋体"/>
                <w:kern w:val="0"/>
                <w:szCs w:val="21"/>
              </w:rPr>
            </w:pPr>
          </w:p>
        </w:tc>
      </w:tr>
      <w:tr w14:paraId="556FFBD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303" w:type="pct"/>
            <w:shd w:val="clear" w:color="auto" w:fill="auto"/>
            <w:noWrap/>
            <w:vAlign w:val="center"/>
          </w:tcPr>
          <w:p w14:paraId="55513241">
            <w:pPr>
              <w:pStyle w:val="23"/>
              <w:ind w:firstLine="1050" w:firstLineChars="500"/>
              <w:rPr>
                <w:rFonts w:ascii="宋体" w:hAnsi="宋体"/>
                <w:kern w:val="0"/>
                <w:szCs w:val="21"/>
              </w:rPr>
            </w:pPr>
            <w:r>
              <w:rPr>
                <w:rFonts w:ascii="宋体" w:hAnsi="宋体"/>
                <w:kern w:val="0"/>
                <w:szCs w:val="21"/>
              </w:rPr>
              <w:t>在岗职工工资总额</w:t>
            </w:r>
          </w:p>
        </w:tc>
        <w:tc>
          <w:tcPr>
            <w:tcW w:w="899" w:type="pct"/>
            <w:shd w:val="clear" w:color="auto" w:fill="auto"/>
            <w:noWrap/>
            <w:vAlign w:val="center"/>
          </w:tcPr>
          <w:p w14:paraId="12046B22">
            <w:pPr>
              <w:pStyle w:val="23"/>
              <w:jc w:val="center"/>
              <w:rPr>
                <w:rFonts w:ascii="宋体" w:hAnsi="宋体"/>
                <w:kern w:val="0"/>
                <w:szCs w:val="21"/>
              </w:rPr>
            </w:pPr>
            <w:r>
              <w:rPr>
                <w:rFonts w:ascii="宋体" w:hAnsi="宋体"/>
                <w:kern w:val="0"/>
                <w:szCs w:val="21"/>
              </w:rPr>
              <w:t>万元</w:t>
            </w:r>
          </w:p>
        </w:tc>
        <w:tc>
          <w:tcPr>
            <w:tcW w:w="899" w:type="pct"/>
            <w:shd w:val="clear" w:color="auto" w:fill="auto"/>
            <w:noWrap/>
            <w:vAlign w:val="center"/>
          </w:tcPr>
          <w:p w14:paraId="241CE7CA">
            <w:pPr>
              <w:pStyle w:val="23"/>
              <w:jc w:val="center"/>
              <w:rPr>
                <w:rFonts w:ascii="宋体" w:hAnsi="宋体"/>
                <w:kern w:val="0"/>
                <w:szCs w:val="21"/>
              </w:rPr>
            </w:pPr>
            <w:r>
              <w:rPr>
                <w:rFonts w:ascii="宋体" w:hAnsi="宋体"/>
                <w:kern w:val="0"/>
                <w:szCs w:val="21"/>
              </w:rPr>
              <w:t>72733</w:t>
            </w:r>
          </w:p>
        </w:tc>
        <w:tc>
          <w:tcPr>
            <w:tcW w:w="899" w:type="pct"/>
            <w:shd w:val="clear" w:color="auto" w:fill="auto"/>
            <w:noWrap/>
            <w:vAlign w:val="center"/>
          </w:tcPr>
          <w:p w14:paraId="2BF191A8">
            <w:pPr>
              <w:pStyle w:val="23"/>
              <w:jc w:val="center"/>
              <w:rPr>
                <w:rFonts w:ascii="宋体" w:hAnsi="宋体"/>
                <w:kern w:val="0"/>
                <w:szCs w:val="21"/>
              </w:rPr>
            </w:pPr>
            <w:r>
              <w:rPr>
                <w:rFonts w:ascii="宋体" w:hAnsi="宋体"/>
                <w:kern w:val="0"/>
                <w:szCs w:val="21"/>
              </w:rPr>
              <w:t>47.2</w:t>
            </w:r>
          </w:p>
        </w:tc>
      </w:tr>
      <w:tr w14:paraId="7CBBF0E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303" w:type="pct"/>
            <w:shd w:val="clear" w:color="auto" w:fill="auto"/>
            <w:noWrap/>
            <w:vAlign w:val="center"/>
          </w:tcPr>
          <w:p w14:paraId="6A34AE09">
            <w:pPr>
              <w:pStyle w:val="23"/>
              <w:ind w:firstLine="1050" w:firstLineChars="500"/>
              <w:rPr>
                <w:rFonts w:ascii="宋体" w:hAnsi="宋体"/>
                <w:kern w:val="0"/>
                <w:szCs w:val="21"/>
              </w:rPr>
            </w:pPr>
            <w:r>
              <w:rPr>
                <w:rFonts w:ascii="宋体" w:hAnsi="宋体"/>
                <w:kern w:val="0"/>
                <w:szCs w:val="21"/>
              </w:rPr>
              <w:t>在岗职工年平均工资</w:t>
            </w:r>
          </w:p>
        </w:tc>
        <w:tc>
          <w:tcPr>
            <w:tcW w:w="899" w:type="pct"/>
            <w:shd w:val="clear" w:color="auto" w:fill="auto"/>
            <w:noWrap/>
            <w:vAlign w:val="center"/>
          </w:tcPr>
          <w:p w14:paraId="08A15CA1">
            <w:pPr>
              <w:pStyle w:val="23"/>
              <w:jc w:val="center"/>
              <w:rPr>
                <w:rFonts w:ascii="宋体" w:hAnsi="宋体"/>
                <w:kern w:val="0"/>
                <w:szCs w:val="21"/>
              </w:rPr>
            </w:pPr>
            <w:r>
              <w:rPr>
                <w:rFonts w:ascii="宋体" w:hAnsi="宋体"/>
                <w:kern w:val="0"/>
                <w:szCs w:val="21"/>
              </w:rPr>
              <w:t>元/人</w:t>
            </w:r>
          </w:p>
        </w:tc>
        <w:tc>
          <w:tcPr>
            <w:tcW w:w="899" w:type="pct"/>
            <w:shd w:val="clear" w:color="auto" w:fill="auto"/>
            <w:noWrap/>
            <w:vAlign w:val="center"/>
          </w:tcPr>
          <w:p w14:paraId="5F2F22E9">
            <w:pPr>
              <w:pStyle w:val="23"/>
              <w:jc w:val="center"/>
              <w:rPr>
                <w:rFonts w:ascii="宋体" w:hAnsi="宋体"/>
                <w:kern w:val="0"/>
                <w:szCs w:val="21"/>
              </w:rPr>
            </w:pPr>
            <w:r>
              <w:rPr>
                <w:rFonts w:ascii="宋体" w:hAnsi="宋体"/>
                <w:kern w:val="0"/>
                <w:szCs w:val="21"/>
              </w:rPr>
              <w:t>29108</w:t>
            </w:r>
          </w:p>
        </w:tc>
        <w:tc>
          <w:tcPr>
            <w:tcW w:w="899" w:type="pct"/>
            <w:shd w:val="clear" w:color="auto" w:fill="auto"/>
            <w:noWrap/>
            <w:vAlign w:val="center"/>
          </w:tcPr>
          <w:p w14:paraId="48FDF0C8">
            <w:pPr>
              <w:pStyle w:val="23"/>
              <w:jc w:val="center"/>
              <w:rPr>
                <w:rFonts w:ascii="宋体" w:hAnsi="宋体"/>
                <w:kern w:val="0"/>
                <w:szCs w:val="21"/>
              </w:rPr>
            </w:pPr>
            <w:r>
              <w:rPr>
                <w:rFonts w:ascii="宋体" w:hAnsi="宋体"/>
                <w:kern w:val="0"/>
                <w:szCs w:val="21"/>
              </w:rPr>
              <w:t>10.3</w:t>
            </w:r>
          </w:p>
        </w:tc>
      </w:tr>
      <w:tr w14:paraId="33703D7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303" w:type="pct"/>
            <w:shd w:val="clear" w:color="auto" w:fill="auto"/>
            <w:noWrap/>
            <w:vAlign w:val="center"/>
          </w:tcPr>
          <w:p w14:paraId="35C15592">
            <w:pPr>
              <w:pStyle w:val="23"/>
              <w:rPr>
                <w:rFonts w:ascii="宋体" w:hAnsi="宋体"/>
                <w:kern w:val="0"/>
                <w:szCs w:val="21"/>
              </w:rPr>
            </w:pPr>
            <w:r>
              <w:rPr>
                <w:rFonts w:ascii="宋体" w:hAnsi="宋体"/>
                <w:kern w:val="0"/>
                <w:szCs w:val="21"/>
              </w:rPr>
              <w:t>十三、黄烟收购平均价格</w:t>
            </w:r>
          </w:p>
        </w:tc>
        <w:tc>
          <w:tcPr>
            <w:tcW w:w="899" w:type="pct"/>
            <w:shd w:val="clear" w:color="auto" w:fill="auto"/>
            <w:noWrap/>
            <w:vAlign w:val="center"/>
          </w:tcPr>
          <w:p w14:paraId="4EAA361E">
            <w:pPr>
              <w:pStyle w:val="23"/>
              <w:jc w:val="center"/>
              <w:rPr>
                <w:rFonts w:ascii="宋体" w:hAnsi="宋体"/>
                <w:kern w:val="0"/>
                <w:szCs w:val="21"/>
              </w:rPr>
            </w:pPr>
            <w:r>
              <w:rPr>
                <w:rFonts w:ascii="宋体" w:hAnsi="宋体"/>
                <w:kern w:val="0"/>
                <w:szCs w:val="21"/>
              </w:rPr>
              <w:t>元/公斤</w:t>
            </w:r>
          </w:p>
        </w:tc>
        <w:tc>
          <w:tcPr>
            <w:tcW w:w="899" w:type="pct"/>
            <w:shd w:val="clear" w:color="auto" w:fill="auto"/>
            <w:noWrap/>
            <w:vAlign w:val="center"/>
          </w:tcPr>
          <w:p w14:paraId="57CBF257">
            <w:pPr>
              <w:pStyle w:val="23"/>
              <w:jc w:val="center"/>
              <w:rPr>
                <w:rFonts w:ascii="宋体" w:hAnsi="宋体"/>
                <w:kern w:val="0"/>
                <w:szCs w:val="21"/>
              </w:rPr>
            </w:pPr>
            <w:r>
              <w:rPr>
                <w:rFonts w:ascii="宋体" w:hAnsi="宋体"/>
                <w:kern w:val="0"/>
                <w:szCs w:val="21"/>
              </w:rPr>
              <w:t>18.07</w:t>
            </w:r>
          </w:p>
        </w:tc>
        <w:tc>
          <w:tcPr>
            <w:tcW w:w="899" w:type="pct"/>
            <w:shd w:val="clear" w:color="auto" w:fill="auto"/>
            <w:noWrap/>
            <w:vAlign w:val="center"/>
          </w:tcPr>
          <w:p w14:paraId="64787596">
            <w:pPr>
              <w:pStyle w:val="23"/>
              <w:jc w:val="center"/>
              <w:rPr>
                <w:rFonts w:ascii="宋体" w:hAnsi="宋体"/>
                <w:kern w:val="0"/>
                <w:szCs w:val="21"/>
              </w:rPr>
            </w:pPr>
            <w:r>
              <w:rPr>
                <w:rFonts w:ascii="宋体" w:hAnsi="宋体"/>
                <w:kern w:val="0"/>
                <w:szCs w:val="21"/>
              </w:rPr>
              <w:t>18.1</w:t>
            </w:r>
          </w:p>
        </w:tc>
      </w:tr>
    </w:tbl>
    <w:p w14:paraId="3108E0FE">
      <w:pPr>
        <w:ind w:firstLine="0" w:firstLineChars="0"/>
        <w:jc w:val="center"/>
        <w:rPr>
          <w:b/>
        </w:rPr>
      </w:pPr>
      <w:r>
        <w:rPr>
          <w:rFonts w:hint="eastAsia"/>
          <w:b/>
        </w:rPr>
        <w:t>表42 总产出</w:t>
      </w:r>
    </w:p>
    <w:tbl>
      <w:tblPr>
        <w:tblStyle w:val="14"/>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100"/>
        <w:gridCol w:w="1846"/>
        <w:gridCol w:w="2169"/>
        <w:gridCol w:w="1847"/>
      </w:tblGrid>
      <w:tr w14:paraId="52FB4EB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098" w:type="pct"/>
            <w:shd w:val="clear" w:color="auto" w:fill="auto"/>
            <w:noWrap/>
            <w:vAlign w:val="center"/>
          </w:tcPr>
          <w:p w14:paraId="36B42A3B">
            <w:pPr>
              <w:pStyle w:val="23"/>
              <w:jc w:val="center"/>
              <w:rPr>
                <w:rFonts w:ascii="宋体" w:hAnsi="宋体"/>
                <w:b/>
                <w:kern w:val="0"/>
                <w:szCs w:val="21"/>
              </w:rPr>
            </w:pPr>
            <w:r>
              <w:rPr>
                <w:rFonts w:ascii="宋体" w:hAnsi="宋体"/>
                <w:b/>
                <w:kern w:val="0"/>
                <w:szCs w:val="21"/>
              </w:rPr>
              <w:t>指标名称</w:t>
            </w:r>
          </w:p>
        </w:tc>
        <w:tc>
          <w:tcPr>
            <w:tcW w:w="967" w:type="pct"/>
            <w:shd w:val="clear" w:color="auto" w:fill="auto"/>
            <w:noWrap/>
            <w:vAlign w:val="center"/>
          </w:tcPr>
          <w:p w14:paraId="64DF4ECA">
            <w:pPr>
              <w:pStyle w:val="23"/>
              <w:jc w:val="center"/>
              <w:rPr>
                <w:rFonts w:ascii="宋体" w:hAnsi="宋体"/>
                <w:b/>
                <w:kern w:val="0"/>
                <w:szCs w:val="21"/>
              </w:rPr>
            </w:pPr>
            <w:r>
              <w:rPr>
                <w:rFonts w:ascii="宋体" w:hAnsi="宋体"/>
                <w:b/>
                <w:kern w:val="0"/>
                <w:szCs w:val="21"/>
              </w:rPr>
              <w:t>当年价(万元)</w:t>
            </w:r>
          </w:p>
        </w:tc>
        <w:tc>
          <w:tcPr>
            <w:tcW w:w="967" w:type="pct"/>
            <w:shd w:val="clear" w:color="auto" w:fill="auto"/>
            <w:noWrap/>
            <w:vAlign w:val="center"/>
          </w:tcPr>
          <w:p w14:paraId="3B09B827">
            <w:pPr>
              <w:pStyle w:val="23"/>
              <w:jc w:val="center"/>
              <w:rPr>
                <w:rFonts w:ascii="宋体" w:hAnsi="宋体"/>
                <w:b/>
                <w:kern w:val="0"/>
                <w:szCs w:val="21"/>
              </w:rPr>
            </w:pPr>
            <w:r>
              <w:rPr>
                <w:rFonts w:ascii="宋体" w:hAnsi="宋体"/>
                <w:b/>
                <w:kern w:val="0"/>
                <w:szCs w:val="21"/>
              </w:rPr>
              <w:t>2010年不变价(万元)</w:t>
            </w:r>
          </w:p>
        </w:tc>
        <w:tc>
          <w:tcPr>
            <w:tcW w:w="967" w:type="pct"/>
            <w:shd w:val="clear" w:color="auto" w:fill="auto"/>
            <w:noWrap/>
            <w:vAlign w:val="center"/>
          </w:tcPr>
          <w:p w14:paraId="6F948DE2">
            <w:pPr>
              <w:pStyle w:val="23"/>
              <w:jc w:val="center"/>
              <w:rPr>
                <w:rFonts w:ascii="宋体" w:hAnsi="宋体"/>
                <w:b/>
                <w:kern w:val="0"/>
                <w:szCs w:val="21"/>
              </w:rPr>
            </w:pPr>
            <w:r>
              <w:rPr>
                <w:rFonts w:ascii="宋体" w:hAnsi="宋体"/>
                <w:b/>
                <w:kern w:val="0"/>
                <w:szCs w:val="21"/>
              </w:rPr>
              <w:t>比上年±%</w:t>
            </w:r>
          </w:p>
        </w:tc>
      </w:tr>
      <w:tr w14:paraId="124CC95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098" w:type="pct"/>
            <w:shd w:val="clear" w:color="auto" w:fill="auto"/>
            <w:noWrap/>
            <w:vAlign w:val="center"/>
          </w:tcPr>
          <w:p w14:paraId="55A7B722">
            <w:pPr>
              <w:pStyle w:val="23"/>
              <w:rPr>
                <w:rFonts w:ascii="宋体" w:hAnsi="宋体"/>
                <w:kern w:val="0"/>
                <w:szCs w:val="21"/>
              </w:rPr>
            </w:pPr>
            <w:r>
              <w:rPr>
                <w:rFonts w:ascii="宋体" w:hAnsi="宋体"/>
                <w:kern w:val="0"/>
                <w:szCs w:val="21"/>
              </w:rPr>
              <w:t>合计</w:t>
            </w:r>
          </w:p>
        </w:tc>
        <w:tc>
          <w:tcPr>
            <w:tcW w:w="967" w:type="pct"/>
            <w:shd w:val="clear" w:color="auto" w:fill="auto"/>
            <w:noWrap/>
            <w:vAlign w:val="center"/>
          </w:tcPr>
          <w:p w14:paraId="456FCC90">
            <w:pPr>
              <w:pStyle w:val="23"/>
              <w:jc w:val="center"/>
              <w:rPr>
                <w:rFonts w:ascii="宋体" w:hAnsi="宋体"/>
                <w:kern w:val="0"/>
                <w:szCs w:val="21"/>
              </w:rPr>
            </w:pPr>
            <w:r>
              <w:rPr>
                <w:rFonts w:ascii="宋体" w:hAnsi="宋体"/>
                <w:kern w:val="0"/>
                <w:szCs w:val="21"/>
              </w:rPr>
              <w:t>1754345</w:t>
            </w:r>
          </w:p>
        </w:tc>
        <w:tc>
          <w:tcPr>
            <w:tcW w:w="967" w:type="pct"/>
            <w:shd w:val="clear" w:color="auto" w:fill="auto"/>
            <w:noWrap/>
            <w:vAlign w:val="center"/>
          </w:tcPr>
          <w:p w14:paraId="1E7E46B9">
            <w:pPr>
              <w:pStyle w:val="23"/>
              <w:jc w:val="center"/>
              <w:rPr>
                <w:rFonts w:ascii="宋体" w:hAnsi="宋体"/>
                <w:kern w:val="0"/>
                <w:szCs w:val="21"/>
              </w:rPr>
            </w:pPr>
            <w:r>
              <w:rPr>
                <w:rFonts w:ascii="宋体" w:hAnsi="宋体"/>
                <w:kern w:val="0"/>
                <w:szCs w:val="21"/>
              </w:rPr>
              <w:t>1561442</w:t>
            </w:r>
          </w:p>
        </w:tc>
        <w:tc>
          <w:tcPr>
            <w:tcW w:w="967" w:type="pct"/>
            <w:shd w:val="clear" w:color="auto" w:fill="auto"/>
            <w:noWrap/>
            <w:vAlign w:val="center"/>
          </w:tcPr>
          <w:p w14:paraId="3E7FFCF5">
            <w:pPr>
              <w:pStyle w:val="23"/>
              <w:jc w:val="center"/>
              <w:rPr>
                <w:rFonts w:ascii="宋体" w:hAnsi="宋体"/>
                <w:kern w:val="0"/>
                <w:szCs w:val="21"/>
              </w:rPr>
            </w:pPr>
            <w:r>
              <w:rPr>
                <w:rFonts w:ascii="宋体" w:hAnsi="宋体"/>
                <w:kern w:val="0"/>
                <w:szCs w:val="21"/>
              </w:rPr>
              <w:t>19.7</w:t>
            </w:r>
          </w:p>
        </w:tc>
      </w:tr>
      <w:tr w14:paraId="1225E22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098" w:type="pct"/>
            <w:shd w:val="clear" w:color="auto" w:fill="auto"/>
            <w:noWrap/>
            <w:vAlign w:val="center"/>
          </w:tcPr>
          <w:p w14:paraId="23614CB6">
            <w:pPr>
              <w:pStyle w:val="23"/>
              <w:ind w:firstLine="210" w:firstLineChars="100"/>
              <w:rPr>
                <w:rFonts w:ascii="宋体" w:hAnsi="宋体"/>
                <w:kern w:val="0"/>
                <w:szCs w:val="21"/>
              </w:rPr>
            </w:pPr>
            <w:r>
              <w:rPr>
                <w:rFonts w:ascii="宋体" w:hAnsi="宋体"/>
                <w:kern w:val="0"/>
                <w:szCs w:val="21"/>
              </w:rPr>
              <w:t>第一产业</w:t>
            </w:r>
          </w:p>
        </w:tc>
        <w:tc>
          <w:tcPr>
            <w:tcW w:w="967" w:type="pct"/>
            <w:shd w:val="clear" w:color="auto" w:fill="auto"/>
            <w:noWrap/>
            <w:vAlign w:val="center"/>
          </w:tcPr>
          <w:p w14:paraId="4E52C6A0">
            <w:pPr>
              <w:pStyle w:val="23"/>
              <w:jc w:val="center"/>
              <w:rPr>
                <w:rFonts w:ascii="宋体" w:hAnsi="宋体"/>
                <w:kern w:val="0"/>
                <w:szCs w:val="21"/>
              </w:rPr>
            </w:pPr>
            <w:r>
              <w:rPr>
                <w:rFonts w:ascii="宋体" w:hAnsi="宋体"/>
                <w:kern w:val="0"/>
                <w:szCs w:val="21"/>
              </w:rPr>
              <w:t>326003</w:t>
            </w:r>
          </w:p>
        </w:tc>
        <w:tc>
          <w:tcPr>
            <w:tcW w:w="967" w:type="pct"/>
            <w:shd w:val="clear" w:color="auto" w:fill="auto"/>
            <w:noWrap/>
            <w:vAlign w:val="center"/>
          </w:tcPr>
          <w:p w14:paraId="3EA154C0">
            <w:pPr>
              <w:pStyle w:val="23"/>
              <w:jc w:val="center"/>
              <w:rPr>
                <w:rFonts w:ascii="宋体" w:hAnsi="宋体"/>
                <w:kern w:val="0"/>
                <w:szCs w:val="21"/>
              </w:rPr>
            </w:pPr>
            <w:r>
              <w:rPr>
                <w:rFonts w:ascii="宋体" w:hAnsi="宋体"/>
                <w:kern w:val="0"/>
                <w:szCs w:val="21"/>
              </w:rPr>
              <w:t>285455</w:t>
            </w:r>
          </w:p>
        </w:tc>
        <w:tc>
          <w:tcPr>
            <w:tcW w:w="967" w:type="pct"/>
            <w:shd w:val="clear" w:color="auto" w:fill="auto"/>
            <w:noWrap/>
            <w:vAlign w:val="center"/>
          </w:tcPr>
          <w:p w14:paraId="3445ECDD">
            <w:pPr>
              <w:pStyle w:val="23"/>
              <w:jc w:val="center"/>
              <w:rPr>
                <w:rFonts w:ascii="宋体" w:hAnsi="宋体"/>
                <w:kern w:val="0"/>
                <w:szCs w:val="21"/>
              </w:rPr>
            </w:pPr>
            <w:r>
              <w:rPr>
                <w:rFonts w:ascii="宋体" w:hAnsi="宋体"/>
                <w:kern w:val="0"/>
                <w:szCs w:val="21"/>
              </w:rPr>
              <w:t>4.7</w:t>
            </w:r>
          </w:p>
        </w:tc>
      </w:tr>
      <w:tr w14:paraId="3A5224A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098" w:type="pct"/>
            <w:shd w:val="clear" w:color="auto" w:fill="auto"/>
            <w:noWrap/>
            <w:vAlign w:val="center"/>
          </w:tcPr>
          <w:p w14:paraId="423584AD">
            <w:pPr>
              <w:pStyle w:val="23"/>
              <w:ind w:firstLine="210" w:firstLineChars="100"/>
              <w:rPr>
                <w:rFonts w:ascii="宋体" w:hAnsi="宋体"/>
                <w:kern w:val="0"/>
                <w:szCs w:val="21"/>
              </w:rPr>
            </w:pPr>
            <w:r>
              <w:rPr>
                <w:rFonts w:ascii="宋体" w:hAnsi="宋体"/>
                <w:kern w:val="0"/>
                <w:szCs w:val="21"/>
              </w:rPr>
              <w:t>第二产业</w:t>
            </w:r>
          </w:p>
        </w:tc>
        <w:tc>
          <w:tcPr>
            <w:tcW w:w="967" w:type="pct"/>
            <w:shd w:val="clear" w:color="auto" w:fill="auto"/>
            <w:noWrap/>
            <w:vAlign w:val="center"/>
          </w:tcPr>
          <w:p w14:paraId="7CCDE467">
            <w:pPr>
              <w:pStyle w:val="23"/>
              <w:jc w:val="center"/>
              <w:rPr>
                <w:rFonts w:ascii="宋体" w:hAnsi="宋体"/>
                <w:kern w:val="0"/>
                <w:szCs w:val="21"/>
              </w:rPr>
            </w:pPr>
            <w:r>
              <w:rPr>
                <w:rFonts w:ascii="宋体" w:hAnsi="宋体"/>
                <w:kern w:val="0"/>
                <w:szCs w:val="21"/>
              </w:rPr>
              <w:t>931687</w:t>
            </w:r>
          </w:p>
        </w:tc>
        <w:tc>
          <w:tcPr>
            <w:tcW w:w="967" w:type="pct"/>
            <w:shd w:val="clear" w:color="auto" w:fill="auto"/>
            <w:noWrap/>
            <w:vAlign w:val="center"/>
          </w:tcPr>
          <w:p w14:paraId="7F2FEC1D">
            <w:pPr>
              <w:pStyle w:val="23"/>
              <w:jc w:val="center"/>
              <w:rPr>
                <w:rFonts w:ascii="宋体" w:hAnsi="宋体"/>
                <w:kern w:val="0"/>
                <w:szCs w:val="21"/>
              </w:rPr>
            </w:pPr>
            <w:r>
              <w:rPr>
                <w:rFonts w:ascii="宋体" w:hAnsi="宋体"/>
                <w:kern w:val="0"/>
                <w:szCs w:val="21"/>
              </w:rPr>
              <w:t>801523</w:t>
            </w:r>
          </w:p>
        </w:tc>
        <w:tc>
          <w:tcPr>
            <w:tcW w:w="967" w:type="pct"/>
            <w:shd w:val="clear" w:color="auto" w:fill="auto"/>
            <w:noWrap/>
            <w:vAlign w:val="center"/>
          </w:tcPr>
          <w:p w14:paraId="7C857CD7">
            <w:pPr>
              <w:pStyle w:val="23"/>
              <w:jc w:val="center"/>
              <w:rPr>
                <w:rFonts w:ascii="宋体" w:hAnsi="宋体"/>
                <w:kern w:val="0"/>
                <w:szCs w:val="21"/>
              </w:rPr>
            </w:pPr>
            <w:r>
              <w:rPr>
                <w:rFonts w:ascii="宋体" w:hAnsi="宋体"/>
                <w:kern w:val="0"/>
                <w:szCs w:val="21"/>
              </w:rPr>
              <w:t>24.6</w:t>
            </w:r>
          </w:p>
        </w:tc>
      </w:tr>
      <w:tr w14:paraId="0ED3AC6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098" w:type="pct"/>
            <w:shd w:val="clear" w:color="auto" w:fill="auto"/>
            <w:noWrap/>
            <w:vAlign w:val="center"/>
          </w:tcPr>
          <w:p w14:paraId="38687D3E">
            <w:pPr>
              <w:pStyle w:val="23"/>
              <w:ind w:firstLine="420" w:firstLineChars="200"/>
              <w:rPr>
                <w:rFonts w:ascii="宋体" w:hAnsi="宋体"/>
                <w:kern w:val="0"/>
                <w:szCs w:val="21"/>
              </w:rPr>
            </w:pPr>
            <w:r>
              <w:rPr>
                <w:rFonts w:ascii="宋体" w:hAnsi="宋体"/>
                <w:kern w:val="0"/>
                <w:szCs w:val="21"/>
              </w:rPr>
              <w:t>其中</w:t>
            </w:r>
            <w:r>
              <w:rPr>
                <w:rFonts w:hint="eastAsia" w:ascii="宋体" w:hAnsi="宋体"/>
                <w:kern w:val="0"/>
                <w:szCs w:val="21"/>
              </w:rPr>
              <w:t>：</w:t>
            </w:r>
            <w:r>
              <w:rPr>
                <w:rFonts w:ascii="宋体" w:hAnsi="宋体"/>
                <w:kern w:val="0"/>
                <w:szCs w:val="21"/>
              </w:rPr>
              <w:t>工业</w:t>
            </w:r>
          </w:p>
        </w:tc>
        <w:tc>
          <w:tcPr>
            <w:tcW w:w="967" w:type="pct"/>
            <w:shd w:val="clear" w:color="auto" w:fill="auto"/>
            <w:noWrap/>
            <w:vAlign w:val="center"/>
          </w:tcPr>
          <w:p w14:paraId="55E11240">
            <w:pPr>
              <w:pStyle w:val="23"/>
              <w:jc w:val="center"/>
              <w:rPr>
                <w:rFonts w:ascii="宋体" w:hAnsi="宋体"/>
                <w:kern w:val="0"/>
                <w:szCs w:val="21"/>
              </w:rPr>
            </w:pPr>
            <w:r>
              <w:rPr>
                <w:rFonts w:ascii="宋体" w:hAnsi="宋体"/>
                <w:kern w:val="0"/>
                <w:szCs w:val="21"/>
              </w:rPr>
              <w:t>692026</w:t>
            </w:r>
          </w:p>
        </w:tc>
        <w:tc>
          <w:tcPr>
            <w:tcW w:w="967" w:type="pct"/>
            <w:shd w:val="clear" w:color="auto" w:fill="auto"/>
            <w:noWrap/>
            <w:vAlign w:val="center"/>
          </w:tcPr>
          <w:p w14:paraId="6B52F682">
            <w:pPr>
              <w:pStyle w:val="23"/>
              <w:jc w:val="center"/>
              <w:rPr>
                <w:rFonts w:ascii="宋体" w:hAnsi="宋体"/>
                <w:kern w:val="0"/>
                <w:szCs w:val="21"/>
              </w:rPr>
            </w:pPr>
            <w:r>
              <w:rPr>
                <w:rFonts w:ascii="宋体" w:hAnsi="宋体"/>
                <w:kern w:val="0"/>
                <w:szCs w:val="21"/>
              </w:rPr>
              <w:t>578997</w:t>
            </w:r>
          </w:p>
        </w:tc>
        <w:tc>
          <w:tcPr>
            <w:tcW w:w="967" w:type="pct"/>
            <w:shd w:val="clear" w:color="auto" w:fill="auto"/>
            <w:noWrap/>
            <w:vAlign w:val="center"/>
          </w:tcPr>
          <w:p w14:paraId="65934CBA">
            <w:pPr>
              <w:pStyle w:val="23"/>
              <w:jc w:val="center"/>
              <w:rPr>
                <w:rFonts w:ascii="宋体" w:hAnsi="宋体"/>
                <w:kern w:val="0"/>
                <w:szCs w:val="21"/>
              </w:rPr>
            </w:pPr>
            <w:r>
              <w:rPr>
                <w:rFonts w:ascii="宋体" w:hAnsi="宋体"/>
                <w:kern w:val="0"/>
                <w:szCs w:val="21"/>
              </w:rPr>
              <w:t>23.6</w:t>
            </w:r>
          </w:p>
        </w:tc>
      </w:tr>
      <w:tr w14:paraId="16FD5C1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098" w:type="pct"/>
            <w:shd w:val="clear" w:color="auto" w:fill="auto"/>
            <w:noWrap/>
            <w:vAlign w:val="center"/>
          </w:tcPr>
          <w:p w14:paraId="7F92120E">
            <w:pPr>
              <w:pStyle w:val="23"/>
              <w:ind w:firstLine="1050" w:firstLineChars="500"/>
              <w:rPr>
                <w:rFonts w:ascii="宋体" w:hAnsi="宋体"/>
                <w:kern w:val="0"/>
                <w:szCs w:val="21"/>
              </w:rPr>
            </w:pPr>
            <w:r>
              <w:rPr>
                <w:rFonts w:ascii="宋体" w:hAnsi="宋体"/>
                <w:kern w:val="0"/>
                <w:szCs w:val="21"/>
              </w:rPr>
              <w:t>建筑业</w:t>
            </w:r>
          </w:p>
        </w:tc>
        <w:tc>
          <w:tcPr>
            <w:tcW w:w="967" w:type="pct"/>
            <w:shd w:val="clear" w:color="auto" w:fill="auto"/>
            <w:noWrap/>
            <w:vAlign w:val="center"/>
          </w:tcPr>
          <w:p w14:paraId="23F04E9D">
            <w:pPr>
              <w:pStyle w:val="23"/>
              <w:jc w:val="center"/>
              <w:rPr>
                <w:rFonts w:ascii="宋体" w:hAnsi="宋体"/>
                <w:kern w:val="0"/>
                <w:szCs w:val="21"/>
              </w:rPr>
            </w:pPr>
            <w:r>
              <w:rPr>
                <w:rFonts w:ascii="宋体" w:hAnsi="宋体"/>
                <w:kern w:val="0"/>
                <w:szCs w:val="21"/>
              </w:rPr>
              <w:t>239661</w:t>
            </w:r>
          </w:p>
        </w:tc>
        <w:tc>
          <w:tcPr>
            <w:tcW w:w="967" w:type="pct"/>
            <w:shd w:val="clear" w:color="auto" w:fill="auto"/>
            <w:noWrap/>
            <w:vAlign w:val="center"/>
          </w:tcPr>
          <w:p w14:paraId="49338F98">
            <w:pPr>
              <w:pStyle w:val="23"/>
              <w:jc w:val="center"/>
              <w:rPr>
                <w:rFonts w:ascii="宋体" w:hAnsi="宋体"/>
                <w:kern w:val="0"/>
                <w:szCs w:val="21"/>
              </w:rPr>
            </w:pPr>
            <w:r>
              <w:rPr>
                <w:rFonts w:ascii="宋体" w:hAnsi="宋体"/>
                <w:kern w:val="0"/>
                <w:szCs w:val="21"/>
              </w:rPr>
              <w:t>222526</w:t>
            </w:r>
          </w:p>
        </w:tc>
        <w:tc>
          <w:tcPr>
            <w:tcW w:w="967" w:type="pct"/>
            <w:shd w:val="clear" w:color="auto" w:fill="auto"/>
            <w:noWrap/>
            <w:vAlign w:val="center"/>
          </w:tcPr>
          <w:p w14:paraId="5DED4C0D">
            <w:pPr>
              <w:pStyle w:val="23"/>
              <w:jc w:val="center"/>
              <w:rPr>
                <w:rFonts w:ascii="宋体" w:hAnsi="宋体"/>
                <w:kern w:val="0"/>
                <w:szCs w:val="21"/>
              </w:rPr>
            </w:pPr>
            <w:r>
              <w:rPr>
                <w:rFonts w:ascii="宋体" w:hAnsi="宋体"/>
                <w:kern w:val="0"/>
                <w:szCs w:val="21"/>
              </w:rPr>
              <w:t>27.1</w:t>
            </w:r>
          </w:p>
        </w:tc>
      </w:tr>
      <w:tr w14:paraId="72B57BC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098" w:type="pct"/>
            <w:shd w:val="clear" w:color="auto" w:fill="auto"/>
            <w:noWrap/>
            <w:vAlign w:val="center"/>
          </w:tcPr>
          <w:p w14:paraId="7EED572F">
            <w:pPr>
              <w:pStyle w:val="23"/>
              <w:ind w:firstLine="210" w:firstLineChars="100"/>
              <w:rPr>
                <w:rFonts w:ascii="宋体" w:hAnsi="宋体"/>
                <w:kern w:val="0"/>
                <w:szCs w:val="21"/>
              </w:rPr>
            </w:pPr>
            <w:r>
              <w:rPr>
                <w:rFonts w:ascii="宋体" w:hAnsi="宋体"/>
                <w:kern w:val="0"/>
                <w:szCs w:val="21"/>
              </w:rPr>
              <w:t>第三产业</w:t>
            </w:r>
          </w:p>
        </w:tc>
        <w:tc>
          <w:tcPr>
            <w:tcW w:w="967" w:type="pct"/>
            <w:shd w:val="clear" w:color="auto" w:fill="auto"/>
            <w:noWrap/>
            <w:vAlign w:val="center"/>
          </w:tcPr>
          <w:p w14:paraId="3C8A066C">
            <w:pPr>
              <w:pStyle w:val="23"/>
              <w:jc w:val="center"/>
              <w:rPr>
                <w:rFonts w:ascii="宋体" w:hAnsi="宋体"/>
                <w:kern w:val="0"/>
                <w:szCs w:val="21"/>
              </w:rPr>
            </w:pPr>
            <w:r>
              <w:rPr>
                <w:rFonts w:ascii="宋体" w:hAnsi="宋体"/>
                <w:kern w:val="0"/>
                <w:szCs w:val="21"/>
              </w:rPr>
              <w:t>496655</w:t>
            </w:r>
          </w:p>
        </w:tc>
        <w:tc>
          <w:tcPr>
            <w:tcW w:w="967" w:type="pct"/>
            <w:shd w:val="clear" w:color="auto" w:fill="auto"/>
            <w:noWrap/>
            <w:vAlign w:val="center"/>
          </w:tcPr>
          <w:p w14:paraId="2DC5D39B">
            <w:pPr>
              <w:pStyle w:val="23"/>
              <w:jc w:val="center"/>
              <w:rPr>
                <w:rFonts w:ascii="宋体" w:hAnsi="宋体"/>
                <w:kern w:val="0"/>
                <w:szCs w:val="21"/>
              </w:rPr>
            </w:pPr>
            <w:r>
              <w:rPr>
                <w:rFonts w:ascii="宋体" w:hAnsi="宋体"/>
                <w:kern w:val="0"/>
                <w:szCs w:val="21"/>
              </w:rPr>
              <w:t>474464</w:t>
            </w:r>
          </w:p>
        </w:tc>
        <w:tc>
          <w:tcPr>
            <w:tcW w:w="967" w:type="pct"/>
            <w:shd w:val="clear" w:color="auto" w:fill="auto"/>
            <w:noWrap/>
            <w:vAlign w:val="center"/>
          </w:tcPr>
          <w:p w14:paraId="673F89AB">
            <w:pPr>
              <w:pStyle w:val="23"/>
              <w:jc w:val="center"/>
              <w:rPr>
                <w:rFonts w:ascii="宋体" w:hAnsi="宋体"/>
                <w:kern w:val="0"/>
                <w:szCs w:val="21"/>
              </w:rPr>
            </w:pPr>
            <w:r>
              <w:rPr>
                <w:rFonts w:ascii="宋体" w:hAnsi="宋体"/>
                <w:kern w:val="0"/>
                <w:szCs w:val="21"/>
              </w:rPr>
              <w:t>22.1</w:t>
            </w:r>
          </w:p>
        </w:tc>
      </w:tr>
      <w:tr w14:paraId="4A97E0E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098" w:type="pct"/>
            <w:shd w:val="clear" w:color="auto" w:fill="auto"/>
            <w:noWrap/>
            <w:vAlign w:val="center"/>
          </w:tcPr>
          <w:p w14:paraId="2C76F8EC">
            <w:pPr>
              <w:pStyle w:val="23"/>
              <w:ind w:firstLine="420" w:firstLineChars="200"/>
              <w:rPr>
                <w:rFonts w:ascii="宋体" w:hAnsi="宋体"/>
                <w:kern w:val="0"/>
                <w:szCs w:val="21"/>
              </w:rPr>
            </w:pPr>
            <w:r>
              <w:rPr>
                <w:rFonts w:ascii="宋体" w:hAnsi="宋体"/>
                <w:kern w:val="0"/>
                <w:szCs w:val="21"/>
              </w:rPr>
              <w:t>其中</w:t>
            </w:r>
            <w:r>
              <w:rPr>
                <w:rFonts w:hint="eastAsia" w:ascii="宋体" w:hAnsi="宋体"/>
                <w:kern w:val="0"/>
                <w:szCs w:val="21"/>
              </w:rPr>
              <w:t>：</w:t>
            </w:r>
            <w:r>
              <w:rPr>
                <w:rFonts w:ascii="宋体" w:hAnsi="宋体"/>
                <w:kern w:val="0"/>
                <w:szCs w:val="21"/>
              </w:rPr>
              <w:t>交通运输、邮政业</w:t>
            </w:r>
          </w:p>
        </w:tc>
        <w:tc>
          <w:tcPr>
            <w:tcW w:w="967" w:type="pct"/>
            <w:shd w:val="clear" w:color="auto" w:fill="auto"/>
            <w:noWrap/>
            <w:vAlign w:val="center"/>
          </w:tcPr>
          <w:p w14:paraId="367008FF">
            <w:pPr>
              <w:pStyle w:val="23"/>
              <w:jc w:val="center"/>
              <w:rPr>
                <w:rFonts w:ascii="宋体" w:hAnsi="宋体"/>
                <w:kern w:val="0"/>
                <w:szCs w:val="21"/>
              </w:rPr>
            </w:pPr>
            <w:r>
              <w:rPr>
                <w:rFonts w:ascii="宋体" w:hAnsi="宋体"/>
                <w:kern w:val="0"/>
                <w:szCs w:val="21"/>
              </w:rPr>
              <w:t>73133</w:t>
            </w:r>
          </w:p>
        </w:tc>
        <w:tc>
          <w:tcPr>
            <w:tcW w:w="967" w:type="pct"/>
            <w:shd w:val="clear" w:color="auto" w:fill="auto"/>
            <w:noWrap/>
            <w:vAlign w:val="center"/>
          </w:tcPr>
          <w:p w14:paraId="1215FE12">
            <w:pPr>
              <w:pStyle w:val="23"/>
              <w:jc w:val="center"/>
              <w:rPr>
                <w:rFonts w:ascii="宋体" w:hAnsi="宋体"/>
                <w:kern w:val="0"/>
                <w:szCs w:val="21"/>
              </w:rPr>
            </w:pPr>
            <w:r>
              <w:rPr>
                <w:rFonts w:ascii="宋体" w:hAnsi="宋体"/>
                <w:kern w:val="0"/>
                <w:szCs w:val="21"/>
              </w:rPr>
              <w:t>67572</w:t>
            </w:r>
          </w:p>
        </w:tc>
        <w:tc>
          <w:tcPr>
            <w:tcW w:w="967" w:type="pct"/>
            <w:shd w:val="clear" w:color="auto" w:fill="auto"/>
            <w:noWrap/>
            <w:vAlign w:val="center"/>
          </w:tcPr>
          <w:p w14:paraId="4B52CD3F">
            <w:pPr>
              <w:pStyle w:val="23"/>
              <w:jc w:val="center"/>
              <w:rPr>
                <w:rFonts w:ascii="宋体" w:hAnsi="宋体"/>
                <w:kern w:val="0"/>
                <w:szCs w:val="21"/>
              </w:rPr>
            </w:pPr>
            <w:r>
              <w:rPr>
                <w:rFonts w:ascii="宋体" w:hAnsi="宋体"/>
                <w:kern w:val="0"/>
                <w:szCs w:val="21"/>
              </w:rPr>
              <w:t>7.3</w:t>
            </w:r>
          </w:p>
        </w:tc>
      </w:tr>
      <w:tr w14:paraId="38A92EB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098" w:type="pct"/>
            <w:shd w:val="clear" w:color="auto" w:fill="auto"/>
            <w:noWrap/>
            <w:vAlign w:val="center"/>
          </w:tcPr>
          <w:p w14:paraId="22E97808">
            <w:pPr>
              <w:pStyle w:val="23"/>
              <w:ind w:firstLine="1050" w:firstLineChars="500"/>
              <w:rPr>
                <w:rFonts w:ascii="宋体" w:hAnsi="宋体"/>
                <w:kern w:val="0"/>
                <w:szCs w:val="21"/>
              </w:rPr>
            </w:pPr>
            <w:r>
              <w:rPr>
                <w:rFonts w:ascii="宋体" w:hAnsi="宋体"/>
                <w:kern w:val="0"/>
                <w:szCs w:val="21"/>
              </w:rPr>
              <w:t>批发和零售业</w:t>
            </w:r>
          </w:p>
        </w:tc>
        <w:tc>
          <w:tcPr>
            <w:tcW w:w="967" w:type="pct"/>
            <w:shd w:val="clear" w:color="auto" w:fill="auto"/>
            <w:noWrap/>
            <w:vAlign w:val="center"/>
          </w:tcPr>
          <w:p w14:paraId="12FB654E">
            <w:pPr>
              <w:pStyle w:val="23"/>
              <w:jc w:val="center"/>
              <w:rPr>
                <w:rFonts w:ascii="宋体" w:hAnsi="宋体"/>
                <w:kern w:val="0"/>
                <w:szCs w:val="21"/>
              </w:rPr>
            </w:pPr>
            <w:r>
              <w:rPr>
                <w:rFonts w:ascii="宋体" w:hAnsi="宋体"/>
                <w:kern w:val="0"/>
                <w:szCs w:val="21"/>
              </w:rPr>
              <w:t>58552</w:t>
            </w:r>
          </w:p>
        </w:tc>
        <w:tc>
          <w:tcPr>
            <w:tcW w:w="967" w:type="pct"/>
            <w:shd w:val="clear" w:color="auto" w:fill="auto"/>
            <w:noWrap/>
            <w:vAlign w:val="center"/>
          </w:tcPr>
          <w:p w14:paraId="0BFA6EBF">
            <w:pPr>
              <w:pStyle w:val="23"/>
              <w:jc w:val="center"/>
              <w:rPr>
                <w:rFonts w:ascii="宋体" w:hAnsi="宋体"/>
                <w:kern w:val="0"/>
                <w:szCs w:val="21"/>
              </w:rPr>
            </w:pPr>
            <w:r>
              <w:rPr>
                <w:rFonts w:ascii="宋体" w:hAnsi="宋体"/>
                <w:kern w:val="0"/>
                <w:szCs w:val="21"/>
              </w:rPr>
              <w:t>56627</w:t>
            </w:r>
          </w:p>
        </w:tc>
        <w:tc>
          <w:tcPr>
            <w:tcW w:w="967" w:type="pct"/>
            <w:shd w:val="clear" w:color="auto" w:fill="auto"/>
            <w:noWrap/>
            <w:vAlign w:val="center"/>
          </w:tcPr>
          <w:p w14:paraId="11F9CEDD">
            <w:pPr>
              <w:pStyle w:val="23"/>
              <w:jc w:val="center"/>
              <w:rPr>
                <w:rFonts w:ascii="宋体" w:hAnsi="宋体"/>
                <w:kern w:val="0"/>
                <w:szCs w:val="21"/>
              </w:rPr>
            </w:pPr>
            <w:r>
              <w:rPr>
                <w:rFonts w:ascii="宋体" w:hAnsi="宋体"/>
                <w:kern w:val="0"/>
                <w:szCs w:val="21"/>
              </w:rPr>
              <w:t>-0.7</w:t>
            </w:r>
          </w:p>
        </w:tc>
      </w:tr>
      <w:tr w14:paraId="2EEF4BB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098" w:type="pct"/>
            <w:shd w:val="clear" w:color="auto" w:fill="auto"/>
            <w:noWrap/>
            <w:vAlign w:val="center"/>
          </w:tcPr>
          <w:p w14:paraId="1D70FCCE">
            <w:pPr>
              <w:pStyle w:val="23"/>
              <w:ind w:firstLine="1050" w:firstLineChars="500"/>
              <w:rPr>
                <w:rFonts w:ascii="宋体" w:hAnsi="宋体"/>
                <w:kern w:val="0"/>
                <w:szCs w:val="21"/>
              </w:rPr>
            </w:pPr>
            <w:r>
              <w:rPr>
                <w:rFonts w:ascii="宋体" w:hAnsi="宋体"/>
                <w:kern w:val="0"/>
                <w:szCs w:val="21"/>
              </w:rPr>
              <w:t>住宿和餐饮业</w:t>
            </w:r>
          </w:p>
        </w:tc>
        <w:tc>
          <w:tcPr>
            <w:tcW w:w="967" w:type="pct"/>
            <w:shd w:val="clear" w:color="auto" w:fill="auto"/>
            <w:noWrap/>
            <w:vAlign w:val="center"/>
          </w:tcPr>
          <w:p w14:paraId="0F79CD86">
            <w:pPr>
              <w:pStyle w:val="23"/>
              <w:jc w:val="center"/>
              <w:rPr>
                <w:rFonts w:ascii="宋体" w:hAnsi="宋体"/>
                <w:kern w:val="0"/>
                <w:szCs w:val="21"/>
              </w:rPr>
            </w:pPr>
            <w:r>
              <w:rPr>
                <w:rFonts w:ascii="宋体" w:hAnsi="宋体"/>
                <w:kern w:val="0"/>
                <w:szCs w:val="21"/>
              </w:rPr>
              <w:t>34244</w:t>
            </w:r>
          </w:p>
        </w:tc>
        <w:tc>
          <w:tcPr>
            <w:tcW w:w="967" w:type="pct"/>
            <w:shd w:val="clear" w:color="auto" w:fill="auto"/>
            <w:noWrap/>
            <w:vAlign w:val="center"/>
          </w:tcPr>
          <w:p w14:paraId="030D23C7">
            <w:pPr>
              <w:pStyle w:val="23"/>
              <w:jc w:val="center"/>
              <w:rPr>
                <w:rFonts w:ascii="宋体" w:hAnsi="宋体"/>
                <w:kern w:val="0"/>
                <w:szCs w:val="21"/>
              </w:rPr>
            </w:pPr>
            <w:r>
              <w:rPr>
                <w:rFonts w:ascii="宋体" w:hAnsi="宋体"/>
                <w:kern w:val="0"/>
                <w:szCs w:val="21"/>
              </w:rPr>
              <w:t>32805</w:t>
            </w:r>
          </w:p>
        </w:tc>
        <w:tc>
          <w:tcPr>
            <w:tcW w:w="967" w:type="pct"/>
            <w:shd w:val="clear" w:color="auto" w:fill="auto"/>
            <w:noWrap/>
            <w:vAlign w:val="center"/>
          </w:tcPr>
          <w:p w14:paraId="3F9F2C98">
            <w:pPr>
              <w:pStyle w:val="23"/>
              <w:jc w:val="center"/>
              <w:rPr>
                <w:rFonts w:ascii="宋体" w:hAnsi="宋体"/>
                <w:kern w:val="0"/>
                <w:szCs w:val="21"/>
              </w:rPr>
            </w:pPr>
            <w:r>
              <w:rPr>
                <w:rFonts w:ascii="宋体" w:hAnsi="宋体"/>
                <w:kern w:val="0"/>
                <w:szCs w:val="21"/>
              </w:rPr>
              <w:t>5.7</w:t>
            </w:r>
          </w:p>
        </w:tc>
      </w:tr>
      <w:tr w14:paraId="1ADAA80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098" w:type="pct"/>
            <w:shd w:val="clear" w:color="auto" w:fill="auto"/>
            <w:noWrap/>
            <w:vAlign w:val="center"/>
          </w:tcPr>
          <w:p w14:paraId="0E7670C9">
            <w:pPr>
              <w:pStyle w:val="23"/>
              <w:ind w:firstLine="1050" w:firstLineChars="500"/>
              <w:rPr>
                <w:rFonts w:ascii="宋体" w:hAnsi="宋体"/>
                <w:kern w:val="0"/>
                <w:szCs w:val="21"/>
              </w:rPr>
            </w:pPr>
            <w:r>
              <w:rPr>
                <w:rFonts w:ascii="宋体" w:hAnsi="宋体"/>
                <w:kern w:val="0"/>
                <w:szCs w:val="21"/>
              </w:rPr>
              <w:t>金融业</w:t>
            </w:r>
          </w:p>
        </w:tc>
        <w:tc>
          <w:tcPr>
            <w:tcW w:w="967" w:type="pct"/>
            <w:shd w:val="clear" w:color="auto" w:fill="auto"/>
            <w:noWrap/>
            <w:vAlign w:val="center"/>
          </w:tcPr>
          <w:p w14:paraId="2F991EF0">
            <w:pPr>
              <w:pStyle w:val="23"/>
              <w:jc w:val="center"/>
              <w:rPr>
                <w:rFonts w:ascii="宋体" w:hAnsi="宋体"/>
                <w:kern w:val="0"/>
                <w:szCs w:val="21"/>
              </w:rPr>
            </w:pPr>
            <w:r>
              <w:rPr>
                <w:rFonts w:ascii="宋体" w:hAnsi="宋体"/>
                <w:kern w:val="0"/>
                <w:szCs w:val="21"/>
              </w:rPr>
              <w:t>13135</w:t>
            </w:r>
          </w:p>
        </w:tc>
        <w:tc>
          <w:tcPr>
            <w:tcW w:w="967" w:type="pct"/>
            <w:shd w:val="clear" w:color="auto" w:fill="auto"/>
            <w:noWrap/>
            <w:vAlign w:val="center"/>
          </w:tcPr>
          <w:p w14:paraId="0FD98F5F">
            <w:pPr>
              <w:pStyle w:val="23"/>
              <w:jc w:val="center"/>
              <w:rPr>
                <w:rFonts w:ascii="宋体" w:hAnsi="宋体"/>
                <w:kern w:val="0"/>
                <w:szCs w:val="21"/>
              </w:rPr>
            </w:pPr>
            <w:r>
              <w:rPr>
                <w:rFonts w:ascii="宋体" w:hAnsi="宋体"/>
                <w:kern w:val="0"/>
                <w:szCs w:val="21"/>
              </w:rPr>
              <w:t>12623</w:t>
            </w:r>
          </w:p>
        </w:tc>
        <w:tc>
          <w:tcPr>
            <w:tcW w:w="967" w:type="pct"/>
            <w:shd w:val="clear" w:color="auto" w:fill="auto"/>
            <w:noWrap/>
            <w:vAlign w:val="center"/>
          </w:tcPr>
          <w:p w14:paraId="67209151">
            <w:pPr>
              <w:pStyle w:val="23"/>
              <w:jc w:val="center"/>
              <w:rPr>
                <w:rFonts w:ascii="宋体" w:hAnsi="宋体"/>
                <w:kern w:val="0"/>
                <w:szCs w:val="21"/>
              </w:rPr>
            </w:pPr>
            <w:r>
              <w:rPr>
                <w:rFonts w:ascii="宋体" w:hAnsi="宋体"/>
                <w:kern w:val="0"/>
                <w:szCs w:val="21"/>
              </w:rPr>
              <w:t>-6.6</w:t>
            </w:r>
          </w:p>
        </w:tc>
      </w:tr>
      <w:tr w14:paraId="4B86BB5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098" w:type="pct"/>
            <w:shd w:val="clear" w:color="auto" w:fill="auto"/>
            <w:noWrap/>
            <w:vAlign w:val="center"/>
          </w:tcPr>
          <w:p w14:paraId="0A6942AF">
            <w:pPr>
              <w:pStyle w:val="23"/>
              <w:ind w:firstLine="1050" w:firstLineChars="500"/>
              <w:rPr>
                <w:rFonts w:ascii="宋体" w:hAnsi="宋体"/>
                <w:kern w:val="0"/>
                <w:szCs w:val="21"/>
              </w:rPr>
            </w:pPr>
            <w:r>
              <w:rPr>
                <w:rFonts w:ascii="宋体" w:hAnsi="宋体"/>
                <w:kern w:val="0"/>
                <w:szCs w:val="21"/>
              </w:rPr>
              <w:t>房地产业</w:t>
            </w:r>
          </w:p>
        </w:tc>
        <w:tc>
          <w:tcPr>
            <w:tcW w:w="967" w:type="pct"/>
            <w:shd w:val="clear" w:color="auto" w:fill="auto"/>
            <w:noWrap/>
            <w:vAlign w:val="center"/>
          </w:tcPr>
          <w:p w14:paraId="7E86FD4A">
            <w:pPr>
              <w:pStyle w:val="23"/>
              <w:jc w:val="center"/>
              <w:rPr>
                <w:rFonts w:ascii="宋体" w:hAnsi="宋体"/>
                <w:kern w:val="0"/>
                <w:szCs w:val="21"/>
              </w:rPr>
            </w:pPr>
            <w:r>
              <w:rPr>
                <w:rFonts w:ascii="宋体" w:hAnsi="宋体"/>
                <w:kern w:val="0"/>
                <w:szCs w:val="21"/>
              </w:rPr>
              <w:t>26062</w:t>
            </w:r>
          </w:p>
        </w:tc>
        <w:tc>
          <w:tcPr>
            <w:tcW w:w="967" w:type="pct"/>
            <w:shd w:val="clear" w:color="auto" w:fill="auto"/>
            <w:noWrap/>
            <w:vAlign w:val="center"/>
          </w:tcPr>
          <w:p w14:paraId="402C312C">
            <w:pPr>
              <w:pStyle w:val="23"/>
              <w:jc w:val="center"/>
              <w:rPr>
                <w:rFonts w:ascii="宋体" w:hAnsi="宋体"/>
                <w:kern w:val="0"/>
                <w:szCs w:val="21"/>
              </w:rPr>
            </w:pPr>
            <w:r>
              <w:rPr>
                <w:rFonts w:ascii="宋体" w:hAnsi="宋体"/>
                <w:kern w:val="0"/>
                <w:szCs w:val="21"/>
              </w:rPr>
              <w:t>24584</w:t>
            </w:r>
          </w:p>
        </w:tc>
        <w:tc>
          <w:tcPr>
            <w:tcW w:w="967" w:type="pct"/>
            <w:shd w:val="clear" w:color="auto" w:fill="auto"/>
            <w:noWrap/>
            <w:vAlign w:val="center"/>
          </w:tcPr>
          <w:p w14:paraId="7CCCF2D1">
            <w:pPr>
              <w:pStyle w:val="23"/>
              <w:jc w:val="center"/>
              <w:rPr>
                <w:rFonts w:ascii="宋体" w:hAnsi="宋体"/>
                <w:kern w:val="0"/>
                <w:szCs w:val="21"/>
              </w:rPr>
            </w:pPr>
            <w:r>
              <w:rPr>
                <w:rFonts w:ascii="宋体" w:hAnsi="宋体"/>
                <w:kern w:val="0"/>
                <w:szCs w:val="21"/>
              </w:rPr>
              <w:t>6.5</w:t>
            </w:r>
          </w:p>
        </w:tc>
      </w:tr>
      <w:tr w14:paraId="7EE8B07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098" w:type="pct"/>
            <w:shd w:val="clear" w:color="auto" w:fill="auto"/>
            <w:noWrap/>
            <w:vAlign w:val="center"/>
          </w:tcPr>
          <w:p w14:paraId="6DB12C03">
            <w:pPr>
              <w:pStyle w:val="23"/>
              <w:ind w:firstLine="1050" w:firstLineChars="500"/>
              <w:rPr>
                <w:rFonts w:ascii="宋体" w:hAnsi="宋体"/>
                <w:kern w:val="0"/>
                <w:szCs w:val="21"/>
              </w:rPr>
            </w:pPr>
            <w:r>
              <w:rPr>
                <w:rFonts w:ascii="宋体" w:hAnsi="宋体"/>
                <w:kern w:val="0"/>
                <w:szCs w:val="21"/>
              </w:rPr>
              <w:t>其他服务业</w:t>
            </w:r>
          </w:p>
        </w:tc>
        <w:tc>
          <w:tcPr>
            <w:tcW w:w="967" w:type="pct"/>
            <w:shd w:val="clear" w:color="auto" w:fill="auto"/>
            <w:noWrap/>
            <w:vAlign w:val="center"/>
          </w:tcPr>
          <w:p w14:paraId="42642362">
            <w:pPr>
              <w:pStyle w:val="23"/>
              <w:jc w:val="center"/>
              <w:rPr>
                <w:rFonts w:ascii="宋体" w:hAnsi="宋体"/>
                <w:kern w:val="0"/>
                <w:szCs w:val="21"/>
              </w:rPr>
            </w:pPr>
            <w:r>
              <w:rPr>
                <w:rFonts w:ascii="宋体" w:hAnsi="宋体"/>
                <w:kern w:val="0"/>
                <w:szCs w:val="21"/>
              </w:rPr>
              <w:t>291529</w:t>
            </w:r>
          </w:p>
        </w:tc>
        <w:tc>
          <w:tcPr>
            <w:tcW w:w="967" w:type="pct"/>
            <w:shd w:val="clear" w:color="auto" w:fill="auto"/>
            <w:noWrap/>
            <w:vAlign w:val="center"/>
          </w:tcPr>
          <w:p w14:paraId="2A31CFEC">
            <w:pPr>
              <w:pStyle w:val="23"/>
              <w:jc w:val="center"/>
              <w:rPr>
                <w:rFonts w:ascii="宋体" w:hAnsi="宋体"/>
                <w:kern w:val="0"/>
                <w:szCs w:val="21"/>
              </w:rPr>
            </w:pPr>
            <w:r>
              <w:rPr>
                <w:rFonts w:ascii="宋体" w:hAnsi="宋体"/>
                <w:kern w:val="0"/>
                <w:szCs w:val="21"/>
              </w:rPr>
              <w:t>280253</w:t>
            </w:r>
          </w:p>
        </w:tc>
        <w:tc>
          <w:tcPr>
            <w:tcW w:w="967" w:type="pct"/>
            <w:shd w:val="clear" w:color="auto" w:fill="auto"/>
            <w:noWrap/>
            <w:vAlign w:val="center"/>
          </w:tcPr>
          <w:p w14:paraId="2505578D">
            <w:pPr>
              <w:pStyle w:val="23"/>
              <w:jc w:val="center"/>
              <w:rPr>
                <w:rFonts w:ascii="宋体" w:hAnsi="宋体"/>
                <w:kern w:val="0"/>
                <w:szCs w:val="21"/>
              </w:rPr>
            </w:pPr>
            <w:r>
              <w:rPr>
                <w:rFonts w:ascii="宋体" w:hAnsi="宋体"/>
                <w:kern w:val="0"/>
                <w:szCs w:val="21"/>
              </w:rPr>
              <w:t>39.5</w:t>
            </w:r>
          </w:p>
        </w:tc>
      </w:tr>
    </w:tbl>
    <w:p w14:paraId="0CE8C0E6">
      <w:pPr>
        <w:ind w:firstLine="0" w:firstLineChars="0"/>
        <w:jc w:val="center"/>
        <w:rPr>
          <w:b/>
        </w:rPr>
      </w:pPr>
      <w:r>
        <w:rPr>
          <w:rFonts w:hint="eastAsia"/>
          <w:b/>
        </w:rPr>
        <w:t>表43 生产总值</w:t>
      </w:r>
    </w:p>
    <w:tbl>
      <w:tblPr>
        <w:tblStyle w:val="14"/>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101"/>
        <w:gridCol w:w="1846"/>
        <w:gridCol w:w="2169"/>
        <w:gridCol w:w="1846"/>
      </w:tblGrid>
      <w:tr w14:paraId="02BC36C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099" w:type="pct"/>
            <w:shd w:val="clear" w:color="auto" w:fill="auto"/>
            <w:noWrap/>
            <w:vAlign w:val="center"/>
          </w:tcPr>
          <w:p w14:paraId="3E394368">
            <w:pPr>
              <w:pStyle w:val="23"/>
              <w:jc w:val="center"/>
              <w:rPr>
                <w:rFonts w:ascii="宋体" w:hAnsi="宋体"/>
                <w:b/>
                <w:kern w:val="0"/>
                <w:szCs w:val="21"/>
              </w:rPr>
            </w:pPr>
            <w:r>
              <w:rPr>
                <w:rFonts w:ascii="宋体" w:hAnsi="宋体"/>
                <w:b/>
                <w:kern w:val="0"/>
                <w:szCs w:val="21"/>
              </w:rPr>
              <w:t>指标名称</w:t>
            </w:r>
          </w:p>
        </w:tc>
        <w:tc>
          <w:tcPr>
            <w:tcW w:w="967" w:type="pct"/>
            <w:shd w:val="clear" w:color="auto" w:fill="auto"/>
            <w:noWrap/>
            <w:vAlign w:val="center"/>
          </w:tcPr>
          <w:p w14:paraId="13037C60">
            <w:pPr>
              <w:pStyle w:val="23"/>
              <w:jc w:val="center"/>
              <w:rPr>
                <w:rFonts w:ascii="宋体" w:hAnsi="宋体"/>
                <w:b/>
                <w:kern w:val="0"/>
                <w:szCs w:val="21"/>
              </w:rPr>
            </w:pPr>
            <w:r>
              <w:rPr>
                <w:rFonts w:ascii="宋体" w:hAnsi="宋体"/>
                <w:b/>
                <w:kern w:val="0"/>
                <w:szCs w:val="21"/>
              </w:rPr>
              <w:t>当年价(万元)</w:t>
            </w:r>
          </w:p>
        </w:tc>
        <w:tc>
          <w:tcPr>
            <w:tcW w:w="967" w:type="pct"/>
            <w:shd w:val="clear" w:color="auto" w:fill="auto"/>
            <w:noWrap/>
            <w:vAlign w:val="center"/>
          </w:tcPr>
          <w:p w14:paraId="4BCF99E0">
            <w:pPr>
              <w:pStyle w:val="23"/>
              <w:jc w:val="center"/>
              <w:rPr>
                <w:rFonts w:ascii="宋体" w:hAnsi="宋体"/>
                <w:b/>
                <w:kern w:val="0"/>
                <w:szCs w:val="21"/>
              </w:rPr>
            </w:pPr>
            <w:r>
              <w:rPr>
                <w:rFonts w:ascii="宋体" w:hAnsi="宋体"/>
                <w:b/>
                <w:kern w:val="0"/>
                <w:szCs w:val="21"/>
              </w:rPr>
              <w:t>2010年不变价(万元)</w:t>
            </w:r>
          </w:p>
        </w:tc>
        <w:tc>
          <w:tcPr>
            <w:tcW w:w="967" w:type="pct"/>
            <w:shd w:val="clear" w:color="auto" w:fill="auto"/>
            <w:noWrap/>
            <w:vAlign w:val="center"/>
          </w:tcPr>
          <w:p w14:paraId="0C4F921F">
            <w:pPr>
              <w:pStyle w:val="23"/>
              <w:jc w:val="center"/>
              <w:rPr>
                <w:rFonts w:ascii="宋体" w:hAnsi="宋体"/>
                <w:b/>
                <w:kern w:val="0"/>
                <w:szCs w:val="21"/>
              </w:rPr>
            </w:pPr>
            <w:r>
              <w:rPr>
                <w:rFonts w:ascii="宋体" w:hAnsi="宋体"/>
                <w:b/>
                <w:kern w:val="0"/>
                <w:szCs w:val="21"/>
              </w:rPr>
              <w:t>比上年±</w:t>
            </w:r>
          </w:p>
        </w:tc>
      </w:tr>
      <w:tr w14:paraId="18E4A4A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099" w:type="pct"/>
            <w:shd w:val="clear" w:color="auto" w:fill="auto"/>
            <w:noWrap/>
            <w:vAlign w:val="center"/>
          </w:tcPr>
          <w:p w14:paraId="38B8E30E">
            <w:pPr>
              <w:pStyle w:val="23"/>
              <w:rPr>
                <w:rFonts w:ascii="宋体" w:hAnsi="宋体"/>
                <w:kern w:val="0"/>
                <w:szCs w:val="21"/>
              </w:rPr>
            </w:pPr>
            <w:r>
              <w:rPr>
                <w:rFonts w:ascii="宋体" w:hAnsi="宋体"/>
                <w:kern w:val="0"/>
                <w:szCs w:val="21"/>
              </w:rPr>
              <w:t>生产总值</w:t>
            </w:r>
          </w:p>
        </w:tc>
        <w:tc>
          <w:tcPr>
            <w:tcW w:w="967" w:type="pct"/>
            <w:shd w:val="clear" w:color="auto" w:fill="auto"/>
            <w:noWrap/>
            <w:vAlign w:val="center"/>
          </w:tcPr>
          <w:p w14:paraId="1FE57F2D">
            <w:pPr>
              <w:pStyle w:val="23"/>
              <w:jc w:val="center"/>
              <w:rPr>
                <w:rFonts w:ascii="宋体" w:hAnsi="宋体"/>
                <w:kern w:val="0"/>
                <w:szCs w:val="21"/>
              </w:rPr>
            </w:pPr>
            <w:r>
              <w:rPr>
                <w:rFonts w:ascii="宋体" w:hAnsi="宋体"/>
                <w:kern w:val="0"/>
                <w:szCs w:val="21"/>
              </w:rPr>
              <w:t>733045</w:t>
            </w:r>
          </w:p>
        </w:tc>
        <w:tc>
          <w:tcPr>
            <w:tcW w:w="967" w:type="pct"/>
            <w:shd w:val="clear" w:color="auto" w:fill="auto"/>
            <w:noWrap/>
            <w:vAlign w:val="center"/>
          </w:tcPr>
          <w:p w14:paraId="1292F7CD">
            <w:pPr>
              <w:pStyle w:val="23"/>
              <w:jc w:val="center"/>
              <w:rPr>
                <w:rFonts w:ascii="宋体" w:hAnsi="宋体"/>
                <w:kern w:val="0"/>
                <w:szCs w:val="21"/>
              </w:rPr>
            </w:pPr>
            <w:r>
              <w:rPr>
                <w:rFonts w:ascii="宋体" w:hAnsi="宋体"/>
                <w:kern w:val="0"/>
                <w:szCs w:val="21"/>
              </w:rPr>
              <w:t>697474</w:t>
            </w:r>
          </w:p>
        </w:tc>
        <w:tc>
          <w:tcPr>
            <w:tcW w:w="967" w:type="pct"/>
            <w:shd w:val="clear" w:color="auto" w:fill="auto"/>
            <w:noWrap/>
            <w:vAlign w:val="center"/>
          </w:tcPr>
          <w:p w14:paraId="3402A4E6">
            <w:pPr>
              <w:pStyle w:val="23"/>
              <w:jc w:val="center"/>
              <w:rPr>
                <w:rFonts w:ascii="宋体" w:hAnsi="宋体"/>
                <w:kern w:val="0"/>
                <w:szCs w:val="21"/>
              </w:rPr>
            </w:pPr>
            <w:r>
              <w:rPr>
                <w:rFonts w:ascii="宋体" w:hAnsi="宋体"/>
                <w:kern w:val="0"/>
                <w:szCs w:val="21"/>
              </w:rPr>
              <w:t>15.7</w:t>
            </w:r>
          </w:p>
        </w:tc>
      </w:tr>
      <w:tr w14:paraId="193EBAC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099" w:type="pct"/>
            <w:shd w:val="clear" w:color="auto" w:fill="auto"/>
            <w:noWrap/>
            <w:vAlign w:val="center"/>
          </w:tcPr>
          <w:p w14:paraId="46267BF4">
            <w:pPr>
              <w:pStyle w:val="23"/>
              <w:ind w:firstLine="420" w:firstLineChars="200"/>
              <w:rPr>
                <w:rFonts w:ascii="宋体" w:hAnsi="宋体"/>
                <w:kern w:val="0"/>
                <w:szCs w:val="21"/>
              </w:rPr>
            </w:pPr>
            <w:r>
              <w:rPr>
                <w:rFonts w:ascii="宋体" w:hAnsi="宋体"/>
                <w:kern w:val="0"/>
                <w:szCs w:val="21"/>
              </w:rPr>
              <w:t>第一产业</w:t>
            </w:r>
          </w:p>
        </w:tc>
        <w:tc>
          <w:tcPr>
            <w:tcW w:w="967" w:type="pct"/>
            <w:shd w:val="clear" w:color="auto" w:fill="auto"/>
            <w:noWrap/>
            <w:vAlign w:val="center"/>
          </w:tcPr>
          <w:p w14:paraId="6C6F5274">
            <w:pPr>
              <w:pStyle w:val="23"/>
              <w:jc w:val="center"/>
              <w:rPr>
                <w:rFonts w:ascii="宋体" w:hAnsi="宋体"/>
                <w:kern w:val="0"/>
                <w:szCs w:val="21"/>
              </w:rPr>
            </w:pPr>
            <w:r>
              <w:rPr>
                <w:rFonts w:ascii="宋体" w:hAnsi="宋体"/>
                <w:kern w:val="0"/>
                <w:szCs w:val="21"/>
              </w:rPr>
              <w:t>195779</w:t>
            </w:r>
          </w:p>
        </w:tc>
        <w:tc>
          <w:tcPr>
            <w:tcW w:w="967" w:type="pct"/>
            <w:shd w:val="clear" w:color="auto" w:fill="auto"/>
            <w:noWrap/>
            <w:vAlign w:val="center"/>
          </w:tcPr>
          <w:p w14:paraId="726B92CA">
            <w:pPr>
              <w:pStyle w:val="23"/>
              <w:jc w:val="center"/>
              <w:rPr>
                <w:rFonts w:ascii="宋体" w:hAnsi="宋体"/>
                <w:kern w:val="0"/>
                <w:szCs w:val="21"/>
              </w:rPr>
            </w:pPr>
            <w:r>
              <w:rPr>
                <w:rFonts w:ascii="宋体" w:hAnsi="宋体"/>
                <w:kern w:val="0"/>
                <w:szCs w:val="21"/>
              </w:rPr>
              <w:t>171174</w:t>
            </w:r>
          </w:p>
        </w:tc>
        <w:tc>
          <w:tcPr>
            <w:tcW w:w="967" w:type="pct"/>
            <w:shd w:val="clear" w:color="auto" w:fill="auto"/>
            <w:noWrap/>
            <w:vAlign w:val="center"/>
          </w:tcPr>
          <w:p w14:paraId="222D205C">
            <w:pPr>
              <w:pStyle w:val="23"/>
              <w:jc w:val="center"/>
              <w:rPr>
                <w:rFonts w:ascii="宋体" w:hAnsi="宋体"/>
                <w:kern w:val="0"/>
                <w:szCs w:val="21"/>
              </w:rPr>
            </w:pPr>
            <w:r>
              <w:rPr>
                <w:rFonts w:ascii="宋体" w:hAnsi="宋体"/>
                <w:kern w:val="0"/>
                <w:szCs w:val="21"/>
              </w:rPr>
              <w:t>4.6</w:t>
            </w:r>
          </w:p>
        </w:tc>
      </w:tr>
      <w:tr w14:paraId="768009C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099" w:type="pct"/>
            <w:shd w:val="clear" w:color="auto" w:fill="auto"/>
            <w:noWrap/>
            <w:vAlign w:val="center"/>
          </w:tcPr>
          <w:p w14:paraId="205E8F8F">
            <w:pPr>
              <w:pStyle w:val="23"/>
              <w:ind w:firstLine="420" w:firstLineChars="200"/>
              <w:rPr>
                <w:rFonts w:ascii="宋体" w:hAnsi="宋体"/>
                <w:kern w:val="0"/>
                <w:szCs w:val="21"/>
              </w:rPr>
            </w:pPr>
            <w:r>
              <w:rPr>
                <w:rFonts w:ascii="宋体" w:hAnsi="宋体"/>
                <w:kern w:val="0"/>
                <w:szCs w:val="21"/>
              </w:rPr>
              <w:t>第二产业</w:t>
            </w:r>
          </w:p>
        </w:tc>
        <w:tc>
          <w:tcPr>
            <w:tcW w:w="967" w:type="pct"/>
            <w:shd w:val="clear" w:color="auto" w:fill="auto"/>
            <w:noWrap/>
            <w:vAlign w:val="center"/>
          </w:tcPr>
          <w:p w14:paraId="44346A71">
            <w:pPr>
              <w:pStyle w:val="23"/>
              <w:jc w:val="center"/>
              <w:rPr>
                <w:rFonts w:ascii="宋体" w:hAnsi="宋体"/>
                <w:kern w:val="0"/>
                <w:szCs w:val="21"/>
              </w:rPr>
            </w:pPr>
            <w:r>
              <w:rPr>
                <w:rFonts w:ascii="宋体" w:hAnsi="宋体"/>
                <w:kern w:val="0"/>
                <w:szCs w:val="21"/>
              </w:rPr>
              <w:t>227015</w:t>
            </w:r>
          </w:p>
        </w:tc>
        <w:tc>
          <w:tcPr>
            <w:tcW w:w="967" w:type="pct"/>
            <w:shd w:val="clear" w:color="auto" w:fill="auto"/>
            <w:noWrap/>
            <w:vAlign w:val="center"/>
          </w:tcPr>
          <w:p w14:paraId="2A1D9260">
            <w:pPr>
              <w:pStyle w:val="23"/>
              <w:jc w:val="center"/>
              <w:rPr>
                <w:rFonts w:ascii="宋体" w:hAnsi="宋体"/>
                <w:kern w:val="0"/>
                <w:szCs w:val="21"/>
              </w:rPr>
            </w:pPr>
            <w:r>
              <w:rPr>
                <w:rFonts w:ascii="宋体" w:hAnsi="宋体"/>
                <w:kern w:val="0"/>
                <w:szCs w:val="21"/>
              </w:rPr>
              <w:t>220015</w:t>
            </w:r>
          </w:p>
        </w:tc>
        <w:tc>
          <w:tcPr>
            <w:tcW w:w="967" w:type="pct"/>
            <w:shd w:val="clear" w:color="auto" w:fill="auto"/>
            <w:noWrap/>
            <w:vAlign w:val="center"/>
          </w:tcPr>
          <w:p w14:paraId="5D4DD172">
            <w:pPr>
              <w:pStyle w:val="23"/>
              <w:jc w:val="center"/>
              <w:rPr>
                <w:rFonts w:ascii="宋体" w:hAnsi="宋体"/>
                <w:kern w:val="0"/>
                <w:szCs w:val="21"/>
              </w:rPr>
            </w:pPr>
            <w:r>
              <w:rPr>
                <w:rFonts w:ascii="宋体" w:hAnsi="宋体"/>
                <w:kern w:val="0"/>
                <w:szCs w:val="21"/>
              </w:rPr>
              <w:t>28.5</w:t>
            </w:r>
          </w:p>
        </w:tc>
      </w:tr>
      <w:tr w14:paraId="350D3D4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099" w:type="pct"/>
            <w:shd w:val="clear" w:color="auto" w:fill="auto"/>
            <w:noWrap/>
            <w:vAlign w:val="center"/>
          </w:tcPr>
          <w:p w14:paraId="4F5CD7D6">
            <w:pPr>
              <w:pStyle w:val="23"/>
              <w:ind w:firstLine="630" w:firstLineChars="300"/>
              <w:rPr>
                <w:rFonts w:ascii="宋体" w:hAnsi="宋体"/>
                <w:kern w:val="0"/>
                <w:szCs w:val="21"/>
              </w:rPr>
            </w:pPr>
            <w:r>
              <w:rPr>
                <w:rFonts w:ascii="宋体" w:hAnsi="宋体"/>
                <w:kern w:val="0"/>
                <w:szCs w:val="21"/>
              </w:rPr>
              <w:t>其中</w:t>
            </w:r>
            <w:r>
              <w:rPr>
                <w:rFonts w:hint="eastAsia" w:ascii="宋体" w:hAnsi="宋体"/>
                <w:kern w:val="0"/>
                <w:szCs w:val="21"/>
              </w:rPr>
              <w:t>：</w:t>
            </w:r>
            <w:r>
              <w:rPr>
                <w:rFonts w:ascii="宋体" w:hAnsi="宋体"/>
                <w:kern w:val="0"/>
                <w:szCs w:val="21"/>
              </w:rPr>
              <w:t>工业</w:t>
            </w:r>
          </w:p>
        </w:tc>
        <w:tc>
          <w:tcPr>
            <w:tcW w:w="967" w:type="pct"/>
            <w:shd w:val="clear" w:color="auto" w:fill="auto"/>
            <w:noWrap/>
            <w:vAlign w:val="center"/>
          </w:tcPr>
          <w:p w14:paraId="2B2AC085">
            <w:pPr>
              <w:pStyle w:val="23"/>
              <w:jc w:val="center"/>
              <w:rPr>
                <w:rFonts w:ascii="宋体" w:hAnsi="宋体"/>
                <w:kern w:val="0"/>
                <w:szCs w:val="21"/>
              </w:rPr>
            </w:pPr>
            <w:r>
              <w:rPr>
                <w:rFonts w:ascii="宋体" w:hAnsi="宋体"/>
                <w:kern w:val="0"/>
                <w:szCs w:val="21"/>
              </w:rPr>
              <w:t>158472</w:t>
            </w:r>
          </w:p>
        </w:tc>
        <w:tc>
          <w:tcPr>
            <w:tcW w:w="967" w:type="pct"/>
            <w:shd w:val="clear" w:color="auto" w:fill="auto"/>
            <w:noWrap/>
            <w:vAlign w:val="center"/>
          </w:tcPr>
          <w:p w14:paraId="2BCAF8A4">
            <w:pPr>
              <w:pStyle w:val="23"/>
              <w:jc w:val="center"/>
              <w:rPr>
                <w:rFonts w:ascii="宋体" w:hAnsi="宋体"/>
                <w:kern w:val="0"/>
                <w:szCs w:val="21"/>
              </w:rPr>
            </w:pPr>
            <w:r>
              <w:rPr>
                <w:rFonts w:ascii="宋体" w:hAnsi="宋体"/>
                <w:kern w:val="0"/>
                <w:szCs w:val="21"/>
              </w:rPr>
              <w:t>156373</w:t>
            </w:r>
          </w:p>
        </w:tc>
        <w:tc>
          <w:tcPr>
            <w:tcW w:w="967" w:type="pct"/>
            <w:shd w:val="clear" w:color="auto" w:fill="auto"/>
            <w:noWrap/>
            <w:vAlign w:val="center"/>
          </w:tcPr>
          <w:p w14:paraId="7C0AAB9F">
            <w:pPr>
              <w:pStyle w:val="23"/>
              <w:jc w:val="center"/>
              <w:rPr>
                <w:rFonts w:ascii="宋体" w:hAnsi="宋体"/>
                <w:kern w:val="0"/>
                <w:szCs w:val="21"/>
              </w:rPr>
            </w:pPr>
            <w:r>
              <w:rPr>
                <w:rFonts w:ascii="宋体" w:hAnsi="宋体"/>
                <w:kern w:val="0"/>
                <w:szCs w:val="21"/>
              </w:rPr>
              <w:t>35.5</w:t>
            </w:r>
          </w:p>
        </w:tc>
      </w:tr>
      <w:tr w14:paraId="33F3FF1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099" w:type="pct"/>
            <w:shd w:val="clear" w:color="auto" w:fill="auto"/>
            <w:noWrap/>
            <w:vAlign w:val="center"/>
          </w:tcPr>
          <w:p w14:paraId="3A911BB2">
            <w:pPr>
              <w:pStyle w:val="23"/>
              <w:ind w:firstLine="1260" w:firstLineChars="600"/>
              <w:rPr>
                <w:rFonts w:ascii="宋体" w:hAnsi="宋体"/>
                <w:kern w:val="0"/>
                <w:szCs w:val="21"/>
              </w:rPr>
            </w:pPr>
            <w:r>
              <w:rPr>
                <w:rFonts w:ascii="宋体" w:hAnsi="宋体"/>
                <w:kern w:val="0"/>
                <w:szCs w:val="21"/>
              </w:rPr>
              <w:t>建筑业</w:t>
            </w:r>
          </w:p>
        </w:tc>
        <w:tc>
          <w:tcPr>
            <w:tcW w:w="967" w:type="pct"/>
            <w:shd w:val="clear" w:color="auto" w:fill="auto"/>
            <w:noWrap/>
            <w:vAlign w:val="center"/>
          </w:tcPr>
          <w:p w14:paraId="1473306A">
            <w:pPr>
              <w:pStyle w:val="23"/>
              <w:jc w:val="center"/>
              <w:rPr>
                <w:rFonts w:ascii="宋体" w:hAnsi="宋体"/>
                <w:kern w:val="0"/>
                <w:szCs w:val="21"/>
              </w:rPr>
            </w:pPr>
            <w:r>
              <w:rPr>
                <w:rFonts w:ascii="宋体" w:hAnsi="宋体"/>
                <w:kern w:val="0"/>
                <w:szCs w:val="21"/>
              </w:rPr>
              <w:t>68543</w:t>
            </w:r>
          </w:p>
        </w:tc>
        <w:tc>
          <w:tcPr>
            <w:tcW w:w="967" w:type="pct"/>
            <w:shd w:val="clear" w:color="auto" w:fill="auto"/>
            <w:noWrap/>
            <w:vAlign w:val="center"/>
          </w:tcPr>
          <w:p w14:paraId="67F4B22A">
            <w:pPr>
              <w:pStyle w:val="23"/>
              <w:jc w:val="center"/>
              <w:rPr>
                <w:rFonts w:ascii="宋体" w:hAnsi="宋体"/>
                <w:kern w:val="0"/>
                <w:szCs w:val="21"/>
              </w:rPr>
            </w:pPr>
            <w:r>
              <w:rPr>
                <w:rFonts w:ascii="宋体" w:hAnsi="宋体"/>
                <w:kern w:val="0"/>
                <w:szCs w:val="21"/>
              </w:rPr>
              <w:t>63642</w:t>
            </w:r>
          </w:p>
        </w:tc>
        <w:tc>
          <w:tcPr>
            <w:tcW w:w="967" w:type="pct"/>
            <w:shd w:val="clear" w:color="auto" w:fill="auto"/>
            <w:noWrap/>
            <w:vAlign w:val="center"/>
          </w:tcPr>
          <w:p w14:paraId="6C96F5EC">
            <w:pPr>
              <w:pStyle w:val="23"/>
              <w:jc w:val="center"/>
              <w:rPr>
                <w:rFonts w:ascii="宋体" w:hAnsi="宋体"/>
                <w:kern w:val="0"/>
                <w:szCs w:val="21"/>
              </w:rPr>
            </w:pPr>
            <w:r>
              <w:rPr>
                <w:rFonts w:ascii="宋体" w:hAnsi="宋体"/>
                <w:kern w:val="0"/>
                <w:szCs w:val="21"/>
              </w:rPr>
              <w:t>14</w:t>
            </w:r>
          </w:p>
        </w:tc>
      </w:tr>
      <w:tr w14:paraId="0A3E19E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099" w:type="pct"/>
            <w:shd w:val="clear" w:color="auto" w:fill="auto"/>
            <w:noWrap/>
            <w:vAlign w:val="center"/>
          </w:tcPr>
          <w:p w14:paraId="744A598C">
            <w:pPr>
              <w:pStyle w:val="23"/>
              <w:rPr>
                <w:rFonts w:ascii="宋体" w:hAnsi="宋体"/>
                <w:kern w:val="0"/>
                <w:szCs w:val="21"/>
              </w:rPr>
            </w:pPr>
            <w:r>
              <w:rPr>
                <w:rFonts w:ascii="宋体" w:hAnsi="宋体"/>
                <w:kern w:val="0"/>
                <w:szCs w:val="21"/>
              </w:rPr>
              <w:t>第三产业</w:t>
            </w:r>
          </w:p>
        </w:tc>
        <w:tc>
          <w:tcPr>
            <w:tcW w:w="967" w:type="pct"/>
            <w:shd w:val="clear" w:color="auto" w:fill="auto"/>
            <w:noWrap/>
            <w:vAlign w:val="center"/>
          </w:tcPr>
          <w:p w14:paraId="40224F9F">
            <w:pPr>
              <w:pStyle w:val="23"/>
              <w:jc w:val="center"/>
              <w:rPr>
                <w:rFonts w:ascii="宋体" w:hAnsi="宋体"/>
                <w:kern w:val="0"/>
                <w:szCs w:val="21"/>
              </w:rPr>
            </w:pPr>
            <w:r>
              <w:rPr>
                <w:rFonts w:ascii="宋体" w:hAnsi="宋体"/>
                <w:kern w:val="0"/>
                <w:szCs w:val="21"/>
              </w:rPr>
              <w:t>310251</w:t>
            </w:r>
          </w:p>
        </w:tc>
        <w:tc>
          <w:tcPr>
            <w:tcW w:w="967" w:type="pct"/>
            <w:shd w:val="clear" w:color="auto" w:fill="auto"/>
            <w:noWrap/>
            <w:vAlign w:val="center"/>
          </w:tcPr>
          <w:p w14:paraId="26CBD89D">
            <w:pPr>
              <w:pStyle w:val="23"/>
              <w:jc w:val="center"/>
              <w:rPr>
                <w:rFonts w:ascii="宋体" w:hAnsi="宋体"/>
                <w:kern w:val="0"/>
                <w:szCs w:val="21"/>
              </w:rPr>
            </w:pPr>
            <w:r>
              <w:rPr>
                <w:rFonts w:ascii="宋体" w:hAnsi="宋体"/>
                <w:kern w:val="0"/>
                <w:szCs w:val="21"/>
              </w:rPr>
              <w:t>306285</w:t>
            </w:r>
          </w:p>
        </w:tc>
        <w:tc>
          <w:tcPr>
            <w:tcW w:w="967" w:type="pct"/>
            <w:shd w:val="clear" w:color="auto" w:fill="auto"/>
            <w:noWrap/>
            <w:vAlign w:val="center"/>
          </w:tcPr>
          <w:p w14:paraId="4A3D8381">
            <w:pPr>
              <w:pStyle w:val="23"/>
              <w:jc w:val="center"/>
              <w:rPr>
                <w:rFonts w:ascii="宋体" w:hAnsi="宋体"/>
                <w:kern w:val="0"/>
                <w:szCs w:val="21"/>
              </w:rPr>
            </w:pPr>
            <w:r>
              <w:rPr>
                <w:rFonts w:ascii="宋体" w:hAnsi="宋体"/>
                <w:kern w:val="0"/>
                <w:szCs w:val="21"/>
              </w:rPr>
              <w:t>14.4</w:t>
            </w:r>
          </w:p>
        </w:tc>
      </w:tr>
      <w:tr w14:paraId="494638A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099" w:type="pct"/>
            <w:shd w:val="clear" w:color="auto" w:fill="auto"/>
            <w:noWrap/>
            <w:vAlign w:val="center"/>
          </w:tcPr>
          <w:p w14:paraId="4F372B16">
            <w:pPr>
              <w:pStyle w:val="23"/>
              <w:ind w:firstLine="210" w:firstLineChars="100"/>
              <w:rPr>
                <w:rFonts w:ascii="宋体" w:hAnsi="宋体"/>
                <w:kern w:val="0"/>
                <w:szCs w:val="21"/>
              </w:rPr>
            </w:pPr>
            <w:r>
              <w:rPr>
                <w:rFonts w:ascii="宋体" w:hAnsi="宋体"/>
                <w:kern w:val="0"/>
                <w:szCs w:val="21"/>
              </w:rPr>
              <w:t>其中</w:t>
            </w:r>
            <w:r>
              <w:rPr>
                <w:rFonts w:hint="eastAsia" w:ascii="宋体" w:hAnsi="宋体"/>
                <w:kern w:val="0"/>
                <w:szCs w:val="21"/>
              </w:rPr>
              <w:t>：</w:t>
            </w:r>
            <w:r>
              <w:rPr>
                <w:rFonts w:ascii="宋体" w:hAnsi="宋体"/>
                <w:kern w:val="0"/>
                <w:szCs w:val="21"/>
              </w:rPr>
              <w:t>交通运输、邮政业</w:t>
            </w:r>
          </w:p>
        </w:tc>
        <w:tc>
          <w:tcPr>
            <w:tcW w:w="967" w:type="pct"/>
            <w:shd w:val="clear" w:color="auto" w:fill="auto"/>
            <w:noWrap/>
            <w:vAlign w:val="center"/>
          </w:tcPr>
          <w:p w14:paraId="720359A6">
            <w:pPr>
              <w:pStyle w:val="23"/>
              <w:jc w:val="center"/>
              <w:rPr>
                <w:rFonts w:ascii="宋体" w:hAnsi="宋体"/>
                <w:kern w:val="0"/>
                <w:szCs w:val="21"/>
              </w:rPr>
            </w:pPr>
            <w:r>
              <w:rPr>
                <w:rFonts w:ascii="宋体" w:hAnsi="宋体"/>
                <w:kern w:val="0"/>
                <w:szCs w:val="21"/>
              </w:rPr>
              <w:t>37892</w:t>
            </w:r>
          </w:p>
        </w:tc>
        <w:tc>
          <w:tcPr>
            <w:tcW w:w="967" w:type="pct"/>
            <w:shd w:val="clear" w:color="auto" w:fill="auto"/>
            <w:noWrap/>
            <w:vAlign w:val="center"/>
          </w:tcPr>
          <w:p w14:paraId="14EEE516">
            <w:pPr>
              <w:pStyle w:val="23"/>
              <w:jc w:val="center"/>
              <w:rPr>
                <w:rFonts w:ascii="宋体" w:hAnsi="宋体"/>
                <w:kern w:val="0"/>
                <w:szCs w:val="21"/>
              </w:rPr>
            </w:pPr>
            <w:r>
              <w:rPr>
                <w:rFonts w:ascii="宋体" w:hAnsi="宋体"/>
                <w:kern w:val="0"/>
                <w:szCs w:val="21"/>
              </w:rPr>
              <w:t>35014</w:t>
            </w:r>
          </w:p>
        </w:tc>
        <w:tc>
          <w:tcPr>
            <w:tcW w:w="967" w:type="pct"/>
            <w:shd w:val="clear" w:color="auto" w:fill="auto"/>
            <w:noWrap/>
            <w:vAlign w:val="center"/>
          </w:tcPr>
          <w:p w14:paraId="14716F0F">
            <w:pPr>
              <w:pStyle w:val="23"/>
              <w:jc w:val="center"/>
              <w:rPr>
                <w:rFonts w:ascii="宋体" w:hAnsi="宋体"/>
                <w:kern w:val="0"/>
                <w:szCs w:val="21"/>
              </w:rPr>
            </w:pPr>
            <w:r>
              <w:rPr>
                <w:rFonts w:ascii="宋体" w:hAnsi="宋体"/>
                <w:kern w:val="0"/>
                <w:szCs w:val="21"/>
              </w:rPr>
              <w:t>7.3</w:t>
            </w:r>
          </w:p>
        </w:tc>
      </w:tr>
      <w:tr w14:paraId="1CCF425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099" w:type="pct"/>
            <w:shd w:val="clear" w:color="auto" w:fill="auto"/>
            <w:noWrap/>
            <w:vAlign w:val="center"/>
          </w:tcPr>
          <w:p w14:paraId="4C0FAD9E">
            <w:pPr>
              <w:pStyle w:val="23"/>
              <w:ind w:firstLine="840" w:firstLineChars="400"/>
              <w:rPr>
                <w:rFonts w:ascii="宋体" w:hAnsi="宋体"/>
                <w:kern w:val="0"/>
                <w:szCs w:val="21"/>
              </w:rPr>
            </w:pPr>
            <w:r>
              <w:rPr>
                <w:rFonts w:ascii="宋体" w:hAnsi="宋体"/>
                <w:kern w:val="0"/>
                <w:szCs w:val="21"/>
              </w:rPr>
              <w:t>批发和零售业</w:t>
            </w:r>
          </w:p>
        </w:tc>
        <w:tc>
          <w:tcPr>
            <w:tcW w:w="967" w:type="pct"/>
            <w:shd w:val="clear" w:color="auto" w:fill="auto"/>
            <w:noWrap/>
            <w:vAlign w:val="center"/>
          </w:tcPr>
          <w:p w14:paraId="39414B9D">
            <w:pPr>
              <w:pStyle w:val="23"/>
              <w:jc w:val="center"/>
              <w:rPr>
                <w:rFonts w:ascii="宋体" w:hAnsi="宋体"/>
                <w:kern w:val="0"/>
                <w:szCs w:val="21"/>
              </w:rPr>
            </w:pPr>
            <w:r>
              <w:rPr>
                <w:rFonts w:ascii="宋体" w:hAnsi="宋体"/>
                <w:kern w:val="0"/>
                <w:szCs w:val="21"/>
              </w:rPr>
              <w:t>43220</w:t>
            </w:r>
          </w:p>
        </w:tc>
        <w:tc>
          <w:tcPr>
            <w:tcW w:w="967" w:type="pct"/>
            <w:shd w:val="clear" w:color="auto" w:fill="auto"/>
            <w:noWrap/>
            <w:vAlign w:val="center"/>
          </w:tcPr>
          <w:p w14:paraId="4E2D3392">
            <w:pPr>
              <w:pStyle w:val="23"/>
              <w:jc w:val="center"/>
              <w:rPr>
                <w:rFonts w:ascii="宋体" w:hAnsi="宋体"/>
                <w:kern w:val="0"/>
                <w:szCs w:val="21"/>
              </w:rPr>
            </w:pPr>
            <w:r>
              <w:rPr>
                <w:rFonts w:ascii="宋体" w:hAnsi="宋体"/>
                <w:kern w:val="0"/>
                <w:szCs w:val="21"/>
              </w:rPr>
              <w:t>41798</w:t>
            </w:r>
          </w:p>
        </w:tc>
        <w:tc>
          <w:tcPr>
            <w:tcW w:w="967" w:type="pct"/>
            <w:shd w:val="clear" w:color="auto" w:fill="auto"/>
            <w:noWrap/>
            <w:vAlign w:val="center"/>
          </w:tcPr>
          <w:p w14:paraId="31345147">
            <w:pPr>
              <w:pStyle w:val="23"/>
              <w:jc w:val="center"/>
              <w:rPr>
                <w:rFonts w:ascii="宋体" w:hAnsi="宋体"/>
                <w:kern w:val="0"/>
                <w:szCs w:val="21"/>
              </w:rPr>
            </w:pPr>
            <w:r>
              <w:rPr>
                <w:rFonts w:ascii="宋体" w:hAnsi="宋体"/>
                <w:kern w:val="0"/>
                <w:szCs w:val="21"/>
              </w:rPr>
              <w:t>-14.8</w:t>
            </w:r>
          </w:p>
        </w:tc>
      </w:tr>
      <w:tr w14:paraId="1A2A822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099" w:type="pct"/>
            <w:shd w:val="clear" w:color="auto" w:fill="auto"/>
            <w:noWrap/>
            <w:vAlign w:val="center"/>
          </w:tcPr>
          <w:p w14:paraId="36C83971">
            <w:pPr>
              <w:pStyle w:val="23"/>
              <w:ind w:firstLine="840" w:firstLineChars="400"/>
              <w:rPr>
                <w:rFonts w:ascii="宋体" w:hAnsi="宋体"/>
                <w:kern w:val="0"/>
                <w:szCs w:val="21"/>
              </w:rPr>
            </w:pPr>
            <w:r>
              <w:rPr>
                <w:rFonts w:ascii="宋体" w:hAnsi="宋体"/>
                <w:kern w:val="0"/>
                <w:szCs w:val="21"/>
              </w:rPr>
              <w:t>住宿和餐饮业</w:t>
            </w:r>
          </w:p>
        </w:tc>
        <w:tc>
          <w:tcPr>
            <w:tcW w:w="967" w:type="pct"/>
            <w:shd w:val="clear" w:color="auto" w:fill="auto"/>
            <w:noWrap/>
            <w:vAlign w:val="center"/>
          </w:tcPr>
          <w:p w14:paraId="43E83E9E">
            <w:pPr>
              <w:pStyle w:val="23"/>
              <w:jc w:val="center"/>
              <w:rPr>
                <w:rFonts w:ascii="宋体" w:hAnsi="宋体"/>
                <w:kern w:val="0"/>
                <w:szCs w:val="21"/>
              </w:rPr>
            </w:pPr>
            <w:r>
              <w:rPr>
                <w:rFonts w:ascii="宋体" w:hAnsi="宋体"/>
                <w:kern w:val="0"/>
                <w:szCs w:val="21"/>
              </w:rPr>
              <w:t>14754</w:t>
            </w:r>
          </w:p>
        </w:tc>
        <w:tc>
          <w:tcPr>
            <w:tcW w:w="967" w:type="pct"/>
            <w:shd w:val="clear" w:color="auto" w:fill="auto"/>
            <w:noWrap/>
            <w:vAlign w:val="center"/>
          </w:tcPr>
          <w:p w14:paraId="1F843B11">
            <w:pPr>
              <w:pStyle w:val="23"/>
              <w:jc w:val="center"/>
              <w:rPr>
                <w:rFonts w:ascii="宋体" w:hAnsi="宋体"/>
                <w:kern w:val="0"/>
                <w:szCs w:val="21"/>
              </w:rPr>
            </w:pPr>
            <w:r>
              <w:rPr>
                <w:rFonts w:ascii="宋体" w:hAnsi="宋体"/>
                <w:kern w:val="0"/>
                <w:szCs w:val="21"/>
              </w:rPr>
              <w:t>14107</w:t>
            </w:r>
          </w:p>
        </w:tc>
        <w:tc>
          <w:tcPr>
            <w:tcW w:w="967" w:type="pct"/>
            <w:shd w:val="clear" w:color="auto" w:fill="auto"/>
            <w:noWrap/>
            <w:vAlign w:val="center"/>
          </w:tcPr>
          <w:p w14:paraId="75582BEA">
            <w:pPr>
              <w:pStyle w:val="23"/>
              <w:jc w:val="center"/>
              <w:rPr>
                <w:rFonts w:ascii="宋体" w:hAnsi="宋体"/>
                <w:kern w:val="0"/>
                <w:szCs w:val="21"/>
              </w:rPr>
            </w:pPr>
            <w:r>
              <w:rPr>
                <w:rFonts w:ascii="宋体" w:hAnsi="宋体"/>
                <w:kern w:val="0"/>
                <w:szCs w:val="21"/>
              </w:rPr>
              <w:t>6.4</w:t>
            </w:r>
          </w:p>
        </w:tc>
      </w:tr>
      <w:tr w14:paraId="25C4EF9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099" w:type="pct"/>
            <w:shd w:val="clear" w:color="auto" w:fill="auto"/>
            <w:noWrap/>
            <w:vAlign w:val="center"/>
          </w:tcPr>
          <w:p w14:paraId="7169048D">
            <w:pPr>
              <w:pStyle w:val="23"/>
              <w:ind w:firstLine="840" w:firstLineChars="400"/>
              <w:rPr>
                <w:rFonts w:ascii="宋体" w:hAnsi="宋体"/>
                <w:kern w:val="0"/>
                <w:szCs w:val="21"/>
              </w:rPr>
            </w:pPr>
            <w:r>
              <w:rPr>
                <w:rFonts w:ascii="宋体" w:hAnsi="宋体"/>
                <w:kern w:val="0"/>
                <w:szCs w:val="21"/>
              </w:rPr>
              <w:t>金融业</w:t>
            </w:r>
          </w:p>
        </w:tc>
        <w:tc>
          <w:tcPr>
            <w:tcW w:w="967" w:type="pct"/>
            <w:shd w:val="clear" w:color="auto" w:fill="auto"/>
            <w:noWrap/>
            <w:vAlign w:val="center"/>
          </w:tcPr>
          <w:p w14:paraId="2A9746E6">
            <w:pPr>
              <w:pStyle w:val="23"/>
              <w:jc w:val="center"/>
              <w:rPr>
                <w:rFonts w:ascii="宋体" w:hAnsi="宋体"/>
                <w:kern w:val="0"/>
                <w:szCs w:val="21"/>
              </w:rPr>
            </w:pPr>
            <w:r>
              <w:rPr>
                <w:rFonts w:ascii="宋体" w:hAnsi="宋体"/>
                <w:kern w:val="0"/>
                <w:szCs w:val="21"/>
              </w:rPr>
              <w:t>7503</w:t>
            </w:r>
          </w:p>
        </w:tc>
        <w:tc>
          <w:tcPr>
            <w:tcW w:w="967" w:type="pct"/>
            <w:shd w:val="clear" w:color="auto" w:fill="auto"/>
            <w:noWrap/>
            <w:vAlign w:val="center"/>
          </w:tcPr>
          <w:p w14:paraId="210054EA">
            <w:pPr>
              <w:pStyle w:val="23"/>
              <w:jc w:val="center"/>
              <w:rPr>
                <w:rFonts w:ascii="宋体" w:hAnsi="宋体"/>
                <w:kern w:val="0"/>
                <w:szCs w:val="21"/>
              </w:rPr>
            </w:pPr>
            <w:r>
              <w:rPr>
                <w:rFonts w:ascii="宋体" w:hAnsi="宋体"/>
                <w:kern w:val="0"/>
                <w:szCs w:val="21"/>
              </w:rPr>
              <w:t>7153</w:t>
            </w:r>
          </w:p>
        </w:tc>
        <w:tc>
          <w:tcPr>
            <w:tcW w:w="967" w:type="pct"/>
            <w:shd w:val="clear" w:color="auto" w:fill="auto"/>
            <w:noWrap/>
            <w:vAlign w:val="center"/>
          </w:tcPr>
          <w:p w14:paraId="729DDC93">
            <w:pPr>
              <w:pStyle w:val="23"/>
              <w:jc w:val="center"/>
              <w:rPr>
                <w:rFonts w:ascii="宋体" w:hAnsi="宋体"/>
                <w:kern w:val="0"/>
                <w:szCs w:val="21"/>
              </w:rPr>
            </w:pPr>
            <w:r>
              <w:rPr>
                <w:rFonts w:ascii="宋体" w:hAnsi="宋体"/>
                <w:kern w:val="0"/>
                <w:szCs w:val="21"/>
              </w:rPr>
              <w:t>-6.9</w:t>
            </w:r>
          </w:p>
        </w:tc>
      </w:tr>
      <w:tr w14:paraId="3CCB9C6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099" w:type="pct"/>
            <w:shd w:val="clear" w:color="auto" w:fill="auto"/>
            <w:noWrap/>
            <w:vAlign w:val="center"/>
          </w:tcPr>
          <w:p w14:paraId="3D726D0A">
            <w:pPr>
              <w:pStyle w:val="23"/>
              <w:ind w:firstLine="840" w:firstLineChars="400"/>
              <w:rPr>
                <w:rFonts w:ascii="宋体" w:hAnsi="宋体"/>
                <w:kern w:val="0"/>
                <w:szCs w:val="21"/>
              </w:rPr>
            </w:pPr>
            <w:r>
              <w:rPr>
                <w:rFonts w:ascii="宋体" w:hAnsi="宋体"/>
                <w:kern w:val="0"/>
                <w:szCs w:val="21"/>
              </w:rPr>
              <w:t>房地产业</w:t>
            </w:r>
          </w:p>
        </w:tc>
        <w:tc>
          <w:tcPr>
            <w:tcW w:w="967" w:type="pct"/>
            <w:shd w:val="clear" w:color="auto" w:fill="auto"/>
            <w:noWrap/>
            <w:vAlign w:val="center"/>
          </w:tcPr>
          <w:p w14:paraId="62EE2F8C">
            <w:pPr>
              <w:pStyle w:val="23"/>
              <w:jc w:val="center"/>
              <w:rPr>
                <w:rFonts w:ascii="宋体" w:hAnsi="宋体"/>
                <w:kern w:val="0"/>
                <w:szCs w:val="21"/>
              </w:rPr>
            </w:pPr>
            <w:r>
              <w:rPr>
                <w:rFonts w:ascii="宋体" w:hAnsi="宋体"/>
                <w:kern w:val="0"/>
                <w:szCs w:val="21"/>
              </w:rPr>
              <w:t>21217</w:t>
            </w:r>
          </w:p>
        </w:tc>
        <w:tc>
          <w:tcPr>
            <w:tcW w:w="967" w:type="pct"/>
            <w:shd w:val="clear" w:color="auto" w:fill="auto"/>
            <w:noWrap/>
            <w:vAlign w:val="center"/>
          </w:tcPr>
          <w:p w14:paraId="7ED5238D">
            <w:pPr>
              <w:pStyle w:val="23"/>
              <w:jc w:val="center"/>
              <w:rPr>
                <w:rFonts w:ascii="宋体" w:hAnsi="宋体"/>
                <w:kern w:val="0"/>
                <w:szCs w:val="21"/>
              </w:rPr>
            </w:pPr>
            <w:r>
              <w:rPr>
                <w:rFonts w:ascii="宋体" w:hAnsi="宋体"/>
                <w:kern w:val="0"/>
                <w:szCs w:val="21"/>
              </w:rPr>
              <w:t>20020</w:t>
            </w:r>
          </w:p>
        </w:tc>
        <w:tc>
          <w:tcPr>
            <w:tcW w:w="967" w:type="pct"/>
            <w:shd w:val="clear" w:color="auto" w:fill="auto"/>
            <w:noWrap/>
            <w:vAlign w:val="center"/>
          </w:tcPr>
          <w:p w14:paraId="698226C6">
            <w:pPr>
              <w:pStyle w:val="23"/>
              <w:jc w:val="center"/>
              <w:rPr>
                <w:rFonts w:ascii="宋体" w:hAnsi="宋体"/>
                <w:kern w:val="0"/>
                <w:szCs w:val="21"/>
              </w:rPr>
            </w:pPr>
            <w:r>
              <w:rPr>
                <w:rFonts w:ascii="宋体" w:hAnsi="宋体"/>
                <w:kern w:val="0"/>
                <w:szCs w:val="21"/>
              </w:rPr>
              <w:t>2.8</w:t>
            </w:r>
          </w:p>
        </w:tc>
      </w:tr>
      <w:tr w14:paraId="64B470B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099" w:type="pct"/>
            <w:shd w:val="clear" w:color="auto" w:fill="auto"/>
            <w:noWrap/>
            <w:vAlign w:val="center"/>
          </w:tcPr>
          <w:p w14:paraId="3BFE2036">
            <w:pPr>
              <w:pStyle w:val="23"/>
              <w:ind w:firstLine="840" w:firstLineChars="400"/>
              <w:rPr>
                <w:rFonts w:ascii="宋体" w:hAnsi="宋体"/>
                <w:kern w:val="0"/>
                <w:szCs w:val="21"/>
              </w:rPr>
            </w:pPr>
            <w:r>
              <w:rPr>
                <w:rFonts w:ascii="宋体" w:hAnsi="宋体"/>
                <w:kern w:val="0"/>
                <w:szCs w:val="21"/>
              </w:rPr>
              <w:t>其他服务业</w:t>
            </w:r>
          </w:p>
        </w:tc>
        <w:tc>
          <w:tcPr>
            <w:tcW w:w="967" w:type="pct"/>
            <w:shd w:val="clear" w:color="auto" w:fill="auto"/>
            <w:noWrap/>
            <w:vAlign w:val="center"/>
          </w:tcPr>
          <w:p w14:paraId="3C1AA3C5">
            <w:pPr>
              <w:pStyle w:val="23"/>
              <w:jc w:val="center"/>
              <w:rPr>
                <w:rFonts w:ascii="宋体" w:hAnsi="宋体"/>
                <w:kern w:val="0"/>
                <w:szCs w:val="21"/>
              </w:rPr>
            </w:pPr>
            <w:r>
              <w:rPr>
                <w:rFonts w:ascii="宋体" w:hAnsi="宋体"/>
                <w:kern w:val="0"/>
                <w:szCs w:val="21"/>
              </w:rPr>
              <w:t>185665</w:t>
            </w:r>
          </w:p>
        </w:tc>
        <w:tc>
          <w:tcPr>
            <w:tcW w:w="967" w:type="pct"/>
            <w:shd w:val="clear" w:color="auto" w:fill="auto"/>
            <w:noWrap/>
            <w:vAlign w:val="center"/>
          </w:tcPr>
          <w:p w14:paraId="68A02EA7">
            <w:pPr>
              <w:pStyle w:val="23"/>
              <w:jc w:val="center"/>
              <w:rPr>
                <w:rFonts w:ascii="宋体" w:hAnsi="宋体"/>
                <w:kern w:val="0"/>
                <w:szCs w:val="21"/>
              </w:rPr>
            </w:pPr>
            <w:r>
              <w:rPr>
                <w:rFonts w:ascii="宋体" w:hAnsi="宋体"/>
                <w:kern w:val="0"/>
                <w:szCs w:val="21"/>
              </w:rPr>
              <w:t>188193</w:t>
            </w:r>
          </w:p>
        </w:tc>
        <w:tc>
          <w:tcPr>
            <w:tcW w:w="967" w:type="pct"/>
            <w:shd w:val="clear" w:color="auto" w:fill="auto"/>
            <w:noWrap/>
            <w:vAlign w:val="center"/>
          </w:tcPr>
          <w:p w14:paraId="08DE8A97">
            <w:pPr>
              <w:pStyle w:val="23"/>
              <w:jc w:val="center"/>
              <w:rPr>
                <w:rFonts w:ascii="宋体" w:hAnsi="宋体"/>
                <w:kern w:val="0"/>
                <w:szCs w:val="21"/>
              </w:rPr>
            </w:pPr>
            <w:r>
              <w:rPr>
                <w:rFonts w:ascii="宋体" w:hAnsi="宋体"/>
                <w:kern w:val="0"/>
                <w:szCs w:val="21"/>
              </w:rPr>
              <w:t>29.2</w:t>
            </w:r>
          </w:p>
        </w:tc>
      </w:tr>
    </w:tbl>
    <w:p w14:paraId="7715ACB0">
      <w:pPr>
        <w:ind w:firstLine="0" w:firstLineChars="0"/>
        <w:jc w:val="center"/>
        <w:rPr>
          <w:rFonts w:ascii="宋体" w:hAnsi="宋体"/>
          <w:b/>
          <w:szCs w:val="21"/>
        </w:rPr>
      </w:pPr>
      <w:r>
        <w:rPr>
          <w:rFonts w:hint="eastAsia" w:ascii="宋体" w:hAnsi="宋体"/>
          <w:b/>
          <w:szCs w:val="21"/>
        </w:rPr>
        <w:t>表44 农业总产值、增加值</w:t>
      </w:r>
    </w:p>
    <w:tbl>
      <w:tblPr>
        <w:tblStyle w:val="14"/>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353"/>
        <w:gridCol w:w="1721"/>
        <w:gridCol w:w="2169"/>
        <w:gridCol w:w="1719"/>
      </w:tblGrid>
      <w:tr w14:paraId="05D8E0B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241" w:type="pct"/>
            <w:shd w:val="clear" w:color="auto" w:fill="auto"/>
            <w:noWrap/>
            <w:vAlign w:val="center"/>
          </w:tcPr>
          <w:p w14:paraId="76227C72">
            <w:pPr>
              <w:pStyle w:val="23"/>
              <w:jc w:val="center"/>
              <w:rPr>
                <w:rFonts w:ascii="宋体" w:hAnsi="宋体"/>
                <w:b/>
                <w:kern w:val="0"/>
                <w:szCs w:val="21"/>
              </w:rPr>
            </w:pPr>
            <w:r>
              <w:rPr>
                <w:rFonts w:ascii="宋体" w:hAnsi="宋体"/>
                <w:b/>
                <w:kern w:val="0"/>
                <w:szCs w:val="21"/>
              </w:rPr>
              <w:t>指标名称</w:t>
            </w:r>
          </w:p>
        </w:tc>
        <w:tc>
          <w:tcPr>
            <w:tcW w:w="920" w:type="pct"/>
            <w:shd w:val="clear" w:color="auto" w:fill="auto"/>
            <w:noWrap/>
            <w:vAlign w:val="center"/>
          </w:tcPr>
          <w:p w14:paraId="0C240498">
            <w:pPr>
              <w:pStyle w:val="23"/>
              <w:jc w:val="center"/>
              <w:rPr>
                <w:rFonts w:ascii="宋体" w:hAnsi="宋体"/>
                <w:b/>
                <w:kern w:val="0"/>
                <w:szCs w:val="21"/>
              </w:rPr>
            </w:pPr>
            <w:r>
              <w:rPr>
                <w:rFonts w:ascii="宋体" w:hAnsi="宋体"/>
                <w:b/>
                <w:kern w:val="0"/>
                <w:szCs w:val="21"/>
              </w:rPr>
              <w:t>当年价(万元)</w:t>
            </w:r>
          </w:p>
        </w:tc>
        <w:tc>
          <w:tcPr>
            <w:tcW w:w="920" w:type="pct"/>
            <w:shd w:val="clear" w:color="auto" w:fill="auto"/>
            <w:noWrap/>
            <w:vAlign w:val="center"/>
          </w:tcPr>
          <w:p w14:paraId="04C11D41">
            <w:pPr>
              <w:pStyle w:val="23"/>
              <w:jc w:val="center"/>
              <w:rPr>
                <w:rFonts w:ascii="宋体" w:hAnsi="宋体"/>
                <w:b/>
                <w:kern w:val="0"/>
                <w:szCs w:val="21"/>
              </w:rPr>
            </w:pPr>
            <w:r>
              <w:rPr>
                <w:rFonts w:ascii="宋体" w:hAnsi="宋体"/>
                <w:b/>
                <w:kern w:val="0"/>
                <w:szCs w:val="21"/>
              </w:rPr>
              <w:t>2010年不变价(万元)</w:t>
            </w:r>
          </w:p>
        </w:tc>
        <w:tc>
          <w:tcPr>
            <w:tcW w:w="920" w:type="pct"/>
            <w:shd w:val="clear" w:color="auto" w:fill="auto"/>
            <w:noWrap/>
            <w:vAlign w:val="center"/>
          </w:tcPr>
          <w:p w14:paraId="3DB39734">
            <w:pPr>
              <w:pStyle w:val="23"/>
              <w:jc w:val="center"/>
              <w:rPr>
                <w:rFonts w:ascii="宋体" w:hAnsi="宋体"/>
                <w:b/>
                <w:kern w:val="0"/>
                <w:szCs w:val="21"/>
              </w:rPr>
            </w:pPr>
            <w:r>
              <w:rPr>
                <w:rFonts w:ascii="宋体" w:hAnsi="宋体"/>
                <w:b/>
                <w:kern w:val="0"/>
                <w:szCs w:val="21"/>
              </w:rPr>
              <w:t>比上年±%</w:t>
            </w:r>
          </w:p>
        </w:tc>
      </w:tr>
      <w:tr w14:paraId="4FB1F09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241" w:type="pct"/>
            <w:shd w:val="clear" w:color="auto" w:fill="auto"/>
            <w:noWrap/>
            <w:vAlign w:val="bottom"/>
          </w:tcPr>
          <w:p w14:paraId="04EAA86E">
            <w:pPr>
              <w:pStyle w:val="23"/>
              <w:rPr>
                <w:rFonts w:ascii="宋体" w:hAnsi="宋体"/>
                <w:kern w:val="0"/>
                <w:szCs w:val="21"/>
              </w:rPr>
            </w:pPr>
            <w:r>
              <w:rPr>
                <w:rFonts w:ascii="宋体" w:hAnsi="宋体"/>
                <w:kern w:val="0"/>
                <w:szCs w:val="21"/>
              </w:rPr>
              <w:t>一、农业总产值</w:t>
            </w:r>
          </w:p>
        </w:tc>
        <w:tc>
          <w:tcPr>
            <w:tcW w:w="920" w:type="pct"/>
            <w:shd w:val="clear" w:color="auto" w:fill="auto"/>
            <w:noWrap/>
            <w:vAlign w:val="center"/>
          </w:tcPr>
          <w:p w14:paraId="1C80B634">
            <w:pPr>
              <w:pStyle w:val="23"/>
              <w:jc w:val="center"/>
              <w:rPr>
                <w:rFonts w:ascii="宋体" w:hAnsi="宋体"/>
                <w:kern w:val="0"/>
                <w:szCs w:val="21"/>
              </w:rPr>
            </w:pPr>
            <w:r>
              <w:rPr>
                <w:rFonts w:ascii="宋体" w:hAnsi="宋体"/>
                <w:kern w:val="0"/>
                <w:szCs w:val="21"/>
              </w:rPr>
              <w:t>326003</w:t>
            </w:r>
          </w:p>
        </w:tc>
        <w:tc>
          <w:tcPr>
            <w:tcW w:w="920" w:type="pct"/>
            <w:shd w:val="clear" w:color="auto" w:fill="auto"/>
            <w:noWrap/>
            <w:vAlign w:val="center"/>
          </w:tcPr>
          <w:p w14:paraId="1AEA4EC4">
            <w:pPr>
              <w:pStyle w:val="23"/>
              <w:jc w:val="center"/>
              <w:rPr>
                <w:rFonts w:ascii="宋体" w:hAnsi="宋体"/>
                <w:kern w:val="0"/>
                <w:szCs w:val="21"/>
              </w:rPr>
            </w:pPr>
            <w:r>
              <w:rPr>
                <w:rFonts w:ascii="宋体" w:hAnsi="宋体"/>
                <w:kern w:val="0"/>
                <w:szCs w:val="21"/>
              </w:rPr>
              <w:t>283838</w:t>
            </w:r>
          </w:p>
        </w:tc>
        <w:tc>
          <w:tcPr>
            <w:tcW w:w="920" w:type="pct"/>
            <w:shd w:val="clear" w:color="auto" w:fill="auto"/>
            <w:noWrap/>
            <w:vAlign w:val="center"/>
          </w:tcPr>
          <w:p w14:paraId="125D90CD">
            <w:pPr>
              <w:pStyle w:val="23"/>
              <w:jc w:val="center"/>
              <w:rPr>
                <w:rFonts w:ascii="宋体" w:hAnsi="宋体"/>
                <w:kern w:val="0"/>
                <w:szCs w:val="21"/>
              </w:rPr>
            </w:pPr>
            <w:r>
              <w:rPr>
                <w:rFonts w:ascii="宋体" w:hAnsi="宋体"/>
                <w:kern w:val="0"/>
                <w:szCs w:val="21"/>
              </w:rPr>
              <w:t>4.1</w:t>
            </w:r>
          </w:p>
        </w:tc>
      </w:tr>
      <w:tr w14:paraId="68B4587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241" w:type="pct"/>
            <w:shd w:val="clear" w:color="auto" w:fill="auto"/>
            <w:noWrap/>
            <w:vAlign w:val="bottom"/>
          </w:tcPr>
          <w:p w14:paraId="4634F6D7">
            <w:pPr>
              <w:pStyle w:val="23"/>
              <w:ind w:firstLine="420" w:firstLineChars="200"/>
              <w:rPr>
                <w:rFonts w:ascii="宋体" w:hAnsi="宋体"/>
                <w:kern w:val="0"/>
                <w:szCs w:val="21"/>
              </w:rPr>
            </w:pPr>
            <w:r>
              <w:rPr>
                <w:rFonts w:ascii="宋体" w:hAnsi="宋体"/>
                <w:kern w:val="0"/>
                <w:szCs w:val="21"/>
              </w:rPr>
              <w:t>1、种植业</w:t>
            </w:r>
          </w:p>
        </w:tc>
        <w:tc>
          <w:tcPr>
            <w:tcW w:w="920" w:type="pct"/>
            <w:shd w:val="clear" w:color="auto" w:fill="auto"/>
            <w:noWrap/>
            <w:vAlign w:val="center"/>
          </w:tcPr>
          <w:p w14:paraId="14A8844C">
            <w:pPr>
              <w:pStyle w:val="23"/>
              <w:jc w:val="center"/>
              <w:rPr>
                <w:rFonts w:ascii="宋体" w:hAnsi="宋体"/>
                <w:kern w:val="0"/>
                <w:szCs w:val="21"/>
              </w:rPr>
            </w:pPr>
            <w:r>
              <w:rPr>
                <w:rFonts w:ascii="宋体" w:hAnsi="宋体"/>
                <w:kern w:val="0"/>
                <w:szCs w:val="21"/>
              </w:rPr>
              <w:t>201832</w:t>
            </w:r>
          </w:p>
        </w:tc>
        <w:tc>
          <w:tcPr>
            <w:tcW w:w="920" w:type="pct"/>
            <w:shd w:val="clear" w:color="auto" w:fill="auto"/>
            <w:noWrap/>
            <w:vAlign w:val="center"/>
          </w:tcPr>
          <w:p w14:paraId="56621E2D">
            <w:pPr>
              <w:pStyle w:val="23"/>
              <w:jc w:val="center"/>
              <w:rPr>
                <w:rFonts w:ascii="宋体" w:hAnsi="宋体"/>
                <w:kern w:val="0"/>
                <w:szCs w:val="21"/>
              </w:rPr>
            </w:pPr>
            <w:r>
              <w:rPr>
                <w:rFonts w:ascii="宋体" w:hAnsi="宋体"/>
                <w:kern w:val="0"/>
                <w:szCs w:val="21"/>
              </w:rPr>
              <w:t>177634</w:t>
            </w:r>
          </w:p>
        </w:tc>
        <w:tc>
          <w:tcPr>
            <w:tcW w:w="920" w:type="pct"/>
            <w:shd w:val="clear" w:color="auto" w:fill="auto"/>
            <w:noWrap/>
            <w:vAlign w:val="center"/>
          </w:tcPr>
          <w:p w14:paraId="505F044E">
            <w:pPr>
              <w:pStyle w:val="23"/>
              <w:jc w:val="center"/>
              <w:rPr>
                <w:rFonts w:ascii="宋体" w:hAnsi="宋体"/>
                <w:kern w:val="0"/>
                <w:szCs w:val="21"/>
              </w:rPr>
            </w:pPr>
            <w:r>
              <w:rPr>
                <w:rFonts w:ascii="宋体" w:hAnsi="宋体"/>
                <w:kern w:val="0"/>
                <w:szCs w:val="21"/>
              </w:rPr>
              <w:t>5.9</w:t>
            </w:r>
          </w:p>
        </w:tc>
      </w:tr>
      <w:tr w14:paraId="21B226C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241" w:type="pct"/>
            <w:shd w:val="clear" w:color="auto" w:fill="auto"/>
            <w:noWrap/>
            <w:vAlign w:val="bottom"/>
          </w:tcPr>
          <w:p w14:paraId="5BF92AB3">
            <w:pPr>
              <w:pStyle w:val="23"/>
              <w:ind w:firstLine="420" w:firstLineChars="200"/>
              <w:rPr>
                <w:rFonts w:ascii="宋体" w:hAnsi="宋体"/>
                <w:kern w:val="0"/>
                <w:szCs w:val="21"/>
              </w:rPr>
            </w:pPr>
            <w:r>
              <w:rPr>
                <w:rFonts w:ascii="宋体" w:hAnsi="宋体"/>
                <w:kern w:val="0"/>
                <w:szCs w:val="21"/>
              </w:rPr>
              <w:t>2、林业</w:t>
            </w:r>
          </w:p>
        </w:tc>
        <w:tc>
          <w:tcPr>
            <w:tcW w:w="920" w:type="pct"/>
            <w:shd w:val="clear" w:color="auto" w:fill="auto"/>
            <w:noWrap/>
            <w:vAlign w:val="center"/>
          </w:tcPr>
          <w:p w14:paraId="493B52C7">
            <w:pPr>
              <w:pStyle w:val="23"/>
              <w:jc w:val="center"/>
              <w:rPr>
                <w:rFonts w:ascii="宋体" w:hAnsi="宋体"/>
                <w:kern w:val="0"/>
                <w:szCs w:val="21"/>
              </w:rPr>
            </w:pPr>
            <w:r>
              <w:rPr>
                <w:rFonts w:ascii="宋体" w:hAnsi="宋体"/>
                <w:kern w:val="0"/>
                <w:szCs w:val="21"/>
              </w:rPr>
              <w:t>21833</w:t>
            </w:r>
          </w:p>
        </w:tc>
        <w:tc>
          <w:tcPr>
            <w:tcW w:w="920" w:type="pct"/>
            <w:shd w:val="clear" w:color="auto" w:fill="auto"/>
            <w:noWrap/>
            <w:vAlign w:val="center"/>
          </w:tcPr>
          <w:p w14:paraId="7B90D4E4">
            <w:pPr>
              <w:pStyle w:val="23"/>
              <w:jc w:val="center"/>
              <w:rPr>
                <w:rFonts w:ascii="宋体" w:hAnsi="宋体"/>
                <w:kern w:val="0"/>
                <w:szCs w:val="21"/>
              </w:rPr>
            </w:pPr>
            <w:r>
              <w:rPr>
                <w:rFonts w:ascii="宋体" w:hAnsi="宋体"/>
                <w:kern w:val="0"/>
                <w:szCs w:val="21"/>
              </w:rPr>
              <w:t>21928</w:t>
            </w:r>
          </w:p>
        </w:tc>
        <w:tc>
          <w:tcPr>
            <w:tcW w:w="920" w:type="pct"/>
            <w:shd w:val="clear" w:color="auto" w:fill="auto"/>
            <w:noWrap/>
            <w:vAlign w:val="center"/>
          </w:tcPr>
          <w:p w14:paraId="338DCA2B">
            <w:pPr>
              <w:pStyle w:val="23"/>
              <w:jc w:val="center"/>
              <w:rPr>
                <w:rFonts w:ascii="宋体" w:hAnsi="宋体"/>
                <w:kern w:val="0"/>
                <w:szCs w:val="21"/>
              </w:rPr>
            </w:pPr>
            <w:r>
              <w:rPr>
                <w:rFonts w:ascii="宋体" w:hAnsi="宋体"/>
                <w:kern w:val="0"/>
                <w:szCs w:val="21"/>
              </w:rPr>
              <w:t>14.2</w:t>
            </w:r>
          </w:p>
        </w:tc>
      </w:tr>
      <w:tr w14:paraId="786125E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241" w:type="pct"/>
            <w:shd w:val="clear" w:color="auto" w:fill="auto"/>
            <w:noWrap/>
            <w:vAlign w:val="bottom"/>
          </w:tcPr>
          <w:p w14:paraId="6C8B7B3C">
            <w:pPr>
              <w:pStyle w:val="23"/>
              <w:ind w:firstLine="420" w:firstLineChars="200"/>
              <w:rPr>
                <w:rFonts w:ascii="宋体" w:hAnsi="宋体"/>
                <w:kern w:val="0"/>
                <w:szCs w:val="21"/>
              </w:rPr>
            </w:pPr>
            <w:r>
              <w:rPr>
                <w:rFonts w:ascii="宋体" w:hAnsi="宋体"/>
                <w:kern w:val="0"/>
                <w:szCs w:val="21"/>
              </w:rPr>
              <w:t>3、牧业</w:t>
            </w:r>
          </w:p>
        </w:tc>
        <w:tc>
          <w:tcPr>
            <w:tcW w:w="920" w:type="pct"/>
            <w:shd w:val="clear" w:color="auto" w:fill="auto"/>
            <w:noWrap/>
            <w:vAlign w:val="center"/>
          </w:tcPr>
          <w:p w14:paraId="468B4A5E">
            <w:pPr>
              <w:pStyle w:val="23"/>
              <w:jc w:val="center"/>
              <w:rPr>
                <w:rFonts w:ascii="宋体" w:hAnsi="宋体"/>
                <w:kern w:val="0"/>
                <w:szCs w:val="21"/>
              </w:rPr>
            </w:pPr>
            <w:r>
              <w:rPr>
                <w:rFonts w:ascii="宋体" w:hAnsi="宋体"/>
                <w:kern w:val="0"/>
                <w:szCs w:val="21"/>
              </w:rPr>
              <w:t>85928</w:t>
            </w:r>
          </w:p>
        </w:tc>
        <w:tc>
          <w:tcPr>
            <w:tcW w:w="920" w:type="pct"/>
            <w:shd w:val="clear" w:color="auto" w:fill="auto"/>
            <w:noWrap/>
            <w:vAlign w:val="center"/>
          </w:tcPr>
          <w:p w14:paraId="1C537598">
            <w:pPr>
              <w:pStyle w:val="23"/>
              <w:jc w:val="center"/>
              <w:rPr>
                <w:rFonts w:ascii="宋体" w:hAnsi="宋体"/>
                <w:kern w:val="0"/>
                <w:szCs w:val="21"/>
              </w:rPr>
            </w:pPr>
            <w:r>
              <w:rPr>
                <w:rFonts w:ascii="宋体" w:hAnsi="宋体"/>
                <w:kern w:val="0"/>
                <w:szCs w:val="21"/>
              </w:rPr>
              <w:t>68408</w:t>
            </w:r>
          </w:p>
        </w:tc>
        <w:tc>
          <w:tcPr>
            <w:tcW w:w="920" w:type="pct"/>
            <w:shd w:val="clear" w:color="auto" w:fill="auto"/>
            <w:noWrap/>
            <w:vAlign w:val="center"/>
          </w:tcPr>
          <w:p w14:paraId="2D9832DD">
            <w:pPr>
              <w:pStyle w:val="23"/>
              <w:jc w:val="center"/>
              <w:rPr>
                <w:rFonts w:ascii="宋体" w:hAnsi="宋体"/>
                <w:kern w:val="0"/>
                <w:szCs w:val="21"/>
              </w:rPr>
            </w:pPr>
            <w:r>
              <w:rPr>
                <w:rFonts w:ascii="宋体" w:hAnsi="宋体"/>
                <w:kern w:val="0"/>
                <w:szCs w:val="21"/>
              </w:rPr>
              <w:t>-2</w:t>
            </w:r>
          </w:p>
        </w:tc>
      </w:tr>
      <w:tr w14:paraId="154F363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241" w:type="pct"/>
            <w:shd w:val="clear" w:color="auto" w:fill="auto"/>
            <w:noWrap/>
            <w:vAlign w:val="bottom"/>
          </w:tcPr>
          <w:p w14:paraId="2A526032">
            <w:pPr>
              <w:pStyle w:val="23"/>
              <w:ind w:firstLine="420" w:firstLineChars="200"/>
              <w:rPr>
                <w:rFonts w:ascii="宋体" w:hAnsi="宋体"/>
                <w:kern w:val="0"/>
                <w:szCs w:val="21"/>
              </w:rPr>
            </w:pPr>
            <w:r>
              <w:rPr>
                <w:rFonts w:ascii="宋体" w:hAnsi="宋体"/>
                <w:kern w:val="0"/>
                <w:szCs w:val="21"/>
              </w:rPr>
              <w:t>4、渔业</w:t>
            </w:r>
          </w:p>
        </w:tc>
        <w:tc>
          <w:tcPr>
            <w:tcW w:w="920" w:type="pct"/>
            <w:shd w:val="clear" w:color="auto" w:fill="auto"/>
            <w:noWrap/>
            <w:vAlign w:val="center"/>
          </w:tcPr>
          <w:p w14:paraId="71664349">
            <w:pPr>
              <w:pStyle w:val="23"/>
              <w:jc w:val="center"/>
              <w:rPr>
                <w:rFonts w:ascii="宋体" w:hAnsi="宋体"/>
                <w:kern w:val="0"/>
                <w:szCs w:val="21"/>
              </w:rPr>
            </w:pPr>
            <w:r>
              <w:rPr>
                <w:rFonts w:ascii="宋体" w:hAnsi="宋体"/>
                <w:kern w:val="0"/>
                <w:szCs w:val="21"/>
              </w:rPr>
              <w:t>11452</w:t>
            </w:r>
          </w:p>
        </w:tc>
        <w:tc>
          <w:tcPr>
            <w:tcW w:w="920" w:type="pct"/>
            <w:shd w:val="clear" w:color="auto" w:fill="auto"/>
            <w:noWrap/>
            <w:vAlign w:val="center"/>
          </w:tcPr>
          <w:p w14:paraId="51648096">
            <w:pPr>
              <w:pStyle w:val="23"/>
              <w:jc w:val="center"/>
              <w:rPr>
                <w:rFonts w:ascii="宋体" w:hAnsi="宋体"/>
                <w:kern w:val="0"/>
                <w:szCs w:val="21"/>
              </w:rPr>
            </w:pPr>
            <w:r>
              <w:rPr>
                <w:rFonts w:ascii="宋体" w:hAnsi="宋体"/>
                <w:kern w:val="0"/>
                <w:szCs w:val="21"/>
              </w:rPr>
              <w:t>11165</w:t>
            </w:r>
          </w:p>
        </w:tc>
        <w:tc>
          <w:tcPr>
            <w:tcW w:w="920" w:type="pct"/>
            <w:shd w:val="clear" w:color="auto" w:fill="auto"/>
            <w:noWrap/>
            <w:vAlign w:val="center"/>
          </w:tcPr>
          <w:p w14:paraId="6E4A99CE">
            <w:pPr>
              <w:pStyle w:val="23"/>
              <w:jc w:val="center"/>
              <w:rPr>
                <w:rFonts w:ascii="宋体" w:hAnsi="宋体"/>
                <w:kern w:val="0"/>
                <w:szCs w:val="21"/>
              </w:rPr>
            </w:pPr>
            <w:r>
              <w:rPr>
                <w:rFonts w:ascii="宋体" w:hAnsi="宋体"/>
                <w:kern w:val="0"/>
                <w:szCs w:val="21"/>
              </w:rPr>
              <w:t>5.6</w:t>
            </w:r>
          </w:p>
        </w:tc>
      </w:tr>
      <w:tr w14:paraId="5379E28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241" w:type="pct"/>
            <w:shd w:val="clear" w:color="auto" w:fill="auto"/>
            <w:noWrap/>
            <w:vAlign w:val="bottom"/>
          </w:tcPr>
          <w:p w14:paraId="478F2F0D">
            <w:pPr>
              <w:pStyle w:val="23"/>
              <w:ind w:firstLine="420" w:firstLineChars="200"/>
              <w:rPr>
                <w:rFonts w:ascii="宋体" w:hAnsi="宋体"/>
                <w:kern w:val="0"/>
                <w:szCs w:val="21"/>
              </w:rPr>
            </w:pPr>
            <w:r>
              <w:rPr>
                <w:rFonts w:ascii="宋体" w:hAnsi="宋体"/>
                <w:kern w:val="0"/>
                <w:szCs w:val="21"/>
              </w:rPr>
              <w:t>5、农、林、牧、渔服务业</w:t>
            </w:r>
          </w:p>
        </w:tc>
        <w:tc>
          <w:tcPr>
            <w:tcW w:w="920" w:type="pct"/>
            <w:shd w:val="clear" w:color="auto" w:fill="auto"/>
            <w:noWrap/>
            <w:vAlign w:val="center"/>
          </w:tcPr>
          <w:p w14:paraId="3F43E7C4">
            <w:pPr>
              <w:pStyle w:val="23"/>
              <w:jc w:val="center"/>
              <w:rPr>
                <w:rFonts w:ascii="宋体" w:hAnsi="宋体"/>
                <w:kern w:val="0"/>
                <w:szCs w:val="21"/>
              </w:rPr>
            </w:pPr>
            <w:r>
              <w:rPr>
                <w:rFonts w:ascii="宋体" w:hAnsi="宋体"/>
                <w:kern w:val="0"/>
                <w:szCs w:val="21"/>
              </w:rPr>
              <w:t>4958</w:t>
            </w:r>
          </w:p>
        </w:tc>
        <w:tc>
          <w:tcPr>
            <w:tcW w:w="920" w:type="pct"/>
            <w:shd w:val="clear" w:color="auto" w:fill="auto"/>
            <w:noWrap/>
            <w:vAlign w:val="center"/>
          </w:tcPr>
          <w:p w14:paraId="4B5FA661">
            <w:pPr>
              <w:pStyle w:val="23"/>
              <w:jc w:val="center"/>
              <w:rPr>
                <w:rFonts w:ascii="宋体" w:hAnsi="宋体"/>
                <w:kern w:val="0"/>
                <w:szCs w:val="21"/>
              </w:rPr>
            </w:pPr>
            <w:r>
              <w:rPr>
                <w:rFonts w:ascii="宋体" w:hAnsi="宋体"/>
                <w:kern w:val="0"/>
                <w:szCs w:val="21"/>
              </w:rPr>
              <w:t>4704</w:t>
            </w:r>
          </w:p>
        </w:tc>
        <w:tc>
          <w:tcPr>
            <w:tcW w:w="920" w:type="pct"/>
            <w:shd w:val="clear" w:color="auto" w:fill="auto"/>
            <w:noWrap/>
            <w:vAlign w:val="center"/>
          </w:tcPr>
          <w:p w14:paraId="3F872182">
            <w:pPr>
              <w:pStyle w:val="23"/>
              <w:jc w:val="center"/>
              <w:rPr>
                <w:rFonts w:ascii="宋体" w:hAnsi="宋体"/>
                <w:kern w:val="0"/>
                <w:szCs w:val="21"/>
              </w:rPr>
            </w:pPr>
            <w:r>
              <w:rPr>
                <w:rFonts w:ascii="宋体" w:hAnsi="宋体"/>
                <w:kern w:val="0"/>
                <w:szCs w:val="21"/>
              </w:rPr>
              <w:t>10.5</w:t>
            </w:r>
          </w:p>
        </w:tc>
      </w:tr>
      <w:tr w14:paraId="7513A7C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241" w:type="pct"/>
            <w:shd w:val="clear" w:color="auto" w:fill="auto"/>
            <w:noWrap/>
            <w:vAlign w:val="bottom"/>
          </w:tcPr>
          <w:p w14:paraId="2F4F6F39">
            <w:pPr>
              <w:pStyle w:val="23"/>
              <w:rPr>
                <w:rFonts w:ascii="宋体" w:hAnsi="宋体"/>
                <w:kern w:val="0"/>
                <w:szCs w:val="21"/>
              </w:rPr>
            </w:pPr>
            <w:r>
              <w:rPr>
                <w:rFonts w:ascii="宋体" w:hAnsi="宋体"/>
                <w:kern w:val="0"/>
                <w:szCs w:val="21"/>
              </w:rPr>
              <w:t>二、农业增加值</w:t>
            </w:r>
          </w:p>
        </w:tc>
        <w:tc>
          <w:tcPr>
            <w:tcW w:w="920" w:type="pct"/>
            <w:shd w:val="clear" w:color="auto" w:fill="auto"/>
            <w:noWrap/>
            <w:vAlign w:val="center"/>
          </w:tcPr>
          <w:p w14:paraId="547E9818">
            <w:pPr>
              <w:pStyle w:val="23"/>
              <w:jc w:val="center"/>
              <w:rPr>
                <w:rFonts w:ascii="宋体" w:hAnsi="宋体"/>
                <w:kern w:val="0"/>
                <w:szCs w:val="21"/>
              </w:rPr>
            </w:pPr>
            <w:r>
              <w:rPr>
                <w:rFonts w:ascii="宋体" w:hAnsi="宋体"/>
                <w:kern w:val="0"/>
                <w:szCs w:val="21"/>
              </w:rPr>
              <w:t>195780</w:t>
            </w:r>
          </w:p>
        </w:tc>
        <w:tc>
          <w:tcPr>
            <w:tcW w:w="920" w:type="pct"/>
            <w:shd w:val="clear" w:color="auto" w:fill="auto"/>
            <w:noWrap/>
            <w:vAlign w:val="center"/>
          </w:tcPr>
          <w:p w14:paraId="1F0D6E17">
            <w:pPr>
              <w:pStyle w:val="23"/>
              <w:jc w:val="center"/>
              <w:rPr>
                <w:rFonts w:ascii="宋体" w:hAnsi="宋体"/>
                <w:kern w:val="0"/>
                <w:szCs w:val="21"/>
              </w:rPr>
            </w:pPr>
            <w:r>
              <w:rPr>
                <w:rFonts w:ascii="宋体" w:hAnsi="宋体"/>
                <w:kern w:val="0"/>
                <w:szCs w:val="21"/>
              </w:rPr>
              <w:t>171195</w:t>
            </w:r>
          </w:p>
        </w:tc>
        <w:tc>
          <w:tcPr>
            <w:tcW w:w="920" w:type="pct"/>
            <w:shd w:val="clear" w:color="auto" w:fill="auto"/>
            <w:noWrap/>
            <w:vAlign w:val="center"/>
          </w:tcPr>
          <w:p w14:paraId="45F3D568">
            <w:pPr>
              <w:pStyle w:val="23"/>
              <w:jc w:val="center"/>
              <w:rPr>
                <w:rFonts w:ascii="宋体" w:hAnsi="宋体"/>
                <w:kern w:val="0"/>
                <w:szCs w:val="21"/>
              </w:rPr>
            </w:pPr>
            <w:r>
              <w:rPr>
                <w:rFonts w:ascii="宋体" w:hAnsi="宋体"/>
                <w:kern w:val="0"/>
                <w:szCs w:val="21"/>
              </w:rPr>
              <w:t>4.6</w:t>
            </w:r>
          </w:p>
        </w:tc>
      </w:tr>
      <w:tr w14:paraId="3C3C40F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241" w:type="pct"/>
            <w:shd w:val="clear" w:color="auto" w:fill="auto"/>
            <w:noWrap/>
            <w:vAlign w:val="bottom"/>
          </w:tcPr>
          <w:p w14:paraId="6C7AC517">
            <w:pPr>
              <w:pStyle w:val="23"/>
              <w:ind w:firstLine="420" w:firstLineChars="200"/>
              <w:rPr>
                <w:rFonts w:ascii="宋体" w:hAnsi="宋体"/>
                <w:kern w:val="0"/>
                <w:szCs w:val="21"/>
              </w:rPr>
            </w:pPr>
            <w:r>
              <w:rPr>
                <w:rFonts w:ascii="宋体" w:hAnsi="宋体"/>
                <w:kern w:val="0"/>
                <w:szCs w:val="21"/>
              </w:rPr>
              <w:t>1、农业</w:t>
            </w:r>
          </w:p>
        </w:tc>
        <w:tc>
          <w:tcPr>
            <w:tcW w:w="920" w:type="pct"/>
            <w:shd w:val="clear" w:color="auto" w:fill="auto"/>
            <w:noWrap/>
            <w:vAlign w:val="center"/>
          </w:tcPr>
          <w:p w14:paraId="69CF1CA8">
            <w:pPr>
              <w:pStyle w:val="23"/>
              <w:jc w:val="center"/>
              <w:rPr>
                <w:rFonts w:ascii="宋体" w:hAnsi="宋体"/>
                <w:kern w:val="0"/>
                <w:szCs w:val="21"/>
              </w:rPr>
            </w:pPr>
            <w:r>
              <w:rPr>
                <w:rFonts w:ascii="宋体" w:hAnsi="宋体"/>
                <w:kern w:val="0"/>
                <w:szCs w:val="21"/>
              </w:rPr>
              <w:t>138371</w:t>
            </w:r>
          </w:p>
        </w:tc>
        <w:tc>
          <w:tcPr>
            <w:tcW w:w="920" w:type="pct"/>
            <w:shd w:val="clear" w:color="auto" w:fill="auto"/>
            <w:noWrap/>
            <w:vAlign w:val="center"/>
          </w:tcPr>
          <w:p w14:paraId="2471F932">
            <w:pPr>
              <w:pStyle w:val="23"/>
              <w:jc w:val="center"/>
              <w:rPr>
                <w:rFonts w:ascii="宋体" w:hAnsi="宋体"/>
                <w:kern w:val="0"/>
                <w:szCs w:val="21"/>
              </w:rPr>
            </w:pPr>
            <w:r>
              <w:rPr>
                <w:rFonts w:ascii="宋体" w:hAnsi="宋体"/>
                <w:kern w:val="0"/>
                <w:szCs w:val="21"/>
              </w:rPr>
              <w:t>120990</w:t>
            </w:r>
          </w:p>
        </w:tc>
        <w:tc>
          <w:tcPr>
            <w:tcW w:w="920" w:type="pct"/>
            <w:shd w:val="clear" w:color="auto" w:fill="auto"/>
            <w:noWrap/>
            <w:vAlign w:val="center"/>
          </w:tcPr>
          <w:p w14:paraId="7CDFFA67">
            <w:pPr>
              <w:pStyle w:val="23"/>
              <w:jc w:val="center"/>
              <w:rPr>
                <w:rFonts w:ascii="宋体" w:hAnsi="宋体"/>
                <w:kern w:val="0"/>
                <w:szCs w:val="21"/>
              </w:rPr>
            </w:pPr>
            <w:r>
              <w:rPr>
                <w:rFonts w:ascii="宋体" w:hAnsi="宋体"/>
                <w:kern w:val="0"/>
                <w:szCs w:val="21"/>
              </w:rPr>
              <w:t>4.9</w:t>
            </w:r>
          </w:p>
        </w:tc>
      </w:tr>
      <w:tr w14:paraId="054D200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241" w:type="pct"/>
            <w:shd w:val="clear" w:color="auto" w:fill="auto"/>
            <w:noWrap/>
            <w:vAlign w:val="bottom"/>
          </w:tcPr>
          <w:p w14:paraId="695587E2">
            <w:pPr>
              <w:pStyle w:val="23"/>
              <w:ind w:firstLine="420" w:firstLineChars="200"/>
              <w:rPr>
                <w:rFonts w:ascii="宋体" w:hAnsi="宋体"/>
                <w:kern w:val="0"/>
                <w:szCs w:val="21"/>
              </w:rPr>
            </w:pPr>
            <w:r>
              <w:rPr>
                <w:rFonts w:ascii="宋体" w:hAnsi="宋体"/>
                <w:kern w:val="0"/>
                <w:szCs w:val="21"/>
              </w:rPr>
              <w:t>2、林业</w:t>
            </w:r>
          </w:p>
        </w:tc>
        <w:tc>
          <w:tcPr>
            <w:tcW w:w="920" w:type="pct"/>
            <w:shd w:val="clear" w:color="auto" w:fill="auto"/>
            <w:noWrap/>
            <w:vAlign w:val="center"/>
          </w:tcPr>
          <w:p w14:paraId="49A82B30">
            <w:pPr>
              <w:pStyle w:val="23"/>
              <w:jc w:val="center"/>
              <w:rPr>
                <w:rFonts w:ascii="宋体" w:hAnsi="宋体"/>
                <w:kern w:val="0"/>
                <w:szCs w:val="21"/>
              </w:rPr>
            </w:pPr>
            <w:r>
              <w:rPr>
                <w:rFonts w:ascii="宋体" w:hAnsi="宋体"/>
                <w:kern w:val="0"/>
                <w:szCs w:val="21"/>
              </w:rPr>
              <w:t>14556</w:t>
            </w:r>
          </w:p>
        </w:tc>
        <w:tc>
          <w:tcPr>
            <w:tcW w:w="920" w:type="pct"/>
            <w:shd w:val="clear" w:color="auto" w:fill="auto"/>
            <w:noWrap/>
            <w:vAlign w:val="center"/>
          </w:tcPr>
          <w:p w14:paraId="16B20983">
            <w:pPr>
              <w:pStyle w:val="23"/>
              <w:jc w:val="center"/>
              <w:rPr>
                <w:rFonts w:ascii="宋体" w:hAnsi="宋体"/>
                <w:kern w:val="0"/>
                <w:szCs w:val="21"/>
              </w:rPr>
            </w:pPr>
            <w:r>
              <w:rPr>
                <w:rFonts w:ascii="宋体" w:hAnsi="宋体"/>
                <w:kern w:val="0"/>
                <w:szCs w:val="21"/>
              </w:rPr>
              <w:t>14276</w:t>
            </w:r>
          </w:p>
        </w:tc>
        <w:tc>
          <w:tcPr>
            <w:tcW w:w="920" w:type="pct"/>
            <w:shd w:val="clear" w:color="auto" w:fill="auto"/>
            <w:noWrap/>
            <w:vAlign w:val="center"/>
          </w:tcPr>
          <w:p w14:paraId="76257566">
            <w:pPr>
              <w:pStyle w:val="23"/>
              <w:jc w:val="center"/>
              <w:rPr>
                <w:rFonts w:ascii="宋体" w:hAnsi="宋体"/>
                <w:kern w:val="0"/>
                <w:szCs w:val="21"/>
              </w:rPr>
            </w:pPr>
            <w:r>
              <w:rPr>
                <w:rFonts w:ascii="宋体" w:hAnsi="宋体"/>
                <w:kern w:val="0"/>
                <w:szCs w:val="21"/>
              </w:rPr>
              <w:t>11.5</w:t>
            </w:r>
          </w:p>
        </w:tc>
      </w:tr>
      <w:tr w14:paraId="4E0D9D0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241" w:type="pct"/>
            <w:shd w:val="clear" w:color="auto" w:fill="auto"/>
            <w:noWrap/>
            <w:vAlign w:val="bottom"/>
          </w:tcPr>
          <w:p w14:paraId="7B4CBD47">
            <w:pPr>
              <w:pStyle w:val="23"/>
              <w:ind w:firstLine="420" w:firstLineChars="200"/>
              <w:rPr>
                <w:rFonts w:ascii="宋体" w:hAnsi="宋体"/>
                <w:kern w:val="0"/>
                <w:szCs w:val="21"/>
              </w:rPr>
            </w:pPr>
            <w:r>
              <w:rPr>
                <w:rFonts w:ascii="宋体" w:hAnsi="宋体"/>
                <w:kern w:val="0"/>
                <w:szCs w:val="21"/>
              </w:rPr>
              <w:t>3、牧业</w:t>
            </w:r>
          </w:p>
        </w:tc>
        <w:tc>
          <w:tcPr>
            <w:tcW w:w="920" w:type="pct"/>
            <w:shd w:val="clear" w:color="auto" w:fill="auto"/>
            <w:noWrap/>
            <w:vAlign w:val="center"/>
          </w:tcPr>
          <w:p w14:paraId="74916D75">
            <w:pPr>
              <w:pStyle w:val="23"/>
              <w:jc w:val="center"/>
              <w:rPr>
                <w:rFonts w:ascii="宋体" w:hAnsi="宋体"/>
                <w:kern w:val="0"/>
                <w:szCs w:val="21"/>
              </w:rPr>
            </w:pPr>
            <w:r>
              <w:rPr>
                <w:rFonts w:ascii="宋体" w:hAnsi="宋体"/>
                <w:kern w:val="0"/>
                <w:szCs w:val="21"/>
              </w:rPr>
              <w:t>34559</w:t>
            </w:r>
          </w:p>
        </w:tc>
        <w:tc>
          <w:tcPr>
            <w:tcW w:w="920" w:type="pct"/>
            <w:shd w:val="clear" w:color="auto" w:fill="auto"/>
            <w:noWrap/>
            <w:vAlign w:val="center"/>
          </w:tcPr>
          <w:p w14:paraId="7402F0F3">
            <w:pPr>
              <w:pStyle w:val="23"/>
              <w:jc w:val="center"/>
              <w:rPr>
                <w:rFonts w:ascii="宋体" w:hAnsi="宋体"/>
                <w:kern w:val="0"/>
                <w:szCs w:val="21"/>
              </w:rPr>
            </w:pPr>
            <w:r>
              <w:rPr>
                <w:rFonts w:ascii="宋体" w:hAnsi="宋体"/>
                <w:kern w:val="0"/>
                <w:szCs w:val="21"/>
              </w:rPr>
              <w:t>27909</w:t>
            </w:r>
          </w:p>
        </w:tc>
        <w:tc>
          <w:tcPr>
            <w:tcW w:w="920" w:type="pct"/>
            <w:shd w:val="clear" w:color="auto" w:fill="auto"/>
            <w:noWrap/>
            <w:vAlign w:val="center"/>
          </w:tcPr>
          <w:p w14:paraId="48B51703">
            <w:pPr>
              <w:pStyle w:val="23"/>
              <w:jc w:val="center"/>
              <w:rPr>
                <w:rFonts w:ascii="宋体" w:hAnsi="宋体"/>
                <w:kern w:val="0"/>
                <w:szCs w:val="21"/>
              </w:rPr>
            </w:pPr>
            <w:r>
              <w:rPr>
                <w:rFonts w:ascii="宋体" w:hAnsi="宋体"/>
                <w:kern w:val="0"/>
                <w:szCs w:val="21"/>
              </w:rPr>
              <w:t>-0.5</w:t>
            </w:r>
          </w:p>
        </w:tc>
      </w:tr>
      <w:tr w14:paraId="245C597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241" w:type="pct"/>
            <w:shd w:val="clear" w:color="auto" w:fill="auto"/>
            <w:noWrap/>
            <w:vAlign w:val="bottom"/>
          </w:tcPr>
          <w:p w14:paraId="2B7566B3">
            <w:pPr>
              <w:pStyle w:val="23"/>
              <w:ind w:firstLine="420" w:firstLineChars="200"/>
              <w:rPr>
                <w:rFonts w:ascii="宋体" w:hAnsi="宋体"/>
                <w:kern w:val="0"/>
                <w:szCs w:val="21"/>
              </w:rPr>
            </w:pPr>
            <w:r>
              <w:rPr>
                <w:rFonts w:ascii="宋体" w:hAnsi="宋体"/>
                <w:kern w:val="0"/>
                <w:szCs w:val="21"/>
              </w:rPr>
              <w:t>4、渔业</w:t>
            </w:r>
          </w:p>
        </w:tc>
        <w:tc>
          <w:tcPr>
            <w:tcW w:w="920" w:type="pct"/>
            <w:shd w:val="clear" w:color="auto" w:fill="auto"/>
            <w:noWrap/>
            <w:vAlign w:val="center"/>
          </w:tcPr>
          <w:p w14:paraId="33D8225A">
            <w:pPr>
              <w:pStyle w:val="23"/>
              <w:jc w:val="center"/>
              <w:rPr>
                <w:rFonts w:ascii="宋体" w:hAnsi="宋体"/>
                <w:kern w:val="0"/>
                <w:szCs w:val="21"/>
              </w:rPr>
            </w:pPr>
            <w:r>
              <w:rPr>
                <w:rFonts w:ascii="宋体" w:hAnsi="宋体"/>
                <w:kern w:val="0"/>
                <w:szCs w:val="21"/>
              </w:rPr>
              <w:t>6246</w:t>
            </w:r>
          </w:p>
        </w:tc>
        <w:tc>
          <w:tcPr>
            <w:tcW w:w="920" w:type="pct"/>
            <w:shd w:val="clear" w:color="auto" w:fill="auto"/>
            <w:noWrap/>
            <w:vAlign w:val="center"/>
          </w:tcPr>
          <w:p w14:paraId="093E22DD">
            <w:pPr>
              <w:pStyle w:val="23"/>
              <w:jc w:val="center"/>
              <w:rPr>
                <w:rFonts w:ascii="宋体" w:hAnsi="宋体"/>
                <w:kern w:val="0"/>
                <w:szCs w:val="21"/>
              </w:rPr>
            </w:pPr>
            <w:r>
              <w:rPr>
                <w:rFonts w:ascii="宋体" w:hAnsi="宋体"/>
                <w:kern w:val="0"/>
                <w:szCs w:val="21"/>
              </w:rPr>
              <w:t>6096</w:t>
            </w:r>
          </w:p>
        </w:tc>
        <w:tc>
          <w:tcPr>
            <w:tcW w:w="920" w:type="pct"/>
            <w:shd w:val="clear" w:color="auto" w:fill="auto"/>
            <w:noWrap/>
            <w:vAlign w:val="center"/>
          </w:tcPr>
          <w:p w14:paraId="1A78EB72">
            <w:pPr>
              <w:pStyle w:val="23"/>
              <w:jc w:val="center"/>
              <w:rPr>
                <w:rFonts w:ascii="宋体" w:hAnsi="宋体"/>
                <w:kern w:val="0"/>
                <w:szCs w:val="21"/>
              </w:rPr>
            </w:pPr>
            <w:r>
              <w:rPr>
                <w:rFonts w:ascii="宋体" w:hAnsi="宋体"/>
                <w:kern w:val="0"/>
                <w:szCs w:val="21"/>
              </w:rPr>
              <w:t>5.7</w:t>
            </w:r>
          </w:p>
        </w:tc>
      </w:tr>
      <w:tr w14:paraId="241BD30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241" w:type="pct"/>
            <w:shd w:val="clear" w:color="auto" w:fill="auto"/>
            <w:noWrap/>
            <w:vAlign w:val="bottom"/>
          </w:tcPr>
          <w:p w14:paraId="72B593EF">
            <w:pPr>
              <w:pStyle w:val="23"/>
              <w:ind w:firstLine="420" w:firstLineChars="200"/>
              <w:rPr>
                <w:rFonts w:ascii="宋体" w:hAnsi="宋体"/>
                <w:kern w:val="0"/>
                <w:szCs w:val="21"/>
              </w:rPr>
            </w:pPr>
            <w:r>
              <w:rPr>
                <w:rFonts w:ascii="宋体" w:hAnsi="宋体"/>
                <w:kern w:val="0"/>
                <w:szCs w:val="21"/>
              </w:rPr>
              <w:t>5、农、林、牧、渔服务业</w:t>
            </w:r>
          </w:p>
        </w:tc>
        <w:tc>
          <w:tcPr>
            <w:tcW w:w="920" w:type="pct"/>
            <w:shd w:val="clear" w:color="auto" w:fill="auto"/>
            <w:noWrap/>
            <w:vAlign w:val="center"/>
          </w:tcPr>
          <w:p w14:paraId="3359587A">
            <w:pPr>
              <w:pStyle w:val="23"/>
              <w:jc w:val="center"/>
              <w:rPr>
                <w:rFonts w:ascii="宋体" w:hAnsi="宋体"/>
                <w:kern w:val="0"/>
                <w:szCs w:val="21"/>
              </w:rPr>
            </w:pPr>
            <w:r>
              <w:rPr>
                <w:rFonts w:ascii="宋体" w:hAnsi="宋体"/>
                <w:kern w:val="0"/>
                <w:szCs w:val="21"/>
              </w:rPr>
              <w:t>2048</w:t>
            </w:r>
          </w:p>
        </w:tc>
        <w:tc>
          <w:tcPr>
            <w:tcW w:w="920" w:type="pct"/>
            <w:shd w:val="clear" w:color="auto" w:fill="auto"/>
            <w:noWrap/>
            <w:vAlign w:val="center"/>
          </w:tcPr>
          <w:p w14:paraId="261D6466">
            <w:pPr>
              <w:pStyle w:val="23"/>
              <w:jc w:val="center"/>
              <w:rPr>
                <w:rFonts w:ascii="宋体" w:hAnsi="宋体"/>
                <w:kern w:val="0"/>
                <w:szCs w:val="21"/>
              </w:rPr>
            </w:pPr>
            <w:r>
              <w:rPr>
                <w:rFonts w:ascii="宋体" w:hAnsi="宋体"/>
                <w:kern w:val="0"/>
                <w:szCs w:val="21"/>
              </w:rPr>
              <w:t>1924</w:t>
            </w:r>
          </w:p>
        </w:tc>
        <w:tc>
          <w:tcPr>
            <w:tcW w:w="920" w:type="pct"/>
            <w:shd w:val="clear" w:color="auto" w:fill="auto"/>
            <w:noWrap/>
            <w:vAlign w:val="center"/>
          </w:tcPr>
          <w:p w14:paraId="79A528A4">
            <w:pPr>
              <w:pStyle w:val="23"/>
              <w:jc w:val="center"/>
              <w:rPr>
                <w:rFonts w:ascii="宋体" w:hAnsi="宋体"/>
                <w:kern w:val="0"/>
                <w:szCs w:val="21"/>
              </w:rPr>
            </w:pPr>
            <w:r>
              <w:rPr>
                <w:rFonts w:ascii="宋体" w:hAnsi="宋体"/>
                <w:kern w:val="0"/>
                <w:szCs w:val="21"/>
              </w:rPr>
              <w:t>10.5</w:t>
            </w:r>
          </w:p>
        </w:tc>
      </w:tr>
    </w:tbl>
    <w:p w14:paraId="1F5CECC1">
      <w:pPr>
        <w:ind w:firstLine="0" w:firstLineChars="0"/>
        <w:jc w:val="center"/>
        <w:rPr>
          <w:rFonts w:ascii="宋体" w:hAnsi="宋体"/>
          <w:b/>
          <w:szCs w:val="21"/>
        </w:rPr>
      </w:pPr>
      <w:r>
        <w:rPr>
          <w:rFonts w:hint="eastAsia" w:ascii="宋体" w:hAnsi="宋体"/>
          <w:b/>
          <w:szCs w:val="21"/>
        </w:rPr>
        <w:t>表45 农作物播种面积和产量</w:t>
      </w:r>
    </w:p>
    <w:tbl>
      <w:tblPr>
        <w:tblStyle w:val="14"/>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598"/>
        <w:gridCol w:w="2122"/>
        <w:gridCol w:w="2122"/>
        <w:gridCol w:w="2120"/>
      </w:tblGrid>
      <w:tr w14:paraId="736A856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806" w:type="pct"/>
            <w:shd w:val="clear" w:color="auto" w:fill="auto"/>
            <w:noWrap/>
            <w:vAlign w:val="center"/>
          </w:tcPr>
          <w:p w14:paraId="48BC1998">
            <w:pPr>
              <w:pStyle w:val="23"/>
              <w:jc w:val="center"/>
              <w:rPr>
                <w:rFonts w:ascii="宋体" w:hAnsi="宋体"/>
                <w:b/>
                <w:kern w:val="0"/>
                <w:szCs w:val="21"/>
              </w:rPr>
            </w:pPr>
            <w:r>
              <w:rPr>
                <w:rFonts w:ascii="宋体" w:hAnsi="宋体"/>
                <w:b/>
                <w:kern w:val="0"/>
                <w:szCs w:val="21"/>
              </w:rPr>
              <w:t>指标名称</w:t>
            </w:r>
          </w:p>
        </w:tc>
        <w:tc>
          <w:tcPr>
            <w:tcW w:w="1065" w:type="pct"/>
            <w:shd w:val="clear" w:color="auto" w:fill="auto"/>
            <w:noWrap/>
            <w:vAlign w:val="center"/>
          </w:tcPr>
          <w:p w14:paraId="72BB5299">
            <w:pPr>
              <w:pStyle w:val="23"/>
              <w:jc w:val="center"/>
              <w:rPr>
                <w:rFonts w:ascii="宋体" w:hAnsi="宋体"/>
                <w:b/>
                <w:kern w:val="0"/>
                <w:szCs w:val="21"/>
              </w:rPr>
            </w:pPr>
            <w:r>
              <w:rPr>
                <w:rFonts w:ascii="宋体" w:hAnsi="宋体"/>
                <w:b/>
                <w:kern w:val="0"/>
                <w:szCs w:val="21"/>
              </w:rPr>
              <w:t>播种面积(亩)</w:t>
            </w:r>
          </w:p>
        </w:tc>
        <w:tc>
          <w:tcPr>
            <w:tcW w:w="1065" w:type="pct"/>
            <w:shd w:val="clear" w:color="auto" w:fill="auto"/>
            <w:noWrap/>
            <w:vAlign w:val="center"/>
          </w:tcPr>
          <w:p w14:paraId="478C9058">
            <w:pPr>
              <w:pStyle w:val="23"/>
              <w:jc w:val="center"/>
              <w:rPr>
                <w:rFonts w:ascii="宋体" w:hAnsi="宋体"/>
                <w:b/>
                <w:kern w:val="0"/>
                <w:szCs w:val="21"/>
              </w:rPr>
            </w:pPr>
            <w:r>
              <w:rPr>
                <w:rFonts w:ascii="宋体" w:hAnsi="宋体"/>
                <w:b/>
                <w:kern w:val="0"/>
                <w:szCs w:val="21"/>
              </w:rPr>
              <w:t>亩产(公斤)</w:t>
            </w:r>
          </w:p>
        </w:tc>
        <w:tc>
          <w:tcPr>
            <w:tcW w:w="1065" w:type="pct"/>
            <w:shd w:val="clear" w:color="auto" w:fill="auto"/>
            <w:noWrap/>
            <w:vAlign w:val="center"/>
          </w:tcPr>
          <w:p w14:paraId="60DF4292">
            <w:pPr>
              <w:pStyle w:val="23"/>
              <w:jc w:val="center"/>
              <w:rPr>
                <w:rFonts w:ascii="宋体" w:hAnsi="宋体"/>
                <w:b/>
                <w:kern w:val="0"/>
                <w:szCs w:val="21"/>
              </w:rPr>
            </w:pPr>
            <w:r>
              <w:rPr>
                <w:rFonts w:ascii="宋体" w:hAnsi="宋体"/>
                <w:b/>
                <w:kern w:val="0"/>
                <w:szCs w:val="21"/>
              </w:rPr>
              <w:t>总产量(吨)</w:t>
            </w:r>
          </w:p>
        </w:tc>
      </w:tr>
      <w:tr w14:paraId="66DEB37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806" w:type="pct"/>
            <w:shd w:val="clear" w:color="auto" w:fill="auto"/>
            <w:noWrap/>
            <w:vAlign w:val="center"/>
          </w:tcPr>
          <w:p w14:paraId="22F328AB">
            <w:pPr>
              <w:pStyle w:val="23"/>
              <w:rPr>
                <w:rFonts w:ascii="宋体" w:hAnsi="宋体"/>
                <w:kern w:val="0"/>
                <w:szCs w:val="21"/>
              </w:rPr>
            </w:pPr>
            <w:r>
              <w:rPr>
                <w:rFonts w:ascii="宋体" w:hAnsi="宋体"/>
                <w:kern w:val="0"/>
                <w:szCs w:val="21"/>
              </w:rPr>
              <w:t>农作物总播种面积</w:t>
            </w:r>
          </w:p>
        </w:tc>
        <w:tc>
          <w:tcPr>
            <w:tcW w:w="1065" w:type="pct"/>
            <w:shd w:val="clear" w:color="auto" w:fill="auto"/>
            <w:noWrap/>
            <w:vAlign w:val="center"/>
          </w:tcPr>
          <w:p w14:paraId="056D311A">
            <w:pPr>
              <w:pStyle w:val="23"/>
              <w:jc w:val="center"/>
              <w:rPr>
                <w:rFonts w:ascii="宋体" w:hAnsi="宋体"/>
                <w:kern w:val="0"/>
                <w:szCs w:val="21"/>
              </w:rPr>
            </w:pPr>
            <w:r>
              <w:rPr>
                <w:rFonts w:ascii="宋体" w:hAnsi="宋体"/>
                <w:kern w:val="0"/>
                <w:szCs w:val="21"/>
              </w:rPr>
              <w:t>923765</w:t>
            </w:r>
          </w:p>
        </w:tc>
        <w:tc>
          <w:tcPr>
            <w:tcW w:w="1065" w:type="pct"/>
            <w:shd w:val="clear" w:color="auto" w:fill="auto"/>
            <w:noWrap/>
            <w:vAlign w:val="center"/>
          </w:tcPr>
          <w:p w14:paraId="274E482D">
            <w:pPr>
              <w:pStyle w:val="23"/>
              <w:jc w:val="center"/>
              <w:rPr>
                <w:rFonts w:ascii="宋体" w:hAnsi="宋体"/>
                <w:kern w:val="0"/>
                <w:szCs w:val="21"/>
              </w:rPr>
            </w:pPr>
          </w:p>
        </w:tc>
        <w:tc>
          <w:tcPr>
            <w:tcW w:w="1065" w:type="pct"/>
            <w:shd w:val="clear" w:color="auto" w:fill="auto"/>
            <w:noWrap/>
            <w:vAlign w:val="center"/>
          </w:tcPr>
          <w:p w14:paraId="468D31E2">
            <w:pPr>
              <w:pStyle w:val="23"/>
              <w:jc w:val="center"/>
              <w:rPr>
                <w:rFonts w:ascii="宋体" w:hAnsi="宋体"/>
                <w:kern w:val="0"/>
                <w:szCs w:val="21"/>
              </w:rPr>
            </w:pPr>
          </w:p>
        </w:tc>
      </w:tr>
      <w:tr w14:paraId="14CBC1E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806" w:type="pct"/>
            <w:shd w:val="clear" w:color="auto" w:fill="auto"/>
            <w:noWrap/>
            <w:vAlign w:val="center"/>
          </w:tcPr>
          <w:p w14:paraId="3BDFEB84">
            <w:pPr>
              <w:pStyle w:val="23"/>
              <w:rPr>
                <w:rFonts w:ascii="宋体" w:hAnsi="宋体"/>
                <w:kern w:val="0"/>
                <w:szCs w:val="21"/>
              </w:rPr>
            </w:pPr>
            <w:r>
              <w:rPr>
                <w:rFonts w:ascii="宋体" w:hAnsi="宋体"/>
                <w:kern w:val="0"/>
                <w:szCs w:val="21"/>
              </w:rPr>
              <w:t>一、粮食作物合计</w:t>
            </w:r>
          </w:p>
        </w:tc>
        <w:tc>
          <w:tcPr>
            <w:tcW w:w="1065" w:type="pct"/>
            <w:shd w:val="clear" w:color="auto" w:fill="auto"/>
            <w:noWrap/>
            <w:vAlign w:val="center"/>
          </w:tcPr>
          <w:p w14:paraId="21175DB1">
            <w:pPr>
              <w:pStyle w:val="23"/>
              <w:jc w:val="center"/>
              <w:rPr>
                <w:rFonts w:ascii="宋体" w:hAnsi="宋体"/>
                <w:kern w:val="0"/>
                <w:szCs w:val="21"/>
              </w:rPr>
            </w:pPr>
            <w:r>
              <w:rPr>
                <w:rFonts w:ascii="宋体" w:hAnsi="宋体"/>
                <w:kern w:val="0"/>
                <w:szCs w:val="21"/>
              </w:rPr>
              <w:t>546105</w:t>
            </w:r>
          </w:p>
        </w:tc>
        <w:tc>
          <w:tcPr>
            <w:tcW w:w="1065" w:type="pct"/>
            <w:shd w:val="clear" w:color="auto" w:fill="auto"/>
            <w:noWrap/>
            <w:vAlign w:val="center"/>
          </w:tcPr>
          <w:p w14:paraId="3E322EA9">
            <w:pPr>
              <w:pStyle w:val="23"/>
              <w:jc w:val="center"/>
              <w:rPr>
                <w:rFonts w:ascii="宋体" w:hAnsi="宋体"/>
                <w:kern w:val="0"/>
                <w:szCs w:val="21"/>
              </w:rPr>
            </w:pPr>
            <w:r>
              <w:rPr>
                <w:rFonts w:ascii="宋体" w:hAnsi="宋体"/>
                <w:kern w:val="0"/>
                <w:szCs w:val="21"/>
              </w:rPr>
              <w:t>407</w:t>
            </w:r>
          </w:p>
        </w:tc>
        <w:tc>
          <w:tcPr>
            <w:tcW w:w="1065" w:type="pct"/>
            <w:shd w:val="clear" w:color="auto" w:fill="auto"/>
            <w:noWrap/>
            <w:vAlign w:val="center"/>
          </w:tcPr>
          <w:p w14:paraId="526D4F66">
            <w:pPr>
              <w:pStyle w:val="23"/>
              <w:jc w:val="center"/>
              <w:rPr>
                <w:rFonts w:ascii="宋体" w:hAnsi="宋体"/>
                <w:kern w:val="0"/>
                <w:szCs w:val="21"/>
              </w:rPr>
            </w:pPr>
            <w:r>
              <w:rPr>
                <w:rFonts w:ascii="宋体" w:hAnsi="宋体"/>
                <w:kern w:val="0"/>
                <w:szCs w:val="21"/>
              </w:rPr>
              <w:t>222356</w:t>
            </w:r>
          </w:p>
        </w:tc>
      </w:tr>
      <w:tr w14:paraId="381B0B1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806" w:type="pct"/>
            <w:shd w:val="clear" w:color="auto" w:fill="auto"/>
            <w:noWrap/>
            <w:vAlign w:val="center"/>
          </w:tcPr>
          <w:p w14:paraId="46EE81CA">
            <w:pPr>
              <w:pStyle w:val="23"/>
              <w:ind w:firstLine="420" w:firstLineChars="200"/>
              <w:rPr>
                <w:rFonts w:ascii="宋体" w:hAnsi="宋体"/>
                <w:kern w:val="0"/>
                <w:szCs w:val="21"/>
              </w:rPr>
            </w:pPr>
            <w:r>
              <w:rPr>
                <w:rFonts w:ascii="宋体" w:hAnsi="宋体"/>
                <w:kern w:val="0"/>
                <w:szCs w:val="21"/>
              </w:rPr>
              <w:t>1、稻谷</w:t>
            </w:r>
          </w:p>
        </w:tc>
        <w:tc>
          <w:tcPr>
            <w:tcW w:w="1065" w:type="pct"/>
            <w:shd w:val="clear" w:color="auto" w:fill="auto"/>
            <w:noWrap/>
            <w:vAlign w:val="center"/>
          </w:tcPr>
          <w:p w14:paraId="4CF47544">
            <w:pPr>
              <w:pStyle w:val="23"/>
              <w:jc w:val="center"/>
              <w:rPr>
                <w:rFonts w:ascii="宋体" w:hAnsi="宋体"/>
                <w:kern w:val="0"/>
                <w:szCs w:val="21"/>
              </w:rPr>
            </w:pPr>
            <w:r>
              <w:rPr>
                <w:rFonts w:ascii="宋体" w:hAnsi="宋体"/>
                <w:kern w:val="0"/>
                <w:szCs w:val="21"/>
              </w:rPr>
              <w:t>452562</w:t>
            </w:r>
          </w:p>
        </w:tc>
        <w:tc>
          <w:tcPr>
            <w:tcW w:w="1065" w:type="pct"/>
            <w:shd w:val="clear" w:color="auto" w:fill="auto"/>
            <w:noWrap/>
            <w:vAlign w:val="center"/>
          </w:tcPr>
          <w:p w14:paraId="316067D3">
            <w:pPr>
              <w:pStyle w:val="23"/>
              <w:jc w:val="center"/>
              <w:rPr>
                <w:rFonts w:ascii="宋体" w:hAnsi="宋体"/>
                <w:kern w:val="0"/>
                <w:szCs w:val="21"/>
              </w:rPr>
            </w:pPr>
            <w:r>
              <w:rPr>
                <w:rFonts w:ascii="宋体" w:hAnsi="宋体"/>
                <w:kern w:val="0"/>
                <w:szCs w:val="21"/>
              </w:rPr>
              <w:t>439</w:t>
            </w:r>
          </w:p>
        </w:tc>
        <w:tc>
          <w:tcPr>
            <w:tcW w:w="1065" w:type="pct"/>
            <w:shd w:val="clear" w:color="auto" w:fill="auto"/>
            <w:noWrap/>
            <w:vAlign w:val="center"/>
          </w:tcPr>
          <w:p w14:paraId="29DD3862">
            <w:pPr>
              <w:pStyle w:val="23"/>
              <w:jc w:val="center"/>
              <w:rPr>
                <w:rFonts w:ascii="宋体" w:hAnsi="宋体"/>
                <w:kern w:val="0"/>
                <w:szCs w:val="21"/>
              </w:rPr>
            </w:pPr>
            <w:r>
              <w:rPr>
                <w:rFonts w:ascii="宋体" w:hAnsi="宋体"/>
                <w:kern w:val="0"/>
                <w:szCs w:val="21"/>
              </w:rPr>
              <w:t>198678</w:t>
            </w:r>
          </w:p>
        </w:tc>
      </w:tr>
      <w:tr w14:paraId="06B7B3E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806" w:type="pct"/>
            <w:shd w:val="clear" w:color="auto" w:fill="auto"/>
            <w:noWrap/>
            <w:vAlign w:val="center"/>
          </w:tcPr>
          <w:p w14:paraId="12D657C9">
            <w:pPr>
              <w:pStyle w:val="23"/>
              <w:ind w:firstLine="630" w:firstLineChars="300"/>
              <w:rPr>
                <w:rFonts w:ascii="宋体" w:hAnsi="宋体"/>
                <w:kern w:val="0"/>
                <w:szCs w:val="21"/>
              </w:rPr>
            </w:pPr>
            <w:r>
              <w:rPr>
                <w:rFonts w:ascii="宋体" w:hAnsi="宋体"/>
                <w:kern w:val="0"/>
                <w:szCs w:val="21"/>
              </w:rPr>
              <w:t>(1)早稻</w:t>
            </w:r>
          </w:p>
        </w:tc>
        <w:tc>
          <w:tcPr>
            <w:tcW w:w="1065" w:type="pct"/>
            <w:shd w:val="clear" w:color="auto" w:fill="auto"/>
            <w:noWrap/>
            <w:vAlign w:val="center"/>
          </w:tcPr>
          <w:p w14:paraId="5D47D50C">
            <w:pPr>
              <w:pStyle w:val="23"/>
              <w:jc w:val="center"/>
              <w:rPr>
                <w:rFonts w:ascii="宋体" w:hAnsi="宋体"/>
                <w:kern w:val="0"/>
                <w:szCs w:val="21"/>
              </w:rPr>
            </w:pPr>
            <w:r>
              <w:rPr>
                <w:rFonts w:ascii="宋体" w:hAnsi="宋体"/>
                <w:kern w:val="0"/>
                <w:szCs w:val="21"/>
              </w:rPr>
              <w:t>145242</w:t>
            </w:r>
          </w:p>
        </w:tc>
        <w:tc>
          <w:tcPr>
            <w:tcW w:w="1065" w:type="pct"/>
            <w:shd w:val="clear" w:color="auto" w:fill="auto"/>
            <w:noWrap/>
            <w:vAlign w:val="center"/>
          </w:tcPr>
          <w:p w14:paraId="5B16D27C">
            <w:pPr>
              <w:pStyle w:val="23"/>
              <w:jc w:val="center"/>
              <w:rPr>
                <w:rFonts w:ascii="宋体" w:hAnsi="宋体"/>
                <w:kern w:val="0"/>
                <w:szCs w:val="21"/>
              </w:rPr>
            </w:pPr>
            <w:r>
              <w:rPr>
                <w:rFonts w:ascii="宋体" w:hAnsi="宋体"/>
                <w:kern w:val="0"/>
                <w:szCs w:val="21"/>
              </w:rPr>
              <w:t>411</w:t>
            </w:r>
          </w:p>
        </w:tc>
        <w:tc>
          <w:tcPr>
            <w:tcW w:w="1065" w:type="pct"/>
            <w:shd w:val="clear" w:color="auto" w:fill="auto"/>
            <w:noWrap/>
            <w:vAlign w:val="center"/>
          </w:tcPr>
          <w:p w14:paraId="2F0300D0">
            <w:pPr>
              <w:pStyle w:val="23"/>
              <w:jc w:val="center"/>
              <w:rPr>
                <w:rFonts w:ascii="宋体" w:hAnsi="宋体"/>
                <w:kern w:val="0"/>
                <w:szCs w:val="21"/>
              </w:rPr>
            </w:pPr>
            <w:r>
              <w:rPr>
                <w:rFonts w:ascii="宋体" w:hAnsi="宋体"/>
                <w:kern w:val="0"/>
                <w:szCs w:val="21"/>
              </w:rPr>
              <w:t>59747</w:t>
            </w:r>
          </w:p>
        </w:tc>
      </w:tr>
      <w:tr w14:paraId="0B34A7F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806" w:type="pct"/>
            <w:shd w:val="clear" w:color="auto" w:fill="auto"/>
            <w:noWrap/>
            <w:vAlign w:val="center"/>
          </w:tcPr>
          <w:p w14:paraId="6E0DA7E5">
            <w:pPr>
              <w:pStyle w:val="23"/>
              <w:ind w:firstLine="630" w:firstLineChars="300"/>
              <w:rPr>
                <w:rFonts w:ascii="宋体" w:hAnsi="宋体"/>
                <w:kern w:val="0"/>
                <w:szCs w:val="21"/>
              </w:rPr>
            </w:pPr>
            <w:r>
              <w:rPr>
                <w:rFonts w:ascii="宋体" w:hAnsi="宋体"/>
                <w:kern w:val="0"/>
                <w:szCs w:val="21"/>
              </w:rPr>
              <w:t>其中:优质稻</w:t>
            </w:r>
          </w:p>
        </w:tc>
        <w:tc>
          <w:tcPr>
            <w:tcW w:w="1065" w:type="pct"/>
            <w:shd w:val="clear" w:color="auto" w:fill="auto"/>
            <w:noWrap/>
            <w:vAlign w:val="center"/>
          </w:tcPr>
          <w:p w14:paraId="2B0F7063">
            <w:pPr>
              <w:pStyle w:val="23"/>
              <w:jc w:val="center"/>
              <w:rPr>
                <w:rFonts w:ascii="宋体" w:hAnsi="宋体"/>
                <w:kern w:val="0"/>
                <w:szCs w:val="21"/>
              </w:rPr>
            </w:pPr>
            <w:r>
              <w:rPr>
                <w:rFonts w:ascii="宋体" w:hAnsi="宋体"/>
                <w:kern w:val="0"/>
                <w:szCs w:val="21"/>
              </w:rPr>
              <w:t>101635</w:t>
            </w:r>
          </w:p>
        </w:tc>
        <w:tc>
          <w:tcPr>
            <w:tcW w:w="1065" w:type="pct"/>
            <w:shd w:val="clear" w:color="auto" w:fill="auto"/>
            <w:noWrap/>
            <w:vAlign w:val="center"/>
          </w:tcPr>
          <w:p w14:paraId="1FAB650B">
            <w:pPr>
              <w:pStyle w:val="23"/>
              <w:jc w:val="center"/>
              <w:rPr>
                <w:rFonts w:ascii="宋体" w:hAnsi="宋体"/>
                <w:kern w:val="0"/>
                <w:szCs w:val="21"/>
              </w:rPr>
            </w:pPr>
            <w:r>
              <w:rPr>
                <w:rFonts w:ascii="宋体" w:hAnsi="宋体"/>
                <w:kern w:val="0"/>
                <w:szCs w:val="21"/>
              </w:rPr>
              <w:t>404</w:t>
            </w:r>
          </w:p>
        </w:tc>
        <w:tc>
          <w:tcPr>
            <w:tcW w:w="1065" w:type="pct"/>
            <w:shd w:val="clear" w:color="auto" w:fill="auto"/>
            <w:noWrap/>
            <w:vAlign w:val="center"/>
          </w:tcPr>
          <w:p w14:paraId="47633E2C">
            <w:pPr>
              <w:pStyle w:val="23"/>
              <w:jc w:val="center"/>
              <w:rPr>
                <w:rFonts w:ascii="宋体" w:hAnsi="宋体"/>
                <w:kern w:val="0"/>
                <w:szCs w:val="21"/>
              </w:rPr>
            </w:pPr>
            <w:r>
              <w:rPr>
                <w:rFonts w:ascii="宋体" w:hAnsi="宋体"/>
                <w:kern w:val="0"/>
                <w:szCs w:val="21"/>
              </w:rPr>
              <w:t>41016</w:t>
            </w:r>
          </w:p>
        </w:tc>
      </w:tr>
      <w:tr w14:paraId="52A2EB0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806" w:type="pct"/>
            <w:shd w:val="clear" w:color="auto" w:fill="auto"/>
            <w:noWrap/>
            <w:vAlign w:val="center"/>
          </w:tcPr>
          <w:p w14:paraId="7087D68F">
            <w:pPr>
              <w:pStyle w:val="23"/>
              <w:ind w:firstLine="630" w:firstLineChars="300"/>
              <w:rPr>
                <w:rFonts w:ascii="宋体" w:hAnsi="宋体"/>
                <w:kern w:val="0"/>
                <w:szCs w:val="21"/>
              </w:rPr>
            </w:pPr>
            <w:r>
              <w:rPr>
                <w:rFonts w:ascii="宋体" w:hAnsi="宋体"/>
                <w:kern w:val="0"/>
                <w:szCs w:val="21"/>
              </w:rPr>
              <w:t>(2)中、晚稻</w:t>
            </w:r>
          </w:p>
        </w:tc>
        <w:tc>
          <w:tcPr>
            <w:tcW w:w="1065" w:type="pct"/>
            <w:shd w:val="clear" w:color="auto" w:fill="auto"/>
            <w:noWrap/>
            <w:vAlign w:val="center"/>
          </w:tcPr>
          <w:p w14:paraId="4CBF6BE6">
            <w:pPr>
              <w:pStyle w:val="23"/>
              <w:jc w:val="center"/>
              <w:rPr>
                <w:rFonts w:ascii="宋体" w:hAnsi="宋体"/>
                <w:kern w:val="0"/>
                <w:szCs w:val="21"/>
              </w:rPr>
            </w:pPr>
            <w:r>
              <w:rPr>
                <w:rFonts w:ascii="宋体" w:hAnsi="宋体"/>
                <w:kern w:val="0"/>
                <w:szCs w:val="21"/>
              </w:rPr>
              <w:t>307320</w:t>
            </w:r>
          </w:p>
        </w:tc>
        <w:tc>
          <w:tcPr>
            <w:tcW w:w="1065" w:type="pct"/>
            <w:shd w:val="clear" w:color="auto" w:fill="auto"/>
            <w:noWrap/>
            <w:vAlign w:val="center"/>
          </w:tcPr>
          <w:p w14:paraId="07EA4386">
            <w:pPr>
              <w:pStyle w:val="23"/>
              <w:jc w:val="center"/>
              <w:rPr>
                <w:rFonts w:ascii="宋体" w:hAnsi="宋体"/>
                <w:kern w:val="0"/>
                <w:szCs w:val="21"/>
              </w:rPr>
            </w:pPr>
            <w:r>
              <w:rPr>
                <w:rFonts w:ascii="宋体" w:hAnsi="宋体"/>
                <w:kern w:val="0"/>
                <w:szCs w:val="21"/>
              </w:rPr>
              <w:t>452</w:t>
            </w:r>
          </w:p>
        </w:tc>
        <w:tc>
          <w:tcPr>
            <w:tcW w:w="1065" w:type="pct"/>
            <w:shd w:val="clear" w:color="auto" w:fill="auto"/>
            <w:noWrap/>
            <w:vAlign w:val="center"/>
          </w:tcPr>
          <w:p w14:paraId="76D37928">
            <w:pPr>
              <w:pStyle w:val="23"/>
              <w:jc w:val="center"/>
              <w:rPr>
                <w:rFonts w:ascii="宋体" w:hAnsi="宋体"/>
                <w:kern w:val="0"/>
                <w:szCs w:val="21"/>
              </w:rPr>
            </w:pPr>
            <w:r>
              <w:rPr>
                <w:rFonts w:ascii="宋体" w:hAnsi="宋体"/>
                <w:kern w:val="0"/>
                <w:szCs w:val="21"/>
              </w:rPr>
              <w:t>138931</w:t>
            </w:r>
          </w:p>
        </w:tc>
      </w:tr>
      <w:tr w14:paraId="0D4F53E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806" w:type="pct"/>
            <w:shd w:val="clear" w:color="auto" w:fill="auto"/>
            <w:noWrap/>
            <w:vAlign w:val="center"/>
          </w:tcPr>
          <w:p w14:paraId="64653B67">
            <w:pPr>
              <w:pStyle w:val="23"/>
              <w:ind w:firstLine="630" w:firstLineChars="300"/>
              <w:rPr>
                <w:rFonts w:ascii="宋体" w:hAnsi="宋体"/>
                <w:kern w:val="0"/>
                <w:szCs w:val="21"/>
              </w:rPr>
            </w:pPr>
            <w:r>
              <w:rPr>
                <w:rFonts w:ascii="宋体" w:hAnsi="宋体"/>
                <w:kern w:val="0"/>
                <w:szCs w:val="21"/>
              </w:rPr>
              <w:t>其中:优质稻</w:t>
            </w:r>
          </w:p>
        </w:tc>
        <w:tc>
          <w:tcPr>
            <w:tcW w:w="1065" w:type="pct"/>
            <w:shd w:val="clear" w:color="auto" w:fill="auto"/>
            <w:noWrap/>
            <w:vAlign w:val="center"/>
          </w:tcPr>
          <w:p w14:paraId="72FB234E">
            <w:pPr>
              <w:pStyle w:val="23"/>
              <w:jc w:val="center"/>
              <w:rPr>
                <w:rFonts w:ascii="宋体" w:hAnsi="宋体"/>
                <w:kern w:val="0"/>
                <w:szCs w:val="21"/>
              </w:rPr>
            </w:pPr>
            <w:r>
              <w:rPr>
                <w:rFonts w:ascii="宋体" w:hAnsi="宋体"/>
                <w:kern w:val="0"/>
                <w:szCs w:val="21"/>
              </w:rPr>
              <w:t>233282</w:t>
            </w:r>
          </w:p>
        </w:tc>
        <w:tc>
          <w:tcPr>
            <w:tcW w:w="1065" w:type="pct"/>
            <w:shd w:val="clear" w:color="auto" w:fill="auto"/>
            <w:noWrap/>
            <w:vAlign w:val="center"/>
          </w:tcPr>
          <w:p w14:paraId="3720DC7C">
            <w:pPr>
              <w:pStyle w:val="23"/>
              <w:jc w:val="center"/>
              <w:rPr>
                <w:rFonts w:ascii="宋体" w:hAnsi="宋体"/>
                <w:kern w:val="0"/>
                <w:szCs w:val="21"/>
              </w:rPr>
            </w:pPr>
            <w:r>
              <w:rPr>
                <w:rFonts w:ascii="宋体" w:hAnsi="宋体"/>
                <w:kern w:val="0"/>
                <w:szCs w:val="21"/>
              </w:rPr>
              <w:t>431</w:t>
            </w:r>
          </w:p>
        </w:tc>
        <w:tc>
          <w:tcPr>
            <w:tcW w:w="1065" w:type="pct"/>
            <w:shd w:val="clear" w:color="auto" w:fill="auto"/>
            <w:noWrap/>
            <w:vAlign w:val="center"/>
          </w:tcPr>
          <w:p w14:paraId="24DC0047">
            <w:pPr>
              <w:pStyle w:val="23"/>
              <w:jc w:val="center"/>
              <w:rPr>
                <w:rFonts w:ascii="宋体" w:hAnsi="宋体"/>
                <w:kern w:val="0"/>
                <w:szCs w:val="21"/>
              </w:rPr>
            </w:pPr>
            <w:r>
              <w:rPr>
                <w:rFonts w:ascii="宋体" w:hAnsi="宋体"/>
                <w:kern w:val="0"/>
                <w:szCs w:val="21"/>
              </w:rPr>
              <w:t>100654</w:t>
            </w:r>
          </w:p>
        </w:tc>
      </w:tr>
      <w:tr w14:paraId="21E99AC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806" w:type="pct"/>
            <w:shd w:val="clear" w:color="auto" w:fill="auto"/>
            <w:noWrap/>
            <w:vAlign w:val="center"/>
          </w:tcPr>
          <w:p w14:paraId="7A624DFE">
            <w:pPr>
              <w:pStyle w:val="23"/>
              <w:ind w:firstLine="420" w:firstLineChars="200"/>
              <w:rPr>
                <w:rFonts w:ascii="宋体" w:hAnsi="宋体"/>
                <w:kern w:val="0"/>
                <w:szCs w:val="21"/>
              </w:rPr>
            </w:pPr>
            <w:r>
              <w:rPr>
                <w:rFonts w:ascii="宋体" w:hAnsi="宋体"/>
                <w:kern w:val="0"/>
                <w:szCs w:val="21"/>
              </w:rPr>
              <w:t>2、旱粮</w:t>
            </w:r>
          </w:p>
        </w:tc>
        <w:tc>
          <w:tcPr>
            <w:tcW w:w="1065" w:type="pct"/>
            <w:shd w:val="clear" w:color="auto" w:fill="auto"/>
            <w:noWrap/>
            <w:vAlign w:val="center"/>
          </w:tcPr>
          <w:p w14:paraId="4A177B5A">
            <w:pPr>
              <w:pStyle w:val="23"/>
              <w:jc w:val="center"/>
              <w:rPr>
                <w:rFonts w:ascii="宋体" w:hAnsi="宋体"/>
                <w:kern w:val="0"/>
                <w:szCs w:val="21"/>
              </w:rPr>
            </w:pPr>
            <w:r>
              <w:rPr>
                <w:rFonts w:ascii="宋体" w:hAnsi="宋体"/>
                <w:kern w:val="0"/>
                <w:szCs w:val="21"/>
              </w:rPr>
              <w:t>20567</w:t>
            </w:r>
          </w:p>
        </w:tc>
        <w:tc>
          <w:tcPr>
            <w:tcW w:w="1065" w:type="pct"/>
            <w:shd w:val="clear" w:color="auto" w:fill="auto"/>
            <w:noWrap/>
            <w:vAlign w:val="center"/>
          </w:tcPr>
          <w:p w14:paraId="2BB347A2">
            <w:pPr>
              <w:pStyle w:val="23"/>
              <w:jc w:val="center"/>
              <w:rPr>
                <w:rFonts w:ascii="宋体" w:hAnsi="宋体"/>
                <w:kern w:val="0"/>
                <w:szCs w:val="21"/>
              </w:rPr>
            </w:pPr>
            <w:r>
              <w:rPr>
                <w:rFonts w:ascii="宋体" w:hAnsi="宋体"/>
                <w:kern w:val="0"/>
                <w:szCs w:val="21"/>
              </w:rPr>
              <w:t>248</w:t>
            </w:r>
          </w:p>
        </w:tc>
        <w:tc>
          <w:tcPr>
            <w:tcW w:w="1065" w:type="pct"/>
            <w:shd w:val="clear" w:color="auto" w:fill="auto"/>
            <w:noWrap/>
            <w:vAlign w:val="center"/>
          </w:tcPr>
          <w:p w14:paraId="38BC09F7">
            <w:pPr>
              <w:pStyle w:val="23"/>
              <w:jc w:val="center"/>
              <w:rPr>
                <w:rFonts w:ascii="宋体" w:hAnsi="宋体"/>
                <w:kern w:val="0"/>
                <w:szCs w:val="21"/>
              </w:rPr>
            </w:pPr>
            <w:r>
              <w:rPr>
                <w:rFonts w:ascii="宋体" w:hAnsi="宋体"/>
                <w:kern w:val="0"/>
                <w:szCs w:val="21"/>
              </w:rPr>
              <w:t>5108</w:t>
            </w:r>
          </w:p>
        </w:tc>
      </w:tr>
      <w:tr w14:paraId="28BC99A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806" w:type="pct"/>
            <w:shd w:val="clear" w:color="auto" w:fill="auto"/>
            <w:noWrap/>
            <w:vAlign w:val="center"/>
          </w:tcPr>
          <w:p w14:paraId="41BA0D74">
            <w:pPr>
              <w:pStyle w:val="23"/>
              <w:ind w:firstLine="630" w:firstLineChars="300"/>
              <w:rPr>
                <w:rFonts w:ascii="宋体" w:hAnsi="宋体"/>
                <w:kern w:val="0"/>
                <w:szCs w:val="21"/>
              </w:rPr>
            </w:pPr>
            <w:r>
              <w:rPr>
                <w:rFonts w:ascii="宋体" w:hAnsi="宋体"/>
                <w:kern w:val="0"/>
                <w:szCs w:val="21"/>
              </w:rPr>
              <w:t>(1)玉米</w:t>
            </w:r>
          </w:p>
        </w:tc>
        <w:tc>
          <w:tcPr>
            <w:tcW w:w="1065" w:type="pct"/>
            <w:shd w:val="clear" w:color="auto" w:fill="auto"/>
            <w:noWrap/>
            <w:vAlign w:val="center"/>
          </w:tcPr>
          <w:p w14:paraId="5C0417BF">
            <w:pPr>
              <w:pStyle w:val="23"/>
              <w:jc w:val="center"/>
              <w:rPr>
                <w:rFonts w:ascii="宋体" w:hAnsi="宋体"/>
                <w:kern w:val="0"/>
                <w:szCs w:val="21"/>
              </w:rPr>
            </w:pPr>
            <w:r>
              <w:rPr>
                <w:rFonts w:ascii="宋体" w:hAnsi="宋体"/>
                <w:kern w:val="0"/>
                <w:szCs w:val="21"/>
              </w:rPr>
              <w:t>14075</w:t>
            </w:r>
          </w:p>
        </w:tc>
        <w:tc>
          <w:tcPr>
            <w:tcW w:w="1065" w:type="pct"/>
            <w:shd w:val="clear" w:color="auto" w:fill="auto"/>
            <w:noWrap/>
            <w:vAlign w:val="center"/>
          </w:tcPr>
          <w:p w14:paraId="263D6DC8">
            <w:pPr>
              <w:pStyle w:val="23"/>
              <w:jc w:val="center"/>
              <w:rPr>
                <w:rFonts w:ascii="宋体" w:hAnsi="宋体"/>
                <w:kern w:val="0"/>
                <w:szCs w:val="21"/>
              </w:rPr>
            </w:pPr>
            <w:r>
              <w:rPr>
                <w:rFonts w:ascii="宋体" w:hAnsi="宋体"/>
                <w:kern w:val="0"/>
                <w:szCs w:val="21"/>
              </w:rPr>
              <w:t>300</w:t>
            </w:r>
          </w:p>
        </w:tc>
        <w:tc>
          <w:tcPr>
            <w:tcW w:w="1065" w:type="pct"/>
            <w:shd w:val="clear" w:color="auto" w:fill="auto"/>
            <w:noWrap/>
            <w:vAlign w:val="center"/>
          </w:tcPr>
          <w:p w14:paraId="67D50088">
            <w:pPr>
              <w:pStyle w:val="23"/>
              <w:jc w:val="center"/>
              <w:rPr>
                <w:rFonts w:ascii="宋体" w:hAnsi="宋体"/>
                <w:kern w:val="0"/>
                <w:szCs w:val="21"/>
              </w:rPr>
            </w:pPr>
            <w:r>
              <w:rPr>
                <w:rFonts w:ascii="宋体" w:hAnsi="宋体"/>
                <w:kern w:val="0"/>
                <w:szCs w:val="21"/>
              </w:rPr>
              <w:t>4222</w:t>
            </w:r>
          </w:p>
        </w:tc>
      </w:tr>
      <w:tr w14:paraId="2A65293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806" w:type="pct"/>
            <w:shd w:val="clear" w:color="auto" w:fill="auto"/>
            <w:noWrap/>
            <w:vAlign w:val="center"/>
          </w:tcPr>
          <w:p w14:paraId="604C7D70">
            <w:pPr>
              <w:pStyle w:val="23"/>
              <w:ind w:firstLine="630" w:firstLineChars="300"/>
              <w:rPr>
                <w:rFonts w:ascii="宋体" w:hAnsi="宋体"/>
                <w:kern w:val="0"/>
                <w:szCs w:val="21"/>
              </w:rPr>
            </w:pPr>
            <w:r>
              <w:rPr>
                <w:rFonts w:ascii="宋体" w:hAnsi="宋体"/>
                <w:kern w:val="0"/>
                <w:szCs w:val="21"/>
              </w:rPr>
              <w:t>(2)蚕豌豆</w:t>
            </w:r>
          </w:p>
        </w:tc>
        <w:tc>
          <w:tcPr>
            <w:tcW w:w="1065" w:type="pct"/>
            <w:shd w:val="clear" w:color="auto" w:fill="auto"/>
            <w:noWrap/>
            <w:vAlign w:val="center"/>
          </w:tcPr>
          <w:p w14:paraId="25FA1EA4">
            <w:pPr>
              <w:pStyle w:val="23"/>
              <w:jc w:val="center"/>
              <w:rPr>
                <w:rFonts w:ascii="宋体" w:hAnsi="宋体"/>
                <w:kern w:val="0"/>
                <w:szCs w:val="21"/>
              </w:rPr>
            </w:pPr>
            <w:r>
              <w:rPr>
                <w:rFonts w:ascii="宋体" w:hAnsi="宋体"/>
                <w:kern w:val="0"/>
                <w:szCs w:val="21"/>
              </w:rPr>
              <w:t>4593</w:t>
            </w:r>
          </w:p>
        </w:tc>
        <w:tc>
          <w:tcPr>
            <w:tcW w:w="1065" w:type="pct"/>
            <w:shd w:val="clear" w:color="auto" w:fill="auto"/>
            <w:noWrap/>
            <w:vAlign w:val="center"/>
          </w:tcPr>
          <w:p w14:paraId="03F70F7E">
            <w:pPr>
              <w:pStyle w:val="23"/>
              <w:jc w:val="center"/>
              <w:rPr>
                <w:rFonts w:ascii="宋体" w:hAnsi="宋体"/>
                <w:kern w:val="0"/>
                <w:szCs w:val="21"/>
              </w:rPr>
            </w:pPr>
            <w:r>
              <w:rPr>
                <w:rFonts w:ascii="宋体" w:hAnsi="宋体"/>
                <w:kern w:val="0"/>
                <w:szCs w:val="21"/>
              </w:rPr>
              <w:t>125</w:t>
            </w:r>
          </w:p>
        </w:tc>
        <w:tc>
          <w:tcPr>
            <w:tcW w:w="1065" w:type="pct"/>
            <w:shd w:val="clear" w:color="auto" w:fill="auto"/>
            <w:noWrap/>
            <w:vAlign w:val="center"/>
          </w:tcPr>
          <w:p w14:paraId="729C8379">
            <w:pPr>
              <w:pStyle w:val="23"/>
              <w:jc w:val="center"/>
              <w:rPr>
                <w:rFonts w:ascii="宋体" w:hAnsi="宋体"/>
                <w:kern w:val="0"/>
                <w:szCs w:val="21"/>
              </w:rPr>
            </w:pPr>
            <w:r>
              <w:rPr>
                <w:rFonts w:ascii="宋体" w:hAnsi="宋体"/>
                <w:kern w:val="0"/>
                <w:szCs w:val="21"/>
              </w:rPr>
              <w:t>574</w:t>
            </w:r>
          </w:p>
        </w:tc>
      </w:tr>
      <w:tr w14:paraId="33834C7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806" w:type="pct"/>
            <w:shd w:val="clear" w:color="auto" w:fill="auto"/>
            <w:noWrap/>
            <w:vAlign w:val="center"/>
          </w:tcPr>
          <w:p w14:paraId="3FE15C28">
            <w:pPr>
              <w:pStyle w:val="23"/>
              <w:ind w:firstLine="630" w:firstLineChars="300"/>
              <w:rPr>
                <w:rFonts w:ascii="宋体" w:hAnsi="宋体"/>
                <w:kern w:val="0"/>
                <w:szCs w:val="21"/>
              </w:rPr>
            </w:pPr>
            <w:r>
              <w:rPr>
                <w:rFonts w:ascii="宋体" w:hAnsi="宋体"/>
                <w:kern w:val="0"/>
                <w:szCs w:val="21"/>
              </w:rPr>
              <w:t>(3)其他旱粮</w:t>
            </w:r>
          </w:p>
        </w:tc>
        <w:tc>
          <w:tcPr>
            <w:tcW w:w="1065" w:type="pct"/>
            <w:shd w:val="clear" w:color="auto" w:fill="auto"/>
            <w:noWrap/>
            <w:vAlign w:val="center"/>
          </w:tcPr>
          <w:p w14:paraId="76CE141C">
            <w:pPr>
              <w:pStyle w:val="23"/>
              <w:jc w:val="center"/>
              <w:rPr>
                <w:rFonts w:ascii="宋体" w:hAnsi="宋体"/>
                <w:kern w:val="0"/>
                <w:szCs w:val="21"/>
              </w:rPr>
            </w:pPr>
            <w:r>
              <w:rPr>
                <w:rFonts w:ascii="宋体" w:hAnsi="宋体"/>
                <w:kern w:val="0"/>
                <w:szCs w:val="21"/>
              </w:rPr>
              <w:t>1013</w:t>
            </w:r>
          </w:p>
        </w:tc>
        <w:tc>
          <w:tcPr>
            <w:tcW w:w="1065" w:type="pct"/>
            <w:shd w:val="clear" w:color="auto" w:fill="auto"/>
            <w:noWrap/>
            <w:vAlign w:val="center"/>
          </w:tcPr>
          <w:p w14:paraId="41377778">
            <w:pPr>
              <w:pStyle w:val="23"/>
              <w:jc w:val="center"/>
              <w:rPr>
                <w:rFonts w:ascii="宋体" w:hAnsi="宋体"/>
                <w:kern w:val="0"/>
                <w:szCs w:val="21"/>
              </w:rPr>
            </w:pPr>
            <w:r>
              <w:rPr>
                <w:rFonts w:ascii="宋体" w:hAnsi="宋体"/>
                <w:kern w:val="0"/>
                <w:szCs w:val="21"/>
              </w:rPr>
              <w:t>140</w:t>
            </w:r>
          </w:p>
        </w:tc>
        <w:tc>
          <w:tcPr>
            <w:tcW w:w="1065" w:type="pct"/>
            <w:shd w:val="clear" w:color="auto" w:fill="auto"/>
            <w:noWrap/>
            <w:vAlign w:val="center"/>
          </w:tcPr>
          <w:p w14:paraId="19BFA87D">
            <w:pPr>
              <w:pStyle w:val="23"/>
              <w:jc w:val="center"/>
              <w:rPr>
                <w:rFonts w:ascii="宋体" w:hAnsi="宋体"/>
                <w:kern w:val="0"/>
                <w:szCs w:val="21"/>
              </w:rPr>
            </w:pPr>
            <w:r>
              <w:rPr>
                <w:rFonts w:ascii="宋体" w:hAnsi="宋体"/>
                <w:kern w:val="0"/>
                <w:szCs w:val="21"/>
              </w:rPr>
              <w:t>142</w:t>
            </w:r>
          </w:p>
        </w:tc>
      </w:tr>
      <w:tr w14:paraId="3DFF0C6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806" w:type="pct"/>
            <w:shd w:val="clear" w:color="auto" w:fill="auto"/>
            <w:noWrap/>
            <w:vAlign w:val="center"/>
          </w:tcPr>
          <w:p w14:paraId="2E26FA74">
            <w:pPr>
              <w:pStyle w:val="23"/>
              <w:ind w:firstLine="420" w:firstLineChars="200"/>
              <w:rPr>
                <w:rFonts w:ascii="宋体" w:hAnsi="宋体"/>
                <w:kern w:val="0"/>
                <w:szCs w:val="21"/>
              </w:rPr>
            </w:pPr>
            <w:r>
              <w:rPr>
                <w:rFonts w:ascii="宋体" w:hAnsi="宋体"/>
                <w:kern w:val="0"/>
                <w:szCs w:val="21"/>
              </w:rPr>
              <w:t>3、番薯(5:1)</w:t>
            </w:r>
          </w:p>
        </w:tc>
        <w:tc>
          <w:tcPr>
            <w:tcW w:w="1065" w:type="pct"/>
            <w:shd w:val="clear" w:color="auto" w:fill="auto"/>
            <w:noWrap/>
            <w:vAlign w:val="center"/>
          </w:tcPr>
          <w:p w14:paraId="6BDC8E6C">
            <w:pPr>
              <w:pStyle w:val="23"/>
              <w:jc w:val="center"/>
              <w:rPr>
                <w:rFonts w:ascii="宋体" w:hAnsi="宋体"/>
                <w:kern w:val="0"/>
                <w:szCs w:val="21"/>
              </w:rPr>
            </w:pPr>
            <w:r>
              <w:rPr>
                <w:rFonts w:ascii="宋体" w:hAnsi="宋体"/>
                <w:kern w:val="0"/>
                <w:szCs w:val="21"/>
              </w:rPr>
              <w:t>42021</w:t>
            </w:r>
          </w:p>
        </w:tc>
        <w:tc>
          <w:tcPr>
            <w:tcW w:w="1065" w:type="pct"/>
            <w:shd w:val="clear" w:color="auto" w:fill="auto"/>
            <w:noWrap/>
            <w:vAlign w:val="center"/>
          </w:tcPr>
          <w:p w14:paraId="63B372C3">
            <w:pPr>
              <w:pStyle w:val="23"/>
              <w:jc w:val="center"/>
              <w:rPr>
                <w:rFonts w:ascii="宋体" w:hAnsi="宋体"/>
                <w:kern w:val="0"/>
                <w:szCs w:val="21"/>
              </w:rPr>
            </w:pPr>
            <w:r>
              <w:rPr>
                <w:rFonts w:ascii="宋体" w:hAnsi="宋体"/>
                <w:kern w:val="0"/>
                <w:szCs w:val="21"/>
              </w:rPr>
              <w:t>280</w:t>
            </w:r>
          </w:p>
        </w:tc>
        <w:tc>
          <w:tcPr>
            <w:tcW w:w="1065" w:type="pct"/>
            <w:shd w:val="clear" w:color="auto" w:fill="auto"/>
            <w:noWrap/>
            <w:vAlign w:val="center"/>
          </w:tcPr>
          <w:p w14:paraId="68C99600">
            <w:pPr>
              <w:pStyle w:val="23"/>
              <w:jc w:val="center"/>
              <w:rPr>
                <w:rFonts w:ascii="宋体" w:hAnsi="宋体"/>
                <w:kern w:val="0"/>
                <w:szCs w:val="21"/>
              </w:rPr>
            </w:pPr>
            <w:r>
              <w:rPr>
                <w:rFonts w:ascii="宋体" w:hAnsi="宋体"/>
                <w:kern w:val="0"/>
                <w:szCs w:val="21"/>
              </w:rPr>
              <w:t>11766</w:t>
            </w:r>
          </w:p>
        </w:tc>
      </w:tr>
      <w:tr w14:paraId="0363963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806" w:type="pct"/>
            <w:shd w:val="clear" w:color="auto" w:fill="auto"/>
            <w:noWrap/>
            <w:vAlign w:val="center"/>
          </w:tcPr>
          <w:p w14:paraId="196552D4">
            <w:pPr>
              <w:pStyle w:val="23"/>
              <w:ind w:firstLine="420" w:firstLineChars="200"/>
              <w:rPr>
                <w:rFonts w:ascii="宋体" w:hAnsi="宋体"/>
                <w:kern w:val="0"/>
                <w:szCs w:val="21"/>
              </w:rPr>
            </w:pPr>
            <w:r>
              <w:rPr>
                <w:rFonts w:ascii="宋体" w:hAnsi="宋体"/>
                <w:kern w:val="0"/>
                <w:szCs w:val="21"/>
              </w:rPr>
              <w:t>4、大豆</w:t>
            </w:r>
          </w:p>
        </w:tc>
        <w:tc>
          <w:tcPr>
            <w:tcW w:w="1065" w:type="pct"/>
            <w:shd w:val="clear" w:color="auto" w:fill="auto"/>
            <w:noWrap/>
            <w:vAlign w:val="center"/>
          </w:tcPr>
          <w:p w14:paraId="61A1A1E7">
            <w:pPr>
              <w:pStyle w:val="23"/>
              <w:jc w:val="center"/>
              <w:rPr>
                <w:rFonts w:ascii="宋体" w:hAnsi="宋体"/>
                <w:kern w:val="0"/>
                <w:szCs w:val="21"/>
              </w:rPr>
            </w:pPr>
            <w:r>
              <w:rPr>
                <w:rFonts w:ascii="宋体" w:hAnsi="宋体"/>
                <w:kern w:val="0"/>
                <w:szCs w:val="21"/>
              </w:rPr>
              <w:t>30955</w:t>
            </w:r>
          </w:p>
        </w:tc>
        <w:tc>
          <w:tcPr>
            <w:tcW w:w="1065" w:type="pct"/>
            <w:shd w:val="clear" w:color="auto" w:fill="auto"/>
            <w:noWrap/>
            <w:vAlign w:val="center"/>
          </w:tcPr>
          <w:p w14:paraId="0753166D">
            <w:pPr>
              <w:pStyle w:val="23"/>
              <w:jc w:val="center"/>
              <w:rPr>
                <w:rFonts w:ascii="宋体" w:hAnsi="宋体"/>
                <w:kern w:val="0"/>
                <w:szCs w:val="21"/>
              </w:rPr>
            </w:pPr>
            <w:r>
              <w:rPr>
                <w:rFonts w:ascii="宋体" w:hAnsi="宋体"/>
                <w:kern w:val="0"/>
                <w:szCs w:val="21"/>
              </w:rPr>
              <w:t>220</w:t>
            </w:r>
          </w:p>
        </w:tc>
        <w:tc>
          <w:tcPr>
            <w:tcW w:w="1065" w:type="pct"/>
            <w:shd w:val="clear" w:color="auto" w:fill="auto"/>
            <w:noWrap/>
            <w:vAlign w:val="center"/>
          </w:tcPr>
          <w:p w14:paraId="0400C2D8">
            <w:pPr>
              <w:pStyle w:val="23"/>
              <w:jc w:val="center"/>
              <w:rPr>
                <w:rFonts w:ascii="宋体" w:hAnsi="宋体"/>
                <w:kern w:val="0"/>
                <w:szCs w:val="21"/>
              </w:rPr>
            </w:pPr>
            <w:r>
              <w:rPr>
                <w:rFonts w:ascii="宋体" w:hAnsi="宋体"/>
                <w:kern w:val="0"/>
                <w:szCs w:val="21"/>
              </w:rPr>
              <w:t>6804</w:t>
            </w:r>
          </w:p>
        </w:tc>
      </w:tr>
      <w:tr w14:paraId="58548E7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806" w:type="pct"/>
            <w:shd w:val="clear" w:color="auto" w:fill="auto"/>
            <w:noWrap/>
            <w:vAlign w:val="center"/>
          </w:tcPr>
          <w:p w14:paraId="3537A952">
            <w:pPr>
              <w:pStyle w:val="23"/>
              <w:rPr>
                <w:rFonts w:ascii="宋体" w:hAnsi="宋体"/>
                <w:kern w:val="0"/>
                <w:szCs w:val="21"/>
              </w:rPr>
            </w:pPr>
            <w:r>
              <w:rPr>
                <w:rFonts w:ascii="宋体" w:hAnsi="宋体"/>
                <w:kern w:val="0"/>
                <w:szCs w:val="21"/>
              </w:rPr>
              <w:t>二、经济作物合计</w:t>
            </w:r>
          </w:p>
        </w:tc>
        <w:tc>
          <w:tcPr>
            <w:tcW w:w="1065" w:type="pct"/>
            <w:shd w:val="clear" w:color="auto" w:fill="auto"/>
            <w:noWrap/>
            <w:vAlign w:val="center"/>
          </w:tcPr>
          <w:p w14:paraId="44535025">
            <w:pPr>
              <w:pStyle w:val="23"/>
              <w:jc w:val="center"/>
              <w:rPr>
                <w:rFonts w:ascii="宋体" w:hAnsi="宋体"/>
                <w:kern w:val="0"/>
                <w:szCs w:val="21"/>
              </w:rPr>
            </w:pPr>
            <w:r>
              <w:rPr>
                <w:rFonts w:ascii="宋体" w:hAnsi="宋体"/>
                <w:kern w:val="0"/>
                <w:szCs w:val="21"/>
              </w:rPr>
              <w:t>261294</w:t>
            </w:r>
          </w:p>
        </w:tc>
        <w:tc>
          <w:tcPr>
            <w:tcW w:w="1065" w:type="pct"/>
            <w:shd w:val="clear" w:color="auto" w:fill="auto"/>
            <w:noWrap/>
            <w:vAlign w:val="center"/>
          </w:tcPr>
          <w:p w14:paraId="0FA37B03">
            <w:pPr>
              <w:pStyle w:val="23"/>
              <w:jc w:val="center"/>
              <w:rPr>
                <w:rFonts w:ascii="宋体" w:hAnsi="宋体"/>
                <w:kern w:val="0"/>
                <w:szCs w:val="21"/>
              </w:rPr>
            </w:pPr>
          </w:p>
        </w:tc>
        <w:tc>
          <w:tcPr>
            <w:tcW w:w="1065" w:type="pct"/>
            <w:shd w:val="clear" w:color="auto" w:fill="auto"/>
            <w:noWrap/>
            <w:vAlign w:val="center"/>
          </w:tcPr>
          <w:p w14:paraId="739BBE9D">
            <w:pPr>
              <w:pStyle w:val="23"/>
              <w:jc w:val="center"/>
              <w:rPr>
                <w:rFonts w:ascii="宋体" w:hAnsi="宋体"/>
                <w:kern w:val="0"/>
                <w:szCs w:val="21"/>
              </w:rPr>
            </w:pPr>
          </w:p>
        </w:tc>
      </w:tr>
      <w:tr w14:paraId="5DCCE05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806" w:type="pct"/>
            <w:shd w:val="clear" w:color="auto" w:fill="auto"/>
            <w:noWrap/>
            <w:vAlign w:val="center"/>
          </w:tcPr>
          <w:p w14:paraId="469D5D86">
            <w:pPr>
              <w:pStyle w:val="23"/>
              <w:ind w:firstLine="420" w:firstLineChars="200"/>
              <w:rPr>
                <w:rFonts w:ascii="宋体" w:hAnsi="宋体"/>
                <w:kern w:val="0"/>
                <w:szCs w:val="21"/>
              </w:rPr>
            </w:pPr>
            <w:r>
              <w:rPr>
                <w:rFonts w:ascii="宋体" w:hAnsi="宋体"/>
                <w:kern w:val="0"/>
                <w:szCs w:val="21"/>
              </w:rPr>
              <w:t>1、甘蔗(果蔗)</w:t>
            </w:r>
          </w:p>
        </w:tc>
        <w:tc>
          <w:tcPr>
            <w:tcW w:w="1065" w:type="pct"/>
            <w:shd w:val="clear" w:color="auto" w:fill="auto"/>
            <w:noWrap/>
            <w:vAlign w:val="center"/>
          </w:tcPr>
          <w:p w14:paraId="0C710621">
            <w:pPr>
              <w:pStyle w:val="23"/>
              <w:jc w:val="center"/>
              <w:rPr>
                <w:rFonts w:ascii="宋体" w:hAnsi="宋体"/>
                <w:kern w:val="0"/>
                <w:szCs w:val="21"/>
              </w:rPr>
            </w:pPr>
            <w:r>
              <w:rPr>
                <w:rFonts w:ascii="宋体" w:hAnsi="宋体"/>
                <w:kern w:val="0"/>
                <w:szCs w:val="21"/>
              </w:rPr>
              <w:t>30</w:t>
            </w:r>
          </w:p>
        </w:tc>
        <w:tc>
          <w:tcPr>
            <w:tcW w:w="1065" w:type="pct"/>
            <w:shd w:val="clear" w:color="auto" w:fill="auto"/>
            <w:noWrap/>
            <w:vAlign w:val="center"/>
          </w:tcPr>
          <w:p w14:paraId="5E4E20FD">
            <w:pPr>
              <w:pStyle w:val="23"/>
              <w:jc w:val="center"/>
              <w:rPr>
                <w:rFonts w:ascii="宋体" w:hAnsi="宋体"/>
                <w:kern w:val="0"/>
                <w:szCs w:val="21"/>
              </w:rPr>
            </w:pPr>
            <w:r>
              <w:rPr>
                <w:rFonts w:ascii="宋体" w:hAnsi="宋体"/>
                <w:kern w:val="0"/>
                <w:szCs w:val="21"/>
              </w:rPr>
              <w:t>2733</w:t>
            </w:r>
          </w:p>
        </w:tc>
        <w:tc>
          <w:tcPr>
            <w:tcW w:w="1065" w:type="pct"/>
            <w:shd w:val="clear" w:color="auto" w:fill="auto"/>
            <w:noWrap/>
            <w:vAlign w:val="center"/>
          </w:tcPr>
          <w:p w14:paraId="292A020A">
            <w:pPr>
              <w:pStyle w:val="23"/>
              <w:jc w:val="center"/>
              <w:rPr>
                <w:rFonts w:ascii="宋体" w:hAnsi="宋体"/>
                <w:kern w:val="0"/>
                <w:szCs w:val="21"/>
              </w:rPr>
            </w:pPr>
            <w:r>
              <w:rPr>
                <w:rFonts w:ascii="宋体" w:hAnsi="宋体"/>
                <w:kern w:val="0"/>
                <w:szCs w:val="21"/>
              </w:rPr>
              <w:t>82</w:t>
            </w:r>
          </w:p>
        </w:tc>
      </w:tr>
      <w:tr w14:paraId="1550C09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806" w:type="pct"/>
            <w:shd w:val="clear" w:color="auto" w:fill="auto"/>
            <w:noWrap/>
            <w:vAlign w:val="center"/>
          </w:tcPr>
          <w:p w14:paraId="58EDFC87">
            <w:pPr>
              <w:pStyle w:val="23"/>
              <w:ind w:firstLine="420" w:firstLineChars="200"/>
              <w:rPr>
                <w:rFonts w:ascii="宋体" w:hAnsi="宋体"/>
                <w:kern w:val="0"/>
                <w:szCs w:val="21"/>
              </w:rPr>
            </w:pPr>
            <w:r>
              <w:rPr>
                <w:rFonts w:ascii="宋体" w:hAnsi="宋体"/>
                <w:kern w:val="0"/>
                <w:szCs w:val="21"/>
              </w:rPr>
              <w:t>2、花生</w:t>
            </w:r>
          </w:p>
        </w:tc>
        <w:tc>
          <w:tcPr>
            <w:tcW w:w="1065" w:type="pct"/>
            <w:shd w:val="clear" w:color="auto" w:fill="auto"/>
            <w:noWrap/>
            <w:vAlign w:val="center"/>
          </w:tcPr>
          <w:p w14:paraId="7218D3FE">
            <w:pPr>
              <w:pStyle w:val="23"/>
              <w:jc w:val="center"/>
              <w:rPr>
                <w:rFonts w:ascii="宋体" w:hAnsi="宋体"/>
                <w:kern w:val="0"/>
                <w:szCs w:val="21"/>
              </w:rPr>
            </w:pPr>
            <w:r>
              <w:rPr>
                <w:rFonts w:ascii="宋体" w:hAnsi="宋体"/>
                <w:kern w:val="0"/>
                <w:szCs w:val="21"/>
              </w:rPr>
              <w:t>103579</w:t>
            </w:r>
          </w:p>
        </w:tc>
        <w:tc>
          <w:tcPr>
            <w:tcW w:w="1065" w:type="pct"/>
            <w:shd w:val="clear" w:color="auto" w:fill="auto"/>
            <w:noWrap/>
            <w:vAlign w:val="center"/>
          </w:tcPr>
          <w:p w14:paraId="677D5270">
            <w:pPr>
              <w:pStyle w:val="23"/>
              <w:jc w:val="center"/>
              <w:rPr>
                <w:rFonts w:ascii="宋体" w:hAnsi="宋体"/>
                <w:kern w:val="0"/>
                <w:szCs w:val="21"/>
              </w:rPr>
            </w:pPr>
            <w:r>
              <w:rPr>
                <w:rFonts w:ascii="宋体" w:hAnsi="宋体"/>
                <w:kern w:val="0"/>
                <w:szCs w:val="21"/>
              </w:rPr>
              <w:t>213</w:t>
            </w:r>
          </w:p>
        </w:tc>
        <w:tc>
          <w:tcPr>
            <w:tcW w:w="1065" w:type="pct"/>
            <w:shd w:val="clear" w:color="auto" w:fill="auto"/>
            <w:noWrap/>
            <w:vAlign w:val="center"/>
          </w:tcPr>
          <w:p w14:paraId="017AADB5">
            <w:pPr>
              <w:pStyle w:val="23"/>
              <w:jc w:val="center"/>
              <w:rPr>
                <w:rFonts w:ascii="宋体" w:hAnsi="宋体"/>
                <w:kern w:val="0"/>
                <w:szCs w:val="21"/>
              </w:rPr>
            </w:pPr>
            <w:r>
              <w:rPr>
                <w:rFonts w:ascii="宋体" w:hAnsi="宋体"/>
                <w:kern w:val="0"/>
                <w:szCs w:val="21"/>
              </w:rPr>
              <w:t>22062</w:t>
            </w:r>
          </w:p>
        </w:tc>
      </w:tr>
      <w:tr w14:paraId="7DC91F5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806" w:type="pct"/>
            <w:shd w:val="clear" w:color="auto" w:fill="auto"/>
            <w:noWrap/>
            <w:vAlign w:val="center"/>
          </w:tcPr>
          <w:p w14:paraId="38668233">
            <w:pPr>
              <w:pStyle w:val="23"/>
              <w:ind w:firstLine="420" w:firstLineChars="200"/>
              <w:rPr>
                <w:rFonts w:ascii="宋体" w:hAnsi="宋体"/>
                <w:kern w:val="0"/>
                <w:szCs w:val="21"/>
              </w:rPr>
            </w:pPr>
            <w:r>
              <w:rPr>
                <w:rFonts w:ascii="宋体" w:hAnsi="宋体"/>
                <w:kern w:val="0"/>
                <w:szCs w:val="21"/>
              </w:rPr>
              <w:t>3、油菜籽</w:t>
            </w:r>
          </w:p>
        </w:tc>
        <w:tc>
          <w:tcPr>
            <w:tcW w:w="1065" w:type="pct"/>
            <w:shd w:val="clear" w:color="auto" w:fill="auto"/>
            <w:noWrap/>
            <w:vAlign w:val="center"/>
          </w:tcPr>
          <w:p w14:paraId="15D8D036">
            <w:pPr>
              <w:pStyle w:val="23"/>
              <w:jc w:val="center"/>
              <w:rPr>
                <w:rFonts w:ascii="宋体" w:hAnsi="宋体"/>
                <w:kern w:val="0"/>
                <w:szCs w:val="21"/>
              </w:rPr>
            </w:pPr>
            <w:r>
              <w:rPr>
                <w:rFonts w:ascii="宋体" w:hAnsi="宋体"/>
                <w:kern w:val="0"/>
                <w:szCs w:val="21"/>
              </w:rPr>
              <w:t>4700</w:t>
            </w:r>
          </w:p>
        </w:tc>
        <w:tc>
          <w:tcPr>
            <w:tcW w:w="1065" w:type="pct"/>
            <w:shd w:val="clear" w:color="auto" w:fill="auto"/>
            <w:noWrap/>
            <w:vAlign w:val="center"/>
          </w:tcPr>
          <w:p w14:paraId="001D8851">
            <w:pPr>
              <w:pStyle w:val="23"/>
              <w:jc w:val="center"/>
              <w:rPr>
                <w:rFonts w:ascii="宋体" w:hAnsi="宋体"/>
                <w:kern w:val="0"/>
                <w:szCs w:val="21"/>
              </w:rPr>
            </w:pPr>
            <w:r>
              <w:rPr>
                <w:rFonts w:ascii="宋体" w:hAnsi="宋体"/>
                <w:kern w:val="0"/>
                <w:szCs w:val="21"/>
              </w:rPr>
              <w:t>42</w:t>
            </w:r>
          </w:p>
        </w:tc>
        <w:tc>
          <w:tcPr>
            <w:tcW w:w="1065" w:type="pct"/>
            <w:shd w:val="clear" w:color="auto" w:fill="auto"/>
            <w:noWrap/>
            <w:vAlign w:val="center"/>
          </w:tcPr>
          <w:p w14:paraId="536D624E">
            <w:pPr>
              <w:pStyle w:val="23"/>
              <w:jc w:val="center"/>
              <w:rPr>
                <w:rFonts w:ascii="宋体" w:hAnsi="宋体"/>
                <w:kern w:val="0"/>
                <w:szCs w:val="21"/>
              </w:rPr>
            </w:pPr>
            <w:r>
              <w:rPr>
                <w:rFonts w:ascii="宋体" w:hAnsi="宋体"/>
                <w:kern w:val="0"/>
                <w:szCs w:val="21"/>
              </w:rPr>
              <w:t>197</w:t>
            </w:r>
          </w:p>
        </w:tc>
      </w:tr>
      <w:tr w14:paraId="1A6C264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806" w:type="pct"/>
            <w:shd w:val="clear" w:color="auto" w:fill="auto"/>
            <w:noWrap/>
            <w:vAlign w:val="center"/>
          </w:tcPr>
          <w:p w14:paraId="3A3741A8">
            <w:pPr>
              <w:pStyle w:val="23"/>
              <w:ind w:firstLine="420" w:firstLineChars="200"/>
              <w:rPr>
                <w:rFonts w:ascii="宋体" w:hAnsi="宋体"/>
                <w:kern w:val="0"/>
                <w:szCs w:val="21"/>
              </w:rPr>
            </w:pPr>
            <w:r>
              <w:rPr>
                <w:rFonts w:ascii="宋体" w:hAnsi="宋体"/>
                <w:kern w:val="0"/>
                <w:szCs w:val="21"/>
              </w:rPr>
              <w:t>4、烟叶(黄烟)</w:t>
            </w:r>
          </w:p>
        </w:tc>
        <w:tc>
          <w:tcPr>
            <w:tcW w:w="1065" w:type="pct"/>
            <w:shd w:val="clear" w:color="auto" w:fill="auto"/>
            <w:noWrap/>
            <w:vAlign w:val="center"/>
          </w:tcPr>
          <w:p w14:paraId="41414054">
            <w:pPr>
              <w:pStyle w:val="23"/>
              <w:jc w:val="center"/>
              <w:rPr>
                <w:rFonts w:ascii="宋体" w:hAnsi="宋体"/>
                <w:kern w:val="0"/>
                <w:szCs w:val="21"/>
              </w:rPr>
            </w:pPr>
            <w:r>
              <w:rPr>
                <w:rFonts w:ascii="宋体" w:hAnsi="宋体"/>
                <w:kern w:val="0"/>
                <w:szCs w:val="21"/>
              </w:rPr>
              <w:t>148186</w:t>
            </w:r>
          </w:p>
        </w:tc>
        <w:tc>
          <w:tcPr>
            <w:tcW w:w="1065" w:type="pct"/>
            <w:shd w:val="clear" w:color="auto" w:fill="auto"/>
            <w:noWrap/>
            <w:vAlign w:val="center"/>
          </w:tcPr>
          <w:p w14:paraId="5391F98B">
            <w:pPr>
              <w:pStyle w:val="23"/>
              <w:jc w:val="center"/>
              <w:rPr>
                <w:rFonts w:ascii="宋体" w:hAnsi="宋体"/>
                <w:kern w:val="0"/>
                <w:szCs w:val="21"/>
              </w:rPr>
            </w:pPr>
            <w:r>
              <w:rPr>
                <w:rFonts w:ascii="宋体" w:hAnsi="宋体"/>
                <w:kern w:val="0"/>
                <w:szCs w:val="21"/>
              </w:rPr>
              <w:t>162</w:t>
            </w:r>
          </w:p>
        </w:tc>
        <w:tc>
          <w:tcPr>
            <w:tcW w:w="1065" w:type="pct"/>
            <w:shd w:val="clear" w:color="auto" w:fill="auto"/>
            <w:noWrap/>
            <w:vAlign w:val="center"/>
          </w:tcPr>
          <w:p w14:paraId="6EA0F70D">
            <w:pPr>
              <w:pStyle w:val="23"/>
              <w:jc w:val="center"/>
              <w:rPr>
                <w:rFonts w:ascii="宋体" w:hAnsi="宋体"/>
                <w:kern w:val="0"/>
                <w:szCs w:val="21"/>
              </w:rPr>
            </w:pPr>
            <w:r>
              <w:rPr>
                <w:rFonts w:ascii="宋体" w:hAnsi="宋体"/>
                <w:kern w:val="0"/>
                <w:szCs w:val="21"/>
              </w:rPr>
              <w:t>24001</w:t>
            </w:r>
          </w:p>
        </w:tc>
      </w:tr>
      <w:tr w14:paraId="2AF84D9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806" w:type="pct"/>
            <w:shd w:val="clear" w:color="auto" w:fill="auto"/>
            <w:noWrap/>
            <w:vAlign w:val="center"/>
          </w:tcPr>
          <w:p w14:paraId="0390C09F">
            <w:pPr>
              <w:pStyle w:val="23"/>
              <w:ind w:firstLine="420" w:firstLineChars="200"/>
              <w:rPr>
                <w:rFonts w:ascii="宋体" w:hAnsi="宋体"/>
                <w:kern w:val="0"/>
                <w:szCs w:val="21"/>
              </w:rPr>
            </w:pPr>
            <w:r>
              <w:rPr>
                <w:rFonts w:ascii="宋体" w:hAnsi="宋体"/>
                <w:kern w:val="0"/>
                <w:szCs w:val="21"/>
              </w:rPr>
              <w:t>5、药材(新种)</w:t>
            </w:r>
          </w:p>
        </w:tc>
        <w:tc>
          <w:tcPr>
            <w:tcW w:w="1065" w:type="pct"/>
            <w:shd w:val="clear" w:color="auto" w:fill="auto"/>
            <w:noWrap/>
            <w:vAlign w:val="center"/>
          </w:tcPr>
          <w:p w14:paraId="52ED0970">
            <w:pPr>
              <w:pStyle w:val="23"/>
              <w:jc w:val="center"/>
              <w:rPr>
                <w:rFonts w:ascii="宋体" w:hAnsi="宋体"/>
                <w:kern w:val="0"/>
                <w:szCs w:val="21"/>
              </w:rPr>
            </w:pPr>
            <w:r>
              <w:rPr>
                <w:rFonts w:ascii="宋体" w:hAnsi="宋体"/>
                <w:kern w:val="0"/>
                <w:szCs w:val="21"/>
              </w:rPr>
              <w:t>2510</w:t>
            </w:r>
          </w:p>
        </w:tc>
        <w:tc>
          <w:tcPr>
            <w:tcW w:w="1065" w:type="pct"/>
            <w:shd w:val="clear" w:color="auto" w:fill="auto"/>
            <w:noWrap/>
            <w:vAlign w:val="center"/>
          </w:tcPr>
          <w:p w14:paraId="2D0E91CF">
            <w:pPr>
              <w:pStyle w:val="23"/>
              <w:jc w:val="center"/>
              <w:rPr>
                <w:rFonts w:ascii="宋体" w:hAnsi="宋体"/>
                <w:kern w:val="0"/>
                <w:szCs w:val="21"/>
              </w:rPr>
            </w:pPr>
          </w:p>
        </w:tc>
        <w:tc>
          <w:tcPr>
            <w:tcW w:w="1065" w:type="pct"/>
            <w:shd w:val="clear" w:color="auto" w:fill="auto"/>
            <w:noWrap/>
            <w:vAlign w:val="center"/>
          </w:tcPr>
          <w:p w14:paraId="1AD9C6BC">
            <w:pPr>
              <w:pStyle w:val="23"/>
              <w:jc w:val="center"/>
              <w:rPr>
                <w:rFonts w:ascii="宋体" w:hAnsi="宋体"/>
                <w:kern w:val="0"/>
                <w:szCs w:val="21"/>
              </w:rPr>
            </w:pPr>
          </w:p>
        </w:tc>
      </w:tr>
      <w:tr w14:paraId="76F5538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806" w:type="pct"/>
            <w:shd w:val="clear" w:color="auto" w:fill="auto"/>
            <w:noWrap/>
            <w:vAlign w:val="center"/>
          </w:tcPr>
          <w:p w14:paraId="3BEC89FF">
            <w:pPr>
              <w:pStyle w:val="23"/>
              <w:ind w:firstLine="420" w:firstLineChars="200"/>
              <w:rPr>
                <w:rFonts w:ascii="宋体" w:hAnsi="宋体"/>
                <w:kern w:val="0"/>
                <w:szCs w:val="21"/>
              </w:rPr>
            </w:pPr>
            <w:r>
              <w:rPr>
                <w:rFonts w:ascii="宋体" w:hAnsi="宋体"/>
                <w:kern w:val="0"/>
                <w:szCs w:val="21"/>
              </w:rPr>
              <w:t>6、其它经济作物</w:t>
            </w:r>
          </w:p>
        </w:tc>
        <w:tc>
          <w:tcPr>
            <w:tcW w:w="1065" w:type="pct"/>
            <w:shd w:val="clear" w:color="auto" w:fill="auto"/>
            <w:noWrap/>
            <w:vAlign w:val="center"/>
          </w:tcPr>
          <w:p w14:paraId="262F4D39">
            <w:pPr>
              <w:pStyle w:val="23"/>
              <w:jc w:val="center"/>
              <w:rPr>
                <w:rFonts w:ascii="宋体" w:hAnsi="宋体"/>
                <w:kern w:val="0"/>
                <w:szCs w:val="21"/>
              </w:rPr>
            </w:pPr>
            <w:r>
              <w:rPr>
                <w:rFonts w:ascii="宋体" w:hAnsi="宋体"/>
                <w:kern w:val="0"/>
                <w:szCs w:val="21"/>
              </w:rPr>
              <w:t>2263</w:t>
            </w:r>
          </w:p>
        </w:tc>
        <w:tc>
          <w:tcPr>
            <w:tcW w:w="1065" w:type="pct"/>
            <w:shd w:val="clear" w:color="auto" w:fill="auto"/>
            <w:noWrap/>
            <w:vAlign w:val="center"/>
          </w:tcPr>
          <w:p w14:paraId="55D6E44F">
            <w:pPr>
              <w:pStyle w:val="23"/>
              <w:jc w:val="center"/>
              <w:rPr>
                <w:rFonts w:ascii="宋体" w:hAnsi="宋体"/>
                <w:kern w:val="0"/>
                <w:szCs w:val="21"/>
              </w:rPr>
            </w:pPr>
          </w:p>
        </w:tc>
        <w:tc>
          <w:tcPr>
            <w:tcW w:w="1065" w:type="pct"/>
            <w:shd w:val="clear" w:color="auto" w:fill="auto"/>
            <w:noWrap/>
            <w:vAlign w:val="center"/>
          </w:tcPr>
          <w:p w14:paraId="24468DA0">
            <w:pPr>
              <w:pStyle w:val="23"/>
              <w:jc w:val="center"/>
              <w:rPr>
                <w:rFonts w:ascii="宋体" w:hAnsi="宋体"/>
                <w:kern w:val="0"/>
                <w:szCs w:val="21"/>
              </w:rPr>
            </w:pPr>
          </w:p>
        </w:tc>
      </w:tr>
      <w:tr w14:paraId="715D693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806" w:type="pct"/>
            <w:shd w:val="clear" w:color="auto" w:fill="auto"/>
            <w:noWrap/>
            <w:vAlign w:val="center"/>
          </w:tcPr>
          <w:p w14:paraId="28988436">
            <w:pPr>
              <w:pStyle w:val="23"/>
              <w:rPr>
                <w:rFonts w:ascii="宋体" w:hAnsi="宋体"/>
                <w:kern w:val="0"/>
                <w:szCs w:val="21"/>
              </w:rPr>
            </w:pPr>
            <w:r>
              <w:rPr>
                <w:rFonts w:ascii="宋体" w:hAnsi="宋体"/>
                <w:kern w:val="0"/>
                <w:szCs w:val="21"/>
              </w:rPr>
              <w:t>三、其它作物合计</w:t>
            </w:r>
          </w:p>
        </w:tc>
        <w:tc>
          <w:tcPr>
            <w:tcW w:w="1065" w:type="pct"/>
            <w:shd w:val="clear" w:color="auto" w:fill="auto"/>
            <w:noWrap/>
            <w:vAlign w:val="center"/>
          </w:tcPr>
          <w:p w14:paraId="3E06FE12">
            <w:pPr>
              <w:pStyle w:val="23"/>
              <w:jc w:val="center"/>
              <w:rPr>
                <w:rFonts w:ascii="宋体" w:hAnsi="宋体"/>
                <w:kern w:val="0"/>
                <w:szCs w:val="21"/>
              </w:rPr>
            </w:pPr>
            <w:r>
              <w:rPr>
                <w:rFonts w:ascii="宋体" w:hAnsi="宋体"/>
                <w:kern w:val="0"/>
                <w:szCs w:val="21"/>
              </w:rPr>
              <w:t>116266</w:t>
            </w:r>
          </w:p>
        </w:tc>
        <w:tc>
          <w:tcPr>
            <w:tcW w:w="1065" w:type="pct"/>
            <w:shd w:val="clear" w:color="auto" w:fill="auto"/>
            <w:noWrap/>
            <w:vAlign w:val="center"/>
          </w:tcPr>
          <w:p w14:paraId="33CFB975">
            <w:pPr>
              <w:pStyle w:val="23"/>
              <w:jc w:val="center"/>
              <w:rPr>
                <w:rFonts w:ascii="宋体" w:hAnsi="宋体"/>
                <w:kern w:val="0"/>
                <w:szCs w:val="21"/>
              </w:rPr>
            </w:pPr>
          </w:p>
        </w:tc>
        <w:tc>
          <w:tcPr>
            <w:tcW w:w="1065" w:type="pct"/>
            <w:shd w:val="clear" w:color="auto" w:fill="auto"/>
            <w:noWrap/>
            <w:vAlign w:val="center"/>
          </w:tcPr>
          <w:p w14:paraId="53E74C2B">
            <w:pPr>
              <w:pStyle w:val="23"/>
              <w:jc w:val="center"/>
              <w:rPr>
                <w:rFonts w:ascii="宋体" w:hAnsi="宋体"/>
                <w:kern w:val="0"/>
                <w:szCs w:val="21"/>
              </w:rPr>
            </w:pPr>
          </w:p>
        </w:tc>
      </w:tr>
      <w:tr w14:paraId="55C181D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806" w:type="pct"/>
            <w:shd w:val="clear" w:color="auto" w:fill="auto"/>
            <w:noWrap/>
            <w:vAlign w:val="center"/>
          </w:tcPr>
          <w:p w14:paraId="18ACA9CA">
            <w:pPr>
              <w:pStyle w:val="23"/>
              <w:ind w:firstLine="420" w:firstLineChars="200"/>
              <w:rPr>
                <w:rFonts w:ascii="宋体" w:hAnsi="宋体"/>
                <w:kern w:val="0"/>
                <w:szCs w:val="21"/>
              </w:rPr>
            </w:pPr>
            <w:r>
              <w:rPr>
                <w:rFonts w:ascii="宋体" w:hAnsi="宋体"/>
                <w:kern w:val="0"/>
                <w:szCs w:val="21"/>
              </w:rPr>
              <w:t>其中</w:t>
            </w:r>
            <w:r>
              <w:rPr>
                <w:rFonts w:hint="eastAsia" w:ascii="宋体" w:hAnsi="宋体"/>
                <w:kern w:val="0"/>
                <w:szCs w:val="21"/>
              </w:rPr>
              <w:t>：</w:t>
            </w:r>
            <w:r>
              <w:rPr>
                <w:rFonts w:ascii="宋体" w:hAnsi="宋体"/>
                <w:kern w:val="0"/>
                <w:szCs w:val="21"/>
              </w:rPr>
              <w:t>蔬菜</w:t>
            </w:r>
          </w:p>
        </w:tc>
        <w:tc>
          <w:tcPr>
            <w:tcW w:w="1065" w:type="pct"/>
            <w:shd w:val="clear" w:color="auto" w:fill="auto"/>
            <w:noWrap/>
            <w:vAlign w:val="center"/>
          </w:tcPr>
          <w:p w14:paraId="0AB5CE46">
            <w:pPr>
              <w:pStyle w:val="23"/>
              <w:jc w:val="center"/>
              <w:rPr>
                <w:rFonts w:ascii="宋体" w:hAnsi="宋体"/>
                <w:kern w:val="0"/>
                <w:szCs w:val="21"/>
              </w:rPr>
            </w:pPr>
            <w:r>
              <w:rPr>
                <w:rFonts w:ascii="宋体" w:hAnsi="宋体"/>
                <w:kern w:val="0"/>
                <w:szCs w:val="21"/>
              </w:rPr>
              <w:t>99964</w:t>
            </w:r>
          </w:p>
        </w:tc>
        <w:tc>
          <w:tcPr>
            <w:tcW w:w="1065" w:type="pct"/>
            <w:shd w:val="clear" w:color="auto" w:fill="auto"/>
            <w:noWrap/>
            <w:vAlign w:val="center"/>
          </w:tcPr>
          <w:p w14:paraId="10FA5C88">
            <w:pPr>
              <w:pStyle w:val="23"/>
              <w:jc w:val="center"/>
              <w:rPr>
                <w:rFonts w:ascii="宋体" w:hAnsi="宋体"/>
                <w:kern w:val="0"/>
                <w:szCs w:val="21"/>
              </w:rPr>
            </w:pPr>
            <w:r>
              <w:rPr>
                <w:rFonts w:ascii="宋体" w:hAnsi="宋体"/>
                <w:kern w:val="0"/>
                <w:szCs w:val="21"/>
              </w:rPr>
              <w:t>1636</w:t>
            </w:r>
          </w:p>
        </w:tc>
        <w:tc>
          <w:tcPr>
            <w:tcW w:w="1065" w:type="pct"/>
            <w:shd w:val="clear" w:color="auto" w:fill="auto"/>
            <w:noWrap/>
            <w:vAlign w:val="center"/>
          </w:tcPr>
          <w:p w14:paraId="25FBCA60">
            <w:pPr>
              <w:pStyle w:val="23"/>
              <w:jc w:val="center"/>
              <w:rPr>
                <w:rFonts w:ascii="宋体" w:hAnsi="宋体"/>
                <w:kern w:val="0"/>
                <w:szCs w:val="21"/>
              </w:rPr>
            </w:pPr>
            <w:r>
              <w:rPr>
                <w:rFonts w:ascii="宋体" w:hAnsi="宋体"/>
                <w:kern w:val="0"/>
                <w:szCs w:val="21"/>
              </w:rPr>
              <w:t>163500</w:t>
            </w:r>
          </w:p>
        </w:tc>
      </w:tr>
      <w:tr w14:paraId="1A3749F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806" w:type="pct"/>
            <w:shd w:val="clear" w:color="auto" w:fill="auto"/>
            <w:noWrap/>
            <w:vAlign w:val="center"/>
          </w:tcPr>
          <w:p w14:paraId="565EC523">
            <w:pPr>
              <w:pStyle w:val="23"/>
              <w:ind w:firstLine="1050" w:firstLineChars="500"/>
              <w:rPr>
                <w:rFonts w:ascii="宋体" w:hAnsi="宋体"/>
                <w:kern w:val="0"/>
                <w:szCs w:val="21"/>
              </w:rPr>
            </w:pPr>
            <w:r>
              <w:rPr>
                <w:rFonts w:ascii="宋体" w:hAnsi="宋体"/>
                <w:kern w:val="0"/>
                <w:szCs w:val="21"/>
              </w:rPr>
              <w:t>瓜类(果用瓜)</w:t>
            </w:r>
          </w:p>
        </w:tc>
        <w:tc>
          <w:tcPr>
            <w:tcW w:w="1065" w:type="pct"/>
            <w:shd w:val="clear" w:color="auto" w:fill="auto"/>
            <w:noWrap/>
            <w:vAlign w:val="center"/>
          </w:tcPr>
          <w:p w14:paraId="0FBAF3FF">
            <w:pPr>
              <w:pStyle w:val="23"/>
              <w:jc w:val="center"/>
              <w:rPr>
                <w:rFonts w:ascii="宋体" w:hAnsi="宋体"/>
                <w:kern w:val="0"/>
                <w:szCs w:val="21"/>
              </w:rPr>
            </w:pPr>
            <w:r>
              <w:rPr>
                <w:rFonts w:ascii="宋体" w:hAnsi="宋体"/>
                <w:kern w:val="0"/>
                <w:szCs w:val="21"/>
              </w:rPr>
              <w:t>5096</w:t>
            </w:r>
          </w:p>
        </w:tc>
        <w:tc>
          <w:tcPr>
            <w:tcW w:w="1065" w:type="pct"/>
            <w:shd w:val="clear" w:color="auto" w:fill="auto"/>
            <w:noWrap/>
            <w:vAlign w:val="center"/>
          </w:tcPr>
          <w:p w14:paraId="5D9E4243">
            <w:pPr>
              <w:pStyle w:val="23"/>
              <w:jc w:val="center"/>
              <w:rPr>
                <w:rFonts w:ascii="宋体" w:hAnsi="宋体"/>
                <w:kern w:val="0"/>
                <w:szCs w:val="21"/>
              </w:rPr>
            </w:pPr>
            <w:r>
              <w:rPr>
                <w:rFonts w:ascii="宋体" w:hAnsi="宋体"/>
                <w:kern w:val="0"/>
                <w:szCs w:val="21"/>
              </w:rPr>
              <w:t>1596</w:t>
            </w:r>
          </w:p>
        </w:tc>
        <w:tc>
          <w:tcPr>
            <w:tcW w:w="1065" w:type="pct"/>
            <w:shd w:val="clear" w:color="auto" w:fill="auto"/>
            <w:noWrap/>
            <w:vAlign w:val="center"/>
          </w:tcPr>
          <w:p w14:paraId="7CDA361D">
            <w:pPr>
              <w:pStyle w:val="23"/>
              <w:jc w:val="center"/>
              <w:rPr>
                <w:rFonts w:ascii="宋体" w:hAnsi="宋体"/>
                <w:kern w:val="0"/>
                <w:szCs w:val="21"/>
              </w:rPr>
            </w:pPr>
            <w:r>
              <w:rPr>
                <w:rFonts w:ascii="宋体" w:hAnsi="宋体"/>
                <w:kern w:val="0"/>
                <w:szCs w:val="21"/>
              </w:rPr>
              <w:t>8132</w:t>
            </w:r>
          </w:p>
        </w:tc>
      </w:tr>
      <w:tr w14:paraId="5187631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806" w:type="pct"/>
            <w:shd w:val="clear" w:color="auto" w:fill="auto"/>
            <w:noWrap/>
            <w:vAlign w:val="center"/>
          </w:tcPr>
          <w:p w14:paraId="0D142501">
            <w:pPr>
              <w:pStyle w:val="23"/>
              <w:ind w:firstLine="1050" w:firstLineChars="500"/>
              <w:rPr>
                <w:rFonts w:ascii="宋体" w:hAnsi="宋体"/>
                <w:kern w:val="0"/>
                <w:szCs w:val="21"/>
              </w:rPr>
            </w:pPr>
            <w:r>
              <w:rPr>
                <w:rFonts w:ascii="宋体" w:hAnsi="宋体"/>
                <w:kern w:val="0"/>
                <w:szCs w:val="21"/>
              </w:rPr>
              <w:t>绿肥</w:t>
            </w:r>
          </w:p>
        </w:tc>
        <w:tc>
          <w:tcPr>
            <w:tcW w:w="1065" w:type="pct"/>
            <w:shd w:val="clear" w:color="auto" w:fill="auto"/>
            <w:noWrap/>
            <w:vAlign w:val="center"/>
          </w:tcPr>
          <w:p w14:paraId="7F212AD8">
            <w:pPr>
              <w:pStyle w:val="23"/>
              <w:jc w:val="center"/>
              <w:rPr>
                <w:rFonts w:ascii="宋体" w:hAnsi="宋体"/>
                <w:kern w:val="0"/>
                <w:szCs w:val="21"/>
              </w:rPr>
            </w:pPr>
            <w:r>
              <w:rPr>
                <w:rFonts w:ascii="宋体" w:hAnsi="宋体"/>
                <w:kern w:val="0"/>
                <w:szCs w:val="21"/>
              </w:rPr>
              <w:t>3501</w:t>
            </w:r>
          </w:p>
        </w:tc>
        <w:tc>
          <w:tcPr>
            <w:tcW w:w="1065" w:type="pct"/>
            <w:shd w:val="clear" w:color="auto" w:fill="auto"/>
            <w:noWrap/>
            <w:vAlign w:val="center"/>
          </w:tcPr>
          <w:p w14:paraId="74921AA1">
            <w:pPr>
              <w:pStyle w:val="23"/>
              <w:jc w:val="center"/>
              <w:rPr>
                <w:rFonts w:ascii="宋体" w:hAnsi="宋体"/>
                <w:kern w:val="0"/>
                <w:szCs w:val="21"/>
              </w:rPr>
            </w:pPr>
          </w:p>
        </w:tc>
        <w:tc>
          <w:tcPr>
            <w:tcW w:w="1065" w:type="pct"/>
            <w:shd w:val="clear" w:color="auto" w:fill="auto"/>
            <w:noWrap/>
            <w:vAlign w:val="center"/>
          </w:tcPr>
          <w:p w14:paraId="254DB1D3">
            <w:pPr>
              <w:pStyle w:val="23"/>
              <w:jc w:val="center"/>
              <w:rPr>
                <w:rFonts w:ascii="宋体" w:hAnsi="宋体"/>
                <w:kern w:val="0"/>
                <w:szCs w:val="21"/>
              </w:rPr>
            </w:pPr>
          </w:p>
        </w:tc>
      </w:tr>
    </w:tbl>
    <w:p w14:paraId="02995283">
      <w:pPr>
        <w:ind w:firstLine="0" w:firstLineChars="0"/>
        <w:jc w:val="center"/>
        <w:rPr>
          <w:b/>
        </w:rPr>
      </w:pPr>
      <w:r>
        <w:rPr>
          <w:rFonts w:hint="eastAsia"/>
          <w:b/>
        </w:rPr>
        <w:t>表46 水果、茶叶和蚕茧生产情况</w:t>
      </w:r>
    </w:p>
    <w:tbl>
      <w:tblPr>
        <w:tblStyle w:val="14"/>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095"/>
        <w:gridCol w:w="2933"/>
        <w:gridCol w:w="2934"/>
      </w:tblGrid>
      <w:tr w14:paraId="12DAC77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055" w:type="pct"/>
            <w:shd w:val="clear" w:color="auto" w:fill="auto"/>
            <w:noWrap/>
            <w:vAlign w:val="center"/>
          </w:tcPr>
          <w:p w14:paraId="66A02F1B">
            <w:pPr>
              <w:pStyle w:val="23"/>
              <w:jc w:val="center"/>
              <w:rPr>
                <w:rFonts w:ascii="宋体" w:hAnsi="宋体"/>
                <w:b/>
                <w:kern w:val="0"/>
              </w:rPr>
            </w:pPr>
            <w:r>
              <w:rPr>
                <w:rFonts w:ascii="宋体" w:hAnsi="宋体"/>
                <w:b/>
                <w:kern w:val="0"/>
              </w:rPr>
              <w:t>指标名称</w:t>
            </w:r>
          </w:p>
        </w:tc>
        <w:tc>
          <w:tcPr>
            <w:tcW w:w="1472" w:type="pct"/>
            <w:shd w:val="clear" w:color="auto" w:fill="auto"/>
            <w:noWrap/>
            <w:vAlign w:val="center"/>
          </w:tcPr>
          <w:p w14:paraId="6B3A7BA8">
            <w:pPr>
              <w:pStyle w:val="23"/>
              <w:jc w:val="center"/>
              <w:rPr>
                <w:rFonts w:ascii="宋体" w:hAnsi="宋体"/>
                <w:b/>
                <w:kern w:val="0"/>
              </w:rPr>
            </w:pPr>
            <w:r>
              <w:rPr>
                <w:rFonts w:ascii="宋体" w:hAnsi="宋体"/>
                <w:b/>
                <w:kern w:val="0"/>
              </w:rPr>
              <w:t>年末实有面积(亩)</w:t>
            </w:r>
          </w:p>
        </w:tc>
        <w:tc>
          <w:tcPr>
            <w:tcW w:w="1472" w:type="pct"/>
            <w:shd w:val="clear" w:color="auto" w:fill="auto"/>
            <w:noWrap/>
            <w:vAlign w:val="center"/>
          </w:tcPr>
          <w:p w14:paraId="5403C2D2">
            <w:pPr>
              <w:pStyle w:val="23"/>
              <w:jc w:val="center"/>
              <w:rPr>
                <w:rFonts w:ascii="宋体" w:hAnsi="宋体"/>
                <w:b/>
                <w:kern w:val="0"/>
              </w:rPr>
            </w:pPr>
            <w:r>
              <w:rPr>
                <w:rFonts w:ascii="宋体" w:hAnsi="宋体"/>
                <w:b/>
                <w:kern w:val="0"/>
              </w:rPr>
              <w:t>总产量(吨)</w:t>
            </w:r>
          </w:p>
        </w:tc>
      </w:tr>
      <w:tr w14:paraId="26A0C07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055" w:type="pct"/>
            <w:shd w:val="clear" w:color="auto" w:fill="auto"/>
            <w:noWrap/>
            <w:vAlign w:val="center"/>
          </w:tcPr>
          <w:p w14:paraId="3DB68506">
            <w:pPr>
              <w:pStyle w:val="23"/>
              <w:ind w:firstLine="420" w:firstLineChars="200"/>
              <w:rPr>
                <w:rFonts w:ascii="宋体" w:hAnsi="宋体"/>
                <w:kern w:val="0"/>
              </w:rPr>
            </w:pPr>
            <w:r>
              <w:rPr>
                <w:rFonts w:ascii="宋体" w:hAnsi="宋体"/>
                <w:kern w:val="0"/>
              </w:rPr>
              <w:t>一、水果合计</w:t>
            </w:r>
          </w:p>
        </w:tc>
        <w:tc>
          <w:tcPr>
            <w:tcW w:w="1472" w:type="pct"/>
            <w:shd w:val="clear" w:color="auto" w:fill="auto"/>
            <w:noWrap/>
            <w:vAlign w:val="center"/>
          </w:tcPr>
          <w:p w14:paraId="4A9C871F">
            <w:pPr>
              <w:pStyle w:val="23"/>
              <w:jc w:val="center"/>
              <w:rPr>
                <w:rFonts w:ascii="宋体" w:hAnsi="宋体"/>
                <w:kern w:val="0"/>
              </w:rPr>
            </w:pPr>
            <w:r>
              <w:rPr>
                <w:rFonts w:ascii="宋体" w:hAnsi="宋体"/>
                <w:kern w:val="0"/>
              </w:rPr>
              <w:t>40358</w:t>
            </w:r>
          </w:p>
        </w:tc>
        <w:tc>
          <w:tcPr>
            <w:tcW w:w="1472" w:type="pct"/>
            <w:shd w:val="clear" w:color="auto" w:fill="auto"/>
            <w:noWrap/>
            <w:vAlign w:val="center"/>
          </w:tcPr>
          <w:p w14:paraId="4F9335BE">
            <w:pPr>
              <w:pStyle w:val="23"/>
              <w:jc w:val="center"/>
              <w:rPr>
                <w:rFonts w:ascii="宋体" w:hAnsi="宋体"/>
                <w:kern w:val="0"/>
              </w:rPr>
            </w:pPr>
            <w:r>
              <w:rPr>
                <w:rFonts w:ascii="宋体" w:hAnsi="宋体"/>
                <w:kern w:val="0"/>
              </w:rPr>
              <w:t>18976</w:t>
            </w:r>
          </w:p>
        </w:tc>
      </w:tr>
      <w:tr w14:paraId="43ACB3F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055" w:type="pct"/>
            <w:shd w:val="clear" w:color="auto" w:fill="auto"/>
            <w:noWrap/>
            <w:vAlign w:val="center"/>
          </w:tcPr>
          <w:p w14:paraId="5DDD1535">
            <w:pPr>
              <w:pStyle w:val="23"/>
              <w:ind w:firstLine="630" w:firstLineChars="300"/>
              <w:rPr>
                <w:rFonts w:ascii="宋体" w:hAnsi="宋体"/>
                <w:kern w:val="0"/>
              </w:rPr>
            </w:pPr>
            <w:r>
              <w:rPr>
                <w:rFonts w:ascii="宋体" w:hAnsi="宋体"/>
                <w:kern w:val="0"/>
              </w:rPr>
              <w:t>1、柑、桔、橙</w:t>
            </w:r>
          </w:p>
        </w:tc>
        <w:tc>
          <w:tcPr>
            <w:tcW w:w="1472" w:type="pct"/>
            <w:shd w:val="clear" w:color="auto" w:fill="auto"/>
            <w:noWrap/>
            <w:vAlign w:val="center"/>
          </w:tcPr>
          <w:p w14:paraId="394485DC">
            <w:pPr>
              <w:pStyle w:val="23"/>
              <w:jc w:val="center"/>
              <w:rPr>
                <w:rFonts w:ascii="宋体" w:hAnsi="宋体"/>
                <w:kern w:val="0"/>
              </w:rPr>
            </w:pPr>
            <w:r>
              <w:rPr>
                <w:rFonts w:ascii="宋体" w:hAnsi="宋体"/>
                <w:kern w:val="0"/>
              </w:rPr>
              <w:t>27488</w:t>
            </w:r>
          </w:p>
        </w:tc>
        <w:tc>
          <w:tcPr>
            <w:tcW w:w="1472" w:type="pct"/>
            <w:shd w:val="clear" w:color="auto" w:fill="auto"/>
            <w:noWrap/>
            <w:vAlign w:val="center"/>
          </w:tcPr>
          <w:p w14:paraId="0645DBF9">
            <w:pPr>
              <w:pStyle w:val="23"/>
              <w:jc w:val="center"/>
              <w:rPr>
                <w:rFonts w:ascii="宋体" w:hAnsi="宋体"/>
                <w:kern w:val="0"/>
              </w:rPr>
            </w:pPr>
            <w:r>
              <w:rPr>
                <w:rFonts w:ascii="宋体" w:hAnsi="宋体"/>
                <w:kern w:val="0"/>
              </w:rPr>
              <w:t>10689</w:t>
            </w:r>
          </w:p>
        </w:tc>
      </w:tr>
      <w:tr w14:paraId="0181AAF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055" w:type="pct"/>
            <w:shd w:val="clear" w:color="auto" w:fill="auto"/>
            <w:noWrap/>
            <w:vAlign w:val="center"/>
          </w:tcPr>
          <w:p w14:paraId="29D1350E">
            <w:pPr>
              <w:pStyle w:val="23"/>
              <w:ind w:firstLine="630" w:firstLineChars="300"/>
              <w:rPr>
                <w:rFonts w:ascii="宋体" w:hAnsi="宋体"/>
                <w:kern w:val="0"/>
              </w:rPr>
            </w:pPr>
            <w:r>
              <w:rPr>
                <w:rFonts w:ascii="宋体" w:hAnsi="宋体"/>
                <w:kern w:val="0"/>
              </w:rPr>
              <w:t>2、梨</w:t>
            </w:r>
          </w:p>
        </w:tc>
        <w:tc>
          <w:tcPr>
            <w:tcW w:w="1472" w:type="pct"/>
            <w:shd w:val="clear" w:color="auto" w:fill="auto"/>
            <w:noWrap/>
            <w:vAlign w:val="center"/>
          </w:tcPr>
          <w:p w14:paraId="10DBA7F0">
            <w:pPr>
              <w:pStyle w:val="23"/>
              <w:jc w:val="center"/>
              <w:rPr>
                <w:rFonts w:ascii="宋体" w:hAnsi="宋体"/>
                <w:kern w:val="0"/>
              </w:rPr>
            </w:pPr>
            <w:r>
              <w:rPr>
                <w:rFonts w:ascii="宋体" w:hAnsi="宋体"/>
                <w:kern w:val="0"/>
              </w:rPr>
              <w:t>1326</w:t>
            </w:r>
          </w:p>
        </w:tc>
        <w:tc>
          <w:tcPr>
            <w:tcW w:w="1472" w:type="pct"/>
            <w:shd w:val="clear" w:color="auto" w:fill="auto"/>
            <w:noWrap/>
            <w:vAlign w:val="center"/>
          </w:tcPr>
          <w:p w14:paraId="225A6E86">
            <w:pPr>
              <w:pStyle w:val="23"/>
              <w:jc w:val="center"/>
              <w:rPr>
                <w:rFonts w:ascii="宋体" w:hAnsi="宋体"/>
                <w:kern w:val="0"/>
              </w:rPr>
            </w:pPr>
            <w:r>
              <w:rPr>
                <w:rFonts w:ascii="宋体" w:hAnsi="宋体"/>
                <w:kern w:val="0"/>
              </w:rPr>
              <w:t>935</w:t>
            </w:r>
          </w:p>
        </w:tc>
      </w:tr>
      <w:tr w14:paraId="19C6706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055" w:type="pct"/>
            <w:shd w:val="clear" w:color="auto" w:fill="auto"/>
            <w:noWrap/>
            <w:vAlign w:val="center"/>
          </w:tcPr>
          <w:p w14:paraId="53C0D0BE">
            <w:pPr>
              <w:pStyle w:val="23"/>
              <w:ind w:firstLine="630" w:firstLineChars="300"/>
              <w:rPr>
                <w:rFonts w:ascii="宋体" w:hAnsi="宋体"/>
                <w:kern w:val="0"/>
              </w:rPr>
            </w:pPr>
            <w:r>
              <w:rPr>
                <w:rFonts w:ascii="宋体" w:hAnsi="宋体"/>
                <w:kern w:val="0"/>
              </w:rPr>
              <w:t>3、柿子</w:t>
            </w:r>
          </w:p>
        </w:tc>
        <w:tc>
          <w:tcPr>
            <w:tcW w:w="1472" w:type="pct"/>
            <w:shd w:val="clear" w:color="auto" w:fill="auto"/>
            <w:noWrap/>
            <w:vAlign w:val="center"/>
          </w:tcPr>
          <w:p w14:paraId="6B99810C">
            <w:pPr>
              <w:pStyle w:val="23"/>
              <w:jc w:val="center"/>
              <w:rPr>
                <w:rFonts w:ascii="宋体" w:hAnsi="宋体"/>
                <w:kern w:val="0"/>
              </w:rPr>
            </w:pPr>
            <w:r>
              <w:rPr>
                <w:rFonts w:ascii="宋体" w:hAnsi="宋体"/>
                <w:kern w:val="0"/>
              </w:rPr>
              <w:t>24</w:t>
            </w:r>
          </w:p>
        </w:tc>
        <w:tc>
          <w:tcPr>
            <w:tcW w:w="1472" w:type="pct"/>
            <w:shd w:val="clear" w:color="auto" w:fill="auto"/>
            <w:noWrap/>
            <w:vAlign w:val="center"/>
          </w:tcPr>
          <w:p w14:paraId="228FFAC9">
            <w:pPr>
              <w:pStyle w:val="23"/>
              <w:jc w:val="center"/>
              <w:rPr>
                <w:rFonts w:ascii="宋体" w:hAnsi="宋体"/>
                <w:kern w:val="0"/>
              </w:rPr>
            </w:pPr>
            <w:r>
              <w:rPr>
                <w:rFonts w:ascii="宋体" w:hAnsi="宋体"/>
                <w:kern w:val="0"/>
              </w:rPr>
              <w:t>27</w:t>
            </w:r>
          </w:p>
        </w:tc>
      </w:tr>
      <w:tr w14:paraId="6DC5A1F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055" w:type="pct"/>
            <w:shd w:val="clear" w:color="auto" w:fill="auto"/>
            <w:noWrap/>
            <w:vAlign w:val="center"/>
          </w:tcPr>
          <w:p w14:paraId="748ECE78">
            <w:pPr>
              <w:pStyle w:val="23"/>
              <w:ind w:firstLine="630" w:firstLineChars="300"/>
              <w:rPr>
                <w:rFonts w:ascii="宋体" w:hAnsi="宋体"/>
                <w:kern w:val="0"/>
              </w:rPr>
            </w:pPr>
            <w:r>
              <w:rPr>
                <w:rFonts w:ascii="宋体" w:hAnsi="宋体"/>
                <w:kern w:val="0"/>
              </w:rPr>
              <w:t>4、李子</w:t>
            </w:r>
          </w:p>
        </w:tc>
        <w:tc>
          <w:tcPr>
            <w:tcW w:w="1472" w:type="pct"/>
            <w:shd w:val="clear" w:color="auto" w:fill="auto"/>
            <w:noWrap/>
            <w:vAlign w:val="center"/>
          </w:tcPr>
          <w:p w14:paraId="0B1967F1">
            <w:pPr>
              <w:pStyle w:val="23"/>
              <w:jc w:val="center"/>
              <w:rPr>
                <w:rFonts w:ascii="宋体" w:hAnsi="宋体"/>
                <w:kern w:val="0"/>
              </w:rPr>
            </w:pPr>
            <w:r>
              <w:rPr>
                <w:rFonts w:ascii="宋体" w:hAnsi="宋体"/>
                <w:kern w:val="0"/>
              </w:rPr>
              <w:t>10567</w:t>
            </w:r>
          </w:p>
        </w:tc>
        <w:tc>
          <w:tcPr>
            <w:tcW w:w="1472" w:type="pct"/>
            <w:shd w:val="clear" w:color="auto" w:fill="auto"/>
            <w:noWrap/>
            <w:vAlign w:val="center"/>
          </w:tcPr>
          <w:p w14:paraId="2686ACA9">
            <w:pPr>
              <w:pStyle w:val="23"/>
              <w:jc w:val="center"/>
              <w:rPr>
                <w:rFonts w:ascii="宋体" w:hAnsi="宋体"/>
                <w:kern w:val="0"/>
              </w:rPr>
            </w:pPr>
            <w:r>
              <w:rPr>
                <w:rFonts w:ascii="宋体" w:hAnsi="宋体"/>
                <w:kern w:val="0"/>
              </w:rPr>
              <w:t>6879</w:t>
            </w:r>
          </w:p>
        </w:tc>
      </w:tr>
      <w:tr w14:paraId="4B064D3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055" w:type="pct"/>
            <w:shd w:val="clear" w:color="auto" w:fill="auto"/>
            <w:noWrap/>
            <w:vAlign w:val="center"/>
          </w:tcPr>
          <w:p w14:paraId="1567B57E">
            <w:pPr>
              <w:pStyle w:val="23"/>
              <w:ind w:firstLine="630" w:firstLineChars="300"/>
              <w:rPr>
                <w:rFonts w:ascii="宋体" w:hAnsi="宋体"/>
                <w:kern w:val="0"/>
              </w:rPr>
            </w:pPr>
            <w:r>
              <w:rPr>
                <w:rFonts w:ascii="宋体" w:hAnsi="宋体"/>
                <w:kern w:val="0"/>
              </w:rPr>
              <w:t>5、柚子</w:t>
            </w:r>
          </w:p>
        </w:tc>
        <w:tc>
          <w:tcPr>
            <w:tcW w:w="1472" w:type="pct"/>
            <w:shd w:val="clear" w:color="auto" w:fill="auto"/>
            <w:noWrap/>
            <w:vAlign w:val="center"/>
          </w:tcPr>
          <w:p w14:paraId="0DDFE3C8">
            <w:pPr>
              <w:pStyle w:val="23"/>
              <w:jc w:val="center"/>
              <w:rPr>
                <w:rFonts w:ascii="宋体" w:hAnsi="宋体"/>
                <w:kern w:val="0"/>
              </w:rPr>
            </w:pPr>
            <w:r>
              <w:rPr>
                <w:rFonts w:ascii="宋体" w:hAnsi="宋体"/>
                <w:kern w:val="0"/>
              </w:rPr>
              <w:t>611</w:t>
            </w:r>
          </w:p>
        </w:tc>
        <w:tc>
          <w:tcPr>
            <w:tcW w:w="1472" w:type="pct"/>
            <w:shd w:val="clear" w:color="auto" w:fill="auto"/>
            <w:noWrap/>
            <w:vAlign w:val="center"/>
          </w:tcPr>
          <w:p w14:paraId="5F6FAE2E">
            <w:pPr>
              <w:pStyle w:val="23"/>
              <w:jc w:val="center"/>
              <w:rPr>
                <w:rFonts w:ascii="宋体" w:hAnsi="宋体"/>
                <w:kern w:val="0"/>
              </w:rPr>
            </w:pPr>
            <w:r>
              <w:rPr>
                <w:rFonts w:ascii="宋体" w:hAnsi="宋体"/>
                <w:kern w:val="0"/>
              </w:rPr>
              <w:t>268</w:t>
            </w:r>
          </w:p>
        </w:tc>
      </w:tr>
      <w:tr w14:paraId="265CDB3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055" w:type="pct"/>
            <w:shd w:val="clear" w:color="auto" w:fill="auto"/>
            <w:noWrap/>
            <w:vAlign w:val="center"/>
          </w:tcPr>
          <w:p w14:paraId="1BDF4A09">
            <w:pPr>
              <w:pStyle w:val="23"/>
              <w:ind w:firstLine="630" w:firstLineChars="300"/>
              <w:rPr>
                <w:rFonts w:ascii="宋体" w:hAnsi="宋体"/>
                <w:kern w:val="0"/>
              </w:rPr>
            </w:pPr>
            <w:r>
              <w:rPr>
                <w:rFonts w:ascii="宋体" w:hAnsi="宋体"/>
                <w:kern w:val="0"/>
              </w:rPr>
              <w:t>6、其它杂果</w:t>
            </w:r>
          </w:p>
        </w:tc>
        <w:tc>
          <w:tcPr>
            <w:tcW w:w="1472" w:type="pct"/>
            <w:shd w:val="clear" w:color="auto" w:fill="auto"/>
            <w:noWrap/>
            <w:vAlign w:val="center"/>
          </w:tcPr>
          <w:p w14:paraId="74F50F4D">
            <w:pPr>
              <w:pStyle w:val="23"/>
              <w:jc w:val="center"/>
              <w:rPr>
                <w:rFonts w:ascii="宋体" w:hAnsi="宋体"/>
                <w:kern w:val="0"/>
              </w:rPr>
            </w:pPr>
            <w:r>
              <w:rPr>
                <w:rFonts w:ascii="宋体" w:hAnsi="宋体"/>
                <w:kern w:val="0"/>
              </w:rPr>
              <w:t>327</w:t>
            </w:r>
          </w:p>
        </w:tc>
        <w:tc>
          <w:tcPr>
            <w:tcW w:w="1472" w:type="pct"/>
            <w:shd w:val="clear" w:color="auto" w:fill="auto"/>
            <w:noWrap/>
            <w:vAlign w:val="center"/>
          </w:tcPr>
          <w:p w14:paraId="63A9A19E">
            <w:pPr>
              <w:pStyle w:val="23"/>
              <w:jc w:val="center"/>
              <w:rPr>
                <w:rFonts w:ascii="宋体" w:hAnsi="宋体"/>
                <w:kern w:val="0"/>
              </w:rPr>
            </w:pPr>
            <w:r>
              <w:rPr>
                <w:rFonts w:ascii="宋体" w:hAnsi="宋体"/>
                <w:kern w:val="0"/>
              </w:rPr>
              <w:t>174</w:t>
            </w:r>
          </w:p>
        </w:tc>
      </w:tr>
      <w:tr w14:paraId="42D4C81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055" w:type="pct"/>
            <w:shd w:val="clear" w:color="auto" w:fill="auto"/>
            <w:noWrap/>
            <w:vAlign w:val="center"/>
          </w:tcPr>
          <w:p w14:paraId="33E8C00F">
            <w:pPr>
              <w:pStyle w:val="23"/>
              <w:ind w:firstLine="420" w:firstLineChars="200"/>
              <w:rPr>
                <w:rFonts w:ascii="宋体" w:hAnsi="宋体"/>
                <w:kern w:val="0"/>
              </w:rPr>
            </w:pPr>
            <w:r>
              <w:rPr>
                <w:rFonts w:ascii="宋体" w:hAnsi="宋体"/>
                <w:kern w:val="0"/>
              </w:rPr>
              <w:t>二、种桑面积</w:t>
            </w:r>
          </w:p>
        </w:tc>
        <w:tc>
          <w:tcPr>
            <w:tcW w:w="1472" w:type="pct"/>
            <w:shd w:val="clear" w:color="auto" w:fill="auto"/>
            <w:noWrap/>
            <w:vAlign w:val="center"/>
          </w:tcPr>
          <w:p w14:paraId="7DB65303">
            <w:pPr>
              <w:pStyle w:val="23"/>
              <w:jc w:val="center"/>
              <w:rPr>
                <w:rFonts w:ascii="宋体" w:hAnsi="宋体"/>
                <w:kern w:val="0"/>
              </w:rPr>
            </w:pPr>
            <w:r>
              <w:rPr>
                <w:rFonts w:ascii="宋体" w:hAnsi="宋体"/>
                <w:kern w:val="0"/>
              </w:rPr>
              <w:t>1051</w:t>
            </w:r>
          </w:p>
        </w:tc>
        <w:tc>
          <w:tcPr>
            <w:tcW w:w="1472" w:type="pct"/>
            <w:shd w:val="clear" w:color="auto" w:fill="auto"/>
            <w:noWrap/>
            <w:vAlign w:val="center"/>
          </w:tcPr>
          <w:p w14:paraId="7E0C6439">
            <w:pPr>
              <w:pStyle w:val="23"/>
              <w:jc w:val="center"/>
              <w:rPr>
                <w:rFonts w:ascii="宋体" w:hAnsi="宋体"/>
                <w:kern w:val="0"/>
              </w:rPr>
            </w:pPr>
            <w:r>
              <w:rPr>
                <w:rFonts w:ascii="宋体" w:hAnsi="宋体"/>
                <w:kern w:val="0"/>
              </w:rPr>
              <w:t>340</w:t>
            </w:r>
          </w:p>
        </w:tc>
      </w:tr>
      <w:tr w14:paraId="1A665F0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055" w:type="pct"/>
            <w:shd w:val="clear" w:color="auto" w:fill="auto"/>
            <w:noWrap/>
            <w:vAlign w:val="center"/>
          </w:tcPr>
          <w:p w14:paraId="56D0234D">
            <w:pPr>
              <w:pStyle w:val="23"/>
              <w:ind w:firstLine="420" w:firstLineChars="200"/>
              <w:rPr>
                <w:rFonts w:ascii="宋体" w:hAnsi="宋体"/>
                <w:kern w:val="0"/>
              </w:rPr>
            </w:pPr>
            <w:r>
              <w:rPr>
                <w:rFonts w:ascii="宋体" w:hAnsi="宋体"/>
                <w:kern w:val="0"/>
              </w:rPr>
              <w:t>三、茶叶合计</w:t>
            </w:r>
          </w:p>
        </w:tc>
        <w:tc>
          <w:tcPr>
            <w:tcW w:w="1472" w:type="pct"/>
            <w:shd w:val="clear" w:color="auto" w:fill="auto"/>
            <w:noWrap/>
            <w:vAlign w:val="center"/>
          </w:tcPr>
          <w:p w14:paraId="0FC0B106">
            <w:pPr>
              <w:pStyle w:val="23"/>
              <w:jc w:val="center"/>
              <w:rPr>
                <w:rFonts w:ascii="宋体" w:hAnsi="宋体"/>
                <w:kern w:val="0"/>
              </w:rPr>
            </w:pPr>
            <w:r>
              <w:rPr>
                <w:rFonts w:ascii="宋体" w:hAnsi="宋体"/>
                <w:kern w:val="0"/>
              </w:rPr>
              <w:t>402</w:t>
            </w:r>
          </w:p>
        </w:tc>
        <w:tc>
          <w:tcPr>
            <w:tcW w:w="1472" w:type="pct"/>
            <w:shd w:val="clear" w:color="auto" w:fill="auto"/>
            <w:noWrap/>
            <w:vAlign w:val="center"/>
          </w:tcPr>
          <w:p w14:paraId="129596FE">
            <w:pPr>
              <w:pStyle w:val="23"/>
              <w:jc w:val="center"/>
              <w:rPr>
                <w:rFonts w:ascii="宋体" w:hAnsi="宋体"/>
                <w:kern w:val="0"/>
              </w:rPr>
            </w:pPr>
            <w:r>
              <w:rPr>
                <w:rFonts w:ascii="宋体" w:hAnsi="宋体"/>
                <w:kern w:val="0"/>
              </w:rPr>
              <w:t>73</w:t>
            </w:r>
          </w:p>
        </w:tc>
      </w:tr>
      <w:tr w14:paraId="77204F0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055" w:type="pct"/>
            <w:shd w:val="clear" w:color="auto" w:fill="auto"/>
            <w:noWrap/>
            <w:vAlign w:val="center"/>
          </w:tcPr>
          <w:p w14:paraId="60053AA2">
            <w:pPr>
              <w:pStyle w:val="23"/>
              <w:ind w:firstLine="840" w:firstLineChars="400"/>
              <w:rPr>
                <w:rFonts w:ascii="宋体" w:hAnsi="宋体"/>
                <w:kern w:val="0"/>
              </w:rPr>
            </w:pPr>
            <w:r>
              <w:rPr>
                <w:rFonts w:ascii="宋体" w:hAnsi="宋体"/>
                <w:kern w:val="0"/>
              </w:rPr>
              <w:t>其中:绿茶</w:t>
            </w:r>
          </w:p>
        </w:tc>
        <w:tc>
          <w:tcPr>
            <w:tcW w:w="1472" w:type="pct"/>
            <w:shd w:val="clear" w:color="auto" w:fill="auto"/>
            <w:noWrap/>
            <w:vAlign w:val="center"/>
          </w:tcPr>
          <w:p w14:paraId="1DA1B07C">
            <w:pPr>
              <w:pStyle w:val="23"/>
              <w:jc w:val="center"/>
              <w:rPr>
                <w:rFonts w:ascii="宋体" w:hAnsi="宋体"/>
                <w:kern w:val="0"/>
              </w:rPr>
            </w:pPr>
            <w:r>
              <w:rPr>
                <w:rFonts w:ascii="宋体" w:hAnsi="宋体"/>
                <w:kern w:val="0"/>
              </w:rPr>
              <w:t>402</w:t>
            </w:r>
          </w:p>
        </w:tc>
        <w:tc>
          <w:tcPr>
            <w:tcW w:w="1472" w:type="pct"/>
            <w:shd w:val="clear" w:color="auto" w:fill="auto"/>
            <w:noWrap/>
            <w:vAlign w:val="center"/>
          </w:tcPr>
          <w:p w14:paraId="583FD5C6">
            <w:pPr>
              <w:pStyle w:val="23"/>
              <w:jc w:val="center"/>
              <w:rPr>
                <w:rFonts w:ascii="宋体" w:hAnsi="宋体"/>
                <w:kern w:val="0"/>
              </w:rPr>
            </w:pPr>
            <w:r>
              <w:rPr>
                <w:rFonts w:ascii="宋体" w:hAnsi="宋体"/>
                <w:kern w:val="0"/>
              </w:rPr>
              <w:t>73</w:t>
            </w:r>
          </w:p>
        </w:tc>
      </w:tr>
    </w:tbl>
    <w:p w14:paraId="460060C4">
      <w:pPr>
        <w:ind w:firstLine="0" w:firstLineChars="0"/>
        <w:jc w:val="center"/>
        <w:rPr>
          <w:b/>
        </w:rPr>
      </w:pPr>
      <w:r>
        <w:rPr>
          <w:rFonts w:hint="eastAsia"/>
          <w:b/>
        </w:rPr>
        <w:t>表47 畜牧业生产情况</w:t>
      </w:r>
    </w:p>
    <w:tbl>
      <w:tblPr>
        <w:tblStyle w:val="14"/>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754"/>
        <w:gridCol w:w="1736"/>
        <w:gridCol w:w="1736"/>
        <w:gridCol w:w="1736"/>
      </w:tblGrid>
      <w:tr w14:paraId="07C3D76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386" w:type="pct"/>
            <w:shd w:val="clear" w:color="auto" w:fill="auto"/>
            <w:noWrap/>
            <w:vAlign w:val="center"/>
          </w:tcPr>
          <w:p w14:paraId="63A37A2D">
            <w:pPr>
              <w:pStyle w:val="23"/>
              <w:jc w:val="center"/>
              <w:rPr>
                <w:rFonts w:ascii="宋体" w:hAnsi="宋体"/>
                <w:b/>
                <w:kern w:val="0"/>
                <w:szCs w:val="21"/>
              </w:rPr>
            </w:pPr>
            <w:r>
              <w:rPr>
                <w:rFonts w:ascii="宋体" w:hAnsi="宋体"/>
                <w:b/>
                <w:kern w:val="0"/>
                <w:szCs w:val="21"/>
              </w:rPr>
              <w:t>指标名称</w:t>
            </w:r>
          </w:p>
        </w:tc>
        <w:tc>
          <w:tcPr>
            <w:tcW w:w="871" w:type="pct"/>
            <w:shd w:val="clear" w:color="auto" w:fill="auto"/>
            <w:noWrap/>
            <w:vAlign w:val="center"/>
          </w:tcPr>
          <w:p w14:paraId="676B8160">
            <w:pPr>
              <w:pStyle w:val="23"/>
              <w:jc w:val="center"/>
              <w:rPr>
                <w:rFonts w:ascii="宋体" w:hAnsi="宋体"/>
                <w:b/>
                <w:kern w:val="0"/>
                <w:szCs w:val="21"/>
              </w:rPr>
            </w:pPr>
            <w:r>
              <w:rPr>
                <w:rFonts w:ascii="宋体" w:hAnsi="宋体"/>
                <w:b/>
                <w:kern w:val="0"/>
                <w:szCs w:val="21"/>
              </w:rPr>
              <w:t>计算单位</w:t>
            </w:r>
          </w:p>
        </w:tc>
        <w:tc>
          <w:tcPr>
            <w:tcW w:w="871" w:type="pct"/>
            <w:shd w:val="clear" w:color="auto" w:fill="auto"/>
            <w:noWrap/>
            <w:vAlign w:val="center"/>
          </w:tcPr>
          <w:p w14:paraId="24B2FE18">
            <w:pPr>
              <w:pStyle w:val="23"/>
              <w:jc w:val="center"/>
              <w:rPr>
                <w:rFonts w:ascii="宋体" w:hAnsi="宋体"/>
                <w:b/>
                <w:kern w:val="0"/>
                <w:szCs w:val="21"/>
              </w:rPr>
            </w:pPr>
            <w:r>
              <w:rPr>
                <w:rFonts w:ascii="宋体" w:hAnsi="宋体"/>
                <w:b/>
                <w:kern w:val="0"/>
                <w:szCs w:val="21"/>
              </w:rPr>
              <w:t>2011年</w:t>
            </w:r>
          </w:p>
        </w:tc>
        <w:tc>
          <w:tcPr>
            <w:tcW w:w="871" w:type="pct"/>
            <w:shd w:val="clear" w:color="auto" w:fill="auto"/>
            <w:noWrap/>
            <w:vAlign w:val="center"/>
          </w:tcPr>
          <w:p w14:paraId="5B40B4EE">
            <w:pPr>
              <w:pStyle w:val="23"/>
              <w:jc w:val="center"/>
              <w:rPr>
                <w:rFonts w:ascii="宋体" w:hAnsi="宋体"/>
                <w:b/>
                <w:kern w:val="0"/>
                <w:szCs w:val="21"/>
              </w:rPr>
            </w:pPr>
            <w:r>
              <w:rPr>
                <w:rFonts w:ascii="宋体" w:hAnsi="宋体"/>
                <w:b/>
                <w:kern w:val="0"/>
                <w:szCs w:val="21"/>
              </w:rPr>
              <w:t>比上年±%</w:t>
            </w:r>
          </w:p>
        </w:tc>
      </w:tr>
      <w:tr w14:paraId="26BA1AF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386" w:type="pct"/>
            <w:shd w:val="clear" w:color="auto" w:fill="auto"/>
            <w:noWrap/>
            <w:vAlign w:val="center"/>
          </w:tcPr>
          <w:p w14:paraId="40E33B45">
            <w:pPr>
              <w:pStyle w:val="23"/>
              <w:rPr>
                <w:rFonts w:ascii="宋体" w:hAnsi="宋体"/>
                <w:kern w:val="0"/>
                <w:szCs w:val="21"/>
              </w:rPr>
            </w:pPr>
            <w:r>
              <w:rPr>
                <w:rFonts w:ascii="宋体" w:hAnsi="宋体"/>
                <w:kern w:val="0"/>
                <w:szCs w:val="21"/>
              </w:rPr>
              <w:t>一、大牲畜年末存栏头数</w:t>
            </w:r>
          </w:p>
        </w:tc>
        <w:tc>
          <w:tcPr>
            <w:tcW w:w="871" w:type="pct"/>
            <w:shd w:val="clear" w:color="auto" w:fill="auto"/>
            <w:noWrap/>
            <w:vAlign w:val="center"/>
          </w:tcPr>
          <w:p w14:paraId="3EC678CA">
            <w:pPr>
              <w:pStyle w:val="23"/>
              <w:jc w:val="center"/>
              <w:rPr>
                <w:rFonts w:ascii="宋体" w:hAnsi="宋体"/>
                <w:kern w:val="0"/>
                <w:szCs w:val="21"/>
              </w:rPr>
            </w:pPr>
            <w:r>
              <w:rPr>
                <w:rFonts w:ascii="宋体" w:hAnsi="宋体"/>
                <w:kern w:val="0"/>
                <w:szCs w:val="21"/>
              </w:rPr>
              <w:t>头</w:t>
            </w:r>
          </w:p>
        </w:tc>
        <w:tc>
          <w:tcPr>
            <w:tcW w:w="871" w:type="pct"/>
            <w:shd w:val="clear" w:color="auto" w:fill="auto"/>
            <w:noWrap/>
            <w:vAlign w:val="center"/>
          </w:tcPr>
          <w:p w14:paraId="27638CF9">
            <w:pPr>
              <w:pStyle w:val="23"/>
              <w:jc w:val="center"/>
              <w:rPr>
                <w:rFonts w:ascii="宋体" w:hAnsi="宋体"/>
                <w:kern w:val="0"/>
                <w:szCs w:val="21"/>
              </w:rPr>
            </w:pPr>
            <w:r>
              <w:rPr>
                <w:rFonts w:ascii="宋体" w:hAnsi="宋体"/>
                <w:kern w:val="0"/>
                <w:szCs w:val="21"/>
              </w:rPr>
              <w:t>26132</w:t>
            </w:r>
          </w:p>
        </w:tc>
        <w:tc>
          <w:tcPr>
            <w:tcW w:w="871" w:type="pct"/>
            <w:shd w:val="clear" w:color="auto" w:fill="auto"/>
            <w:noWrap/>
            <w:vAlign w:val="center"/>
          </w:tcPr>
          <w:p w14:paraId="3AE9D8AE">
            <w:pPr>
              <w:pStyle w:val="23"/>
              <w:jc w:val="center"/>
              <w:rPr>
                <w:rFonts w:ascii="宋体" w:hAnsi="宋体"/>
                <w:kern w:val="0"/>
                <w:szCs w:val="21"/>
              </w:rPr>
            </w:pPr>
            <w:r>
              <w:rPr>
                <w:rFonts w:ascii="宋体" w:hAnsi="宋体"/>
                <w:kern w:val="0"/>
                <w:szCs w:val="21"/>
              </w:rPr>
              <w:t>4.9</w:t>
            </w:r>
          </w:p>
        </w:tc>
      </w:tr>
      <w:tr w14:paraId="6093240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386" w:type="pct"/>
            <w:shd w:val="clear" w:color="auto" w:fill="auto"/>
            <w:noWrap/>
            <w:vAlign w:val="center"/>
          </w:tcPr>
          <w:p w14:paraId="52C5E94B">
            <w:pPr>
              <w:pStyle w:val="23"/>
              <w:ind w:firstLine="420" w:firstLineChars="200"/>
              <w:rPr>
                <w:rFonts w:ascii="宋体" w:hAnsi="宋体"/>
                <w:kern w:val="0"/>
                <w:szCs w:val="21"/>
              </w:rPr>
            </w:pPr>
            <w:r>
              <w:rPr>
                <w:rFonts w:ascii="宋体" w:hAnsi="宋体"/>
                <w:kern w:val="0"/>
                <w:szCs w:val="21"/>
              </w:rPr>
              <w:t>1、役用牛</w:t>
            </w:r>
          </w:p>
        </w:tc>
        <w:tc>
          <w:tcPr>
            <w:tcW w:w="871" w:type="pct"/>
            <w:shd w:val="clear" w:color="auto" w:fill="auto"/>
            <w:noWrap/>
            <w:vAlign w:val="center"/>
          </w:tcPr>
          <w:p w14:paraId="2BA645BC">
            <w:pPr>
              <w:pStyle w:val="23"/>
              <w:jc w:val="center"/>
              <w:rPr>
                <w:rFonts w:ascii="宋体" w:hAnsi="宋体"/>
                <w:kern w:val="0"/>
                <w:szCs w:val="21"/>
              </w:rPr>
            </w:pPr>
            <w:r>
              <w:rPr>
                <w:rFonts w:ascii="宋体" w:hAnsi="宋体"/>
                <w:kern w:val="0"/>
                <w:szCs w:val="21"/>
              </w:rPr>
              <w:t>头</w:t>
            </w:r>
          </w:p>
        </w:tc>
        <w:tc>
          <w:tcPr>
            <w:tcW w:w="871" w:type="pct"/>
            <w:shd w:val="clear" w:color="auto" w:fill="auto"/>
            <w:noWrap/>
            <w:vAlign w:val="center"/>
          </w:tcPr>
          <w:p w14:paraId="5B64A632">
            <w:pPr>
              <w:pStyle w:val="23"/>
              <w:jc w:val="center"/>
              <w:rPr>
                <w:rFonts w:ascii="宋体" w:hAnsi="宋体"/>
                <w:kern w:val="0"/>
                <w:szCs w:val="21"/>
              </w:rPr>
            </w:pPr>
            <w:r>
              <w:rPr>
                <w:rFonts w:ascii="宋体" w:hAnsi="宋体"/>
                <w:kern w:val="0"/>
                <w:szCs w:val="21"/>
              </w:rPr>
              <w:t>20090</w:t>
            </w:r>
          </w:p>
        </w:tc>
        <w:tc>
          <w:tcPr>
            <w:tcW w:w="871" w:type="pct"/>
            <w:shd w:val="clear" w:color="auto" w:fill="auto"/>
            <w:noWrap/>
            <w:vAlign w:val="center"/>
          </w:tcPr>
          <w:p w14:paraId="55FED41E">
            <w:pPr>
              <w:pStyle w:val="23"/>
              <w:jc w:val="center"/>
              <w:rPr>
                <w:rFonts w:ascii="宋体" w:hAnsi="宋体"/>
                <w:kern w:val="0"/>
                <w:szCs w:val="21"/>
              </w:rPr>
            </w:pPr>
            <w:r>
              <w:rPr>
                <w:rFonts w:ascii="宋体" w:hAnsi="宋体"/>
                <w:kern w:val="0"/>
                <w:szCs w:val="21"/>
              </w:rPr>
              <w:t>-9.2</w:t>
            </w:r>
          </w:p>
        </w:tc>
      </w:tr>
      <w:tr w14:paraId="32FD632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386" w:type="pct"/>
            <w:shd w:val="clear" w:color="auto" w:fill="auto"/>
            <w:noWrap/>
            <w:vAlign w:val="center"/>
          </w:tcPr>
          <w:p w14:paraId="41A651AA">
            <w:pPr>
              <w:pStyle w:val="23"/>
              <w:ind w:firstLine="840" w:firstLineChars="400"/>
              <w:rPr>
                <w:rFonts w:ascii="宋体" w:hAnsi="宋体"/>
                <w:kern w:val="0"/>
                <w:szCs w:val="21"/>
              </w:rPr>
            </w:pPr>
            <w:r>
              <w:rPr>
                <w:rFonts w:ascii="宋体" w:hAnsi="宋体"/>
                <w:kern w:val="0"/>
                <w:szCs w:val="21"/>
              </w:rPr>
              <w:t>其中</w:t>
            </w:r>
            <w:r>
              <w:rPr>
                <w:rFonts w:hint="eastAsia" w:ascii="宋体" w:hAnsi="宋体"/>
                <w:kern w:val="0"/>
                <w:szCs w:val="21"/>
              </w:rPr>
              <w:t>：</w:t>
            </w:r>
            <w:r>
              <w:rPr>
                <w:rFonts w:ascii="宋体" w:hAnsi="宋体"/>
                <w:kern w:val="0"/>
                <w:szCs w:val="21"/>
              </w:rPr>
              <w:t>能繁殖母牛</w:t>
            </w:r>
          </w:p>
        </w:tc>
        <w:tc>
          <w:tcPr>
            <w:tcW w:w="871" w:type="pct"/>
            <w:shd w:val="clear" w:color="auto" w:fill="auto"/>
            <w:noWrap/>
            <w:vAlign w:val="center"/>
          </w:tcPr>
          <w:p w14:paraId="6D32D6B7">
            <w:pPr>
              <w:pStyle w:val="23"/>
              <w:jc w:val="center"/>
              <w:rPr>
                <w:rFonts w:ascii="宋体" w:hAnsi="宋体"/>
                <w:kern w:val="0"/>
                <w:szCs w:val="21"/>
              </w:rPr>
            </w:pPr>
            <w:r>
              <w:rPr>
                <w:rFonts w:ascii="宋体" w:hAnsi="宋体"/>
                <w:kern w:val="0"/>
                <w:szCs w:val="21"/>
              </w:rPr>
              <w:t>头</w:t>
            </w:r>
          </w:p>
        </w:tc>
        <w:tc>
          <w:tcPr>
            <w:tcW w:w="871" w:type="pct"/>
            <w:shd w:val="clear" w:color="auto" w:fill="auto"/>
            <w:noWrap/>
            <w:vAlign w:val="center"/>
          </w:tcPr>
          <w:p w14:paraId="5F4A8FBC">
            <w:pPr>
              <w:pStyle w:val="23"/>
              <w:jc w:val="center"/>
              <w:rPr>
                <w:rFonts w:ascii="宋体" w:hAnsi="宋体"/>
                <w:kern w:val="0"/>
                <w:szCs w:val="21"/>
              </w:rPr>
            </w:pPr>
            <w:r>
              <w:rPr>
                <w:rFonts w:ascii="宋体" w:hAnsi="宋体"/>
                <w:kern w:val="0"/>
                <w:szCs w:val="21"/>
              </w:rPr>
              <w:t>9742</w:t>
            </w:r>
          </w:p>
        </w:tc>
        <w:tc>
          <w:tcPr>
            <w:tcW w:w="871" w:type="pct"/>
            <w:shd w:val="clear" w:color="auto" w:fill="auto"/>
            <w:noWrap/>
            <w:vAlign w:val="center"/>
          </w:tcPr>
          <w:p w14:paraId="35E54E5C">
            <w:pPr>
              <w:pStyle w:val="23"/>
              <w:jc w:val="center"/>
              <w:rPr>
                <w:rFonts w:ascii="宋体" w:hAnsi="宋体"/>
                <w:kern w:val="0"/>
                <w:szCs w:val="21"/>
              </w:rPr>
            </w:pPr>
            <w:r>
              <w:rPr>
                <w:rFonts w:ascii="宋体" w:hAnsi="宋体"/>
                <w:kern w:val="0"/>
                <w:szCs w:val="21"/>
              </w:rPr>
              <w:t>-9.2</w:t>
            </w:r>
          </w:p>
        </w:tc>
      </w:tr>
      <w:tr w14:paraId="3FC316A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386" w:type="pct"/>
            <w:shd w:val="clear" w:color="auto" w:fill="auto"/>
            <w:noWrap/>
            <w:vAlign w:val="center"/>
          </w:tcPr>
          <w:p w14:paraId="5F62C205">
            <w:pPr>
              <w:pStyle w:val="23"/>
              <w:ind w:firstLine="1470" w:firstLineChars="700"/>
              <w:rPr>
                <w:rFonts w:ascii="宋体" w:hAnsi="宋体"/>
                <w:kern w:val="0"/>
                <w:szCs w:val="21"/>
              </w:rPr>
            </w:pPr>
            <w:r>
              <w:rPr>
                <w:rFonts w:ascii="宋体" w:hAnsi="宋体"/>
                <w:kern w:val="0"/>
                <w:szCs w:val="21"/>
              </w:rPr>
              <w:t>当年生仔畜</w:t>
            </w:r>
          </w:p>
        </w:tc>
        <w:tc>
          <w:tcPr>
            <w:tcW w:w="871" w:type="pct"/>
            <w:shd w:val="clear" w:color="auto" w:fill="auto"/>
            <w:noWrap/>
            <w:vAlign w:val="center"/>
          </w:tcPr>
          <w:p w14:paraId="2C6D0A68">
            <w:pPr>
              <w:pStyle w:val="23"/>
              <w:jc w:val="center"/>
              <w:rPr>
                <w:rFonts w:ascii="宋体" w:hAnsi="宋体"/>
                <w:kern w:val="0"/>
                <w:szCs w:val="21"/>
              </w:rPr>
            </w:pPr>
            <w:r>
              <w:rPr>
                <w:rFonts w:ascii="宋体" w:hAnsi="宋体"/>
                <w:kern w:val="0"/>
                <w:szCs w:val="21"/>
              </w:rPr>
              <w:t>头</w:t>
            </w:r>
          </w:p>
        </w:tc>
        <w:tc>
          <w:tcPr>
            <w:tcW w:w="871" w:type="pct"/>
            <w:shd w:val="clear" w:color="auto" w:fill="auto"/>
            <w:noWrap/>
            <w:vAlign w:val="center"/>
          </w:tcPr>
          <w:p w14:paraId="264EBE98">
            <w:pPr>
              <w:pStyle w:val="23"/>
              <w:jc w:val="center"/>
              <w:rPr>
                <w:rFonts w:ascii="宋体" w:hAnsi="宋体"/>
                <w:kern w:val="0"/>
                <w:szCs w:val="21"/>
              </w:rPr>
            </w:pPr>
            <w:r>
              <w:rPr>
                <w:rFonts w:ascii="宋体" w:hAnsi="宋体"/>
                <w:kern w:val="0"/>
                <w:szCs w:val="21"/>
              </w:rPr>
              <w:t>3797</w:t>
            </w:r>
          </w:p>
        </w:tc>
        <w:tc>
          <w:tcPr>
            <w:tcW w:w="871" w:type="pct"/>
            <w:shd w:val="clear" w:color="auto" w:fill="auto"/>
            <w:noWrap/>
            <w:vAlign w:val="center"/>
          </w:tcPr>
          <w:p w14:paraId="7DE0E400">
            <w:pPr>
              <w:pStyle w:val="23"/>
              <w:jc w:val="center"/>
              <w:rPr>
                <w:rFonts w:ascii="宋体" w:hAnsi="宋体"/>
                <w:kern w:val="0"/>
                <w:szCs w:val="21"/>
              </w:rPr>
            </w:pPr>
            <w:r>
              <w:rPr>
                <w:rFonts w:ascii="宋体" w:hAnsi="宋体"/>
                <w:kern w:val="0"/>
                <w:szCs w:val="21"/>
              </w:rPr>
              <w:t>-9.2</w:t>
            </w:r>
          </w:p>
        </w:tc>
      </w:tr>
      <w:tr w14:paraId="671AB18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386" w:type="pct"/>
            <w:shd w:val="clear" w:color="auto" w:fill="auto"/>
            <w:noWrap/>
            <w:vAlign w:val="center"/>
          </w:tcPr>
          <w:p w14:paraId="6B80F471">
            <w:pPr>
              <w:pStyle w:val="23"/>
              <w:ind w:firstLine="420" w:firstLineChars="200"/>
              <w:rPr>
                <w:rFonts w:ascii="宋体" w:hAnsi="宋体"/>
                <w:kern w:val="0"/>
                <w:szCs w:val="21"/>
              </w:rPr>
            </w:pPr>
            <w:r>
              <w:rPr>
                <w:rFonts w:ascii="宋体" w:hAnsi="宋体"/>
                <w:kern w:val="0"/>
                <w:szCs w:val="21"/>
              </w:rPr>
              <w:t>2、肉用牛</w:t>
            </w:r>
          </w:p>
        </w:tc>
        <w:tc>
          <w:tcPr>
            <w:tcW w:w="871" w:type="pct"/>
            <w:shd w:val="clear" w:color="auto" w:fill="auto"/>
            <w:noWrap/>
            <w:vAlign w:val="center"/>
          </w:tcPr>
          <w:p w14:paraId="037EB1A6">
            <w:pPr>
              <w:pStyle w:val="23"/>
              <w:jc w:val="center"/>
              <w:rPr>
                <w:rFonts w:ascii="宋体" w:hAnsi="宋体"/>
                <w:kern w:val="0"/>
                <w:szCs w:val="21"/>
              </w:rPr>
            </w:pPr>
            <w:r>
              <w:rPr>
                <w:rFonts w:ascii="宋体" w:hAnsi="宋体"/>
                <w:kern w:val="0"/>
                <w:szCs w:val="21"/>
              </w:rPr>
              <w:t>头</w:t>
            </w:r>
          </w:p>
        </w:tc>
        <w:tc>
          <w:tcPr>
            <w:tcW w:w="871" w:type="pct"/>
            <w:shd w:val="clear" w:color="auto" w:fill="auto"/>
            <w:noWrap/>
            <w:vAlign w:val="center"/>
          </w:tcPr>
          <w:p w14:paraId="4F1F08BA">
            <w:pPr>
              <w:pStyle w:val="23"/>
              <w:jc w:val="center"/>
              <w:rPr>
                <w:rFonts w:ascii="宋体" w:hAnsi="宋体"/>
                <w:kern w:val="0"/>
                <w:szCs w:val="21"/>
              </w:rPr>
            </w:pPr>
            <w:r>
              <w:rPr>
                <w:rFonts w:ascii="宋体" w:hAnsi="宋体"/>
                <w:kern w:val="0"/>
                <w:szCs w:val="21"/>
              </w:rPr>
              <w:t>6042</w:t>
            </w:r>
          </w:p>
        </w:tc>
        <w:tc>
          <w:tcPr>
            <w:tcW w:w="871" w:type="pct"/>
            <w:shd w:val="clear" w:color="auto" w:fill="auto"/>
            <w:noWrap/>
            <w:vAlign w:val="center"/>
          </w:tcPr>
          <w:p w14:paraId="47B0646B">
            <w:pPr>
              <w:pStyle w:val="23"/>
              <w:jc w:val="center"/>
              <w:rPr>
                <w:rFonts w:ascii="宋体" w:hAnsi="宋体"/>
                <w:kern w:val="0"/>
                <w:szCs w:val="21"/>
              </w:rPr>
            </w:pPr>
            <w:r>
              <w:rPr>
                <w:rFonts w:ascii="宋体" w:hAnsi="宋体"/>
                <w:kern w:val="0"/>
                <w:szCs w:val="21"/>
              </w:rPr>
              <w:t>13.1</w:t>
            </w:r>
          </w:p>
        </w:tc>
      </w:tr>
      <w:tr w14:paraId="0CBA3C7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386" w:type="pct"/>
            <w:shd w:val="clear" w:color="auto" w:fill="auto"/>
            <w:noWrap/>
            <w:vAlign w:val="center"/>
          </w:tcPr>
          <w:p w14:paraId="5F3756A2">
            <w:pPr>
              <w:pStyle w:val="23"/>
              <w:ind w:firstLine="630" w:firstLineChars="300"/>
              <w:rPr>
                <w:rFonts w:ascii="宋体" w:hAnsi="宋体"/>
                <w:kern w:val="0"/>
                <w:szCs w:val="21"/>
              </w:rPr>
            </w:pPr>
            <w:r>
              <w:rPr>
                <w:rFonts w:ascii="宋体" w:hAnsi="宋体"/>
                <w:kern w:val="0"/>
                <w:szCs w:val="21"/>
              </w:rPr>
              <w:t>其中</w:t>
            </w:r>
            <w:r>
              <w:rPr>
                <w:rFonts w:hint="eastAsia" w:ascii="宋体" w:hAnsi="宋体"/>
                <w:kern w:val="0"/>
                <w:szCs w:val="21"/>
              </w:rPr>
              <w:t>：</w:t>
            </w:r>
            <w:r>
              <w:rPr>
                <w:rFonts w:ascii="宋体" w:hAnsi="宋体"/>
                <w:kern w:val="0"/>
                <w:szCs w:val="21"/>
              </w:rPr>
              <w:t>能繁殖母牛</w:t>
            </w:r>
          </w:p>
        </w:tc>
        <w:tc>
          <w:tcPr>
            <w:tcW w:w="871" w:type="pct"/>
            <w:shd w:val="clear" w:color="auto" w:fill="auto"/>
            <w:noWrap/>
            <w:vAlign w:val="center"/>
          </w:tcPr>
          <w:p w14:paraId="35B0BB89">
            <w:pPr>
              <w:pStyle w:val="23"/>
              <w:jc w:val="center"/>
              <w:rPr>
                <w:rFonts w:ascii="宋体" w:hAnsi="宋体"/>
                <w:kern w:val="0"/>
                <w:szCs w:val="21"/>
              </w:rPr>
            </w:pPr>
            <w:r>
              <w:rPr>
                <w:rFonts w:ascii="宋体" w:hAnsi="宋体"/>
                <w:kern w:val="0"/>
                <w:szCs w:val="21"/>
              </w:rPr>
              <w:t>头</w:t>
            </w:r>
          </w:p>
        </w:tc>
        <w:tc>
          <w:tcPr>
            <w:tcW w:w="871" w:type="pct"/>
            <w:shd w:val="clear" w:color="auto" w:fill="auto"/>
            <w:noWrap/>
            <w:vAlign w:val="center"/>
          </w:tcPr>
          <w:p w14:paraId="5DCA5BEC">
            <w:pPr>
              <w:pStyle w:val="23"/>
              <w:jc w:val="center"/>
              <w:rPr>
                <w:rFonts w:ascii="宋体" w:hAnsi="宋体"/>
                <w:kern w:val="0"/>
                <w:szCs w:val="21"/>
              </w:rPr>
            </w:pPr>
            <w:r>
              <w:rPr>
                <w:rFonts w:ascii="宋体" w:hAnsi="宋体"/>
                <w:kern w:val="0"/>
                <w:szCs w:val="21"/>
              </w:rPr>
              <w:t>848</w:t>
            </w:r>
          </w:p>
        </w:tc>
        <w:tc>
          <w:tcPr>
            <w:tcW w:w="871" w:type="pct"/>
            <w:shd w:val="clear" w:color="auto" w:fill="auto"/>
            <w:noWrap/>
            <w:vAlign w:val="center"/>
          </w:tcPr>
          <w:p w14:paraId="0B9C9F8C">
            <w:pPr>
              <w:pStyle w:val="23"/>
              <w:jc w:val="center"/>
              <w:rPr>
                <w:rFonts w:ascii="宋体" w:hAnsi="宋体"/>
                <w:kern w:val="0"/>
                <w:szCs w:val="21"/>
              </w:rPr>
            </w:pPr>
            <w:r>
              <w:rPr>
                <w:rFonts w:ascii="宋体" w:hAnsi="宋体"/>
                <w:kern w:val="0"/>
                <w:szCs w:val="21"/>
              </w:rPr>
              <w:t>13.1</w:t>
            </w:r>
          </w:p>
        </w:tc>
      </w:tr>
      <w:tr w14:paraId="248E336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386" w:type="pct"/>
            <w:shd w:val="clear" w:color="auto" w:fill="auto"/>
            <w:noWrap/>
            <w:vAlign w:val="center"/>
          </w:tcPr>
          <w:p w14:paraId="2A5E8F91">
            <w:pPr>
              <w:pStyle w:val="23"/>
              <w:ind w:firstLine="1260" w:firstLineChars="600"/>
              <w:rPr>
                <w:rFonts w:ascii="宋体" w:hAnsi="宋体"/>
                <w:kern w:val="0"/>
                <w:szCs w:val="21"/>
              </w:rPr>
            </w:pPr>
            <w:r>
              <w:rPr>
                <w:rFonts w:ascii="宋体" w:hAnsi="宋体"/>
                <w:kern w:val="0"/>
                <w:szCs w:val="21"/>
              </w:rPr>
              <w:t>当年生仔畜</w:t>
            </w:r>
          </w:p>
        </w:tc>
        <w:tc>
          <w:tcPr>
            <w:tcW w:w="871" w:type="pct"/>
            <w:shd w:val="clear" w:color="auto" w:fill="auto"/>
            <w:noWrap/>
            <w:vAlign w:val="center"/>
          </w:tcPr>
          <w:p w14:paraId="7D967E54">
            <w:pPr>
              <w:pStyle w:val="23"/>
              <w:jc w:val="center"/>
              <w:rPr>
                <w:rFonts w:ascii="宋体" w:hAnsi="宋体"/>
                <w:kern w:val="0"/>
                <w:szCs w:val="21"/>
              </w:rPr>
            </w:pPr>
            <w:r>
              <w:rPr>
                <w:rFonts w:ascii="宋体" w:hAnsi="宋体"/>
                <w:kern w:val="0"/>
                <w:szCs w:val="21"/>
              </w:rPr>
              <w:t>头</w:t>
            </w:r>
          </w:p>
        </w:tc>
        <w:tc>
          <w:tcPr>
            <w:tcW w:w="871" w:type="pct"/>
            <w:shd w:val="clear" w:color="auto" w:fill="auto"/>
            <w:noWrap/>
            <w:vAlign w:val="center"/>
          </w:tcPr>
          <w:p w14:paraId="7A65ED33">
            <w:pPr>
              <w:pStyle w:val="23"/>
              <w:jc w:val="center"/>
              <w:rPr>
                <w:rFonts w:ascii="宋体" w:hAnsi="宋体"/>
                <w:kern w:val="0"/>
                <w:szCs w:val="21"/>
              </w:rPr>
            </w:pPr>
            <w:r>
              <w:rPr>
                <w:rFonts w:ascii="宋体" w:hAnsi="宋体"/>
                <w:kern w:val="0"/>
                <w:szCs w:val="21"/>
              </w:rPr>
              <w:t>452</w:t>
            </w:r>
          </w:p>
        </w:tc>
        <w:tc>
          <w:tcPr>
            <w:tcW w:w="871" w:type="pct"/>
            <w:shd w:val="clear" w:color="auto" w:fill="auto"/>
            <w:noWrap/>
            <w:vAlign w:val="center"/>
          </w:tcPr>
          <w:p w14:paraId="685D3A9C">
            <w:pPr>
              <w:pStyle w:val="23"/>
              <w:jc w:val="center"/>
              <w:rPr>
                <w:rFonts w:ascii="宋体" w:hAnsi="宋体"/>
                <w:kern w:val="0"/>
                <w:szCs w:val="21"/>
              </w:rPr>
            </w:pPr>
            <w:r>
              <w:rPr>
                <w:rFonts w:ascii="宋体" w:hAnsi="宋体"/>
                <w:kern w:val="0"/>
                <w:szCs w:val="21"/>
              </w:rPr>
              <w:t>13.0</w:t>
            </w:r>
          </w:p>
        </w:tc>
      </w:tr>
      <w:tr w14:paraId="1978FFF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386" w:type="pct"/>
            <w:shd w:val="clear" w:color="auto" w:fill="auto"/>
            <w:noWrap/>
            <w:vAlign w:val="center"/>
          </w:tcPr>
          <w:p w14:paraId="566AE7A9">
            <w:pPr>
              <w:pStyle w:val="23"/>
              <w:rPr>
                <w:rFonts w:ascii="宋体" w:hAnsi="宋体"/>
                <w:kern w:val="0"/>
                <w:szCs w:val="21"/>
              </w:rPr>
            </w:pPr>
            <w:r>
              <w:rPr>
                <w:rFonts w:ascii="宋体" w:hAnsi="宋体"/>
                <w:kern w:val="0"/>
                <w:szCs w:val="21"/>
              </w:rPr>
              <w:t>二、猪年末存栏数</w:t>
            </w:r>
          </w:p>
        </w:tc>
        <w:tc>
          <w:tcPr>
            <w:tcW w:w="871" w:type="pct"/>
            <w:shd w:val="clear" w:color="auto" w:fill="auto"/>
            <w:noWrap/>
            <w:vAlign w:val="center"/>
          </w:tcPr>
          <w:p w14:paraId="109C75D8">
            <w:pPr>
              <w:pStyle w:val="23"/>
              <w:jc w:val="center"/>
              <w:rPr>
                <w:rFonts w:ascii="宋体" w:hAnsi="宋体"/>
                <w:kern w:val="0"/>
                <w:szCs w:val="21"/>
              </w:rPr>
            </w:pPr>
            <w:r>
              <w:rPr>
                <w:rFonts w:ascii="宋体" w:hAnsi="宋体"/>
                <w:kern w:val="0"/>
                <w:szCs w:val="21"/>
              </w:rPr>
              <w:t>头</w:t>
            </w:r>
          </w:p>
        </w:tc>
        <w:tc>
          <w:tcPr>
            <w:tcW w:w="871" w:type="pct"/>
            <w:shd w:val="clear" w:color="auto" w:fill="auto"/>
            <w:noWrap/>
            <w:vAlign w:val="center"/>
          </w:tcPr>
          <w:p w14:paraId="16C09A45">
            <w:pPr>
              <w:pStyle w:val="23"/>
              <w:jc w:val="center"/>
              <w:rPr>
                <w:rFonts w:ascii="宋体" w:hAnsi="宋体"/>
                <w:kern w:val="0"/>
                <w:szCs w:val="21"/>
              </w:rPr>
            </w:pPr>
            <w:r>
              <w:rPr>
                <w:rFonts w:ascii="宋体" w:hAnsi="宋体"/>
                <w:kern w:val="0"/>
                <w:szCs w:val="21"/>
              </w:rPr>
              <w:t>228764</w:t>
            </w:r>
          </w:p>
        </w:tc>
        <w:tc>
          <w:tcPr>
            <w:tcW w:w="871" w:type="pct"/>
            <w:shd w:val="clear" w:color="auto" w:fill="auto"/>
            <w:noWrap/>
            <w:vAlign w:val="center"/>
          </w:tcPr>
          <w:p w14:paraId="729674B9">
            <w:pPr>
              <w:pStyle w:val="23"/>
              <w:jc w:val="center"/>
              <w:rPr>
                <w:rFonts w:ascii="宋体" w:hAnsi="宋体"/>
                <w:kern w:val="0"/>
                <w:szCs w:val="21"/>
              </w:rPr>
            </w:pPr>
            <w:r>
              <w:rPr>
                <w:rFonts w:ascii="宋体" w:hAnsi="宋体"/>
                <w:kern w:val="0"/>
                <w:szCs w:val="21"/>
              </w:rPr>
              <w:t>.4</w:t>
            </w:r>
          </w:p>
        </w:tc>
      </w:tr>
      <w:tr w14:paraId="56FFCDC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386" w:type="pct"/>
            <w:shd w:val="clear" w:color="auto" w:fill="auto"/>
            <w:noWrap/>
            <w:vAlign w:val="center"/>
          </w:tcPr>
          <w:p w14:paraId="4AB2F682">
            <w:pPr>
              <w:pStyle w:val="23"/>
              <w:ind w:firstLine="630" w:firstLineChars="300"/>
              <w:rPr>
                <w:rFonts w:ascii="宋体" w:hAnsi="宋体"/>
                <w:kern w:val="0"/>
                <w:szCs w:val="21"/>
              </w:rPr>
            </w:pPr>
            <w:r>
              <w:rPr>
                <w:rFonts w:ascii="宋体" w:hAnsi="宋体"/>
                <w:kern w:val="0"/>
                <w:szCs w:val="21"/>
              </w:rPr>
              <w:t>其中</w:t>
            </w:r>
            <w:r>
              <w:rPr>
                <w:rFonts w:hint="eastAsia" w:ascii="宋体" w:hAnsi="宋体"/>
                <w:kern w:val="0"/>
                <w:szCs w:val="21"/>
              </w:rPr>
              <w:t>：</w:t>
            </w:r>
            <w:r>
              <w:rPr>
                <w:rFonts w:ascii="宋体" w:hAnsi="宋体"/>
                <w:kern w:val="0"/>
                <w:szCs w:val="21"/>
              </w:rPr>
              <w:t>能繁殖母猪</w:t>
            </w:r>
          </w:p>
        </w:tc>
        <w:tc>
          <w:tcPr>
            <w:tcW w:w="871" w:type="pct"/>
            <w:shd w:val="clear" w:color="auto" w:fill="auto"/>
            <w:noWrap/>
            <w:vAlign w:val="center"/>
          </w:tcPr>
          <w:p w14:paraId="0214F630">
            <w:pPr>
              <w:pStyle w:val="23"/>
              <w:jc w:val="center"/>
              <w:rPr>
                <w:rFonts w:ascii="宋体" w:hAnsi="宋体"/>
                <w:kern w:val="0"/>
                <w:szCs w:val="21"/>
              </w:rPr>
            </w:pPr>
            <w:r>
              <w:rPr>
                <w:rFonts w:ascii="宋体" w:hAnsi="宋体"/>
                <w:kern w:val="0"/>
                <w:szCs w:val="21"/>
              </w:rPr>
              <w:t>头</w:t>
            </w:r>
          </w:p>
        </w:tc>
        <w:tc>
          <w:tcPr>
            <w:tcW w:w="871" w:type="pct"/>
            <w:shd w:val="clear" w:color="auto" w:fill="auto"/>
            <w:noWrap/>
            <w:vAlign w:val="center"/>
          </w:tcPr>
          <w:p w14:paraId="13482C5E">
            <w:pPr>
              <w:pStyle w:val="23"/>
              <w:jc w:val="center"/>
              <w:rPr>
                <w:rFonts w:ascii="宋体" w:hAnsi="宋体"/>
                <w:kern w:val="0"/>
                <w:szCs w:val="21"/>
              </w:rPr>
            </w:pPr>
            <w:r>
              <w:rPr>
                <w:rFonts w:ascii="宋体" w:hAnsi="宋体"/>
                <w:kern w:val="0"/>
                <w:szCs w:val="21"/>
              </w:rPr>
              <w:t>30880</w:t>
            </w:r>
          </w:p>
        </w:tc>
        <w:tc>
          <w:tcPr>
            <w:tcW w:w="871" w:type="pct"/>
            <w:shd w:val="clear" w:color="auto" w:fill="auto"/>
            <w:noWrap/>
            <w:vAlign w:val="center"/>
          </w:tcPr>
          <w:p w14:paraId="6B9EF9DD">
            <w:pPr>
              <w:pStyle w:val="23"/>
              <w:jc w:val="center"/>
              <w:rPr>
                <w:rFonts w:ascii="宋体" w:hAnsi="宋体"/>
                <w:kern w:val="0"/>
                <w:szCs w:val="21"/>
              </w:rPr>
            </w:pPr>
            <w:r>
              <w:rPr>
                <w:rFonts w:ascii="宋体" w:hAnsi="宋体"/>
                <w:kern w:val="0"/>
                <w:szCs w:val="21"/>
              </w:rPr>
              <w:t>0.313</w:t>
            </w:r>
          </w:p>
        </w:tc>
      </w:tr>
      <w:tr w14:paraId="1DA093A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386" w:type="pct"/>
            <w:shd w:val="clear" w:color="auto" w:fill="auto"/>
            <w:noWrap/>
            <w:vAlign w:val="center"/>
          </w:tcPr>
          <w:p w14:paraId="3B1F40C8">
            <w:pPr>
              <w:pStyle w:val="23"/>
              <w:rPr>
                <w:rFonts w:ascii="宋体" w:hAnsi="宋体"/>
                <w:kern w:val="0"/>
                <w:szCs w:val="21"/>
              </w:rPr>
            </w:pPr>
            <w:r>
              <w:rPr>
                <w:rFonts w:ascii="宋体" w:hAnsi="宋体"/>
                <w:kern w:val="0"/>
                <w:szCs w:val="21"/>
              </w:rPr>
              <w:t>三、家禽年末存栏</w:t>
            </w:r>
          </w:p>
        </w:tc>
        <w:tc>
          <w:tcPr>
            <w:tcW w:w="871" w:type="pct"/>
            <w:shd w:val="clear" w:color="auto" w:fill="auto"/>
            <w:noWrap/>
            <w:vAlign w:val="center"/>
          </w:tcPr>
          <w:p w14:paraId="5317D654">
            <w:pPr>
              <w:pStyle w:val="23"/>
              <w:jc w:val="center"/>
              <w:rPr>
                <w:rFonts w:ascii="宋体" w:hAnsi="宋体"/>
                <w:kern w:val="0"/>
                <w:szCs w:val="21"/>
              </w:rPr>
            </w:pPr>
            <w:r>
              <w:rPr>
                <w:rFonts w:ascii="宋体" w:hAnsi="宋体"/>
                <w:kern w:val="0"/>
                <w:szCs w:val="21"/>
              </w:rPr>
              <w:t>只</w:t>
            </w:r>
          </w:p>
        </w:tc>
        <w:tc>
          <w:tcPr>
            <w:tcW w:w="871" w:type="pct"/>
            <w:shd w:val="clear" w:color="auto" w:fill="auto"/>
            <w:noWrap/>
            <w:vAlign w:val="center"/>
          </w:tcPr>
          <w:p w14:paraId="72B4DC23">
            <w:pPr>
              <w:pStyle w:val="23"/>
              <w:jc w:val="center"/>
              <w:rPr>
                <w:rFonts w:ascii="宋体" w:hAnsi="宋体"/>
                <w:kern w:val="0"/>
                <w:szCs w:val="21"/>
              </w:rPr>
            </w:pPr>
            <w:r>
              <w:rPr>
                <w:rFonts w:ascii="宋体" w:hAnsi="宋体"/>
                <w:kern w:val="0"/>
                <w:szCs w:val="21"/>
              </w:rPr>
              <w:t>1229867</w:t>
            </w:r>
          </w:p>
        </w:tc>
        <w:tc>
          <w:tcPr>
            <w:tcW w:w="871" w:type="pct"/>
            <w:shd w:val="clear" w:color="auto" w:fill="auto"/>
            <w:noWrap/>
            <w:vAlign w:val="center"/>
          </w:tcPr>
          <w:p w14:paraId="677421B1">
            <w:pPr>
              <w:pStyle w:val="23"/>
              <w:jc w:val="center"/>
              <w:rPr>
                <w:rFonts w:ascii="宋体" w:hAnsi="宋体"/>
                <w:kern w:val="0"/>
                <w:szCs w:val="21"/>
              </w:rPr>
            </w:pPr>
            <w:r>
              <w:rPr>
                <w:rFonts w:ascii="宋体" w:hAnsi="宋体"/>
                <w:kern w:val="0"/>
                <w:szCs w:val="21"/>
              </w:rPr>
              <w:t>-2.8</w:t>
            </w:r>
          </w:p>
        </w:tc>
      </w:tr>
      <w:tr w14:paraId="586E462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386" w:type="pct"/>
            <w:shd w:val="clear" w:color="auto" w:fill="auto"/>
            <w:noWrap/>
            <w:vAlign w:val="center"/>
          </w:tcPr>
          <w:p w14:paraId="41419EB4">
            <w:pPr>
              <w:pStyle w:val="23"/>
              <w:ind w:firstLine="630" w:firstLineChars="300"/>
              <w:rPr>
                <w:rFonts w:ascii="宋体" w:hAnsi="宋体"/>
                <w:kern w:val="0"/>
                <w:szCs w:val="21"/>
              </w:rPr>
            </w:pPr>
            <w:r>
              <w:rPr>
                <w:rFonts w:ascii="宋体" w:hAnsi="宋体"/>
                <w:kern w:val="0"/>
                <w:szCs w:val="21"/>
              </w:rPr>
              <w:t>其中</w:t>
            </w:r>
            <w:r>
              <w:rPr>
                <w:rFonts w:hint="eastAsia" w:ascii="宋体" w:hAnsi="宋体"/>
                <w:kern w:val="0"/>
                <w:szCs w:val="21"/>
              </w:rPr>
              <w:t>：</w:t>
            </w:r>
            <w:r>
              <w:rPr>
                <w:rFonts w:ascii="宋体" w:hAnsi="宋体"/>
                <w:kern w:val="0"/>
                <w:szCs w:val="21"/>
              </w:rPr>
              <w:t>1、鸡</w:t>
            </w:r>
          </w:p>
        </w:tc>
        <w:tc>
          <w:tcPr>
            <w:tcW w:w="871" w:type="pct"/>
            <w:shd w:val="clear" w:color="auto" w:fill="auto"/>
            <w:noWrap/>
            <w:vAlign w:val="center"/>
          </w:tcPr>
          <w:p w14:paraId="48C768AA">
            <w:pPr>
              <w:pStyle w:val="23"/>
              <w:jc w:val="center"/>
              <w:rPr>
                <w:rFonts w:ascii="宋体" w:hAnsi="宋体"/>
                <w:kern w:val="0"/>
                <w:szCs w:val="21"/>
              </w:rPr>
            </w:pPr>
            <w:r>
              <w:rPr>
                <w:rFonts w:ascii="宋体" w:hAnsi="宋体"/>
                <w:kern w:val="0"/>
                <w:szCs w:val="21"/>
              </w:rPr>
              <w:t>只</w:t>
            </w:r>
          </w:p>
        </w:tc>
        <w:tc>
          <w:tcPr>
            <w:tcW w:w="871" w:type="pct"/>
            <w:shd w:val="clear" w:color="auto" w:fill="auto"/>
            <w:noWrap/>
            <w:vAlign w:val="center"/>
          </w:tcPr>
          <w:p w14:paraId="4FA2BC49">
            <w:pPr>
              <w:pStyle w:val="23"/>
              <w:jc w:val="center"/>
              <w:rPr>
                <w:rFonts w:ascii="宋体" w:hAnsi="宋体"/>
                <w:kern w:val="0"/>
                <w:szCs w:val="21"/>
              </w:rPr>
            </w:pPr>
            <w:r>
              <w:rPr>
                <w:rFonts w:ascii="宋体" w:hAnsi="宋体"/>
                <w:kern w:val="0"/>
                <w:szCs w:val="21"/>
              </w:rPr>
              <w:t>912027</w:t>
            </w:r>
          </w:p>
        </w:tc>
        <w:tc>
          <w:tcPr>
            <w:tcW w:w="871" w:type="pct"/>
            <w:shd w:val="clear" w:color="auto" w:fill="auto"/>
            <w:noWrap/>
            <w:vAlign w:val="center"/>
          </w:tcPr>
          <w:p w14:paraId="090A04B0">
            <w:pPr>
              <w:pStyle w:val="23"/>
              <w:jc w:val="center"/>
              <w:rPr>
                <w:rFonts w:ascii="宋体" w:hAnsi="宋体"/>
                <w:kern w:val="0"/>
                <w:szCs w:val="21"/>
              </w:rPr>
            </w:pPr>
            <w:r>
              <w:rPr>
                <w:rFonts w:ascii="宋体" w:hAnsi="宋体"/>
                <w:kern w:val="0"/>
                <w:szCs w:val="21"/>
              </w:rPr>
              <w:t>-4.4</w:t>
            </w:r>
          </w:p>
        </w:tc>
      </w:tr>
      <w:tr w14:paraId="0074808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386" w:type="pct"/>
            <w:shd w:val="clear" w:color="auto" w:fill="auto"/>
            <w:noWrap/>
            <w:vAlign w:val="center"/>
          </w:tcPr>
          <w:p w14:paraId="0FAD6E2F">
            <w:pPr>
              <w:pStyle w:val="23"/>
              <w:ind w:firstLine="1260" w:firstLineChars="600"/>
              <w:rPr>
                <w:rFonts w:ascii="宋体" w:hAnsi="宋体"/>
                <w:kern w:val="0"/>
                <w:szCs w:val="21"/>
              </w:rPr>
            </w:pPr>
            <w:r>
              <w:rPr>
                <w:rFonts w:ascii="宋体" w:hAnsi="宋体"/>
                <w:kern w:val="0"/>
                <w:szCs w:val="21"/>
              </w:rPr>
              <w:t>2、鸭</w:t>
            </w:r>
          </w:p>
        </w:tc>
        <w:tc>
          <w:tcPr>
            <w:tcW w:w="871" w:type="pct"/>
            <w:shd w:val="clear" w:color="auto" w:fill="auto"/>
            <w:noWrap/>
            <w:vAlign w:val="center"/>
          </w:tcPr>
          <w:p w14:paraId="360ABDE7">
            <w:pPr>
              <w:pStyle w:val="23"/>
              <w:jc w:val="center"/>
              <w:rPr>
                <w:rFonts w:ascii="宋体" w:hAnsi="宋体"/>
                <w:kern w:val="0"/>
                <w:szCs w:val="21"/>
              </w:rPr>
            </w:pPr>
            <w:r>
              <w:rPr>
                <w:rFonts w:ascii="宋体" w:hAnsi="宋体"/>
                <w:kern w:val="0"/>
                <w:szCs w:val="21"/>
              </w:rPr>
              <w:t>只</w:t>
            </w:r>
          </w:p>
        </w:tc>
        <w:tc>
          <w:tcPr>
            <w:tcW w:w="871" w:type="pct"/>
            <w:shd w:val="clear" w:color="auto" w:fill="auto"/>
            <w:noWrap/>
            <w:vAlign w:val="center"/>
          </w:tcPr>
          <w:p w14:paraId="6243B586">
            <w:pPr>
              <w:pStyle w:val="23"/>
              <w:jc w:val="center"/>
              <w:rPr>
                <w:rFonts w:ascii="宋体" w:hAnsi="宋体"/>
                <w:kern w:val="0"/>
                <w:szCs w:val="21"/>
              </w:rPr>
            </w:pPr>
            <w:r>
              <w:rPr>
                <w:rFonts w:ascii="宋体" w:hAnsi="宋体"/>
                <w:kern w:val="0"/>
                <w:szCs w:val="21"/>
              </w:rPr>
              <w:t>299839</w:t>
            </w:r>
          </w:p>
        </w:tc>
        <w:tc>
          <w:tcPr>
            <w:tcW w:w="871" w:type="pct"/>
            <w:shd w:val="clear" w:color="auto" w:fill="auto"/>
            <w:noWrap/>
            <w:vAlign w:val="center"/>
          </w:tcPr>
          <w:p w14:paraId="0D71033C">
            <w:pPr>
              <w:pStyle w:val="23"/>
              <w:jc w:val="center"/>
              <w:rPr>
                <w:rFonts w:ascii="宋体" w:hAnsi="宋体"/>
                <w:kern w:val="0"/>
                <w:szCs w:val="21"/>
              </w:rPr>
            </w:pPr>
            <w:r>
              <w:rPr>
                <w:rFonts w:ascii="宋体" w:hAnsi="宋体"/>
                <w:kern w:val="0"/>
                <w:szCs w:val="21"/>
              </w:rPr>
              <w:t>2.6</w:t>
            </w:r>
          </w:p>
        </w:tc>
      </w:tr>
      <w:tr w14:paraId="01ED8A2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386" w:type="pct"/>
            <w:shd w:val="clear" w:color="auto" w:fill="auto"/>
            <w:noWrap/>
            <w:vAlign w:val="center"/>
          </w:tcPr>
          <w:p w14:paraId="1379776A">
            <w:pPr>
              <w:pStyle w:val="23"/>
              <w:ind w:firstLine="1260" w:firstLineChars="600"/>
              <w:rPr>
                <w:rFonts w:ascii="宋体" w:hAnsi="宋体"/>
                <w:kern w:val="0"/>
                <w:szCs w:val="21"/>
              </w:rPr>
            </w:pPr>
            <w:r>
              <w:rPr>
                <w:rFonts w:ascii="宋体" w:hAnsi="宋体"/>
                <w:kern w:val="0"/>
                <w:szCs w:val="21"/>
              </w:rPr>
              <w:t>3、鹅</w:t>
            </w:r>
          </w:p>
        </w:tc>
        <w:tc>
          <w:tcPr>
            <w:tcW w:w="871" w:type="pct"/>
            <w:shd w:val="clear" w:color="auto" w:fill="auto"/>
            <w:noWrap/>
            <w:vAlign w:val="center"/>
          </w:tcPr>
          <w:p w14:paraId="23B4F1E1">
            <w:pPr>
              <w:pStyle w:val="23"/>
              <w:jc w:val="center"/>
              <w:rPr>
                <w:rFonts w:ascii="宋体" w:hAnsi="宋体"/>
                <w:kern w:val="0"/>
                <w:szCs w:val="21"/>
              </w:rPr>
            </w:pPr>
            <w:r>
              <w:rPr>
                <w:rFonts w:ascii="宋体" w:hAnsi="宋体"/>
                <w:kern w:val="0"/>
                <w:szCs w:val="21"/>
              </w:rPr>
              <w:t>只</w:t>
            </w:r>
          </w:p>
        </w:tc>
        <w:tc>
          <w:tcPr>
            <w:tcW w:w="871" w:type="pct"/>
            <w:shd w:val="clear" w:color="auto" w:fill="auto"/>
            <w:noWrap/>
            <w:vAlign w:val="center"/>
          </w:tcPr>
          <w:p w14:paraId="3721FE71">
            <w:pPr>
              <w:pStyle w:val="23"/>
              <w:jc w:val="center"/>
              <w:rPr>
                <w:rFonts w:ascii="宋体" w:hAnsi="宋体"/>
                <w:kern w:val="0"/>
                <w:szCs w:val="21"/>
              </w:rPr>
            </w:pPr>
            <w:r>
              <w:rPr>
                <w:rFonts w:ascii="宋体" w:hAnsi="宋体"/>
                <w:kern w:val="0"/>
                <w:szCs w:val="21"/>
              </w:rPr>
              <w:t>3096</w:t>
            </w:r>
          </w:p>
        </w:tc>
        <w:tc>
          <w:tcPr>
            <w:tcW w:w="871" w:type="pct"/>
            <w:shd w:val="clear" w:color="auto" w:fill="auto"/>
            <w:noWrap/>
            <w:vAlign w:val="center"/>
          </w:tcPr>
          <w:p w14:paraId="06BBF1DB">
            <w:pPr>
              <w:pStyle w:val="23"/>
              <w:jc w:val="center"/>
              <w:rPr>
                <w:rFonts w:ascii="宋体" w:hAnsi="宋体"/>
                <w:kern w:val="0"/>
                <w:szCs w:val="21"/>
              </w:rPr>
            </w:pPr>
            <w:r>
              <w:rPr>
                <w:rFonts w:ascii="宋体" w:hAnsi="宋体"/>
                <w:kern w:val="0"/>
                <w:szCs w:val="21"/>
              </w:rPr>
              <w:t>-3.1</w:t>
            </w:r>
          </w:p>
        </w:tc>
      </w:tr>
      <w:tr w14:paraId="6672224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386" w:type="pct"/>
            <w:shd w:val="clear" w:color="auto" w:fill="auto"/>
            <w:noWrap/>
            <w:vAlign w:val="center"/>
          </w:tcPr>
          <w:p w14:paraId="0F91DFCF">
            <w:pPr>
              <w:pStyle w:val="23"/>
              <w:rPr>
                <w:rFonts w:ascii="宋体" w:hAnsi="宋体"/>
                <w:kern w:val="0"/>
                <w:szCs w:val="21"/>
              </w:rPr>
            </w:pPr>
            <w:r>
              <w:rPr>
                <w:rFonts w:ascii="宋体" w:hAnsi="宋体"/>
                <w:kern w:val="0"/>
                <w:szCs w:val="21"/>
              </w:rPr>
              <w:t>四、当年出栏肉猪</w:t>
            </w:r>
          </w:p>
        </w:tc>
        <w:tc>
          <w:tcPr>
            <w:tcW w:w="871" w:type="pct"/>
            <w:shd w:val="clear" w:color="auto" w:fill="auto"/>
            <w:noWrap/>
            <w:vAlign w:val="center"/>
          </w:tcPr>
          <w:p w14:paraId="7536DF42">
            <w:pPr>
              <w:pStyle w:val="23"/>
              <w:jc w:val="center"/>
              <w:rPr>
                <w:rFonts w:ascii="宋体" w:hAnsi="宋体"/>
                <w:kern w:val="0"/>
                <w:szCs w:val="21"/>
              </w:rPr>
            </w:pPr>
            <w:r>
              <w:rPr>
                <w:rFonts w:ascii="宋体" w:hAnsi="宋体"/>
                <w:kern w:val="0"/>
                <w:szCs w:val="21"/>
              </w:rPr>
              <w:t>头</w:t>
            </w:r>
          </w:p>
        </w:tc>
        <w:tc>
          <w:tcPr>
            <w:tcW w:w="871" w:type="pct"/>
            <w:shd w:val="clear" w:color="auto" w:fill="auto"/>
            <w:noWrap/>
            <w:vAlign w:val="center"/>
          </w:tcPr>
          <w:p w14:paraId="17B18265">
            <w:pPr>
              <w:pStyle w:val="23"/>
              <w:jc w:val="center"/>
              <w:rPr>
                <w:rFonts w:ascii="宋体" w:hAnsi="宋体"/>
                <w:kern w:val="0"/>
                <w:szCs w:val="21"/>
              </w:rPr>
            </w:pPr>
            <w:r>
              <w:rPr>
                <w:rFonts w:ascii="宋体" w:hAnsi="宋体"/>
                <w:kern w:val="0"/>
                <w:szCs w:val="21"/>
              </w:rPr>
              <w:t>352670</w:t>
            </w:r>
          </w:p>
        </w:tc>
        <w:tc>
          <w:tcPr>
            <w:tcW w:w="871" w:type="pct"/>
            <w:shd w:val="clear" w:color="auto" w:fill="auto"/>
            <w:noWrap/>
            <w:vAlign w:val="center"/>
          </w:tcPr>
          <w:p w14:paraId="0ACFC519">
            <w:pPr>
              <w:pStyle w:val="23"/>
              <w:jc w:val="center"/>
              <w:rPr>
                <w:rFonts w:ascii="宋体" w:hAnsi="宋体"/>
                <w:kern w:val="0"/>
                <w:szCs w:val="21"/>
              </w:rPr>
            </w:pPr>
            <w:r>
              <w:rPr>
                <w:rFonts w:ascii="宋体" w:hAnsi="宋体"/>
                <w:kern w:val="0"/>
                <w:szCs w:val="21"/>
              </w:rPr>
              <w:t>-3.0</w:t>
            </w:r>
          </w:p>
        </w:tc>
      </w:tr>
      <w:tr w14:paraId="10359F2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386" w:type="pct"/>
            <w:shd w:val="clear" w:color="auto" w:fill="auto"/>
            <w:noWrap/>
            <w:vAlign w:val="center"/>
          </w:tcPr>
          <w:p w14:paraId="5762F8F2">
            <w:pPr>
              <w:pStyle w:val="23"/>
              <w:ind w:firstLine="420" w:firstLineChars="200"/>
              <w:rPr>
                <w:rFonts w:ascii="宋体" w:hAnsi="宋体"/>
                <w:kern w:val="0"/>
                <w:szCs w:val="21"/>
              </w:rPr>
            </w:pPr>
            <w:r>
              <w:rPr>
                <w:rFonts w:ascii="宋体" w:hAnsi="宋体"/>
                <w:kern w:val="0"/>
                <w:szCs w:val="21"/>
              </w:rPr>
              <w:t>肉猪产量</w:t>
            </w:r>
          </w:p>
        </w:tc>
        <w:tc>
          <w:tcPr>
            <w:tcW w:w="871" w:type="pct"/>
            <w:shd w:val="clear" w:color="auto" w:fill="auto"/>
            <w:noWrap/>
            <w:vAlign w:val="center"/>
          </w:tcPr>
          <w:p w14:paraId="056A0AA3">
            <w:pPr>
              <w:pStyle w:val="23"/>
              <w:jc w:val="center"/>
              <w:rPr>
                <w:rFonts w:ascii="宋体" w:hAnsi="宋体"/>
                <w:kern w:val="0"/>
                <w:szCs w:val="21"/>
              </w:rPr>
            </w:pPr>
            <w:r>
              <w:rPr>
                <w:rFonts w:ascii="宋体" w:hAnsi="宋体"/>
                <w:kern w:val="0"/>
                <w:szCs w:val="21"/>
              </w:rPr>
              <w:t>吨</w:t>
            </w:r>
          </w:p>
        </w:tc>
        <w:tc>
          <w:tcPr>
            <w:tcW w:w="871" w:type="pct"/>
            <w:shd w:val="clear" w:color="auto" w:fill="auto"/>
            <w:noWrap/>
            <w:vAlign w:val="center"/>
          </w:tcPr>
          <w:p w14:paraId="2D2E8BEA">
            <w:pPr>
              <w:pStyle w:val="23"/>
              <w:jc w:val="center"/>
              <w:rPr>
                <w:rFonts w:ascii="宋体" w:hAnsi="宋体"/>
                <w:kern w:val="0"/>
                <w:szCs w:val="21"/>
              </w:rPr>
            </w:pPr>
            <w:r>
              <w:rPr>
                <w:rFonts w:ascii="宋体" w:hAnsi="宋体"/>
                <w:kern w:val="0"/>
                <w:szCs w:val="21"/>
              </w:rPr>
              <w:t>26110</w:t>
            </w:r>
          </w:p>
        </w:tc>
        <w:tc>
          <w:tcPr>
            <w:tcW w:w="871" w:type="pct"/>
            <w:shd w:val="clear" w:color="auto" w:fill="auto"/>
            <w:noWrap/>
            <w:vAlign w:val="center"/>
          </w:tcPr>
          <w:p w14:paraId="428AC6F4">
            <w:pPr>
              <w:pStyle w:val="23"/>
              <w:jc w:val="center"/>
              <w:rPr>
                <w:rFonts w:ascii="宋体" w:hAnsi="宋体"/>
                <w:kern w:val="0"/>
                <w:szCs w:val="21"/>
              </w:rPr>
            </w:pPr>
            <w:r>
              <w:rPr>
                <w:rFonts w:ascii="宋体" w:hAnsi="宋体"/>
                <w:kern w:val="0"/>
                <w:szCs w:val="21"/>
              </w:rPr>
              <w:t>-3.1</w:t>
            </w:r>
          </w:p>
        </w:tc>
      </w:tr>
      <w:tr w14:paraId="11672F1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386" w:type="pct"/>
            <w:shd w:val="clear" w:color="auto" w:fill="auto"/>
            <w:noWrap/>
            <w:vAlign w:val="center"/>
          </w:tcPr>
          <w:p w14:paraId="3C0C90C9">
            <w:pPr>
              <w:pStyle w:val="23"/>
              <w:rPr>
                <w:rFonts w:ascii="宋体" w:hAnsi="宋体"/>
                <w:kern w:val="0"/>
                <w:szCs w:val="21"/>
              </w:rPr>
            </w:pPr>
            <w:r>
              <w:rPr>
                <w:rFonts w:ascii="宋体" w:hAnsi="宋体"/>
                <w:kern w:val="0"/>
                <w:szCs w:val="21"/>
              </w:rPr>
              <w:t>五、当年出售、自宰肉用牛</w:t>
            </w:r>
          </w:p>
        </w:tc>
        <w:tc>
          <w:tcPr>
            <w:tcW w:w="871" w:type="pct"/>
            <w:shd w:val="clear" w:color="auto" w:fill="auto"/>
            <w:noWrap/>
            <w:vAlign w:val="center"/>
          </w:tcPr>
          <w:p w14:paraId="3A025935">
            <w:pPr>
              <w:pStyle w:val="23"/>
              <w:jc w:val="center"/>
              <w:rPr>
                <w:rFonts w:ascii="宋体" w:hAnsi="宋体"/>
                <w:kern w:val="0"/>
                <w:szCs w:val="21"/>
              </w:rPr>
            </w:pPr>
            <w:r>
              <w:rPr>
                <w:rFonts w:ascii="宋体" w:hAnsi="宋体"/>
                <w:kern w:val="0"/>
                <w:szCs w:val="21"/>
              </w:rPr>
              <w:t>头</w:t>
            </w:r>
          </w:p>
        </w:tc>
        <w:tc>
          <w:tcPr>
            <w:tcW w:w="871" w:type="pct"/>
            <w:shd w:val="clear" w:color="auto" w:fill="auto"/>
            <w:noWrap/>
            <w:vAlign w:val="center"/>
          </w:tcPr>
          <w:p w14:paraId="32F7340E">
            <w:pPr>
              <w:pStyle w:val="23"/>
              <w:jc w:val="center"/>
              <w:rPr>
                <w:rFonts w:ascii="宋体" w:hAnsi="宋体"/>
                <w:kern w:val="0"/>
                <w:szCs w:val="21"/>
              </w:rPr>
            </w:pPr>
            <w:r>
              <w:rPr>
                <w:rFonts w:ascii="宋体" w:hAnsi="宋体"/>
                <w:kern w:val="0"/>
                <w:szCs w:val="21"/>
              </w:rPr>
              <w:t>4372</w:t>
            </w:r>
          </w:p>
        </w:tc>
        <w:tc>
          <w:tcPr>
            <w:tcW w:w="871" w:type="pct"/>
            <w:shd w:val="clear" w:color="auto" w:fill="auto"/>
            <w:noWrap/>
            <w:vAlign w:val="center"/>
          </w:tcPr>
          <w:p w14:paraId="5F9797B2">
            <w:pPr>
              <w:pStyle w:val="23"/>
              <w:jc w:val="center"/>
              <w:rPr>
                <w:rFonts w:ascii="宋体" w:hAnsi="宋体"/>
                <w:kern w:val="0"/>
                <w:szCs w:val="21"/>
              </w:rPr>
            </w:pPr>
            <w:r>
              <w:rPr>
                <w:rFonts w:ascii="宋体" w:hAnsi="宋体"/>
                <w:kern w:val="0"/>
                <w:szCs w:val="21"/>
              </w:rPr>
              <w:t>7.9</w:t>
            </w:r>
          </w:p>
        </w:tc>
      </w:tr>
      <w:tr w14:paraId="0C40F40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386" w:type="pct"/>
            <w:shd w:val="clear" w:color="auto" w:fill="auto"/>
            <w:noWrap/>
            <w:vAlign w:val="center"/>
          </w:tcPr>
          <w:p w14:paraId="6F2124E2">
            <w:pPr>
              <w:pStyle w:val="23"/>
              <w:ind w:firstLine="420" w:firstLineChars="200"/>
              <w:rPr>
                <w:rFonts w:ascii="宋体" w:hAnsi="宋体"/>
                <w:kern w:val="0"/>
                <w:szCs w:val="21"/>
              </w:rPr>
            </w:pPr>
            <w:r>
              <w:rPr>
                <w:rFonts w:ascii="宋体" w:hAnsi="宋体"/>
                <w:kern w:val="0"/>
                <w:szCs w:val="21"/>
              </w:rPr>
              <w:t>牛肉产量</w:t>
            </w:r>
          </w:p>
        </w:tc>
        <w:tc>
          <w:tcPr>
            <w:tcW w:w="871" w:type="pct"/>
            <w:shd w:val="clear" w:color="auto" w:fill="auto"/>
            <w:noWrap/>
            <w:vAlign w:val="center"/>
          </w:tcPr>
          <w:p w14:paraId="3FD13636">
            <w:pPr>
              <w:pStyle w:val="23"/>
              <w:jc w:val="center"/>
              <w:rPr>
                <w:rFonts w:ascii="宋体" w:hAnsi="宋体"/>
                <w:kern w:val="0"/>
                <w:szCs w:val="21"/>
              </w:rPr>
            </w:pPr>
            <w:r>
              <w:rPr>
                <w:rFonts w:ascii="宋体" w:hAnsi="宋体"/>
                <w:kern w:val="0"/>
                <w:szCs w:val="21"/>
              </w:rPr>
              <w:t>吨</w:t>
            </w:r>
          </w:p>
        </w:tc>
        <w:tc>
          <w:tcPr>
            <w:tcW w:w="871" w:type="pct"/>
            <w:shd w:val="clear" w:color="auto" w:fill="auto"/>
            <w:noWrap/>
            <w:vAlign w:val="center"/>
          </w:tcPr>
          <w:p w14:paraId="00CAD1B0">
            <w:pPr>
              <w:pStyle w:val="23"/>
              <w:jc w:val="center"/>
              <w:rPr>
                <w:rFonts w:ascii="宋体" w:hAnsi="宋体"/>
                <w:kern w:val="0"/>
                <w:szCs w:val="21"/>
              </w:rPr>
            </w:pPr>
            <w:r>
              <w:rPr>
                <w:rFonts w:ascii="宋体" w:hAnsi="宋体"/>
                <w:kern w:val="0"/>
                <w:szCs w:val="21"/>
              </w:rPr>
              <w:t>514</w:t>
            </w:r>
          </w:p>
        </w:tc>
        <w:tc>
          <w:tcPr>
            <w:tcW w:w="871" w:type="pct"/>
            <w:shd w:val="clear" w:color="auto" w:fill="auto"/>
            <w:noWrap/>
            <w:vAlign w:val="center"/>
          </w:tcPr>
          <w:p w14:paraId="32189F75">
            <w:pPr>
              <w:pStyle w:val="23"/>
              <w:jc w:val="center"/>
              <w:rPr>
                <w:rFonts w:ascii="宋体" w:hAnsi="宋体"/>
                <w:kern w:val="0"/>
                <w:szCs w:val="21"/>
              </w:rPr>
            </w:pPr>
            <w:r>
              <w:rPr>
                <w:rFonts w:ascii="宋体" w:hAnsi="宋体"/>
                <w:kern w:val="0"/>
                <w:szCs w:val="21"/>
              </w:rPr>
              <w:t>8.4</w:t>
            </w:r>
          </w:p>
        </w:tc>
      </w:tr>
      <w:tr w14:paraId="7890376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386" w:type="pct"/>
            <w:shd w:val="clear" w:color="auto" w:fill="auto"/>
            <w:noWrap/>
            <w:vAlign w:val="center"/>
          </w:tcPr>
          <w:p w14:paraId="0F797E31">
            <w:pPr>
              <w:pStyle w:val="23"/>
              <w:rPr>
                <w:rFonts w:ascii="宋体" w:hAnsi="宋体"/>
                <w:kern w:val="0"/>
                <w:szCs w:val="21"/>
              </w:rPr>
            </w:pPr>
            <w:r>
              <w:rPr>
                <w:rFonts w:ascii="宋体" w:hAnsi="宋体"/>
                <w:kern w:val="0"/>
                <w:szCs w:val="21"/>
              </w:rPr>
              <w:t>六、当年出售、自宰家禽只数</w:t>
            </w:r>
          </w:p>
        </w:tc>
        <w:tc>
          <w:tcPr>
            <w:tcW w:w="871" w:type="pct"/>
            <w:shd w:val="clear" w:color="auto" w:fill="auto"/>
            <w:noWrap/>
            <w:vAlign w:val="center"/>
          </w:tcPr>
          <w:p w14:paraId="7AF7DFE5">
            <w:pPr>
              <w:pStyle w:val="23"/>
              <w:jc w:val="center"/>
              <w:rPr>
                <w:rFonts w:ascii="宋体" w:hAnsi="宋体"/>
                <w:kern w:val="0"/>
                <w:szCs w:val="21"/>
              </w:rPr>
            </w:pPr>
            <w:r>
              <w:rPr>
                <w:rFonts w:ascii="宋体" w:hAnsi="宋体"/>
                <w:kern w:val="0"/>
                <w:szCs w:val="21"/>
              </w:rPr>
              <w:t>只</w:t>
            </w:r>
          </w:p>
        </w:tc>
        <w:tc>
          <w:tcPr>
            <w:tcW w:w="871" w:type="pct"/>
            <w:shd w:val="clear" w:color="auto" w:fill="auto"/>
            <w:noWrap/>
            <w:vAlign w:val="center"/>
          </w:tcPr>
          <w:p w14:paraId="6BCA3C22">
            <w:pPr>
              <w:pStyle w:val="23"/>
              <w:jc w:val="center"/>
              <w:rPr>
                <w:rFonts w:ascii="宋体" w:hAnsi="宋体"/>
                <w:kern w:val="0"/>
                <w:szCs w:val="21"/>
              </w:rPr>
            </w:pPr>
            <w:r>
              <w:rPr>
                <w:rFonts w:ascii="宋体" w:hAnsi="宋体"/>
                <w:kern w:val="0"/>
                <w:szCs w:val="21"/>
              </w:rPr>
              <w:t>5438853</w:t>
            </w:r>
          </w:p>
        </w:tc>
        <w:tc>
          <w:tcPr>
            <w:tcW w:w="871" w:type="pct"/>
            <w:shd w:val="clear" w:color="auto" w:fill="auto"/>
            <w:noWrap/>
            <w:vAlign w:val="center"/>
          </w:tcPr>
          <w:p w14:paraId="4D19DB4E">
            <w:pPr>
              <w:pStyle w:val="23"/>
              <w:jc w:val="center"/>
              <w:rPr>
                <w:rFonts w:ascii="宋体" w:hAnsi="宋体"/>
                <w:kern w:val="0"/>
                <w:szCs w:val="21"/>
              </w:rPr>
            </w:pPr>
            <w:r>
              <w:rPr>
                <w:rFonts w:ascii="宋体" w:hAnsi="宋体"/>
                <w:kern w:val="0"/>
                <w:szCs w:val="21"/>
              </w:rPr>
              <w:t>1.5</w:t>
            </w:r>
          </w:p>
        </w:tc>
      </w:tr>
      <w:tr w14:paraId="2D00D56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386" w:type="pct"/>
            <w:shd w:val="clear" w:color="auto" w:fill="auto"/>
            <w:noWrap/>
            <w:vAlign w:val="center"/>
          </w:tcPr>
          <w:p w14:paraId="429FC63F">
            <w:pPr>
              <w:pStyle w:val="23"/>
              <w:ind w:firstLine="420" w:firstLineChars="200"/>
              <w:rPr>
                <w:rFonts w:ascii="宋体" w:hAnsi="宋体"/>
                <w:kern w:val="0"/>
                <w:szCs w:val="21"/>
              </w:rPr>
            </w:pPr>
            <w:r>
              <w:rPr>
                <w:rFonts w:ascii="宋体" w:hAnsi="宋体"/>
                <w:kern w:val="0"/>
                <w:szCs w:val="21"/>
              </w:rPr>
              <w:t>其中</w:t>
            </w:r>
            <w:r>
              <w:rPr>
                <w:rFonts w:hint="eastAsia" w:ascii="宋体" w:hAnsi="宋体"/>
                <w:kern w:val="0"/>
                <w:szCs w:val="21"/>
              </w:rPr>
              <w:t>：</w:t>
            </w:r>
            <w:r>
              <w:rPr>
                <w:rFonts w:ascii="宋体" w:hAnsi="宋体"/>
                <w:kern w:val="0"/>
                <w:szCs w:val="21"/>
              </w:rPr>
              <w:t>1、鸡</w:t>
            </w:r>
          </w:p>
        </w:tc>
        <w:tc>
          <w:tcPr>
            <w:tcW w:w="871" w:type="pct"/>
            <w:shd w:val="clear" w:color="auto" w:fill="auto"/>
            <w:noWrap/>
            <w:vAlign w:val="center"/>
          </w:tcPr>
          <w:p w14:paraId="0E627385">
            <w:pPr>
              <w:pStyle w:val="23"/>
              <w:jc w:val="center"/>
              <w:rPr>
                <w:rFonts w:ascii="宋体" w:hAnsi="宋体"/>
                <w:kern w:val="0"/>
                <w:szCs w:val="21"/>
              </w:rPr>
            </w:pPr>
            <w:r>
              <w:rPr>
                <w:rFonts w:ascii="宋体" w:hAnsi="宋体"/>
                <w:kern w:val="0"/>
                <w:szCs w:val="21"/>
              </w:rPr>
              <w:t>只</w:t>
            </w:r>
          </w:p>
        </w:tc>
        <w:tc>
          <w:tcPr>
            <w:tcW w:w="871" w:type="pct"/>
            <w:shd w:val="clear" w:color="auto" w:fill="auto"/>
            <w:noWrap/>
            <w:vAlign w:val="center"/>
          </w:tcPr>
          <w:p w14:paraId="5D0DC12B">
            <w:pPr>
              <w:pStyle w:val="23"/>
              <w:jc w:val="center"/>
              <w:rPr>
                <w:rFonts w:ascii="宋体" w:hAnsi="宋体"/>
                <w:kern w:val="0"/>
                <w:szCs w:val="21"/>
              </w:rPr>
            </w:pPr>
            <w:r>
              <w:rPr>
                <w:rFonts w:ascii="宋体" w:hAnsi="宋体"/>
                <w:kern w:val="0"/>
                <w:szCs w:val="21"/>
              </w:rPr>
              <w:t>3946711</w:t>
            </w:r>
          </w:p>
        </w:tc>
        <w:tc>
          <w:tcPr>
            <w:tcW w:w="871" w:type="pct"/>
            <w:shd w:val="clear" w:color="auto" w:fill="auto"/>
            <w:noWrap/>
            <w:vAlign w:val="center"/>
          </w:tcPr>
          <w:p w14:paraId="797647FE">
            <w:pPr>
              <w:pStyle w:val="23"/>
              <w:jc w:val="center"/>
              <w:rPr>
                <w:rFonts w:ascii="宋体" w:hAnsi="宋体"/>
                <w:kern w:val="0"/>
                <w:szCs w:val="21"/>
              </w:rPr>
            </w:pPr>
            <w:r>
              <w:rPr>
                <w:rFonts w:ascii="宋体" w:hAnsi="宋体"/>
                <w:kern w:val="0"/>
                <w:szCs w:val="21"/>
              </w:rPr>
              <w:t>-1.4</w:t>
            </w:r>
          </w:p>
        </w:tc>
      </w:tr>
      <w:tr w14:paraId="3C410D8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386" w:type="pct"/>
            <w:shd w:val="clear" w:color="auto" w:fill="auto"/>
            <w:noWrap/>
            <w:vAlign w:val="center"/>
          </w:tcPr>
          <w:p w14:paraId="6384E737">
            <w:pPr>
              <w:pStyle w:val="23"/>
              <w:ind w:firstLine="1050" w:firstLineChars="500"/>
              <w:rPr>
                <w:rFonts w:ascii="宋体" w:hAnsi="宋体"/>
                <w:kern w:val="0"/>
                <w:szCs w:val="21"/>
              </w:rPr>
            </w:pPr>
            <w:r>
              <w:rPr>
                <w:rFonts w:ascii="宋体" w:hAnsi="宋体"/>
                <w:kern w:val="0"/>
                <w:szCs w:val="21"/>
              </w:rPr>
              <w:t>2、鸭</w:t>
            </w:r>
          </w:p>
        </w:tc>
        <w:tc>
          <w:tcPr>
            <w:tcW w:w="871" w:type="pct"/>
            <w:shd w:val="clear" w:color="auto" w:fill="auto"/>
            <w:noWrap/>
            <w:vAlign w:val="center"/>
          </w:tcPr>
          <w:p w14:paraId="3CC91A2E">
            <w:pPr>
              <w:pStyle w:val="23"/>
              <w:jc w:val="center"/>
              <w:rPr>
                <w:rFonts w:ascii="宋体" w:hAnsi="宋体"/>
                <w:kern w:val="0"/>
                <w:szCs w:val="21"/>
              </w:rPr>
            </w:pPr>
            <w:r>
              <w:rPr>
                <w:rFonts w:ascii="宋体" w:hAnsi="宋体"/>
                <w:kern w:val="0"/>
                <w:szCs w:val="21"/>
              </w:rPr>
              <w:t>只</w:t>
            </w:r>
          </w:p>
        </w:tc>
        <w:tc>
          <w:tcPr>
            <w:tcW w:w="871" w:type="pct"/>
            <w:shd w:val="clear" w:color="auto" w:fill="auto"/>
            <w:noWrap/>
            <w:vAlign w:val="center"/>
          </w:tcPr>
          <w:p w14:paraId="46592177">
            <w:pPr>
              <w:pStyle w:val="23"/>
              <w:jc w:val="center"/>
              <w:rPr>
                <w:rFonts w:ascii="宋体" w:hAnsi="宋体"/>
                <w:kern w:val="0"/>
                <w:szCs w:val="21"/>
              </w:rPr>
            </w:pPr>
            <w:r>
              <w:rPr>
                <w:rFonts w:ascii="宋体" w:hAnsi="宋体"/>
                <w:kern w:val="0"/>
                <w:szCs w:val="21"/>
              </w:rPr>
              <w:t>1457764</w:t>
            </w:r>
          </w:p>
        </w:tc>
        <w:tc>
          <w:tcPr>
            <w:tcW w:w="871" w:type="pct"/>
            <w:shd w:val="clear" w:color="auto" w:fill="auto"/>
            <w:noWrap/>
            <w:vAlign w:val="center"/>
          </w:tcPr>
          <w:p w14:paraId="558EF3D5">
            <w:pPr>
              <w:pStyle w:val="23"/>
              <w:jc w:val="center"/>
              <w:rPr>
                <w:rFonts w:ascii="宋体" w:hAnsi="宋体"/>
                <w:kern w:val="0"/>
                <w:szCs w:val="21"/>
              </w:rPr>
            </w:pPr>
            <w:r>
              <w:rPr>
                <w:rFonts w:ascii="宋体" w:hAnsi="宋体"/>
                <w:kern w:val="0"/>
                <w:szCs w:val="21"/>
              </w:rPr>
              <w:t>-1.5</w:t>
            </w:r>
          </w:p>
        </w:tc>
      </w:tr>
      <w:tr w14:paraId="20BB889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386" w:type="pct"/>
            <w:shd w:val="clear" w:color="auto" w:fill="auto"/>
            <w:noWrap/>
            <w:vAlign w:val="center"/>
          </w:tcPr>
          <w:p w14:paraId="796FF500">
            <w:pPr>
              <w:pStyle w:val="23"/>
              <w:ind w:firstLine="1050" w:firstLineChars="500"/>
              <w:rPr>
                <w:rFonts w:ascii="宋体" w:hAnsi="宋体"/>
                <w:kern w:val="0"/>
                <w:szCs w:val="21"/>
              </w:rPr>
            </w:pPr>
            <w:r>
              <w:rPr>
                <w:rFonts w:ascii="宋体" w:hAnsi="宋体"/>
                <w:kern w:val="0"/>
                <w:szCs w:val="21"/>
              </w:rPr>
              <w:t>3、鹅</w:t>
            </w:r>
          </w:p>
        </w:tc>
        <w:tc>
          <w:tcPr>
            <w:tcW w:w="871" w:type="pct"/>
            <w:shd w:val="clear" w:color="auto" w:fill="auto"/>
            <w:noWrap/>
            <w:vAlign w:val="center"/>
          </w:tcPr>
          <w:p w14:paraId="0897529F">
            <w:pPr>
              <w:pStyle w:val="23"/>
              <w:jc w:val="center"/>
              <w:rPr>
                <w:rFonts w:ascii="宋体" w:hAnsi="宋体"/>
                <w:kern w:val="0"/>
                <w:szCs w:val="21"/>
              </w:rPr>
            </w:pPr>
            <w:r>
              <w:rPr>
                <w:rFonts w:ascii="宋体" w:hAnsi="宋体"/>
                <w:kern w:val="0"/>
                <w:szCs w:val="21"/>
              </w:rPr>
              <w:t>只</w:t>
            </w:r>
          </w:p>
        </w:tc>
        <w:tc>
          <w:tcPr>
            <w:tcW w:w="871" w:type="pct"/>
            <w:shd w:val="clear" w:color="auto" w:fill="auto"/>
            <w:noWrap/>
            <w:vAlign w:val="center"/>
          </w:tcPr>
          <w:p w14:paraId="20D95586">
            <w:pPr>
              <w:pStyle w:val="23"/>
              <w:jc w:val="center"/>
              <w:rPr>
                <w:rFonts w:ascii="宋体" w:hAnsi="宋体"/>
                <w:kern w:val="0"/>
                <w:szCs w:val="21"/>
              </w:rPr>
            </w:pPr>
            <w:r>
              <w:rPr>
                <w:rFonts w:ascii="宋体" w:hAnsi="宋体"/>
                <w:kern w:val="0"/>
                <w:szCs w:val="21"/>
              </w:rPr>
              <w:t>34378</w:t>
            </w:r>
          </w:p>
        </w:tc>
        <w:tc>
          <w:tcPr>
            <w:tcW w:w="871" w:type="pct"/>
            <w:shd w:val="clear" w:color="auto" w:fill="auto"/>
            <w:noWrap/>
            <w:vAlign w:val="center"/>
          </w:tcPr>
          <w:p w14:paraId="75036786">
            <w:pPr>
              <w:pStyle w:val="23"/>
              <w:jc w:val="center"/>
              <w:rPr>
                <w:rFonts w:ascii="宋体" w:hAnsi="宋体"/>
                <w:kern w:val="0"/>
                <w:szCs w:val="21"/>
              </w:rPr>
            </w:pPr>
            <w:r>
              <w:rPr>
                <w:rFonts w:ascii="宋体" w:hAnsi="宋体"/>
                <w:kern w:val="0"/>
                <w:szCs w:val="21"/>
              </w:rPr>
              <w:t>-1.5</w:t>
            </w:r>
          </w:p>
        </w:tc>
      </w:tr>
      <w:tr w14:paraId="232CC3C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386" w:type="pct"/>
            <w:shd w:val="clear" w:color="auto" w:fill="auto"/>
            <w:noWrap/>
            <w:vAlign w:val="center"/>
          </w:tcPr>
          <w:p w14:paraId="1090F7AE">
            <w:pPr>
              <w:pStyle w:val="23"/>
              <w:rPr>
                <w:rFonts w:ascii="宋体" w:hAnsi="宋体"/>
                <w:kern w:val="0"/>
                <w:szCs w:val="21"/>
              </w:rPr>
            </w:pPr>
            <w:r>
              <w:rPr>
                <w:rFonts w:ascii="宋体" w:hAnsi="宋体"/>
                <w:kern w:val="0"/>
                <w:szCs w:val="21"/>
              </w:rPr>
              <w:t>七、禽蛋产量</w:t>
            </w:r>
          </w:p>
        </w:tc>
        <w:tc>
          <w:tcPr>
            <w:tcW w:w="871" w:type="pct"/>
            <w:shd w:val="clear" w:color="auto" w:fill="auto"/>
            <w:noWrap/>
            <w:vAlign w:val="center"/>
          </w:tcPr>
          <w:p w14:paraId="57D8B721">
            <w:pPr>
              <w:pStyle w:val="23"/>
              <w:jc w:val="center"/>
              <w:rPr>
                <w:rFonts w:ascii="宋体" w:hAnsi="宋体"/>
                <w:kern w:val="0"/>
                <w:szCs w:val="21"/>
              </w:rPr>
            </w:pPr>
            <w:r>
              <w:rPr>
                <w:rFonts w:ascii="宋体" w:hAnsi="宋体"/>
                <w:kern w:val="0"/>
                <w:szCs w:val="21"/>
              </w:rPr>
              <w:t>吨</w:t>
            </w:r>
          </w:p>
        </w:tc>
        <w:tc>
          <w:tcPr>
            <w:tcW w:w="871" w:type="pct"/>
            <w:shd w:val="clear" w:color="auto" w:fill="auto"/>
            <w:noWrap/>
            <w:vAlign w:val="center"/>
          </w:tcPr>
          <w:p w14:paraId="0B5DEB0B">
            <w:pPr>
              <w:pStyle w:val="23"/>
              <w:jc w:val="center"/>
              <w:rPr>
                <w:rFonts w:ascii="宋体" w:hAnsi="宋体"/>
                <w:kern w:val="0"/>
                <w:szCs w:val="21"/>
              </w:rPr>
            </w:pPr>
            <w:r>
              <w:rPr>
                <w:rFonts w:ascii="宋体" w:hAnsi="宋体"/>
                <w:kern w:val="0"/>
                <w:szCs w:val="21"/>
              </w:rPr>
              <w:t>2824</w:t>
            </w:r>
          </w:p>
        </w:tc>
        <w:tc>
          <w:tcPr>
            <w:tcW w:w="871" w:type="pct"/>
            <w:shd w:val="clear" w:color="auto" w:fill="auto"/>
            <w:noWrap/>
            <w:vAlign w:val="center"/>
          </w:tcPr>
          <w:p w14:paraId="7CF04276">
            <w:pPr>
              <w:pStyle w:val="23"/>
              <w:jc w:val="center"/>
              <w:rPr>
                <w:rFonts w:ascii="宋体" w:hAnsi="宋体"/>
                <w:kern w:val="0"/>
                <w:szCs w:val="21"/>
              </w:rPr>
            </w:pPr>
            <w:r>
              <w:rPr>
                <w:rFonts w:ascii="宋体" w:hAnsi="宋体"/>
                <w:kern w:val="0"/>
                <w:szCs w:val="21"/>
              </w:rPr>
              <w:t>4.614</w:t>
            </w:r>
          </w:p>
        </w:tc>
      </w:tr>
    </w:tbl>
    <w:p w14:paraId="486BAD5D">
      <w:pPr>
        <w:ind w:firstLine="0" w:firstLineChars="0"/>
        <w:jc w:val="center"/>
        <w:rPr>
          <w:b/>
        </w:rPr>
      </w:pPr>
      <w:r>
        <w:rPr>
          <w:rFonts w:hint="eastAsia"/>
          <w:b/>
        </w:rPr>
        <w:t>表48 林业生产情况</w:t>
      </w:r>
    </w:p>
    <w:tbl>
      <w:tblPr>
        <w:tblStyle w:val="14"/>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30" w:type="dxa"/>
          <w:bottom w:w="0" w:type="dxa"/>
          <w:right w:w="30" w:type="dxa"/>
        </w:tblCellMar>
      </w:tblPr>
      <w:tblGrid>
        <w:gridCol w:w="2724"/>
        <w:gridCol w:w="2179"/>
        <w:gridCol w:w="2450"/>
        <w:gridCol w:w="2453"/>
      </w:tblGrid>
      <w:tr w14:paraId="36A5826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389" w:type="pct"/>
            <w:vAlign w:val="center"/>
          </w:tcPr>
          <w:p w14:paraId="7C74D140">
            <w:pPr>
              <w:pStyle w:val="23"/>
              <w:jc w:val="center"/>
              <w:rPr>
                <w:b/>
                <w:kern w:val="0"/>
              </w:rPr>
            </w:pPr>
            <w:r>
              <w:rPr>
                <w:b/>
                <w:kern w:val="0"/>
              </w:rPr>
              <w:t>指标名称</w:t>
            </w:r>
          </w:p>
        </w:tc>
        <w:tc>
          <w:tcPr>
            <w:tcW w:w="1111" w:type="pct"/>
            <w:vAlign w:val="center"/>
          </w:tcPr>
          <w:p w14:paraId="145C78B8">
            <w:pPr>
              <w:pStyle w:val="23"/>
              <w:jc w:val="center"/>
              <w:rPr>
                <w:b/>
                <w:kern w:val="0"/>
              </w:rPr>
            </w:pPr>
            <w:r>
              <w:rPr>
                <w:b/>
                <w:kern w:val="0"/>
              </w:rPr>
              <w:t>计算单位</w:t>
            </w:r>
          </w:p>
        </w:tc>
        <w:tc>
          <w:tcPr>
            <w:tcW w:w="1249" w:type="pct"/>
            <w:vAlign w:val="center"/>
          </w:tcPr>
          <w:p w14:paraId="7BA42E35">
            <w:pPr>
              <w:pStyle w:val="23"/>
              <w:jc w:val="center"/>
              <w:rPr>
                <w:b/>
                <w:kern w:val="0"/>
              </w:rPr>
            </w:pPr>
            <w:r>
              <w:rPr>
                <w:b/>
                <w:kern w:val="0"/>
              </w:rPr>
              <w:t>2011年</w:t>
            </w:r>
          </w:p>
        </w:tc>
        <w:tc>
          <w:tcPr>
            <w:tcW w:w="1251" w:type="pct"/>
            <w:vAlign w:val="center"/>
          </w:tcPr>
          <w:p w14:paraId="19079D96">
            <w:pPr>
              <w:pStyle w:val="23"/>
              <w:jc w:val="center"/>
              <w:rPr>
                <w:b/>
                <w:kern w:val="0"/>
              </w:rPr>
            </w:pPr>
            <w:r>
              <w:rPr>
                <w:b/>
                <w:kern w:val="0"/>
              </w:rPr>
              <w:t>比上年±%</w:t>
            </w:r>
          </w:p>
        </w:tc>
      </w:tr>
      <w:tr w14:paraId="273A31D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389" w:type="pct"/>
            <w:vAlign w:val="center"/>
          </w:tcPr>
          <w:p w14:paraId="03759348">
            <w:pPr>
              <w:pStyle w:val="23"/>
              <w:rPr>
                <w:rFonts w:ascii="宋体" w:hAnsi="宋体"/>
                <w:kern w:val="0"/>
                <w:szCs w:val="21"/>
              </w:rPr>
            </w:pPr>
            <w:r>
              <w:rPr>
                <w:rFonts w:ascii="宋体" w:hAnsi="宋体"/>
                <w:kern w:val="0"/>
                <w:szCs w:val="21"/>
              </w:rPr>
              <w:t>一、当年造林面积</w:t>
            </w:r>
          </w:p>
        </w:tc>
        <w:tc>
          <w:tcPr>
            <w:tcW w:w="1111" w:type="pct"/>
            <w:vAlign w:val="center"/>
          </w:tcPr>
          <w:p w14:paraId="6CE33C3B">
            <w:pPr>
              <w:pStyle w:val="23"/>
              <w:jc w:val="center"/>
              <w:rPr>
                <w:rFonts w:ascii="宋体" w:hAnsi="宋体"/>
                <w:kern w:val="0"/>
                <w:szCs w:val="21"/>
              </w:rPr>
            </w:pPr>
            <w:r>
              <w:rPr>
                <w:rFonts w:ascii="宋体" w:hAnsi="宋体"/>
                <w:kern w:val="0"/>
                <w:szCs w:val="21"/>
              </w:rPr>
              <w:t>亩</w:t>
            </w:r>
          </w:p>
        </w:tc>
        <w:tc>
          <w:tcPr>
            <w:tcW w:w="1249" w:type="pct"/>
            <w:vAlign w:val="center"/>
          </w:tcPr>
          <w:p w14:paraId="4DE5EE48">
            <w:pPr>
              <w:pStyle w:val="23"/>
              <w:jc w:val="center"/>
              <w:rPr>
                <w:rFonts w:ascii="宋体" w:hAnsi="宋体"/>
                <w:kern w:val="0"/>
                <w:szCs w:val="21"/>
              </w:rPr>
            </w:pPr>
            <w:r>
              <w:rPr>
                <w:rFonts w:ascii="宋体" w:hAnsi="宋体"/>
                <w:kern w:val="0"/>
                <w:szCs w:val="21"/>
              </w:rPr>
              <w:t>16470</w:t>
            </w:r>
          </w:p>
        </w:tc>
        <w:tc>
          <w:tcPr>
            <w:tcW w:w="1251" w:type="pct"/>
            <w:vAlign w:val="center"/>
          </w:tcPr>
          <w:p w14:paraId="17AEC308">
            <w:pPr>
              <w:pStyle w:val="23"/>
              <w:jc w:val="center"/>
              <w:rPr>
                <w:rFonts w:ascii="宋体" w:hAnsi="宋体"/>
                <w:kern w:val="0"/>
                <w:szCs w:val="21"/>
              </w:rPr>
            </w:pPr>
            <w:r>
              <w:rPr>
                <w:rFonts w:ascii="宋体" w:hAnsi="宋体"/>
                <w:kern w:val="0"/>
                <w:szCs w:val="21"/>
              </w:rPr>
              <w:t>3.5倍</w:t>
            </w:r>
          </w:p>
        </w:tc>
      </w:tr>
      <w:tr w14:paraId="76FAF38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389" w:type="pct"/>
            <w:vAlign w:val="center"/>
          </w:tcPr>
          <w:p w14:paraId="26194D53">
            <w:pPr>
              <w:pStyle w:val="23"/>
              <w:ind w:firstLine="420" w:firstLineChars="200"/>
              <w:rPr>
                <w:rFonts w:ascii="宋体" w:hAnsi="宋体"/>
                <w:kern w:val="0"/>
                <w:szCs w:val="21"/>
              </w:rPr>
            </w:pPr>
            <w:r>
              <w:rPr>
                <w:rFonts w:ascii="宋体" w:hAnsi="宋体"/>
                <w:kern w:val="0"/>
                <w:szCs w:val="21"/>
              </w:rPr>
              <w:t>其中</w:t>
            </w:r>
            <w:r>
              <w:rPr>
                <w:rFonts w:hint="eastAsia" w:ascii="宋体" w:hAnsi="宋体"/>
                <w:kern w:val="0"/>
                <w:szCs w:val="21"/>
              </w:rPr>
              <w:t>：</w:t>
            </w:r>
            <w:r>
              <w:rPr>
                <w:rFonts w:ascii="宋体" w:hAnsi="宋体"/>
                <w:kern w:val="0"/>
                <w:szCs w:val="21"/>
              </w:rPr>
              <w:t>人工造林面积</w:t>
            </w:r>
          </w:p>
        </w:tc>
        <w:tc>
          <w:tcPr>
            <w:tcW w:w="1111" w:type="pct"/>
            <w:vAlign w:val="center"/>
          </w:tcPr>
          <w:p w14:paraId="0A62EC47">
            <w:pPr>
              <w:pStyle w:val="23"/>
              <w:jc w:val="center"/>
              <w:rPr>
                <w:rFonts w:ascii="宋体" w:hAnsi="宋体"/>
                <w:kern w:val="0"/>
                <w:szCs w:val="21"/>
              </w:rPr>
            </w:pPr>
            <w:r>
              <w:rPr>
                <w:rFonts w:ascii="宋体" w:hAnsi="宋体"/>
                <w:kern w:val="0"/>
                <w:szCs w:val="21"/>
              </w:rPr>
              <w:t>亩</w:t>
            </w:r>
          </w:p>
        </w:tc>
        <w:tc>
          <w:tcPr>
            <w:tcW w:w="1249" w:type="pct"/>
            <w:vAlign w:val="center"/>
          </w:tcPr>
          <w:p w14:paraId="5E95EF11">
            <w:pPr>
              <w:pStyle w:val="23"/>
              <w:jc w:val="center"/>
              <w:rPr>
                <w:rFonts w:ascii="宋体" w:hAnsi="宋体"/>
                <w:kern w:val="0"/>
                <w:szCs w:val="21"/>
              </w:rPr>
            </w:pPr>
            <w:r>
              <w:rPr>
                <w:rFonts w:ascii="宋体" w:hAnsi="宋体"/>
                <w:kern w:val="0"/>
                <w:szCs w:val="21"/>
              </w:rPr>
              <w:t>16470</w:t>
            </w:r>
          </w:p>
        </w:tc>
        <w:tc>
          <w:tcPr>
            <w:tcW w:w="1251" w:type="pct"/>
            <w:vAlign w:val="center"/>
          </w:tcPr>
          <w:p w14:paraId="6D8E8E76">
            <w:pPr>
              <w:pStyle w:val="23"/>
              <w:jc w:val="center"/>
              <w:rPr>
                <w:rFonts w:ascii="宋体" w:hAnsi="宋体"/>
                <w:kern w:val="0"/>
                <w:szCs w:val="21"/>
              </w:rPr>
            </w:pPr>
            <w:r>
              <w:rPr>
                <w:rFonts w:ascii="宋体" w:hAnsi="宋体"/>
                <w:kern w:val="0"/>
                <w:szCs w:val="21"/>
              </w:rPr>
              <w:t>3.5倍</w:t>
            </w:r>
          </w:p>
        </w:tc>
      </w:tr>
      <w:tr w14:paraId="761D4CC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389" w:type="pct"/>
            <w:vAlign w:val="center"/>
          </w:tcPr>
          <w:p w14:paraId="3337F18B">
            <w:pPr>
              <w:pStyle w:val="23"/>
              <w:rPr>
                <w:rFonts w:ascii="宋体" w:hAnsi="宋体"/>
                <w:kern w:val="0"/>
                <w:szCs w:val="21"/>
              </w:rPr>
            </w:pPr>
            <w:r>
              <w:rPr>
                <w:rFonts w:ascii="宋体" w:hAnsi="宋体"/>
                <w:kern w:val="0"/>
                <w:szCs w:val="21"/>
              </w:rPr>
              <w:t>二、育苗面积</w:t>
            </w:r>
          </w:p>
        </w:tc>
        <w:tc>
          <w:tcPr>
            <w:tcW w:w="1111" w:type="pct"/>
            <w:vAlign w:val="center"/>
          </w:tcPr>
          <w:p w14:paraId="08A0C078">
            <w:pPr>
              <w:pStyle w:val="23"/>
              <w:jc w:val="center"/>
              <w:rPr>
                <w:rFonts w:ascii="宋体" w:hAnsi="宋体"/>
                <w:kern w:val="0"/>
                <w:szCs w:val="21"/>
              </w:rPr>
            </w:pPr>
            <w:r>
              <w:rPr>
                <w:rFonts w:ascii="宋体" w:hAnsi="宋体"/>
                <w:kern w:val="0"/>
                <w:szCs w:val="21"/>
              </w:rPr>
              <w:t>亩</w:t>
            </w:r>
          </w:p>
        </w:tc>
        <w:tc>
          <w:tcPr>
            <w:tcW w:w="1249" w:type="pct"/>
            <w:vAlign w:val="center"/>
          </w:tcPr>
          <w:p w14:paraId="65C8936B">
            <w:pPr>
              <w:pStyle w:val="23"/>
              <w:jc w:val="center"/>
              <w:rPr>
                <w:rFonts w:ascii="宋体" w:hAnsi="宋体"/>
                <w:kern w:val="0"/>
                <w:szCs w:val="21"/>
              </w:rPr>
            </w:pPr>
            <w:r>
              <w:rPr>
                <w:rFonts w:ascii="宋体" w:hAnsi="宋体"/>
                <w:kern w:val="0"/>
                <w:szCs w:val="21"/>
              </w:rPr>
              <w:t>450</w:t>
            </w:r>
          </w:p>
        </w:tc>
        <w:tc>
          <w:tcPr>
            <w:tcW w:w="1251" w:type="pct"/>
            <w:vAlign w:val="center"/>
          </w:tcPr>
          <w:p w14:paraId="34B1A1A8">
            <w:pPr>
              <w:pStyle w:val="23"/>
              <w:jc w:val="center"/>
              <w:rPr>
                <w:rFonts w:ascii="宋体" w:hAnsi="宋体"/>
                <w:kern w:val="0"/>
                <w:szCs w:val="21"/>
              </w:rPr>
            </w:pPr>
            <w:r>
              <w:rPr>
                <w:rFonts w:ascii="宋体" w:hAnsi="宋体"/>
                <w:kern w:val="0"/>
                <w:szCs w:val="21"/>
              </w:rPr>
              <w:t>持平</w:t>
            </w:r>
          </w:p>
        </w:tc>
      </w:tr>
      <w:tr w14:paraId="55383EE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389" w:type="pct"/>
            <w:vAlign w:val="center"/>
          </w:tcPr>
          <w:p w14:paraId="41D12C14">
            <w:pPr>
              <w:pStyle w:val="23"/>
              <w:ind w:firstLine="420" w:firstLineChars="200"/>
              <w:rPr>
                <w:rFonts w:ascii="宋体" w:hAnsi="宋体"/>
                <w:kern w:val="0"/>
                <w:szCs w:val="21"/>
              </w:rPr>
            </w:pPr>
            <w:r>
              <w:rPr>
                <w:rFonts w:ascii="宋体" w:hAnsi="宋体"/>
                <w:kern w:val="0"/>
                <w:szCs w:val="21"/>
              </w:rPr>
              <w:t>其中</w:t>
            </w:r>
            <w:r>
              <w:rPr>
                <w:rFonts w:hint="eastAsia" w:ascii="宋体" w:hAnsi="宋体"/>
                <w:kern w:val="0"/>
                <w:szCs w:val="21"/>
              </w:rPr>
              <w:t>：</w:t>
            </w:r>
            <w:r>
              <w:rPr>
                <w:rFonts w:ascii="宋体" w:hAnsi="宋体"/>
                <w:kern w:val="0"/>
                <w:szCs w:val="21"/>
              </w:rPr>
              <w:t>本年新育面积</w:t>
            </w:r>
          </w:p>
        </w:tc>
        <w:tc>
          <w:tcPr>
            <w:tcW w:w="1111" w:type="pct"/>
            <w:vAlign w:val="center"/>
          </w:tcPr>
          <w:p w14:paraId="46390AC1">
            <w:pPr>
              <w:pStyle w:val="23"/>
              <w:jc w:val="center"/>
              <w:rPr>
                <w:rFonts w:ascii="宋体" w:hAnsi="宋体"/>
                <w:kern w:val="0"/>
                <w:szCs w:val="21"/>
              </w:rPr>
            </w:pPr>
            <w:r>
              <w:rPr>
                <w:rFonts w:ascii="宋体" w:hAnsi="宋体"/>
                <w:kern w:val="0"/>
                <w:szCs w:val="21"/>
              </w:rPr>
              <w:t>亩</w:t>
            </w:r>
          </w:p>
        </w:tc>
        <w:tc>
          <w:tcPr>
            <w:tcW w:w="1249" w:type="pct"/>
            <w:vAlign w:val="center"/>
          </w:tcPr>
          <w:p w14:paraId="72B3E3F8">
            <w:pPr>
              <w:pStyle w:val="23"/>
              <w:jc w:val="center"/>
              <w:rPr>
                <w:rFonts w:ascii="宋体" w:hAnsi="宋体"/>
                <w:kern w:val="0"/>
                <w:szCs w:val="21"/>
              </w:rPr>
            </w:pPr>
            <w:r>
              <w:rPr>
                <w:rFonts w:ascii="宋体" w:hAnsi="宋体"/>
                <w:kern w:val="0"/>
                <w:szCs w:val="21"/>
              </w:rPr>
              <w:t>450</w:t>
            </w:r>
          </w:p>
        </w:tc>
        <w:tc>
          <w:tcPr>
            <w:tcW w:w="1251" w:type="pct"/>
            <w:vAlign w:val="center"/>
          </w:tcPr>
          <w:p w14:paraId="5EE3F1E0">
            <w:pPr>
              <w:pStyle w:val="23"/>
              <w:jc w:val="center"/>
              <w:rPr>
                <w:rFonts w:ascii="宋体" w:hAnsi="宋体"/>
                <w:kern w:val="0"/>
                <w:szCs w:val="21"/>
              </w:rPr>
            </w:pPr>
            <w:r>
              <w:rPr>
                <w:rFonts w:ascii="宋体" w:hAnsi="宋体"/>
                <w:kern w:val="0"/>
                <w:szCs w:val="21"/>
              </w:rPr>
              <w:t>持平</w:t>
            </w:r>
          </w:p>
        </w:tc>
      </w:tr>
      <w:tr w14:paraId="19DFCC6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389" w:type="pct"/>
            <w:vAlign w:val="center"/>
          </w:tcPr>
          <w:p w14:paraId="6DA7FB6B">
            <w:pPr>
              <w:pStyle w:val="23"/>
              <w:rPr>
                <w:rFonts w:ascii="宋体" w:hAnsi="宋体"/>
                <w:kern w:val="0"/>
                <w:szCs w:val="21"/>
              </w:rPr>
            </w:pPr>
            <w:r>
              <w:rPr>
                <w:rFonts w:ascii="宋体" w:hAnsi="宋体"/>
                <w:kern w:val="0"/>
                <w:szCs w:val="21"/>
              </w:rPr>
              <w:t>三、四旁植树</w:t>
            </w:r>
          </w:p>
        </w:tc>
        <w:tc>
          <w:tcPr>
            <w:tcW w:w="1111" w:type="pct"/>
            <w:vAlign w:val="center"/>
          </w:tcPr>
          <w:p w14:paraId="729BCAA7">
            <w:pPr>
              <w:pStyle w:val="23"/>
              <w:jc w:val="center"/>
              <w:rPr>
                <w:rFonts w:ascii="宋体" w:hAnsi="宋体"/>
                <w:kern w:val="0"/>
                <w:szCs w:val="21"/>
              </w:rPr>
            </w:pPr>
            <w:r>
              <w:rPr>
                <w:rFonts w:ascii="宋体" w:hAnsi="宋体"/>
                <w:kern w:val="0"/>
                <w:szCs w:val="21"/>
              </w:rPr>
              <w:t>株</w:t>
            </w:r>
          </w:p>
        </w:tc>
        <w:tc>
          <w:tcPr>
            <w:tcW w:w="1249" w:type="pct"/>
            <w:vAlign w:val="center"/>
          </w:tcPr>
          <w:p w14:paraId="1F818794">
            <w:pPr>
              <w:pStyle w:val="23"/>
              <w:jc w:val="center"/>
              <w:rPr>
                <w:rFonts w:ascii="宋体" w:hAnsi="宋体"/>
                <w:kern w:val="0"/>
                <w:szCs w:val="21"/>
              </w:rPr>
            </w:pPr>
            <w:r>
              <w:rPr>
                <w:rFonts w:ascii="宋体" w:hAnsi="宋体"/>
                <w:kern w:val="0"/>
                <w:szCs w:val="21"/>
              </w:rPr>
              <w:t>400000</w:t>
            </w:r>
          </w:p>
        </w:tc>
        <w:tc>
          <w:tcPr>
            <w:tcW w:w="1251" w:type="pct"/>
            <w:vAlign w:val="center"/>
          </w:tcPr>
          <w:p w14:paraId="56110025">
            <w:pPr>
              <w:pStyle w:val="23"/>
              <w:jc w:val="center"/>
              <w:rPr>
                <w:rFonts w:ascii="宋体" w:hAnsi="宋体"/>
                <w:kern w:val="0"/>
                <w:szCs w:val="21"/>
              </w:rPr>
            </w:pPr>
            <w:r>
              <w:rPr>
                <w:rFonts w:ascii="宋体" w:hAnsi="宋体"/>
                <w:kern w:val="0"/>
                <w:szCs w:val="21"/>
              </w:rPr>
              <w:t>-22.7</w:t>
            </w:r>
          </w:p>
        </w:tc>
      </w:tr>
      <w:tr w14:paraId="02ADFCB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389" w:type="pct"/>
            <w:vAlign w:val="center"/>
          </w:tcPr>
          <w:p w14:paraId="5BFFA8EC">
            <w:pPr>
              <w:pStyle w:val="23"/>
              <w:ind w:firstLine="420" w:firstLineChars="200"/>
              <w:rPr>
                <w:rFonts w:ascii="宋体" w:hAnsi="宋体"/>
                <w:kern w:val="0"/>
                <w:szCs w:val="21"/>
              </w:rPr>
            </w:pPr>
            <w:r>
              <w:rPr>
                <w:rFonts w:ascii="宋体" w:hAnsi="宋体"/>
                <w:kern w:val="0"/>
                <w:szCs w:val="21"/>
              </w:rPr>
              <w:t>其中：义务植树</w:t>
            </w:r>
          </w:p>
        </w:tc>
        <w:tc>
          <w:tcPr>
            <w:tcW w:w="1111" w:type="pct"/>
            <w:vAlign w:val="center"/>
          </w:tcPr>
          <w:p w14:paraId="7196A035">
            <w:pPr>
              <w:pStyle w:val="23"/>
              <w:jc w:val="center"/>
              <w:rPr>
                <w:rFonts w:ascii="宋体" w:hAnsi="宋体"/>
                <w:kern w:val="0"/>
                <w:szCs w:val="21"/>
              </w:rPr>
            </w:pPr>
            <w:r>
              <w:rPr>
                <w:rFonts w:ascii="宋体" w:hAnsi="宋体"/>
                <w:kern w:val="0"/>
                <w:szCs w:val="21"/>
              </w:rPr>
              <w:t>株</w:t>
            </w:r>
          </w:p>
        </w:tc>
        <w:tc>
          <w:tcPr>
            <w:tcW w:w="1249" w:type="pct"/>
            <w:vAlign w:val="center"/>
          </w:tcPr>
          <w:p w14:paraId="6E332585">
            <w:pPr>
              <w:pStyle w:val="23"/>
              <w:jc w:val="center"/>
              <w:rPr>
                <w:rFonts w:ascii="宋体" w:hAnsi="宋体"/>
                <w:kern w:val="0"/>
                <w:szCs w:val="21"/>
              </w:rPr>
            </w:pPr>
          </w:p>
        </w:tc>
        <w:tc>
          <w:tcPr>
            <w:tcW w:w="1251" w:type="pct"/>
            <w:vAlign w:val="center"/>
          </w:tcPr>
          <w:p w14:paraId="39B83A67">
            <w:pPr>
              <w:pStyle w:val="23"/>
              <w:jc w:val="center"/>
              <w:rPr>
                <w:rFonts w:ascii="宋体" w:hAnsi="宋体"/>
                <w:kern w:val="0"/>
                <w:szCs w:val="21"/>
              </w:rPr>
            </w:pPr>
          </w:p>
        </w:tc>
      </w:tr>
      <w:tr w14:paraId="6BC1B01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389" w:type="pct"/>
            <w:vAlign w:val="center"/>
          </w:tcPr>
          <w:p w14:paraId="3713B933">
            <w:pPr>
              <w:pStyle w:val="23"/>
              <w:rPr>
                <w:rFonts w:ascii="宋体" w:hAnsi="宋体"/>
                <w:kern w:val="0"/>
                <w:szCs w:val="21"/>
              </w:rPr>
            </w:pPr>
            <w:r>
              <w:rPr>
                <w:rFonts w:ascii="宋体" w:hAnsi="宋体"/>
                <w:kern w:val="0"/>
                <w:szCs w:val="21"/>
              </w:rPr>
              <w:t>四、现有封山育林面积</w:t>
            </w:r>
          </w:p>
        </w:tc>
        <w:tc>
          <w:tcPr>
            <w:tcW w:w="1111" w:type="pct"/>
            <w:vAlign w:val="center"/>
          </w:tcPr>
          <w:p w14:paraId="77585082">
            <w:pPr>
              <w:pStyle w:val="23"/>
              <w:jc w:val="center"/>
              <w:rPr>
                <w:rFonts w:ascii="宋体" w:hAnsi="宋体"/>
                <w:kern w:val="0"/>
                <w:szCs w:val="21"/>
              </w:rPr>
            </w:pPr>
            <w:r>
              <w:rPr>
                <w:rFonts w:ascii="宋体" w:hAnsi="宋体"/>
                <w:kern w:val="0"/>
                <w:szCs w:val="21"/>
              </w:rPr>
              <w:t>万亩</w:t>
            </w:r>
          </w:p>
        </w:tc>
        <w:tc>
          <w:tcPr>
            <w:tcW w:w="1249" w:type="pct"/>
            <w:vAlign w:val="center"/>
          </w:tcPr>
          <w:p w14:paraId="361412F4">
            <w:pPr>
              <w:pStyle w:val="23"/>
              <w:jc w:val="center"/>
              <w:rPr>
                <w:rFonts w:ascii="宋体" w:hAnsi="宋体"/>
                <w:kern w:val="0"/>
                <w:szCs w:val="21"/>
              </w:rPr>
            </w:pPr>
          </w:p>
        </w:tc>
        <w:tc>
          <w:tcPr>
            <w:tcW w:w="1251" w:type="pct"/>
            <w:vAlign w:val="center"/>
          </w:tcPr>
          <w:p w14:paraId="1500A43E">
            <w:pPr>
              <w:pStyle w:val="23"/>
              <w:jc w:val="center"/>
              <w:rPr>
                <w:rFonts w:ascii="宋体" w:hAnsi="宋体"/>
                <w:kern w:val="0"/>
                <w:szCs w:val="21"/>
              </w:rPr>
            </w:pPr>
          </w:p>
        </w:tc>
      </w:tr>
      <w:tr w14:paraId="3446832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389" w:type="pct"/>
            <w:vAlign w:val="center"/>
          </w:tcPr>
          <w:p w14:paraId="69ED2C5C">
            <w:pPr>
              <w:pStyle w:val="23"/>
              <w:rPr>
                <w:rFonts w:ascii="宋体" w:hAnsi="宋体"/>
                <w:kern w:val="0"/>
                <w:szCs w:val="21"/>
              </w:rPr>
            </w:pPr>
            <w:r>
              <w:rPr>
                <w:rFonts w:ascii="宋体" w:hAnsi="宋体"/>
                <w:kern w:val="0"/>
                <w:szCs w:val="21"/>
              </w:rPr>
              <w:t>五、幼林抚育面积</w:t>
            </w:r>
          </w:p>
        </w:tc>
        <w:tc>
          <w:tcPr>
            <w:tcW w:w="1111" w:type="pct"/>
            <w:vAlign w:val="center"/>
          </w:tcPr>
          <w:p w14:paraId="6164D794">
            <w:pPr>
              <w:pStyle w:val="23"/>
              <w:jc w:val="center"/>
              <w:rPr>
                <w:rFonts w:ascii="宋体" w:hAnsi="宋体"/>
                <w:kern w:val="0"/>
                <w:szCs w:val="21"/>
              </w:rPr>
            </w:pPr>
            <w:r>
              <w:rPr>
                <w:rFonts w:ascii="宋体" w:hAnsi="宋体"/>
                <w:kern w:val="0"/>
                <w:szCs w:val="21"/>
              </w:rPr>
              <w:t>亩</w:t>
            </w:r>
          </w:p>
        </w:tc>
        <w:tc>
          <w:tcPr>
            <w:tcW w:w="1249" w:type="pct"/>
            <w:vAlign w:val="center"/>
          </w:tcPr>
          <w:p w14:paraId="747D38D9">
            <w:pPr>
              <w:pStyle w:val="23"/>
              <w:jc w:val="center"/>
              <w:rPr>
                <w:rFonts w:ascii="宋体" w:hAnsi="宋体"/>
                <w:kern w:val="0"/>
                <w:szCs w:val="21"/>
              </w:rPr>
            </w:pPr>
            <w:r>
              <w:rPr>
                <w:rFonts w:ascii="宋体" w:hAnsi="宋体"/>
                <w:kern w:val="0"/>
                <w:szCs w:val="21"/>
              </w:rPr>
              <w:t>106005</w:t>
            </w:r>
          </w:p>
        </w:tc>
        <w:tc>
          <w:tcPr>
            <w:tcW w:w="1251" w:type="pct"/>
            <w:vAlign w:val="center"/>
          </w:tcPr>
          <w:p w14:paraId="0CFA6615">
            <w:pPr>
              <w:pStyle w:val="23"/>
              <w:jc w:val="center"/>
              <w:rPr>
                <w:rFonts w:ascii="宋体" w:hAnsi="宋体"/>
                <w:kern w:val="0"/>
                <w:szCs w:val="21"/>
              </w:rPr>
            </w:pPr>
            <w:r>
              <w:rPr>
                <w:rFonts w:ascii="宋体" w:hAnsi="宋体"/>
                <w:kern w:val="0"/>
                <w:szCs w:val="21"/>
              </w:rPr>
              <w:t>76.6</w:t>
            </w:r>
          </w:p>
        </w:tc>
      </w:tr>
      <w:tr w14:paraId="7DEC536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389" w:type="pct"/>
            <w:vAlign w:val="center"/>
          </w:tcPr>
          <w:p w14:paraId="30570B36">
            <w:pPr>
              <w:pStyle w:val="23"/>
              <w:rPr>
                <w:rFonts w:ascii="宋体" w:hAnsi="宋体"/>
                <w:kern w:val="0"/>
                <w:szCs w:val="21"/>
              </w:rPr>
            </w:pPr>
            <w:r>
              <w:rPr>
                <w:rFonts w:ascii="宋体" w:hAnsi="宋体"/>
                <w:kern w:val="0"/>
                <w:szCs w:val="21"/>
              </w:rPr>
              <w:t>六、成林抚育面积</w:t>
            </w:r>
          </w:p>
        </w:tc>
        <w:tc>
          <w:tcPr>
            <w:tcW w:w="1111" w:type="pct"/>
            <w:vAlign w:val="center"/>
          </w:tcPr>
          <w:p w14:paraId="66A7E7FD">
            <w:pPr>
              <w:pStyle w:val="23"/>
              <w:jc w:val="center"/>
              <w:rPr>
                <w:rFonts w:ascii="宋体" w:hAnsi="宋体"/>
                <w:kern w:val="0"/>
                <w:szCs w:val="21"/>
              </w:rPr>
            </w:pPr>
            <w:r>
              <w:rPr>
                <w:rFonts w:ascii="宋体" w:hAnsi="宋体"/>
                <w:kern w:val="0"/>
                <w:szCs w:val="21"/>
              </w:rPr>
              <w:t>亩</w:t>
            </w:r>
          </w:p>
        </w:tc>
        <w:tc>
          <w:tcPr>
            <w:tcW w:w="1249" w:type="pct"/>
            <w:vAlign w:val="center"/>
          </w:tcPr>
          <w:p w14:paraId="715AAF93">
            <w:pPr>
              <w:pStyle w:val="23"/>
              <w:jc w:val="center"/>
              <w:rPr>
                <w:rFonts w:ascii="宋体" w:hAnsi="宋体"/>
                <w:kern w:val="0"/>
                <w:szCs w:val="21"/>
              </w:rPr>
            </w:pPr>
          </w:p>
        </w:tc>
        <w:tc>
          <w:tcPr>
            <w:tcW w:w="1251" w:type="pct"/>
            <w:vAlign w:val="center"/>
          </w:tcPr>
          <w:p w14:paraId="33D48964">
            <w:pPr>
              <w:pStyle w:val="23"/>
              <w:jc w:val="center"/>
              <w:rPr>
                <w:rFonts w:ascii="宋体" w:hAnsi="宋体"/>
                <w:kern w:val="0"/>
                <w:szCs w:val="21"/>
              </w:rPr>
            </w:pPr>
          </w:p>
        </w:tc>
      </w:tr>
      <w:tr w14:paraId="6A828DD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389" w:type="pct"/>
            <w:vAlign w:val="center"/>
          </w:tcPr>
          <w:p w14:paraId="5CA7BA82">
            <w:pPr>
              <w:pStyle w:val="23"/>
              <w:ind w:firstLine="420" w:firstLineChars="200"/>
              <w:rPr>
                <w:rFonts w:ascii="宋体" w:hAnsi="宋体"/>
                <w:kern w:val="0"/>
                <w:szCs w:val="21"/>
              </w:rPr>
            </w:pPr>
            <w:r>
              <w:rPr>
                <w:rFonts w:ascii="宋体" w:hAnsi="宋体"/>
                <w:kern w:val="0"/>
                <w:szCs w:val="21"/>
              </w:rPr>
              <w:t>其中：中、幼林抚育面积</w:t>
            </w:r>
          </w:p>
        </w:tc>
        <w:tc>
          <w:tcPr>
            <w:tcW w:w="1111" w:type="pct"/>
            <w:vAlign w:val="center"/>
          </w:tcPr>
          <w:p w14:paraId="78F365A8">
            <w:pPr>
              <w:pStyle w:val="23"/>
              <w:jc w:val="center"/>
              <w:rPr>
                <w:rFonts w:ascii="宋体" w:hAnsi="宋体"/>
                <w:kern w:val="0"/>
                <w:szCs w:val="21"/>
              </w:rPr>
            </w:pPr>
            <w:r>
              <w:rPr>
                <w:rFonts w:ascii="宋体" w:hAnsi="宋体"/>
                <w:kern w:val="0"/>
                <w:szCs w:val="21"/>
              </w:rPr>
              <w:t>亩</w:t>
            </w:r>
          </w:p>
        </w:tc>
        <w:tc>
          <w:tcPr>
            <w:tcW w:w="1249" w:type="pct"/>
            <w:vAlign w:val="center"/>
          </w:tcPr>
          <w:p w14:paraId="15BE9054">
            <w:pPr>
              <w:pStyle w:val="23"/>
              <w:jc w:val="center"/>
              <w:rPr>
                <w:rFonts w:ascii="宋体" w:hAnsi="宋体"/>
                <w:kern w:val="0"/>
                <w:szCs w:val="21"/>
              </w:rPr>
            </w:pPr>
          </w:p>
        </w:tc>
        <w:tc>
          <w:tcPr>
            <w:tcW w:w="1251" w:type="pct"/>
            <w:vAlign w:val="center"/>
          </w:tcPr>
          <w:p w14:paraId="6481760C">
            <w:pPr>
              <w:pStyle w:val="23"/>
              <w:jc w:val="center"/>
              <w:rPr>
                <w:rFonts w:ascii="宋体" w:hAnsi="宋体"/>
                <w:kern w:val="0"/>
                <w:szCs w:val="21"/>
              </w:rPr>
            </w:pPr>
          </w:p>
        </w:tc>
      </w:tr>
      <w:tr w14:paraId="0EC77A4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389" w:type="pct"/>
            <w:vAlign w:val="center"/>
          </w:tcPr>
          <w:p w14:paraId="31CB43BA">
            <w:pPr>
              <w:pStyle w:val="23"/>
              <w:rPr>
                <w:rFonts w:ascii="宋体" w:hAnsi="宋体"/>
                <w:kern w:val="0"/>
                <w:szCs w:val="21"/>
              </w:rPr>
            </w:pPr>
            <w:r>
              <w:rPr>
                <w:rFonts w:ascii="宋体" w:hAnsi="宋体"/>
                <w:kern w:val="0"/>
                <w:szCs w:val="21"/>
              </w:rPr>
              <w:t>七、林产品总产量</w:t>
            </w:r>
          </w:p>
        </w:tc>
        <w:tc>
          <w:tcPr>
            <w:tcW w:w="1111" w:type="pct"/>
            <w:vAlign w:val="center"/>
          </w:tcPr>
          <w:p w14:paraId="6633352B">
            <w:pPr>
              <w:pStyle w:val="23"/>
              <w:jc w:val="center"/>
              <w:rPr>
                <w:rFonts w:ascii="宋体" w:hAnsi="宋体"/>
                <w:kern w:val="0"/>
                <w:szCs w:val="21"/>
              </w:rPr>
            </w:pPr>
          </w:p>
        </w:tc>
        <w:tc>
          <w:tcPr>
            <w:tcW w:w="1249" w:type="pct"/>
            <w:vAlign w:val="center"/>
          </w:tcPr>
          <w:p w14:paraId="19631083">
            <w:pPr>
              <w:pStyle w:val="23"/>
              <w:jc w:val="center"/>
              <w:rPr>
                <w:rFonts w:ascii="宋体" w:hAnsi="宋体"/>
                <w:kern w:val="0"/>
                <w:szCs w:val="21"/>
              </w:rPr>
            </w:pPr>
          </w:p>
        </w:tc>
        <w:tc>
          <w:tcPr>
            <w:tcW w:w="1251" w:type="pct"/>
            <w:vAlign w:val="center"/>
          </w:tcPr>
          <w:p w14:paraId="3C0AF0AF">
            <w:pPr>
              <w:pStyle w:val="23"/>
              <w:jc w:val="center"/>
              <w:rPr>
                <w:rFonts w:ascii="宋体" w:hAnsi="宋体"/>
                <w:kern w:val="0"/>
                <w:szCs w:val="21"/>
              </w:rPr>
            </w:pPr>
          </w:p>
        </w:tc>
      </w:tr>
      <w:tr w14:paraId="69FF300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389" w:type="pct"/>
            <w:vAlign w:val="center"/>
          </w:tcPr>
          <w:p w14:paraId="751021F7">
            <w:pPr>
              <w:pStyle w:val="23"/>
              <w:ind w:firstLine="420" w:firstLineChars="200"/>
              <w:rPr>
                <w:rFonts w:ascii="宋体" w:hAnsi="宋体"/>
                <w:kern w:val="0"/>
                <w:szCs w:val="21"/>
              </w:rPr>
            </w:pPr>
            <w:r>
              <w:rPr>
                <w:rFonts w:ascii="宋体" w:hAnsi="宋体"/>
                <w:kern w:val="0"/>
                <w:szCs w:val="21"/>
              </w:rPr>
              <w:t>1、油茶籽</w:t>
            </w:r>
          </w:p>
        </w:tc>
        <w:tc>
          <w:tcPr>
            <w:tcW w:w="1111" w:type="pct"/>
            <w:vAlign w:val="center"/>
          </w:tcPr>
          <w:p w14:paraId="26D6ADD0">
            <w:pPr>
              <w:pStyle w:val="23"/>
              <w:jc w:val="center"/>
              <w:rPr>
                <w:rFonts w:ascii="宋体" w:hAnsi="宋体"/>
                <w:kern w:val="0"/>
                <w:szCs w:val="21"/>
              </w:rPr>
            </w:pPr>
            <w:r>
              <w:rPr>
                <w:rFonts w:ascii="宋体" w:hAnsi="宋体"/>
                <w:kern w:val="0"/>
                <w:szCs w:val="21"/>
              </w:rPr>
              <w:t>吨</w:t>
            </w:r>
          </w:p>
        </w:tc>
        <w:tc>
          <w:tcPr>
            <w:tcW w:w="1249" w:type="pct"/>
            <w:vAlign w:val="center"/>
          </w:tcPr>
          <w:p w14:paraId="53DAB256">
            <w:pPr>
              <w:pStyle w:val="23"/>
              <w:jc w:val="center"/>
              <w:rPr>
                <w:rFonts w:ascii="宋体" w:hAnsi="宋体"/>
                <w:kern w:val="0"/>
                <w:szCs w:val="21"/>
              </w:rPr>
            </w:pPr>
            <w:r>
              <w:rPr>
                <w:rFonts w:ascii="宋体" w:hAnsi="宋体"/>
                <w:kern w:val="0"/>
                <w:szCs w:val="21"/>
              </w:rPr>
              <w:t>1950</w:t>
            </w:r>
          </w:p>
        </w:tc>
        <w:tc>
          <w:tcPr>
            <w:tcW w:w="1251" w:type="pct"/>
            <w:vAlign w:val="center"/>
          </w:tcPr>
          <w:p w14:paraId="20F75A77">
            <w:pPr>
              <w:pStyle w:val="23"/>
              <w:jc w:val="center"/>
              <w:rPr>
                <w:rFonts w:ascii="宋体" w:hAnsi="宋体"/>
                <w:kern w:val="0"/>
                <w:szCs w:val="21"/>
              </w:rPr>
            </w:pPr>
            <w:r>
              <w:rPr>
                <w:rFonts w:ascii="宋体" w:hAnsi="宋体"/>
                <w:kern w:val="0"/>
                <w:szCs w:val="21"/>
              </w:rPr>
              <w:t>36.5</w:t>
            </w:r>
          </w:p>
        </w:tc>
      </w:tr>
      <w:tr w14:paraId="5D2E3AB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389" w:type="pct"/>
            <w:vAlign w:val="center"/>
          </w:tcPr>
          <w:p w14:paraId="3B6A1134">
            <w:pPr>
              <w:pStyle w:val="23"/>
              <w:ind w:firstLine="420" w:firstLineChars="200"/>
              <w:rPr>
                <w:rFonts w:ascii="宋体" w:hAnsi="宋体"/>
                <w:kern w:val="0"/>
                <w:szCs w:val="21"/>
              </w:rPr>
            </w:pPr>
            <w:r>
              <w:rPr>
                <w:rFonts w:ascii="宋体" w:hAnsi="宋体"/>
                <w:kern w:val="0"/>
                <w:szCs w:val="21"/>
              </w:rPr>
              <w:t>2、油桐籽</w:t>
            </w:r>
          </w:p>
        </w:tc>
        <w:tc>
          <w:tcPr>
            <w:tcW w:w="1111" w:type="pct"/>
            <w:vAlign w:val="center"/>
          </w:tcPr>
          <w:p w14:paraId="499A7711">
            <w:pPr>
              <w:pStyle w:val="23"/>
              <w:jc w:val="center"/>
              <w:rPr>
                <w:rFonts w:ascii="宋体" w:hAnsi="宋体"/>
                <w:kern w:val="0"/>
                <w:szCs w:val="21"/>
              </w:rPr>
            </w:pPr>
            <w:r>
              <w:rPr>
                <w:rFonts w:ascii="宋体" w:hAnsi="宋体"/>
                <w:kern w:val="0"/>
                <w:szCs w:val="21"/>
              </w:rPr>
              <w:t>吨</w:t>
            </w:r>
          </w:p>
        </w:tc>
        <w:tc>
          <w:tcPr>
            <w:tcW w:w="1249" w:type="pct"/>
            <w:vAlign w:val="center"/>
          </w:tcPr>
          <w:p w14:paraId="751C726F">
            <w:pPr>
              <w:pStyle w:val="23"/>
              <w:jc w:val="center"/>
              <w:rPr>
                <w:rFonts w:ascii="宋体" w:hAnsi="宋体"/>
                <w:kern w:val="0"/>
                <w:szCs w:val="21"/>
              </w:rPr>
            </w:pPr>
            <w:r>
              <w:rPr>
                <w:rFonts w:ascii="宋体" w:hAnsi="宋体"/>
                <w:kern w:val="0"/>
                <w:szCs w:val="21"/>
              </w:rPr>
              <w:t>26</w:t>
            </w:r>
          </w:p>
        </w:tc>
        <w:tc>
          <w:tcPr>
            <w:tcW w:w="1251" w:type="pct"/>
            <w:vAlign w:val="center"/>
          </w:tcPr>
          <w:p w14:paraId="6BA970C3">
            <w:pPr>
              <w:pStyle w:val="23"/>
              <w:jc w:val="center"/>
              <w:rPr>
                <w:rFonts w:ascii="宋体" w:hAnsi="宋体"/>
                <w:kern w:val="0"/>
                <w:szCs w:val="21"/>
              </w:rPr>
            </w:pPr>
            <w:r>
              <w:rPr>
                <w:rFonts w:ascii="宋体" w:hAnsi="宋体"/>
                <w:kern w:val="0"/>
                <w:szCs w:val="21"/>
              </w:rPr>
              <w:t>23.8</w:t>
            </w:r>
          </w:p>
        </w:tc>
      </w:tr>
      <w:tr w14:paraId="7D44DEF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389" w:type="pct"/>
            <w:vAlign w:val="center"/>
          </w:tcPr>
          <w:p w14:paraId="12EC5941">
            <w:pPr>
              <w:pStyle w:val="23"/>
              <w:ind w:firstLine="420" w:firstLineChars="200"/>
              <w:rPr>
                <w:rFonts w:ascii="宋体" w:hAnsi="宋体"/>
                <w:kern w:val="0"/>
                <w:szCs w:val="21"/>
              </w:rPr>
            </w:pPr>
            <w:r>
              <w:rPr>
                <w:rFonts w:ascii="宋体" w:hAnsi="宋体"/>
                <w:kern w:val="0"/>
                <w:szCs w:val="21"/>
              </w:rPr>
              <w:t>3、松脂</w:t>
            </w:r>
          </w:p>
        </w:tc>
        <w:tc>
          <w:tcPr>
            <w:tcW w:w="1111" w:type="pct"/>
            <w:vAlign w:val="center"/>
          </w:tcPr>
          <w:p w14:paraId="5DD08DD8">
            <w:pPr>
              <w:pStyle w:val="23"/>
              <w:jc w:val="center"/>
              <w:rPr>
                <w:rFonts w:ascii="宋体" w:hAnsi="宋体"/>
                <w:kern w:val="0"/>
                <w:szCs w:val="21"/>
              </w:rPr>
            </w:pPr>
            <w:r>
              <w:rPr>
                <w:rFonts w:ascii="宋体" w:hAnsi="宋体"/>
                <w:kern w:val="0"/>
                <w:szCs w:val="21"/>
              </w:rPr>
              <w:t>吨</w:t>
            </w:r>
          </w:p>
        </w:tc>
        <w:tc>
          <w:tcPr>
            <w:tcW w:w="1249" w:type="pct"/>
            <w:vAlign w:val="center"/>
          </w:tcPr>
          <w:p w14:paraId="26B1A227">
            <w:pPr>
              <w:pStyle w:val="23"/>
              <w:jc w:val="center"/>
              <w:rPr>
                <w:rFonts w:ascii="宋体" w:hAnsi="宋体"/>
                <w:kern w:val="0"/>
                <w:szCs w:val="21"/>
              </w:rPr>
            </w:pPr>
            <w:r>
              <w:rPr>
                <w:rFonts w:ascii="宋体" w:hAnsi="宋体"/>
                <w:kern w:val="0"/>
                <w:szCs w:val="21"/>
              </w:rPr>
              <w:t>5600</w:t>
            </w:r>
          </w:p>
        </w:tc>
        <w:tc>
          <w:tcPr>
            <w:tcW w:w="1251" w:type="pct"/>
            <w:vAlign w:val="center"/>
          </w:tcPr>
          <w:p w14:paraId="6AB81C3E">
            <w:pPr>
              <w:pStyle w:val="23"/>
              <w:jc w:val="center"/>
              <w:rPr>
                <w:rFonts w:ascii="宋体" w:hAnsi="宋体"/>
                <w:kern w:val="0"/>
                <w:szCs w:val="21"/>
              </w:rPr>
            </w:pPr>
            <w:r>
              <w:rPr>
                <w:rFonts w:ascii="宋体" w:hAnsi="宋体"/>
                <w:kern w:val="0"/>
                <w:szCs w:val="21"/>
              </w:rPr>
              <w:t>24.5</w:t>
            </w:r>
          </w:p>
        </w:tc>
      </w:tr>
      <w:tr w14:paraId="0EAC648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389" w:type="pct"/>
            <w:vAlign w:val="center"/>
          </w:tcPr>
          <w:p w14:paraId="4EEFE805">
            <w:pPr>
              <w:pStyle w:val="23"/>
              <w:ind w:firstLine="420" w:firstLineChars="200"/>
              <w:rPr>
                <w:rFonts w:ascii="宋体" w:hAnsi="宋体"/>
                <w:kern w:val="0"/>
                <w:szCs w:val="21"/>
              </w:rPr>
            </w:pPr>
            <w:r>
              <w:rPr>
                <w:rFonts w:ascii="宋体" w:hAnsi="宋体"/>
                <w:kern w:val="0"/>
                <w:szCs w:val="21"/>
              </w:rPr>
              <w:t>4、竹笋干</w:t>
            </w:r>
          </w:p>
        </w:tc>
        <w:tc>
          <w:tcPr>
            <w:tcW w:w="1111" w:type="pct"/>
            <w:vAlign w:val="center"/>
          </w:tcPr>
          <w:p w14:paraId="495EFE14">
            <w:pPr>
              <w:pStyle w:val="23"/>
              <w:jc w:val="center"/>
              <w:rPr>
                <w:rFonts w:ascii="宋体" w:hAnsi="宋体"/>
                <w:kern w:val="0"/>
                <w:szCs w:val="21"/>
              </w:rPr>
            </w:pPr>
            <w:r>
              <w:rPr>
                <w:rFonts w:ascii="宋体" w:hAnsi="宋体"/>
                <w:kern w:val="0"/>
                <w:szCs w:val="21"/>
              </w:rPr>
              <w:t>吨</w:t>
            </w:r>
          </w:p>
        </w:tc>
        <w:tc>
          <w:tcPr>
            <w:tcW w:w="1249" w:type="pct"/>
            <w:vAlign w:val="center"/>
          </w:tcPr>
          <w:p w14:paraId="510C5EFA">
            <w:pPr>
              <w:pStyle w:val="23"/>
              <w:jc w:val="center"/>
              <w:rPr>
                <w:rFonts w:ascii="宋体" w:hAnsi="宋体"/>
                <w:kern w:val="0"/>
                <w:szCs w:val="21"/>
              </w:rPr>
            </w:pPr>
            <w:r>
              <w:rPr>
                <w:rFonts w:ascii="宋体" w:hAnsi="宋体"/>
                <w:kern w:val="0"/>
                <w:szCs w:val="21"/>
              </w:rPr>
              <w:t>220</w:t>
            </w:r>
          </w:p>
        </w:tc>
        <w:tc>
          <w:tcPr>
            <w:tcW w:w="1251" w:type="pct"/>
            <w:vAlign w:val="center"/>
          </w:tcPr>
          <w:p w14:paraId="578882F8">
            <w:pPr>
              <w:pStyle w:val="23"/>
              <w:jc w:val="center"/>
              <w:rPr>
                <w:rFonts w:ascii="宋体" w:hAnsi="宋体"/>
                <w:kern w:val="0"/>
                <w:szCs w:val="21"/>
              </w:rPr>
            </w:pPr>
            <w:r>
              <w:rPr>
                <w:rFonts w:ascii="宋体" w:hAnsi="宋体"/>
                <w:kern w:val="0"/>
                <w:szCs w:val="21"/>
              </w:rPr>
              <w:t>35.8</w:t>
            </w:r>
          </w:p>
        </w:tc>
      </w:tr>
      <w:tr w14:paraId="3BD5DEC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389" w:type="pct"/>
            <w:vAlign w:val="center"/>
          </w:tcPr>
          <w:p w14:paraId="3B92EB0A">
            <w:pPr>
              <w:pStyle w:val="23"/>
              <w:rPr>
                <w:rFonts w:ascii="宋体" w:hAnsi="宋体"/>
                <w:kern w:val="0"/>
                <w:szCs w:val="21"/>
              </w:rPr>
            </w:pPr>
            <w:r>
              <w:rPr>
                <w:rFonts w:hint="eastAsia" w:ascii="宋体" w:hAnsi="宋体"/>
                <w:kern w:val="0"/>
                <w:szCs w:val="21"/>
              </w:rPr>
              <w:t>八、</w:t>
            </w:r>
            <w:r>
              <w:rPr>
                <w:rFonts w:ascii="宋体" w:hAnsi="宋体"/>
                <w:kern w:val="0"/>
                <w:szCs w:val="21"/>
              </w:rPr>
              <w:t>采伐的木材</w:t>
            </w:r>
          </w:p>
        </w:tc>
        <w:tc>
          <w:tcPr>
            <w:tcW w:w="1111" w:type="pct"/>
            <w:vAlign w:val="center"/>
          </w:tcPr>
          <w:p w14:paraId="135B9DD3">
            <w:pPr>
              <w:pStyle w:val="23"/>
              <w:jc w:val="center"/>
              <w:rPr>
                <w:rFonts w:ascii="宋体" w:hAnsi="宋体"/>
                <w:kern w:val="0"/>
                <w:szCs w:val="21"/>
              </w:rPr>
            </w:pPr>
            <w:r>
              <w:rPr>
                <w:rFonts w:ascii="宋体" w:hAnsi="宋体"/>
                <w:kern w:val="0"/>
                <w:szCs w:val="21"/>
              </w:rPr>
              <w:t>立方米</w:t>
            </w:r>
          </w:p>
        </w:tc>
        <w:tc>
          <w:tcPr>
            <w:tcW w:w="1249" w:type="pct"/>
            <w:vAlign w:val="center"/>
          </w:tcPr>
          <w:p w14:paraId="7D351E81">
            <w:pPr>
              <w:pStyle w:val="23"/>
              <w:jc w:val="center"/>
              <w:rPr>
                <w:rFonts w:ascii="宋体" w:hAnsi="宋体"/>
                <w:kern w:val="0"/>
                <w:szCs w:val="21"/>
              </w:rPr>
            </w:pPr>
            <w:r>
              <w:rPr>
                <w:rFonts w:ascii="宋体" w:hAnsi="宋体"/>
                <w:kern w:val="0"/>
                <w:szCs w:val="21"/>
              </w:rPr>
              <w:t>35415</w:t>
            </w:r>
          </w:p>
        </w:tc>
        <w:tc>
          <w:tcPr>
            <w:tcW w:w="1251" w:type="pct"/>
            <w:vAlign w:val="center"/>
          </w:tcPr>
          <w:p w14:paraId="184CB9E2">
            <w:pPr>
              <w:pStyle w:val="23"/>
              <w:jc w:val="center"/>
              <w:rPr>
                <w:rFonts w:ascii="宋体" w:hAnsi="宋体"/>
                <w:kern w:val="0"/>
                <w:szCs w:val="21"/>
              </w:rPr>
            </w:pPr>
            <w:r>
              <w:rPr>
                <w:rFonts w:ascii="宋体" w:hAnsi="宋体"/>
                <w:kern w:val="0"/>
                <w:szCs w:val="21"/>
              </w:rPr>
              <w:t>20.7</w:t>
            </w:r>
          </w:p>
        </w:tc>
      </w:tr>
      <w:tr w14:paraId="24C2CC8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389" w:type="pct"/>
            <w:vAlign w:val="center"/>
          </w:tcPr>
          <w:p w14:paraId="7194E5D7">
            <w:pPr>
              <w:pStyle w:val="23"/>
              <w:ind w:firstLine="420" w:firstLineChars="200"/>
              <w:rPr>
                <w:rFonts w:ascii="宋体" w:hAnsi="宋体"/>
                <w:kern w:val="0"/>
                <w:szCs w:val="21"/>
              </w:rPr>
            </w:pPr>
            <w:r>
              <w:rPr>
                <w:rFonts w:ascii="宋体" w:hAnsi="宋体"/>
                <w:kern w:val="0"/>
                <w:szCs w:val="21"/>
              </w:rPr>
              <w:t>采伐的毛竹</w:t>
            </w:r>
          </w:p>
        </w:tc>
        <w:tc>
          <w:tcPr>
            <w:tcW w:w="1111" w:type="pct"/>
            <w:vAlign w:val="center"/>
          </w:tcPr>
          <w:p w14:paraId="4225D115">
            <w:pPr>
              <w:pStyle w:val="23"/>
              <w:jc w:val="center"/>
              <w:rPr>
                <w:rFonts w:ascii="宋体" w:hAnsi="宋体"/>
                <w:kern w:val="0"/>
                <w:szCs w:val="21"/>
              </w:rPr>
            </w:pPr>
            <w:r>
              <w:rPr>
                <w:rFonts w:ascii="宋体" w:hAnsi="宋体"/>
                <w:kern w:val="0"/>
                <w:szCs w:val="21"/>
              </w:rPr>
              <w:t>万根</w:t>
            </w:r>
          </w:p>
        </w:tc>
        <w:tc>
          <w:tcPr>
            <w:tcW w:w="1249" w:type="pct"/>
            <w:vAlign w:val="center"/>
          </w:tcPr>
          <w:p w14:paraId="62C93536">
            <w:pPr>
              <w:pStyle w:val="23"/>
              <w:jc w:val="center"/>
              <w:rPr>
                <w:rFonts w:ascii="宋体" w:hAnsi="宋体"/>
                <w:kern w:val="0"/>
                <w:szCs w:val="21"/>
              </w:rPr>
            </w:pPr>
            <w:r>
              <w:rPr>
                <w:rFonts w:ascii="宋体" w:hAnsi="宋体"/>
                <w:kern w:val="0"/>
                <w:szCs w:val="21"/>
              </w:rPr>
              <w:t>162</w:t>
            </w:r>
          </w:p>
        </w:tc>
        <w:tc>
          <w:tcPr>
            <w:tcW w:w="1251" w:type="pct"/>
            <w:vAlign w:val="center"/>
          </w:tcPr>
          <w:p w14:paraId="32EB7552">
            <w:pPr>
              <w:pStyle w:val="23"/>
              <w:jc w:val="center"/>
              <w:rPr>
                <w:rFonts w:ascii="宋体" w:hAnsi="宋体"/>
                <w:kern w:val="0"/>
                <w:szCs w:val="21"/>
              </w:rPr>
            </w:pPr>
            <w:r>
              <w:rPr>
                <w:rFonts w:ascii="宋体" w:hAnsi="宋体"/>
                <w:kern w:val="0"/>
                <w:szCs w:val="21"/>
              </w:rPr>
              <w:t>-14.7</w:t>
            </w:r>
          </w:p>
        </w:tc>
      </w:tr>
    </w:tbl>
    <w:p w14:paraId="6DFB7E9D">
      <w:pPr>
        <w:ind w:firstLine="0" w:firstLineChars="0"/>
        <w:jc w:val="center"/>
        <w:rPr>
          <w:rFonts w:ascii="宋体" w:hAnsi="宋体"/>
          <w:b/>
          <w:szCs w:val="21"/>
        </w:rPr>
      </w:pPr>
      <w:r>
        <w:rPr>
          <w:rFonts w:hint="eastAsia" w:ascii="宋体" w:hAnsi="宋体"/>
          <w:b/>
          <w:szCs w:val="21"/>
        </w:rPr>
        <w:t>表49 分镇人口与基层组织情况</w:t>
      </w:r>
    </w:p>
    <w:tbl>
      <w:tblPr>
        <w:tblStyle w:val="14"/>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490"/>
        <w:gridCol w:w="2490"/>
        <w:gridCol w:w="2491"/>
        <w:gridCol w:w="2491"/>
      </w:tblGrid>
      <w:tr w14:paraId="6EFEF5D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250" w:type="pct"/>
            <w:shd w:val="clear" w:color="auto" w:fill="auto"/>
            <w:noWrap/>
            <w:vAlign w:val="center"/>
          </w:tcPr>
          <w:p w14:paraId="328D9D3E">
            <w:pPr>
              <w:pStyle w:val="23"/>
              <w:jc w:val="center"/>
              <w:rPr>
                <w:rFonts w:ascii="宋体" w:hAnsi="宋体"/>
                <w:b/>
                <w:kern w:val="0"/>
                <w:szCs w:val="21"/>
              </w:rPr>
            </w:pPr>
            <w:r>
              <w:rPr>
                <w:rFonts w:ascii="宋体" w:hAnsi="宋体"/>
                <w:b/>
                <w:kern w:val="0"/>
                <w:szCs w:val="21"/>
              </w:rPr>
              <w:t>单位名称</w:t>
            </w:r>
          </w:p>
        </w:tc>
        <w:tc>
          <w:tcPr>
            <w:tcW w:w="1250" w:type="pct"/>
            <w:shd w:val="clear" w:color="auto" w:fill="auto"/>
            <w:noWrap/>
            <w:vAlign w:val="center"/>
          </w:tcPr>
          <w:p w14:paraId="4E22A989">
            <w:pPr>
              <w:pStyle w:val="23"/>
              <w:jc w:val="center"/>
              <w:rPr>
                <w:rFonts w:ascii="宋体" w:hAnsi="宋体"/>
                <w:b/>
                <w:kern w:val="0"/>
                <w:szCs w:val="21"/>
              </w:rPr>
            </w:pPr>
            <w:r>
              <w:rPr>
                <w:rFonts w:ascii="宋体" w:hAnsi="宋体"/>
                <w:b/>
                <w:kern w:val="0"/>
                <w:szCs w:val="21"/>
              </w:rPr>
              <w:t>总人口(人)</w:t>
            </w:r>
          </w:p>
        </w:tc>
        <w:tc>
          <w:tcPr>
            <w:tcW w:w="1250" w:type="pct"/>
            <w:shd w:val="clear" w:color="auto" w:fill="auto"/>
            <w:noWrap/>
            <w:vAlign w:val="center"/>
          </w:tcPr>
          <w:p w14:paraId="65DCA305">
            <w:pPr>
              <w:pStyle w:val="23"/>
              <w:jc w:val="center"/>
              <w:rPr>
                <w:rFonts w:ascii="宋体" w:hAnsi="宋体"/>
                <w:b/>
                <w:kern w:val="0"/>
                <w:szCs w:val="21"/>
              </w:rPr>
            </w:pPr>
            <w:r>
              <w:rPr>
                <w:rFonts w:ascii="宋体" w:hAnsi="宋体"/>
                <w:b/>
                <w:kern w:val="0"/>
                <w:szCs w:val="21"/>
              </w:rPr>
              <w:t>村民(居)委员会(个)</w:t>
            </w:r>
          </w:p>
        </w:tc>
        <w:tc>
          <w:tcPr>
            <w:tcW w:w="1250" w:type="pct"/>
            <w:shd w:val="clear" w:color="auto" w:fill="auto"/>
            <w:noWrap/>
            <w:vAlign w:val="center"/>
          </w:tcPr>
          <w:p w14:paraId="48B23EE5">
            <w:pPr>
              <w:pStyle w:val="23"/>
              <w:jc w:val="center"/>
              <w:rPr>
                <w:rFonts w:ascii="宋体" w:hAnsi="宋体"/>
                <w:b/>
                <w:kern w:val="0"/>
                <w:szCs w:val="21"/>
              </w:rPr>
            </w:pPr>
            <w:r>
              <w:rPr>
                <w:rFonts w:ascii="宋体" w:hAnsi="宋体"/>
                <w:b/>
                <w:kern w:val="0"/>
                <w:szCs w:val="21"/>
              </w:rPr>
              <w:t>总户数(户)</w:t>
            </w:r>
          </w:p>
        </w:tc>
      </w:tr>
      <w:tr w14:paraId="74812E1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250" w:type="pct"/>
            <w:shd w:val="clear" w:color="auto" w:fill="auto"/>
            <w:noWrap/>
            <w:vAlign w:val="center"/>
          </w:tcPr>
          <w:p w14:paraId="5170B2AB">
            <w:pPr>
              <w:pStyle w:val="23"/>
              <w:jc w:val="center"/>
              <w:rPr>
                <w:rFonts w:ascii="宋体" w:hAnsi="宋体"/>
                <w:kern w:val="0"/>
                <w:szCs w:val="21"/>
              </w:rPr>
            </w:pPr>
            <w:r>
              <w:rPr>
                <w:rFonts w:ascii="宋体" w:hAnsi="宋体"/>
                <w:kern w:val="0"/>
                <w:szCs w:val="21"/>
              </w:rPr>
              <w:t>合计</w:t>
            </w:r>
          </w:p>
        </w:tc>
        <w:tc>
          <w:tcPr>
            <w:tcW w:w="1250" w:type="pct"/>
            <w:shd w:val="clear" w:color="auto" w:fill="auto"/>
            <w:noWrap/>
            <w:vAlign w:val="center"/>
          </w:tcPr>
          <w:p w14:paraId="777C1EE6">
            <w:pPr>
              <w:pStyle w:val="23"/>
              <w:jc w:val="center"/>
              <w:rPr>
                <w:rFonts w:ascii="宋体" w:hAnsi="宋体"/>
                <w:kern w:val="0"/>
                <w:szCs w:val="21"/>
              </w:rPr>
            </w:pPr>
            <w:r>
              <w:rPr>
                <w:rFonts w:ascii="宋体" w:hAnsi="宋体"/>
                <w:kern w:val="0"/>
                <w:szCs w:val="21"/>
              </w:rPr>
              <w:t>473469</w:t>
            </w:r>
          </w:p>
        </w:tc>
        <w:tc>
          <w:tcPr>
            <w:tcW w:w="1250" w:type="pct"/>
            <w:shd w:val="clear" w:color="auto" w:fill="auto"/>
            <w:noWrap/>
            <w:vAlign w:val="center"/>
          </w:tcPr>
          <w:p w14:paraId="1F4180E5">
            <w:pPr>
              <w:pStyle w:val="23"/>
              <w:jc w:val="center"/>
              <w:rPr>
                <w:rFonts w:ascii="宋体" w:hAnsi="宋体"/>
                <w:kern w:val="0"/>
                <w:szCs w:val="21"/>
              </w:rPr>
            </w:pPr>
            <w:r>
              <w:rPr>
                <w:rFonts w:ascii="宋体" w:hAnsi="宋体"/>
                <w:kern w:val="0"/>
                <w:szCs w:val="21"/>
              </w:rPr>
              <w:t>232</w:t>
            </w:r>
          </w:p>
        </w:tc>
        <w:tc>
          <w:tcPr>
            <w:tcW w:w="1250" w:type="pct"/>
            <w:shd w:val="clear" w:color="auto" w:fill="auto"/>
            <w:noWrap/>
            <w:vAlign w:val="center"/>
          </w:tcPr>
          <w:p w14:paraId="01CABF29">
            <w:pPr>
              <w:pStyle w:val="23"/>
              <w:jc w:val="center"/>
              <w:rPr>
                <w:rFonts w:ascii="宋体" w:hAnsi="宋体"/>
                <w:kern w:val="0"/>
                <w:szCs w:val="21"/>
              </w:rPr>
            </w:pPr>
            <w:r>
              <w:rPr>
                <w:rFonts w:ascii="宋体" w:hAnsi="宋体"/>
                <w:kern w:val="0"/>
                <w:szCs w:val="21"/>
              </w:rPr>
              <w:t>135089</w:t>
            </w:r>
          </w:p>
        </w:tc>
      </w:tr>
      <w:tr w14:paraId="5A8E73F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250" w:type="pct"/>
            <w:shd w:val="clear" w:color="auto" w:fill="auto"/>
            <w:noWrap/>
            <w:vAlign w:val="center"/>
          </w:tcPr>
          <w:p w14:paraId="1376DC8F">
            <w:pPr>
              <w:pStyle w:val="23"/>
              <w:jc w:val="center"/>
              <w:rPr>
                <w:rFonts w:ascii="宋体" w:hAnsi="宋体"/>
                <w:kern w:val="0"/>
                <w:szCs w:val="21"/>
              </w:rPr>
            </w:pPr>
            <w:r>
              <w:rPr>
                <w:rFonts w:ascii="宋体" w:hAnsi="宋体"/>
                <w:kern w:val="0"/>
                <w:szCs w:val="21"/>
              </w:rPr>
              <w:t>乌迳</w:t>
            </w:r>
          </w:p>
        </w:tc>
        <w:tc>
          <w:tcPr>
            <w:tcW w:w="1250" w:type="pct"/>
            <w:shd w:val="clear" w:color="auto" w:fill="auto"/>
            <w:noWrap/>
            <w:vAlign w:val="center"/>
          </w:tcPr>
          <w:p w14:paraId="44439F55">
            <w:pPr>
              <w:pStyle w:val="23"/>
              <w:jc w:val="center"/>
              <w:rPr>
                <w:rFonts w:ascii="宋体" w:hAnsi="宋体"/>
                <w:kern w:val="0"/>
                <w:szCs w:val="21"/>
              </w:rPr>
            </w:pPr>
            <w:r>
              <w:rPr>
                <w:rFonts w:ascii="宋体" w:hAnsi="宋体"/>
                <w:kern w:val="0"/>
                <w:szCs w:val="21"/>
              </w:rPr>
              <w:t>43638</w:t>
            </w:r>
          </w:p>
        </w:tc>
        <w:tc>
          <w:tcPr>
            <w:tcW w:w="1250" w:type="pct"/>
            <w:shd w:val="clear" w:color="auto" w:fill="auto"/>
            <w:noWrap/>
            <w:vAlign w:val="center"/>
          </w:tcPr>
          <w:p w14:paraId="39BFEF71">
            <w:pPr>
              <w:pStyle w:val="23"/>
              <w:jc w:val="center"/>
              <w:rPr>
                <w:rFonts w:ascii="宋体" w:hAnsi="宋体"/>
                <w:kern w:val="0"/>
                <w:szCs w:val="21"/>
              </w:rPr>
            </w:pPr>
            <w:r>
              <w:rPr>
                <w:rFonts w:ascii="宋体" w:hAnsi="宋体"/>
                <w:kern w:val="0"/>
                <w:szCs w:val="21"/>
              </w:rPr>
              <w:t>22</w:t>
            </w:r>
          </w:p>
        </w:tc>
        <w:tc>
          <w:tcPr>
            <w:tcW w:w="1250" w:type="pct"/>
            <w:shd w:val="clear" w:color="auto" w:fill="auto"/>
            <w:noWrap/>
            <w:vAlign w:val="center"/>
          </w:tcPr>
          <w:p w14:paraId="23CF80F9">
            <w:pPr>
              <w:pStyle w:val="23"/>
              <w:jc w:val="center"/>
              <w:rPr>
                <w:rFonts w:ascii="宋体" w:hAnsi="宋体"/>
                <w:kern w:val="0"/>
                <w:szCs w:val="21"/>
              </w:rPr>
            </w:pPr>
            <w:r>
              <w:rPr>
                <w:rFonts w:ascii="宋体" w:hAnsi="宋体"/>
                <w:kern w:val="0"/>
                <w:szCs w:val="21"/>
              </w:rPr>
              <w:t>11146</w:t>
            </w:r>
          </w:p>
        </w:tc>
      </w:tr>
      <w:tr w14:paraId="295F4BF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250" w:type="pct"/>
            <w:shd w:val="clear" w:color="auto" w:fill="auto"/>
            <w:noWrap/>
            <w:vAlign w:val="center"/>
          </w:tcPr>
          <w:p w14:paraId="2DA8FCA8">
            <w:pPr>
              <w:pStyle w:val="23"/>
              <w:jc w:val="center"/>
              <w:rPr>
                <w:rFonts w:ascii="宋体" w:hAnsi="宋体"/>
                <w:kern w:val="0"/>
                <w:szCs w:val="21"/>
              </w:rPr>
            </w:pPr>
            <w:r>
              <w:rPr>
                <w:rFonts w:ascii="宋体" w:hAnsi="宋体"/>
                <w:kern w:val="0"/>
                <w:szCs w:val="21"/>
              </w:rPr>
              <w:t>界址</w:t>
            </w:r>
          </w:p>
        </w:tc>
        <w:tc>
          <w:tcPr>
            <w:tcW w:w="1250" w:type="pct"/>
            <w:shd w:val="clear" w:color="auto" w:fill="auto"/>
            <w:noWrap/>
            <w:vAlign w:val="center"/>
          </w:tcPr>
          <w:p w14:paraId="6A726520">
            <w:pPr>
              <w:pStyle w:val="23"/>
              <w:jc w:val="center"/>
              <w:rPr>
                <w:rFonts w:ascii="宋体" w:hAnsi="宋体"/>
                <w:kern w:val="0"/>
                <w:szCs w:val="21"/>
              </w:rPr>
            </w:pPr>
            <w:r>
              <w:rPr>
                <w:rFonts w:ascii="宋体" w:hAnsi="宋体"/>
                <w:kern w:val="0"/>
                <w:szCs w:val="21"/>
              </w:rPr>
              <w:t>14512</w:t>
            </w:r>
          </w:p>
        </w:tc>
        <w:tc>
          <w:tcPr>
            <w:tcW w:w="1250" w:type="pct"/>
            <w:shd w:val="clear" w:color="auto" w:fill="auto"/>
            <w:noWrap/>
            <w:vAlign w:val="center"/>
          </w:tcPr>
          <w:p w14:paraId="478670B3">
            <w:pPr>
              <w:pStyle w:val="23"/>
              <w:jc w:val="center"/>
              <w:rPr>
                <w:rFonts w:ascii="宋体" w:hAnsi="宋体"/>
                <w:kern w:val="0"/>
                <w:szCs w:val="21"/>
              </w:rPr>
            </w:pPr>
            <w:r>
              <w:rPr>
                <w:rFonts w:ascii="宋体" w:hAnsi="宋体"/>
                <w:kern w:val="0"/>
                <w:szCs w:val="21"/>
              </w:rPr>
              <w:t>9</w:t>
            </w:r>
          </w:p>
        </w:tc>
        <w:tc>
          <w:tcPr>
            <w:tcW w:w="1250" w:type="pct"/>
            <w:shd w:val="clear" w:color="auto" w:fill="auto"/>
            <w:noWrap/>
            <w:vAlign w:val="center"/>
          </w:tcPr>
          <w:p w14:paraId="09E9C899">
            <w:pPr>
              <w:pStyle w:val="23"/>
              <w:jc w:val="center"/>
              <w:rPr>
                <w:rFonts w:ascii="宋体" w:hAnsi="宋体"/>
                <w:kern w:val="0"/>
                <w:szCs w:val="21"/>
              </w:rPr>
            </w:pPr>
            <w:r>
              <w:rPr>
                <w:rFonts w:ascii="宋体" w:hAnsi="宋体"/>
                <w:kern w:val="0"/>
                <w:szCs w:val="21"/>
              </w:rPr>
              <w:t>3651</w:t>
            </w:r>
          </w:p>
        </w:tc>
      </w:tr>
      <w:tr w14:paraId="35F489D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250" w:type="pct"/>
            <w:shd w:val="clear" w:color="auto" w:fill="auto"/>
            <w:noWrap/>
            <w:vAlign w:val="center"/>
          </w:tcPr>
          <w:p w14:paraId="7B0D6EFC">
            <w:pPr>
              <w:pStyle w:val="23"/>
              <w:jc w:val="center"/>
              <w:rPr>
                <w:rFonts w:ascii="宋体" w:hAnsi="宋体"/>
                <w:kern w:val="0"/>
                <w:szCs w:val="21"/>
              </w:rPr>
            </w:pPr>
            <w:r>
              <w:rPr>
                <w:rFonts w:ascii="宋体" w:hAnsi="宋体"/>
                <w:kern w:val="0"/>
                <w:szCs w:val="21"/>
              </w:rPr>
              <w:t>坪田</w:t>
            </w:r>
          </w:p>
        </w:tc>
        <w:tc>
          <w:tcPr>
            <w:tcW w:w="1250" w:type="pct"/>
            <w:shd w:val="clear" w:color="auto" w:fill="auto"/>
            <w:noWrap/>
            <w:vAlign w:val="center"/>
          </w:tcPr>
          <w:p w14:paraId="6699C7D2">
            <w:pPr>
              <w:pStyle w:val="23"/>
              <w:jc w:val="center"/>
              <w:rPr>
                <w:rFonts w:ascii="宋体" w:hAnsi="宋体"/>
                <w:kern w:val="0"/>
                <w:szCs w:val="21"/>
              </w:rPr>
            </w:pPr>
            <w:r>
              <w:rPr>
                <w:rFonts w:ascii="宋体" w:hAnsi="宋体"/>
                <w:kern w:val="0"/>
                <w:szCs w:val="21"/>
              </w:rPr>
              <w:t>24797</w:t>
            </w:r>
          </w:p>
        </w:tc>
        <w:tc>
          <w:tcPr>
            <w:tcW w:w="1250" w:type="pct"/>
            <w:shd w:val="clear" w:color="auto" w:fill="auto"/>
            <w:noWrap/>
            <w:vAlign w:val="center"/>
          </w:tcPr>
          <w:p w14:paraId="7BC0F3EA">
            <w:pPr>
              <w:pStyle w:val="23"/>
              <w:jc w:val="center"/>
              <w:rPr>
                <w:rFonts w:ascii="宋体" w:hAnsi="宋体"/>
                <w:kern w:val="0"/>
                <w:szCs w:val="21"/>
              </w:rPr>
            </w:pPr>
            <w:r>
              <w:rPr>
                <w:rFonts w:ascii="宋体" w:hAnsi="宋体"/>
                <w:kern w:val="0"/>
                <w:szCs w:val="21"/>
              </w:rPr>
              <w:t>15</w:t>
            </w:r>
          </w:p>
        </w:tc>
        <w:tc>
          <w:tcPr>
            <w:tcW w:w="1250" w:type="pct"/>
            <w:shd w:val="clear" w:color="auto" w:fill="auto"/>
            <w:noWrap/>
            <w:vAlign w:val="center"/>
          </w:tcPr>
          <w:p w14:paraId="45191518">
            <w:pPr>
              <w:pStyle w:val="23"/>
              <w:jc w:val="center"/>
              <w:rPr>
                <w:rFonts w:ascii="宋体" w:hAnsi="宋体"/>
                <w:kern w:val="0"/>
                <w:szCs w:val="21"/>
              </w:rPr>
            </w:pPr>
            <w:r>
              <w:rPr>
                <w:rFonts w:ascii="宋体" w:hAnsi="宋体"/>
                <w:kern w:val="0"/>
                <w:szCs w:val="21"/>
              </w:rPr>
              <w:t>6210</w:t>
            </w:r>
          </w:p>
        </w:tc>
      </w:tr>
      <w:tr w14:paraId="2AC2C97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250" w:type="pct"/>
            <w:shd w:val="clear" w:color="auto" w:fill="auto"/>
            <w:noWrap/>
            <w:vAlign w:val="center"/>
          </w:tcPr>
          <w:p w14:paraId="38D36530">
            <w:pPr>
              <w:pStyle w:val="23"/>
              <w:jc w:val="center"/>
              <w:rPr>
                <w:rFonts w:ascii="宋体" w:hAnsi="宋体"/>
                <w:kern w:val="0"/>
                <w:szCs w:val="21"/>
              </w:rPr>
            </w:pPr>
            <w:r>
              <w:rPr>
                <w:rFonts w:ascii="宋体" w:hAnsi="宋体"/>
                <w:kern w:val="0"/>
                <w:szCs w:val="21"/>
              </w:rPr>
              <w:t>黄坑</w:t>
            </w:r>
          </w:p>
        </w:tc>
        <w:tc>
          <w:tcPr>
            <w:tcW w:w="1250" w:type="pct"/>
            <w:shd w:val="clear" w:color="auto" w:fill="auto"/>
            <w:noWrap/>
            <w:vAlign w:val="center"/>
          </w:tcPr>
          <w:p w14:paraId="292929EF">
            <w:pPr>
              <w:pStyle w:val="23"/>
              <w:jc w:val="center"/>
              <w:rPr>
                <w:rFonts w:ascii="宋体" w:hAnsi="宋体"/>
                <w:kern w:val="0"/>
                <w:szCs w:val="21"/>
              </w:rPr>
            </w:pPr>
            <w:r>
              <w:rPr>
                <w:rFonts w:ascii="宋体" w:hAnsi="宋体"/>
                <w:kern w:val="0"/>
                <w:szCs w:val="21"/>
              </w:rPr>
              <w:t>25415</w:t>
            </w:r>
          </w:p>
        </w:tc>
        <w:tc>
          <w:tcPr>
            <w:tcW w:w="1250" w:type="pct"/>
            <w:shd w:val="clear" w:color="auto" w:fill="auto"/>
            <w:noWrap/>
            <w:vAlign w:val="center"/>
          </w:tcPr>
          <w:p w14:paraId="600283FD">
            <w:pPr>
              <w:pStyle w:val="23"/>
              <w:jc w:val="center"/>
              <w:rPr>
                <w:rFonts w:ascii="宋体" w:hAnsi="宋体"/>
                <w:kern w:val="0"/>
                <w:szCs w:val="21"/>
              </w:rPr>
            </w:pPr>
            <w:r>
              <w:rPr>
                <w:rFonts w:ascii="宋体" w:hAnsi="宋体"/>
                <w:kern w:val="0"/>
                <w:szCs w:val="21"/>
              </w:rPr>
              <w:t>11</w:t>
            </w:r>
          </w:p>
        </w:tc>
        <w:tc>
          <w:tcPr>
            <w:tcW w:w="1250" w:type="pct"/>
            <w:shd w:val="clear" w:color="auto" w:fill="auto"/>
            <w:noWrap/>
            <w:vAlign w:val="center"/>
          </w:tcPr>
          <w:p w14:paraId="3327D219">
            <w:pPr>
              <w:pStyle w:val="23"/>
              <w:jc w:val="center"/>
              <w:rPr>
                <w:rFonts w:ascii="宋体" w:hAnsi="宋体"/>
                <w:kern w:val="0"/>
                <w:szCs w:val="21"/>
              </w:rPr>
            </w:pPr>
            <w:r>
              <w:rPr>
                <w:rFonts w:ascii="宋体" w:hAnsi="宋体"/>
                <w:kern w:val="0"/>
                <w:szCs w:val="21"/>
              </w:rPr>
              <w:t>7939</w:t>
            </w:r>
          </w:p>
        </w:tc>
      </w:tr>
      <w:tr w14:paraId="5EB2FDA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250" w:type="pct"/>
            <w:shd w:val="clear" w:color="auto" w:fill="auto"/>
            <w:noWrap/>
            <w:vAlign w:val="center"/>
          </w:tcPr>
          <w:p w14:paraId="70F339C9">
            <w:pPr>
              <w:pStyle w:val="23"/>
              <w:jc w:val="center"/>
              <w:rPr>
                <w:rFonts w:ascii="宋体" w:hAnsi="宋体"/>
                <w:kern w:val="0"/>
                <w:szCs w:val="21"/>
              </w:rPr>
            </w:pPr>
            <w:r>
              <w:rPr>
                <w:rFonts w:ascii="宋体" w:hAnsi="宋体"/>
                <w:kern w:val="0"/>
                <w:szCs w:val="21"/>
              </w:rPr>
              <w:t>邓坊</w:t>
            </w:r>
          </w:p>
        </w:tc>
        <w:tc>
          <w:tcPr>
            <w:tcW w:w="1250" w:type="pct"/>
            <w:shd w:val="clear" w:color="auto" w:fill="auto"/>
            <w:noWrap/>
            <w:vAlign w:val="center"/>
          </w:tcPr>
          <w:p w14:paraId="23AA802C">
            <w:pPr>
              <w:pStyle w:val="23"/>
              <w:jc w:val="center"/>
              <w:rPr>
                <w:rFonts w:ascii="宋体" w:hAnsi="宋体"/>
                <w:kern w:val="0"/>
                <w:szCs w:val="21"/>
              </w:rPr>
            </w:pPr>
            <w:r>
              <w:rPr>
                <w:rFonts w:ascii="宋体" w:hAnsi="宋体"/>
                <w:kern w:val="0"/>
                <w:szCs w:val="21"/>
              </w:rPr>
              <w:t>16039</w:t>
            </w:r>
          </w:p>
        </w:tc>
        <w:tc>
          <w:tcPr>
            <w:tcW w:w="1250" w:type="pct"/>
            <w:shd w:val="clear" w:color="auto" w:fill="auto"/>
            <w:noWrap/>
            <w:vAlign w:val="center"/>
          </w:tcPr>
          <w:p w14:paraId="05A0E74E">
            <w:pPr>
              <w:pStyle w:val="23"/>
              <w:jc w:val="center"/>
              <w:rPr>
                <w:rFonts w:ascii="宋体" w:hAnsi="宋体"/>
                <w:kern w:val="0"/>
                <w:szCs w:val="21"/>
              </w:rPr>
            </w:pPr>
            <w:r>
              <w:rPr>
                <w:rFonts w:ascii="宋体" w:hAnsi="宋体"/>
                <w:kern w:val="0"/>
                <w:szCs w:val="21"/>
              </w:rPr>
              <w:t>10</w:t>
            </w:r>
          </w:p>
        </w:tc>
        <w:tc>
          <w:tcPr>
            <w:tcW w:w="1250" w:type="pct"/>
            <w:shd w:val="clear" w:color="auto" w:fill="auto"/>
            <w:noWrap/>
            <w:vAlign w:val="center"/>
          </w:tcPr>
          <w:p w14:paraId="4596CA32">
            <w:pPr>
              <w:pStyle w:val="23"/>
              <w:jc w:val="center"/>
              <w:rPr>
                <w:rFonts w:ascii="宋体" w:hAnsi="宋体"/>
                <w:kern w:val="0"/>
                <w:szCs w:val="21"/>
              </w:rPr>
            </w:pPr>
            <w:r>
              <w:rPr>
                <w:rFonts w:ascii="宋体" w:hAnsi="宋体"/>
                <w:kern w:val="0"/>
                <w:szCs w:val="21"/>
              </w:rPr>
              <w:t>4658</w:t>
            </w:r>
          </w:p>
        </w:tc>
      </w:tr>
      <w:tr w14:paraId="3E90513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250" w:type="pct"/>
            <w:shd w:val="clear" w:color="auto" w:fill="auto"/>
            <w:noWrap/>
            <w:vAlign w:val="center"/>
          </w:tcPr>
          <w:p w14:paraId="06053396">
            <w:pPr>
              <w:pStyle w:val="23"/>
              <w:jc w:val="center"/>
              <w:rPr>
                <w:rFonts w:ascii="宋体" w:hAnsi="宋体"/>
                <w:kern w:val="0"/>
                <w:szCs w:val="21"/>
              </w:rPr>
            </w:pPr>
            <w:r>
              <w:rPr>
                <w:rFonts w:ascii="宋体" w:hAnsi="宋体"/>
                <w:kern w:val="0"/>
                <w:szCs w:val="21"/>
              </w:rPr>
              <w:t>油山</w:t>
            </w:r>
          </w:p>
        </w:tc>
        <w:tc>
          <w:tcPr>
            <w:tcW w:w="1250" w:type="pct"/>
            <w:shd w:val="clear" w:color="auto" w:fill="auto"/>
            <w:noWrap/>
            <w:vAlign w:val="center"/>
          </w:tcPr>
          <w:p w14:paraId="5CE82E5E">
            <w:pPr>
              <w:pStyle w:val="23"/>
              <w:jc w:val="center"/>
              <w:rPr>
                <w:rFonts w:ascii="宋体" w:hAnsi="宋体"/>
                <w:kern w:val="0"/>
                <w:szCs w:val="21"/>
              </w:rPr>
            </w:pPr>
            <w:r>
              <w:rPr>
                <w:rFonts w:ascii="宋体" w:hAnsi="宋体"/>
                <w:kern w:val="0"/>
                <w:szCs w:val="21"/>
              </w:rPr>
              <w:t>32209</w:t>
            </w:r>
          </w:p>
        </w:tc>
        <w:tc>
          <w:tcPr>
            <w:tcW w:w="1250" w:type="pct"/>
            <w:shd w:val="clear" w:color="auto" w:fill="auto"/>
            <w:noWrap/>
            <w:vAlign w:val="center"/>
          </w:tcPr>
          <w:p w14:paraId="43C72679">
            <w:pPr>
              <w:pStyle w:val="23"/>
              <w:jc w:val="center"/>
              <w:rPr>
                <w:rFonts w:ascii="宋体" w:hAnsi="宋体"/>
                <w:kern w:val="0"/>
                <w:szCs w:val="21"/>
              </w:rPr>
            </w:pPr>
            <w:r>
              <w:rPr>
                <w:rFonts w:ascii="宋体" w:hAnsi="宋体"/>
                <w:kern w:val="0"/>
                <w:szCs w:val="21"/>
              </w:rPr>
              <w:t>18</w:t>
            </w:r>
          </w:p>
        </w:tc>
        <w:tc>
          <w:tcPr>
            <w:tcW w:w="1250" w:type="pct"/>
            <w:shd w:val="clear" w:color="auto" w:fill="auto"/>
            <w:noWrap/>
            <w:vAlign w:val="center"/>
          </w:tcPr>
          <w:p w14:paraId="50BF9F94">
            <w:pPr>
              <w:pStyle w:val="23"/>
              <w:jc w:val="center"/>
              <w:rPr>
                <w:rFonts w:ascii="宋体" w:hAnsi="宋体"/>
                <w:kern w:val="0"/>
                <w:szCs w:val="21"/>
              </w:rPr>
            </w:pPr>
            <w:r>
              <w:rPr>
                <w:rFonts w:ascii="宋体" w:hAnsi="宋体"/>
                <w:kern w:val="0"/>
                <w:szCs w:val="21"/>
              </w:rPr>
              <w:t>7873</w:t>
            </w:r>
          </w:p>
        </w:tc>
      </w:tr>
      <w:tr w14:paraId="67DC995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250" w:type="pct"/>
            <w:shd w:val="clear" w:color="auto" w:fill="auto"/>
            <w:noWrap/>
            <w:vAlign w:val="center"/>
          </w:tcPr>
          <w:p w14:paraId="579B848A">
            <w:pPr>
              <w:pStyle w:val="23"/>
              <w:jc w:val="center"/>
              <w:rPr>
                <w:rFonts w:ascii="宋体" w:hAnsi="宋体"/>
                <w:kern w:val="0"/>
                <w:szCs w:val="21"/>
              </w:rPr>
            </w:pPr>
            <w:r>
              <w:rPr>
                <w:rFonts w:ascii="宋体" w:hAnsi="宋体"/>
                <w:kern w:val="0"/>
                <w:szCs w:val="21"/>
              </w:rPr>
              <w:t>南亩</w:t>
            </w:r>
          </w:p>
        </w:tc>
        <w:tc>
          <w:tcPr>
            <w:tcW w:w="1250" w:type="pct"/>
            <w:shd w:val="clear" w:color="auto" w:fill="auto"/>
            <w:noWrap/>
            <w:vAlign w:val="center"/>
          </w:tcPr>
          <w:p w14:paraId="72CD77A3">
            <w:pPr>
              <w:pStyle w:val="23"/>
              <w:jc w:val="center"/>
              <w:rPr>
                <w:rFonts w:ascii="宋体" w:hAnsi="宋体"/>
                <w:kern w:val="0"/>
                <w:szCs w:val="21"/>
              </w:rPr>
            </w:pPr>
            <w:r>
              <w:rPr>
                <w:rFonts w:ascii="宋体" w:hAnsi="宋体"/>
                <w:kern w:val="0"/>
                <w:szCs w:val="21"/>
              </w:rPr>
              <w:t>16436</w:t>
            </w:r>
          </w:p>
        </w:tc>
        <w:tc>
          <w:tcPr>
            <w:tcW w:w="1250" w:type="pct"/>
            <w:shd w:val="clear" w:color="auto" w:fill="auto"/>
            <w:noWrap/>
            <w:vAlign w:val="center"/>
          </w:tcPr>
          <w:p w14:paraId="7416C8E5">
            <w:pPr>
              <w:pStyle w:val="23"/>
              <w:jc w:val="center"/>
              <w:rPr>
                <w:rFonts w:ascii="宋体" w:hAnsi="宋体"/>
                <w:kern w:val="0"/>
                <w:szCs w:val="21"/>
              </w:rPr>
            </w:pPr>
            <w:r>
              <w:rPr>
                <w:rFonts w:ascii="宋体" w:hAnsi="宋体"/>
                <w:kern w:val="0"/>
                <w:szCs w:val="21"/>
              </w:rPr>
              <w:t>12</w:t>
            </w:r>
          </w:p>
        </w:tc>
        <w:tc>
          <w:tcPr>
            <w:tcW w:w="1250" w:type="pct"/>
            <w:shd w:val="clear" w:color="auto" w:fill="auto"/>
            <w:noWrap/>
            <w:vAlign w:val="center"/>
          </w:tcPr>
          <w:p w14:paraId="05F69537">
            <w:pPr>
              <w:pStyle w:val="23"/>
              <w:jc w:val="center"/>
              <w:rPr>
                <w:rFonts w:ascii="宋体" w:hAnsi="宋体"/>
                <w:kern w:val="0"/>
                <w:szCs w:val="21"/>
              </w:rPr>
            </w:pPr>
            <w:r>
              <w:rPr>
                <w:rFonts w:ascii="宋体" w:hAnsi="宋体"/>
                <w:kern w:val="0"/>
                <w:szCs w:val="21"/>
              </w:rPr>
              <w:t>4606</w:t>
            </w:r>
          </w:p>
        </w:tc>
      </w:tr>
      <w:tr w14:paraId="2B4BC2E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250" w:type="pct"/>
            <w:shd w:val="clear" w:color="auto" w:fill="auto"/>
            <w:noWrap/>
            <w:vAlign w:val="center"/>
          </w:tcPr>
          <w:p w14:paraId="400D7D78">
            <w:pPr>
              <w:pStyle w:val="23"/>
              <w:jc w:val="center"/>
              <w:rPr>
                <w:rFonts w:ascii="宋体" w:hAnsi="宋体"/>
                <w:kern w:val="0"/>
                <w:szCs w:val="21"/>
              </w:rPr>
            </w:pPr>
            <w:r>
              <w:rPr>
                <w:rFonts w:ascii="宋体" w:hAnsi="宋体"/>
                <w:kern w:val="0"/>
                <w:szCs w:val="21"/>
              </w:rPr>
              <w:t>水口</w:t>
            </w:r>
          </w:p>
        </w:tc>
        <w:tc>
          <w:tcPr>
            <w:tcW w:w="1250" w:type="pct"/>
            <w:shd w:val="clear" w:color="auto" w:fill="auto"/>
            <w:noWrap/>
            <w:vAlign w:val="center"/>
          </w:tcPr>
          <w:p w14:paraId="784E7D3A">
            <w:pPr>
              <w:pStyle w:val="23"/>
              <w:jc w:val="center"/>
              <w:rPr>
                <w:rFonts w:ascii="宋体" w:hAnsi="宋体"/>
                <w:kern w:val="0"/>
                <w:szCs w:val="21"/>
              </w:rPr>
            </w:pPr>
            <w:r>
              <w:rPr>
                <w:rFonts w:ascii="宋体" w:hAnsi="宋体"/>
                <w:kern w:val="0"/>
                <w:szCs w:val="21"/>
              </w:rPr>
              <w:t>24710</w:t>
            </w:r>
          </w:p>
        </w:tc>
        <w:tc>
          <w:tcPr>
            <w:tcW w:w="1250" w:type="pct"/>
            <w:shd w:val="clear" w:color="auto" w:fill="auto"/>
            <w:noWrap/>
            <w:vAlign w:val="center"/>
          </w:tcPr>
          <w:p w14:paraId="41669E53">
            <w:pPr>
              <w:pStyle w:val="23"/>
              <w:jc w:val="center"/>
              <w:rPr>
                <w:rFonts w:ascii="宋体" w:hAnsi="宋体"/>
                <w:kern w:val="0"/>
                <w:szCs w:val="21"/>
              </w:rPr>
            </w:pPr>
            <w:r>
              <w:rPr>
                <w:rFonts w:ascii="宋体" w:hAnsi="宋体"/>
                <w:kern w:val="0"/>
                <w:szCs w:val="21"/>
              </w:rPr>
              <w:t>14</w:t>
            </w:r>
          </w:p>
        </w:tc>
        <w:tc>
          <w:tcPr>
            <w:tcW w:w="1250" w:type="pct"/>
            <w:shd w:val="clear" w:color="auto" w:fill="auto"/>
            <w:noWrap/>
            <w:vAlign w:val="center"/>
          </w:tcPr>
          <w:p w14:paraId="67657DEF">
            <w:pPr>
              <w:pStyle w:val="23"/>
              <w:jc w:val="center"/>
              <w:rPr>
                <w:rFonts w:ascii="宋体" w:hAnsi="宋体"/>
                <w:kern w:val="0"/>
                <w:szCs w:val="21"/>
              </w:rPr>
            </w:pPr>
            <w:r>
              <w:rPr>
                <w:rFonts w:ascii="宋体" w:hAnsi="宋体"/>
                <w:kern w:val="0"/>
                <w:szCs w:val="21"/>
              </w:rPr>
              <w:t>7463</w:t>
            </w:r>
          </w:p>
        </w:tc>
      </w:tr>
      <w:tr w14:paraId="4660507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250" w:type="pct"/>
            <w:shd w:val="clear" w:color="auto" w:fill="auto"/>
            <w:noWrap/>
            <w:vAlign w:val="center"/>
          </w:tcPr>
          <w:p w14:paraId="437DC747">
            <w:pPr>
              <w:pStyle w:val="23"/>
              <w:jc w:val="center"/>
              <w:rPr>
                <w:rFonts w:ascii="宋体" w:hAnsi="宋体"/>
                <w:kern w:val="0"/>
                <w:szCs w:val="21"/>
              </w:rPr>
            </w:pPr>
            <w:r>
              <w:rPr>
                <w:rFonts w:ascii="宋体" w:hAnsi="宋体"/>
                <w:kern w:val="0"/>
                <w:szCs w:val="21"/>
              </w:rPr>
              <w:t>江头</w:t>
            </w:r>
          </w:p>
        </w:tc>
        <w:tc>
          <w:tcPr>
            <w:tcW w:w="1250" w:type="pct"/>
            <w:shd w:val="clear" w:color="auto" w:fill="auto"/>
            <w:noWrap/>
            <w:vAlign w:val="center"/>
          </w:tcPr>
          <w:p w14:paraId="05598526">
            <w:pPr>
              <w:pStyle w:val="23"/>
              <w:jc w:val="center"/>
              <w:rPr>
                <w:rFonts w:ascii="宋体" w:hAnsi="宋体"/>
                <w:kern w:val="0"/>
                <w:szCs w:val="21"/>
              </w:rPr>
            </w:pPr>
            <w:r>
              <w:rPr>
                <w:rFonts w:ascii="宋体" w:hAnsi="宋体"/>
                <w:kern w:val="0"/>
                <w:szCs w:val="21"/>
              </w:rPr>
              <w:t>12146</w:t>
            </w:r>
          </w:p>
        </w:tc>
        <w:tc>
          <w:tcPr>
            <w:tcW w:w="1250" w:type="pct"/>
            <w:shd w:val="clear" w:color="auto" w:fill="auto"/>
            <w:noWrap/>
            <w:vAlign w:val="center"/>
          </w:tcPr>
          <w:p w14:paraId="455C1DED">
            <w:pPr>
              <w:pStyle w:val="23"/>
              <w:jc w:val="center"/>
              <w:rPr>
                <w:rFonts w:ascii="宋体" w:hAnsi="宋体"/>
                <w:kern w:val="0"/>
                <w:szCs w:val="21"/>
              </w:rPr>
            </w:pPr>
            <w:r>
              <w:rPr>
                <w:rFonts w:ascii="宋体" w:hAnsi="宋体"/>
                <w:kern w:val="0"/>
                <w:szCs w:val="21"/>
              </w:rPr>
              <w:t>10</w:t>
            </w:r>
          </w:p>
        </w:tc>
        <w:tc>
          <w:tcPr>
            <w:tcW w:w="1250" w:type="pct"/>
            <w:shd w:val="clear" w:color="auto" w:fill="auto"/>
            <w:noWrap/>
            <w:vAlign w:val="center"/>
          </w:tcPr>
          <w:p w14:paraId="4FD9FED2">
            <w:pPr>
              <w:pStyle w:val="23"/>
              <w:jc w:val="center"/>
              <w:rPr>
                <w:rFonts w:ascii="宋体" w:hAnsi="宋体"/>
                <w:kern w:val="0"/>
                <w:szCs w:val="21"/>
              </w:rPr>
            </w:pPr>
            <w:r>
              <w:rPr>
                <w:rFonts w:ascii="宋体" w:hAnsi="宋体"/>
                <w:kern w:val="0"/>
                <w:szCs w:val="21"/>
              </w:rPr>
              <w:t>2977</w:t>
            </w:r>
          </w:p>
        </w:tc>
      </w:tr>
      <w:tr w14:paraId="539AF3D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250" w:type="pct"/>
            <w:shd w:val="clear" w:color="auto" w:fill="auto"/>
            <w:noWrap/>
            <w:vAlign w:val="center"/>
          </w:tcPr>
          <w:p w14:paraId="003E56EA">
            <w:pPr>
              <w:pStyle w:val="23"/>
              <w:jc w:val="center"/>
              <w:rPr>
                <w:rFonts w:ascii="宋体" w:hAnsi="宋体"/>
                <w:kern w:val="0"/>
                <w:szCs w:val="21"/>
              </w:rPr>
            </w:pPr>
            <w:r>
              <w:rPr>
                <w:rFonts w:ascii="宋体" w:hAnsi="宋体"/>
                <w:kern w:val="0"/>
                <w:szCs w:val="21"/>
              </w:rPr>
              <w:t>湖口</w:t>
            </w:r>
          </w:p>
        </w:tc>
        <w:tc>
          <w:tcPr>
            <w:tcW w:w="1250" w:type="pct"/>
            <w:shd w:val="clear" w:color="auto" w:fill="auto"/>
            <w:noWrap/>
            <w:vAlign w:val="center"/>
          </w:tcPr>
          <w:p w14:paraId="4D8A6722">
            <w:pPr>
              <w:pStyle w:val="23"/>
              <w:jc w:val="center"/>
              <w:rPr>
                <w:rFonts w:ascii="宋体" w:hAnsi="宋体"/>
                <w:kern w:val="0"/>
                <w:szCs w:val="21"/>
              </w:rPr>
            </w:pPr>
            <w:r>
              <w:rPr>
                <w:rFonts w:ascii="宋体" w:hAnsi="宋体"/>
                <w:kern w:val="0"/>
                <w:szCs w:val="21"/>
              </w:rPr>
              <w:t>33698</w:t>
            </w:r>
          </w:p>
        </w:tc>
        <w:tc>
          <w:tcPr>
            <w:tcW w:w="1250" w:type="pct"/>
            <w:shd w:val="clear" w:color="auto" w:fill="auto"/>
            <w:noWrap/>
            <w:vAlign w:val="center"/>
          </w:tcPr>
          <w:p w14:paraId="41248E2C">
            <w:pPr>
              <w:pStyle w:val="23"/>
              <w:jc w:val="center"/>
              <w:rPr>
                <w:rFonts w:ascii="宋体" w:hAnsi="宋体"/>
                <w:kern w:val="0"/>
                <w:szCs w:val="21"/>
              </w:rPr>
            </w:pPr>
            <w:r>
              <w:rPr>
                <w:rFonts w:ascii="宋体" w:hAnsi="宋体"/>
                <w:kern w:val="0"/>
                <w:szCs w:val="21"/>
              </w:rPr>
              <w:t>13</w:t>
            </w:r>
          </w:p>
        </w:tc>
        <w:tc>
          <w:tcPr>
            <w:tcW w:w="1250" w:type="pct"/>
            <w:shd w:val="clear" w:color="auto" w:fill="auto"/>
            <w:noWrap/>
            <w:vAlign w:val="center"/>
          </w:tcPr>
          <w:p w14:paraId="5ADF1DCF">
            <w:pPr>
              <w:pStyle w:val="23"/>
              <w:jc w:val="center"/>
              <w:rPr>
                <w:rFonts w:ascii="宋体" w:hAnsi="宋体"/>
                <w:kern w:val="0"/>
                <w:szCs w:val="21"/>
              </w:rPr>
            </w:pPr>
            <w:r>
              <w:rPr>
                <w:rFonts w:ascii="宋体" w:hAnsi="宋体"/>
                <w:kern w:val="0"/>
                <w:szCs w:val="21"/>
              </w:rPr>
              <w:t>8363</w:t>
            </w:r>
          </w:p>
        </w:tc>
      </w:tr>
      <w:tr w14:paraId="471AAFE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250" w:type="pct"/>
            <w:shd w:val="clear" w:color="auto" w:fill="auto"/>
            <w:noWrap/>
            <w:vAlign w:val="center"/>
          </w:tcPr>
          <w:p w14:paraId="3AAEF1D2">
            <w:pPr>
              <w:pStyle w:val="23"/>
              <w:jc w:val="center"/>
              <w:rPr>
                <w:rFonts w:ascii="宋体" w:hAnsi="宋体"/>
                <w:kern w:val="0"/>
                <w:szCs w:val="21"/>
              </w:rPr>
            </w:pPr>
            <w:r>
              <w:rPr>
                <w:rFonts w:ascii="宋体" w:hAnsi="宋体"/>
                <w:kern w:val="0"/>
                <w:szCs w:val="21"/>
              </w:rPr>
              <w:t>珠玑</w:t>
            </w:r>
          </w:p>
        </w:tc>
        <w:tc>
          <w:tcPr>
            <w:tcW w:w="1250" w:type="pct"/>
            <w:shd w:val="clear" w:color="auto" w:fill="auto"/>
            <w:noWrap/>
            <w:vAlign w:val="center"/>
          </w:tcPr>
          <w:p w14:paraId="6B94340D">
            <w:pPr>
              <w:pStyle w:val="23"/>
              <w:jc w:val="center"/>
              <w:rPr>
                <w:rFonts w:ascii="宋体" w:hAnsi="宋体"/>
                <w:kern w:val="0"/>
                <w:szCs w:val="21"/>
              </w:rPr>
            </w:pPr>
            <w:r>
              <w:rPr>
                <w:rFonts w:ascii="宋体" w:hAnsi="宋体"/>
                <w:kern w:val="0"/>
                <w:szCs w:val="21"/>
              </w:rPr>
              <w:t>44440</w:t>
            </w:r>
          </w:p>
        </w:tc>
        <w:tc>
          <w:tcPr>
            <w:tcW w:w="1250" w:type="pct"/>
            <w:shd w:val="clear" w:color="auto" w:fill="auto"/>
            <w:noWrap/>
            <w:vAlign w:val="center"/>
          </w:tcPr>
          <w:p w14:paraId="55DB5536">
            <w:pPr>
              <w:pStyle w:val="23"/>
              <w:jc w:val="center"/>
              <w:rPr>
                <w:rFonts w:ascii="宋体" w:hAnsi="宋体"/>
                <w:kern w:val="0"/>
                <w:szCs w:val="21"/>
              </w:rPr>
            </w:pPr>
            <w:r>
              <w:rPr>
                <w:rFonts w:ascii="宋体" w:hAnsi="宋体"/>
                <w:kern w:val="0"/>
                <w:szCs w:val="21"/>
              </w:rPr>
              <w:t>23</w:t>
            </w:r>
          </w:p>
        </w:tc>
        <w:tc>
          <w:tcPr>
            <w:tcW w:w="1250" w:type="pct"/>
            <w:shd w:val="clear" w:color="auto" w:fill="auto"/>
            <w:noWrap/>
            <w:vAlign w:val="center"/>
          </w:tcPr>
          <w:p w14:paraId="680DE44C">
            <w:pPr>
              <w:pStyle w:val="23"/>
              <w:jc w:val="center"/>
              <w:rPr>
                <w:rFonts w:ascii="宋体" w:hAnsi="宋体"/>
                <w:kern w:val="0"/>
                <w:szCs w:val="21"/>
              </w:rPr>
            </w:pPr>
            <w:r>
              <w:rPr>
                <w:rFonts w:ascii="宋体" w:hAnsi="宋体"/>
                <w:kern w:val="0"/>
                <w:szCs w:val="21"/>
              </w:rPr>
              <w:t>11290</w:t>
            </w:r>
          </w:p>
        </w:tc>
      </w:tr>
      <w:tr w14:paraId="2CF1632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250" w:type="pct"/>
            <w:shd w:val="clear" w:color="auto" w:fill="auto"/>
            <w:noWrap/>
            <w:vAlign w:val="center"/>
          </w:tcPr>
          <w:p w14:paraId="5EB8FBD1">
            <w:pPr>
              <w:pStyle w:val="23"/>
              <w:jc w:val="center"/>
              <w:rPr>
                <w:rFonts w:ascii="宋体" w:hAnsi="宋体"/>
                <w:kern w:val="0"/>
                <w:szCs w:val="21"/>
              </w:rPr>
            </w:pPr>
            <w:r>
              <w:rPr>
                <w:rFonts w:ascii="宋体" w:hAnsi="宋体"/>
                <w:kern w:val="0"/>
                <w:szCs w:val="21"/>
              </w:rPr>
              <w:t>主田</w:t>
            </w:r>
          </w:p>
        </w:tc>
        <w:tc>
          <w:tcPr>
            <w:tcW w:w="1250" w:type="pct"/>
            <w:shd w:val="clear" w:color="auto" w:fill="auto"/>
            <w:noWrap/>
            <w:vAlign w:val="center"/>
          </w:tcPr>
          <w:p w14:paraId="085ED001">
            <w:pPr>
              <w:pStyle w:val="23"/>
              <w:jc w:val="center"/>
              <w:rPr>
                <w:rFonts w:ascii="宋体" w:hAnsi="宋体"/>
                <w:kern w:val="0"/>
                <w:szCs w:val="21"/>
              </w:rPr>
            </w:pPr>
            <w:r>
              <w:rPr>
                <w:rFonts w:ascii="宋体" w:hAnsi="宋体"/>
                <w:kern w:val="0"/>
                <w:szCs w:val="21"/>
              </w:rPr>
              <w:t>13550</w:t>
            </w:r>
          </w:p>
        </w:tc>
        <w:tc>
          <w:tcPr>
            <w:tcW w:w="1250" w:type="pct"/>
            <w:shd w:val="clear" w:color="auto" w:fill="auto"/>
            <w:noWrap/>
            <w:vAlign w:val="center"/>
          </w:tcPr>
          <w:p w14:paraId="6977DAEF">
            <w:pPr>
              <w:pStyle w:val="23"/>
              <w:jc w:val="center"/>
              <w:rPr>
                <w:rFonts w:ascii="宋体" w:hAnsi="宋体"/>
                <w:kern w:val="0"/>
                <w:szCs w:val="21"/>
              </w:rPr>
            </w:pPr>
            <w:r>
              <w:rPr>
                <w:rFonts w:ascii="宋体" w:hAnsi="宋体"/>
                <w:kern w:val="0"/>
                <w:szCs w:val="21"/>
              </w:rPr>
              <w:t>9</w:t>
            </w:r>
          </w:p>
        </w:tc>
        <w:tc>
          <w:tcPr>
            <w:tcW w:w="1250" w:type="pct"/>
            <w:shd w:val="clear" w:color="auto" w:fill="auto"/>
            <w:noWrap/>
            <w:vAlign w:val="center"/>
          </w:tcPr>
          <w:p w14:paraId="16CED446">
            <w:pPr>
              <w:pStyle w:val="23"/>
              <w:jc w:val="center"/>
              <w:rPr>
                <w:rFonts w:ascii="宋体" w:hAnsi="宋体"/>
                <w:kern w:val="0"/>
                <w:szCs w:val="21"/>
              </w:rPr>
            </w:pPr>
            <w:r>
              <w:rPr>
                <w:rFonts w:ascii="宋体" w:hAnsi="宋体"/>
                <w:kern w:val="0"/>
                <w:szCs w:val="21"/>
              </w:rPr>
              <w:t>3869</w:t>
            </w:r>
          </w:p>
        </w:tc>
      </w:tr>
      <w:tr w14:paraId="59F7147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250" w:type="pct"/>
            <w:shd w:val="clear" w:color="auto" w:fill="auto"/>
            <w:noWrap/>
            <w:vAlign w:val="center"/>
          </w:tcPr>
          <w:p w14:paraId="00C5BC6C">
            <w:pPr>
              <w:pStyle w:val="23"/>
              <w:jc w:val="center"/>
              <w:rPr>
                <w:rFonts w:ascii="宋体" w:hAnsi="宋体"/>
                <w:kern w:val="0"/>
                <w:szCs w:val="21"/>
              </w:rPr>
            </w:pPr>
            <w:r>
              <w:rPr>
                <w:rFonts w:ascii="宋体" w:hAnsi="宋体"/>
                <w:kern w:val="0"/>
                <w:szCs w:val="21"/>
              </w:rPr>
              <w:t>古市</w:t>
            </w:r>
          </w:p>
        </w:tc>
        <w:tc>
          <w:tcPr>
            <w:tcW w:w="1250" w:type="pct"/>
            <w:shd w:val="clear" w:color="auto" w:fill="auto"/>
            <w:noWrap/>
            <w:vAlign w:val="center"/>
          </w:tcPr>
          <w:p w14:paraId="102FB0F2">
            <w:pPr>
              <w:pStyle w:val="23"/>
              <w:jc w:val="center"/>
              <w:rPr>
                <w:rFonts w:ascii="宋体" w:hAnsi="宋体"/>
                <w:kern w:val="0"/>
                <w:szCs w:val="21"/>
              </w:rPr>
            </w:pPr>
            <w:r>
              <w:rPr>
                <w:rFonts w:ascii="宋体" w:hAnsi="宋体"/>
                <w:kern w:val="0"/>
                <w:szCs w:val="21"/>
              </w:rPr>
              <w:t>20087</w:t>
            </w:r>
          </w:p>
        </w:tc>
        <w:tc>
          <w:tcPr>
            <w:tcW w:w="1250" w:type="pct"/>
            <w:shd w:val="clear" w:color="auto" w:fill="auto"/>
            <w:noWrap/>
            <w:vAlign w:val="center"/>
          </w:tcPr>
          <w:p w14:paraId="7B45FCDA">
            <w:pPr>
              <w:pStyle w:val="23"/>
              <w:jc w:val="center"/>
              <w:rPr>
                <w:rFonts w:ascii="宋体" w:hAnsi="宋体"/>
                <w:kern w:val="0"/>
                <w:szCs w:val="21"/>
              </w:rPr>
            </w:pPr>
            <w:r>
              <w:rPr>
                <w:rFonts w:ascii="宋体" w:hAnsi="宋体"/>
                <w:kern w:val="0"/>
                <w:szCs w:val="21"/>
              </w:rPr>
              <w:t>9</w:t>
            </w:r>
          </w:p>
        </w:tc>
        <w:tc>
          <w:tcPr>
            <w:tcW w:w="1250" w:type="pct"/>
            <w:shd w:val="clear" w:color="auto" w:fill="auto"/>
            <w:noWrap/>
            <w:vAlign w:val="center"/>
          </w:tcPr>
          <w:p w14:paraId="1769EFC7">
            <w:pPr>
              <w:pStyle w:val="23"/>
              <w:jc w:val="center"/>
              <w:rPr>
                <w:rFonts w:ascii="宋体" w:hAnsi="宋体"/>
                <w:kern w:val="0"/>
                <w:szCs w:val="21"/>
              </w:rPr>
            </w:pPr>
            <w:r>
              <w:rPr>
                <w:rFonts w:ascii="宋体" w:hAnsi="宋体"/>
                <w:kern w:val="0"/>
                <w:szCs w:val="21"/>
              </w:rPr>
              <w:t>4425</w:t>
            </w:r>
          </w:p>
        </w:tc>
      </w:tr>
      <w:tr w14:paraId="7F2B026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250" w:type="pct"/>
            <w:shd w:val="clear" w:color="auto" w:fill="auto"/>
            <w:noWrap/>
            <w:vAlign w:val="center"/>
          </w:tcPr>
          <w:p w14:paraId="007E8856">
            <w:pPr>
              <w:pStyle w:val="23"/>
              <w:jc w:val="center"/>
              <w:rPr>
                <w:rFonts w:ascii="宋体" w:hAnsi="宋体"/>
                <w:kern w:val="0"/>
                <w:szCs w:val="21"/>
              </w:rPr>
            </w:pPr>
            <w:r>
              <w:rPr>
                <w:rFonts w:ascii="宋体" w:hAnsi="宋体"/>
                <w:kern w:val="0"/>
                <w:szCs w:val="21"/>
              </w:rPr>
              <w:t>全安</w:t>
            </w:r>
          </w:p>
        </w:tc>
        <w:tc>
          <w:tcPr>
            <w:tcW w:w="1250" w:type="pct"/>
            <w:shd w:val="clear" w:color="auto" w:fill="auto"/>
            <w:noWrap/>
            <w:vAlign w:val="center"/>
          </w:tcPr>
          <w:p w14:paraId="1E1C995E">
            <w:pPr>
              <w:pStyle w:val="23"/>
              <w:jc w:val="center"/>
              <w:rPr>
                <w:rFonts w:ascii="宋体" w:hAnsi="宋体"/>
                <w:kern w:val="0"/>
                <w:szCs w:val="21"/>
              </w:rPr>
            </w:pPr>
            <w:r>
              <w:rPr>
                <w:rFonts w:ascii="宋体" w:hAnsi="宋体"/>
                <w:kern w:val="0"/>
                <w:szCs w:val="21"/>
              </w:rPr>
              <w:t>26441</w:t>
            </w:r>
          </w:p>
        </w:tc>
        <w:tc>
          <w:tcPr>
            <w:tcW w:w="1250" w:type="pct"/>
            <w:shd w:val="clear" w:color="auto" w:fill="auto"/>
            <w:noWrap/>
            <w:vAlign w:val="center"/>
          </w:tcPr>
          <w:p w14:paraId="23B307A0">
            <w:pPr>
              <w:pStyle w:val="23"/>
              <w:jc w:val="center"/>
              <w:rPr>
                <w:rFonts w:ascii="宋体" w:hAnsi="宋体"/>
                <w:kern w:val="0"/>
                <w:szCs w:val="21"/>
              </w:rPr>
            </w:pPr>
            <w:r>
              <w:rPr>
                <w:rFonts w:ascii="宋体" w:hAnsi="宋体"/>
                <w:kern w:val="0"/>
                <w:szCs w:val="21"/>
              </w:rPr>
              <w:t>14</w:t>
            </w:r>
          </w:p>
        </w:tc>
        <w:tc>
          <w:tcPr>
            <w:tcW w:w="1250" w:type="pct"/>
            <w:shd w:val="clear" w:color="auto" w:fill="auto"/>
            <w:noWrap/>
            <w:vAlign w:val="center"/>
          </w:tcPr>
          <w:p w14:paraId="16413EF3">
            <w:pPr>
              <w:pStyle w:val="23"/>
              <w:jc w:val="center"/>
              <w:rPr>
                <w:rFonts w:ascii="宋体" w:hAnsi="宋体"/>
                <w:kern w:val="0"/>
                <w:szCs w:val="21"/>
              </w:rPr>
            </w:pPr>
            <w:r>
              <w:rPr>
                <w:rFonts w:ascii="宋体" w:hAnsi="宋体"/>
                <w:kern w:val="0"/>
                <w:szCs w:val="21"/>
              </w:rPr>
              <w:t>7725</w:t>
            </w:r>
          </w:p>
        </w:tc>
      </w:tr>
      <w:tr w14:paraId="04D5975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250" w:type="pct"/>
            <w:shd w:val="clear" w:color="auto" w:fill="auto"/>
            <w:noWrap/>
            <w:vAlign w:val="center"/>
          </w:tcPr>
          <w:p w14:paraId="5ECCF6FA">
            <w:pPr>
              <w:pStyle w:val="23"/>
              <w:jc w:val="center"/>
              <w:rPr>
                <w:rFonts w:ascii="宋体" w:hAnsi="宋体"/>
                <w:kern w:val="0"/>
                <w:szCs w:val="21"/>
              </w:rPr>
            </w:pPr>
            <w:r>
              <w:rPr>
                <w:rFonts w:ascii="宋体" w:hAnsi="宋体"/>
                <w:kern w:val="0"/>
                <w:szCs w:val="21"/>
              </w:rPr>
              <w:t>百顺</w:t>
            </w:r>
          </w:p>
        </w:tc>
        <w:tc>
          <w:tcPr>
            <w:tcW w:w="1250" w:type="pct"/>
            <w:shd w:val="clear" w:color="auto" w:fill="auto"/>
            <w:noWrap/>
            <w:vAlign w:val="center"/>
          </w:tcPr>
          <w:p w14:paraId="77A8FD47">
            <w:pPr>
              <w:pStyle w:val="23"/>
              <w:jc w:val="center"/>
              <w:rPr>
                <w:rFonts w:ascii="宋体" w:hAnsi="宋体"/>
                <w:kern w:val="0"/>
                <w:szCs w:val="21"/>
              </w:rPr>
            </w:pPr>
            <w:r>
              <w:rPr>
                <w:rFonts w:ascii="宋体" w:hAnsi="宋体"/>
                <w:kern w:val="0"/>
                <w:szCs w:val="21"/>
              </w:rPr>
              <w:t>12686</w:t>
            </w:r>
          </w:p>
        </w:tc>
        <w:tc>
          <w:tcPr>
            <w:tcW w:w="1250" w:type="pct"/>
            <w:shd w:val="clear" w:color="auto" w:fill="auto"/>
            <w:noWrap/>
            <w:vAlign w:val="center"/>
          </w:tcPr>
          <w:p w14:paraId="0B0D9C09">
            <w:pPr>
              <w:pStyle w:val="23"/>
              <w:jc w:val="center"/>
              <w:rPr>
                <w:rFonts w:ascii="宋体" w:hAnsi="宋体"/>
                <w:kern w:val="0"/>
                <w:szCs w:val="21"/>
              </w:rPr>
            </w:pPr>
            <w:r>
              <w:rPr>
                <w:rFonts w:ascii="宋体" w:hAnsi="宋体"/>
                <w:kern w:val="0"/>
                <w:szCs w:val="21"/>
              </w:rPr>
              <w:t>10</w:t>
            </w:r>
          </w:p>
        </w:tc>
        <w:tc>
          <w:tcPr>
            <w:tcW w:w="1250" w:type="pct"/>
            <w:shd w:val="clear" w:color="auto" w:fill="auto"/>
            <w:noWrap/>
            <w:vAlign w:val="center"/>
          </w:tcPr>
          <w:p w14:paraId="5A83EED5">
            <w:pPr>
              <w:pStyle w:val="23"/>
              <w:jc w:val="center"/>
              <w:rPr>
                <w:rFonts w:ascii="宋体" w:hAnsi="宋体"/>
                <w:kern w:val="0"/>
                <w:szCs w:val="21"/>
              </w:rPr>
            </w:pPr>
            <w:r>
              <w:rPr>
                <w:rFonts w:ascii="宋体" w:hAnsi="宋体"/>
                <w:kern w:val="0"/>
                <w:szCs w:val="21"/>
              </w:rPr>
              <w:t>3407</w:t>
            </w:r>
          </w:p>
        </w:tc>
      </w:tr>
      <w:tr w14:paraId="11DF59A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250" w:type="pct"/>
            <w:shd w:val="clear" w:color="auto" w:fill="auto"/>
            <w:noWrap/>
            <w:vAlign w:val="center"/>
          </w:tcPr>
          <w:p w14:paraId="101A00F2">
            <w:pPr>
              <w:pStyle w:val="23"/>
              <w:jc w:val="center"/>
              <w:rPr>
                <w:rFonts w:ascii="宋体" w:hAnsi="宋体"/>
                <w:kern w:val="0"/>
                <w:szCs w:val="21"/>
              </w:rPr>
            </w:pPr>
            <w:r>
              <w:rPr>
                <w:rFonts w:ascii="宋体" w:hAnsi="宋体"/>
                <w:kern w:val="0"/>
                <w:szCs w:val="21"/>
              </w:rPr>
              <w:t>澜河</w:t>
            </w:r>
          </w:p>
        </w:tc>
        <w:tc>
          <w:tcPr>
            <w:tcW w:w="1250" w:type="pct"/>
            <w:shd w:val="clear" w:color="auto" w:fill="auto"/>
            <w:noWrap/>
            <w:vAlign w:val="center"/>
          </w:tcPr>
          <w:p w14:paraId="4B8F45A0">
            <w:pPr>
              <w:pStyle w:val="23"/>
              <w:jc w:val="center"/>
              <w:rPr>
                <w:rFonts w:ascii="宋体" w:hAnsi="宋体"/>
                <w:kern w:val="0"/>
                <w:szCs w:val="21"/>
              </w:rPr>
            </w:pPr>
            <w:r>
              <w:rPr>
                <w:rFonts w:ascii="宋体" w:hAnsi="宋体"/>
                <w:kern w:val="0"/>
                <w:szCs w:val="21"/>
              </w:rPr>
              <w:t>10032</w:t>
            </w:r>
          </w:p>
        </w:tc>
        <w:tc>
          <w:tcPr>
            <w:tcW w:w="1250" w:type="pct"/>
            <w:shd w:val="clear" w:color="auto" w:fill="auto"/>
            <w:noWrap/>
            <w:vAlign w:val="center"/>
          </w:tcPr>
          <w:p w14:paraId="59DA56C4">
            <w:pPr>
              <w:pStyle w:val="23"/>
              <w:jc w:val="center"/>
              <w:rPr>
                <w:rFonts w:ascii="宋体" w:hAnsi="宋体"/>
                <w:kern w:val="0"/>
                <w:szCs w:val="21"/>
              </w:rPr>
            </w:pPr>
            <w:r>
              <w:rPr>
                <w:rFonts w:ascii="宋体" w:hAnsi="宋体"/>
                <w:kern w:val="0"/>
                <w:szCs w:val="21"/>
              </w:rPr>
              <w:t>7</w:t>
            </w:r>
          </w:p>
        </w:tc>
        <w:tc>
          <w:tcPr>
            <w:tcW w:w="1250" w:type="pct"/>
            <w:shd w:val="clear" w:color="auto" w:fill="auto"/>
            <w:noWrap/>
            <w:vAlign w:val="center"/>
          </w:tcPr>
          <w:p w14:paraId="2F0E11AC">
            <w:pPr>
              <w:pStyle w:val="23"/>
              <w:jc w:val="center"/>
              <w:rPr>
                <w:rFonts w:ascii="宋体" w:hAnsi="宋体"/>
                <w:kern w:val="0"/>
                <w:szCs w:val="21"/>
              </w:rPr>
            </w:pPr>
            <w:r>
              <w:rPr>
                <w:rFonts w:ascii="宋体" w:hAnsi="宋体"/>
                <w:kern w:val="0"/>
                <w:szCs w:val="21"/>
              </w:rPr>
              <w:t>2415</w:t>
            </w:r>
          </w:p>
        </w:tc>
      </w:tr>
      <w:tr w14:paraId="2E33A33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250" w:type="pct"/>
            <w:shd w:val="clear" w:color="auto" w:fill="auto"/>
            <w:noWrap/>
            <w:vAlign w:val="center"/>
          </w:tcPr>
          <w:p w14:paraId="3B00F8D3">
            <w:pPr>
              <w:pStyle w:val="23"/>
              <w:jc w:val="center"/>
              <w:rPr>
                <w:rFonts w:ascii="宋体" w:hAnsi="宋体"/>
                <w:kern w:val="0"/>
                <w:szCs w:val="21"/>
              </w:rPr>
            </w:pPr>
            <w:r>
              <w:rPr>
                <w:rFonts w:ascii="宋体" w:hAnsi="宋体"/>
                <w:kern w:val="0"/>
                <w:szCs w:val="21"/>
              </w:rPr>
              <w:t>帽子峰</w:t>
            </w:r>
          </w:p>
        </w:tc>
        <w:tc>
          <w:tcPr>
            <w:tcW w:w="1250" w:type="pct"/>
            <w:shd w:val="clear" w:color="auto" w:fill="auto"/>
            <w:noWrap/>
            <w:vAlign w:val="center"/>
          </w:tcPr>
          <w:p w14:paraId="11A72046">
            <w:pPr>
              <w:pStyle w:val="23"/>
              <w:jc w:val="center"/>
              <w:rPr>
                <w:rFonts w:ascii="宋体" w:hAnsi="宋体"/>
                <w:kern w:val="0"/>
                <w:szCs w:val="21"/>
              </w:rPr>
            </w:pPr>
            <w:r>
              <w:rPr>
                <w:rFonts w:ascii="宋体" w:hAnsi="宋体"/>
                <w:kern w:val="0"/>
                <w:szCs w:val="21"/>
              </w:rPr>
              <w:t>9199</w:t>
            </w:r>
          </w:p>
        </w:tc>
        <w:tc>
          <w:tcPr>
            <w:tcW w:w="1250" w:type="pct"/>
            <w:shd w:val="clear" w:color="auto" w:fill="auto"/>
            <w:noWrap/>
            <w:vAlign w:val="center"/>
          </w:tcPr>
          <w:p w14:paraId="507C9572">
            <w:pPr>
              <w:pStyle w:val="23"/>
              <w:jc w:val="center"/>
              <w:rPr>
                <w:rFonts w:ascii="宋体" w:hAnsi="宋体"/>
                <w:kern w:val="0"/>
                <w:szCs w:val="21"/>
              </w:rPr>
            </w:pPr>
            <w:r>
              <w:rPr>
                <w:rFonts w:ascii="宋体" w:hAnsi="宋体"/>
                <w:kern w:val="0"/>
                <w:szCs w:val="21"/>
              </w:rPr>
              <w:t>6</w:t>
            </w:r>
          </w:p>
        </w:tc>
        <w:tc>
          <w:tcPr>
            <w:tcW w:w="1250" w:type="pct"/>
            <w:shd w:val="clear" w:color="auto" w:fill="auto"/>
            <w:noWrap/>
            <w:vAlign w:val="center"/>
          </w:tcPr>
          <w:p w14:paraId="06F0D7EB">
            <w:pPr>
              <w:pStyle w:val="23"/>
              <w:jc w:val="center"/>
              <w:rPr>
                <w:rFonts w:ascii="宋体" w:hAnsi="宋体"/>
                <w:kern w:val="0"/>
                <w:szCs w:val="21"/>
              </w:rPr>
            </w:pPr>
            <w:r>
              <w:rPr>
                <w:rFonts w:ascii="宋体" w:hAnsi="宋体"/>
                <w:kern w:val="0"/>
                <w:szCs w:val="21"/>
              </w:rPr>
              <w:t>2572</w:t>
            </w:r>
          </w:p>
        </w:tc>
      </w:tr>
      <w:tr w14:paraId="03F4C7C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250" w:type="pct"/>
            <w:shd w:val="clear" w:color="auto" w:fill="auto"/>
            <w:noWrap/>
            <w:vAlign w:val="center"/>
          </w:tcPr>
          <w:p w14:paraId="549274B6">
            <w:pPr>
              <w:pStyle w:val="23"/>
              <w:jc w:val="center"/>
              <w:rPr>
                <w:rFonts w:ascii="宋体" w:hAnsi="宋体"/>
                <w:kern w:val="0"/>
                <w:szCs w:val="21"/>
              </w:rPr>
            </w:pPr>
            <w:r>
              <w:rPr>
                <w:rFonts w:ascii="宋体" w:hAnsi="宋体"/>
                <w:kern w:val="0"/>
                <w:szCs w:val="21"/>
              </w:rPr>
              <w:t>雄州街道</w:t>
            </w:r>
          </w:p>
        </w:tc>
        <w:tc>
          <w:tcPr>
            <w:tcW w:w="1250" w:type="pct"/>
            <w:shd w:val="clear" w:color="auto" w:fill="auto"/>
            <w:noWrap/>
            <w:vAlign w:val="center"/>
          </w:tcPr>
          <w:p w14:paraId="2567E309">
            <w:pPr>
              <w:pStyle w:val="23"/>
              <w:jc w:val="center"/>
              <w:rPr>
                <w:rFonts w:ascii="宋体" w:hAnsi="宋体"/>
                <w:kern w:val="0"/>
                <w:szCs w:val="21"/>
              </w:rPr>
            </w:pPr>
            <w:r>
              <w:rPr>
                <w:rFonts w:ascii="宋体" w:hAnsi="宋体"/>
                <w:kern w:val="0"/>
                <w:szCs w:val="21"/>
              </w:rPr>
              <w:t>93434</w:t>
            </w:r>
          </w:p>
        </w:tc>
        <w:tc>
          <w:tcPr>
            <w:tcW w:w="1250" w:type="pct"/>
            <w:shd w:val="clear" w:color="auto" w:fill="auto"/>
            <w:noWrap/>
            <w:vAlign w:val="center"/>
          </w:tcPr>
          <w:p w14:paraId="74E95AE5">
            <w:pPr>
              <w:pStyle w:val="23"/>
              <w:jc w:val="center"/>
              <w:rPr>
                <w:rFonts w:ascii="宋体" w:hAnsi="宋体"/>
                <w:kern w:val="0"/>
                <w:szCs w:val="21"/>
              </w:rPr>
            </w:pPr>
            <w:r>
              <w:rPr>
                <w:rFonts w:ascii="宋体" w:hAnsi="宋体"/>
                <w:kern w:val="0"/>
                <w:szCs w:val="21"/>
              </w:rPr>
              <w:t>20</w:t>
            </w:r>
          </w:p>
        </w:tc>
        <w:tc>
          <w:tcPr>
            <w:tcW w:w="1250" w:type="pct"/>
            <w:shd w:val="clear" w:color="auto" w:fill="auto"/>
            <w:noWrap/>
            <w:vAlign w:val="center"/>
          </w:tcPr>
          <w:p w14:paraId="6212F5FF">
            <w:pPr>
              <w:pStyle w:val="23"/>
              <w:jc w:val="center"/>
              <w:rPr>
                <w:rFonts w:ascii="宋体" w:hAnsi="宋体"/>
                <w:kern w:val="0"/>
                <w:szCs w:val="21"/>
              </w:rPr>
            </w:pPr>
            <w:r>
              <w:rPr>
                <w:rFonts w:ascii="宋体" w:hAnsi="宋体"/>
                <w:kern w:val="0"/>
                <w:szCs w:val="21"/>
              </w:rPr>
              <w:t>34500</w:t>
            </w:r>
          </w:p>
        </w:tc>
      </w:tr>
    </w:tbl>
    <w:p w14:paraId="00400CE1">
      <w:pPr>
        <w:ind w:firstLine="0" w:firstLineChars="0"/>
        <w:jc w:val="center"/>
        <w:rPr>
          <w:rFonts w:ascii="宋体" w:hAnsi="宋体"/>
          <w:b/>
          <w:szCs w:val="21"/>
        </w:rPr>
      </w:pPr>
      <w:r>
        <w:rPr>
          <w:rFonts w:hint="eastAsia" w:ascii="宋体" w:hAnsi="宋体"/>
          <w:b/>
          <w:szCs w:val="21"/>
        </w:rPr>
        <w:t>表50 分镇主要经济指标（一）</w:t>
      </w:r>
    </w:p>
    <w:tbl>
      <w:tblPr>
        <w:tblStyle w:val="14"/>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30" w:type="dxa"/>
          <w:bottom w:w="0" w:type="dxa"/>
          <w:right w:w="30" w:type="dxa"/>
        </w:tblCellMar>
      </w:tblPr>
      <w:tblGrid>
        <w:gridCol w:w="3267"/>
        <w:gridCol w:w="3271"/>
        <w:gridCol w:w="3268"/>
      </w:tblGrid>
      <w:tr w14:paraId="7AC448E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666" w:type="pct"/>
            <w:vAlign w:val="center"/>
          </w:tcPr>
          <w:p w14:paraId="014FF7F9">
            <w:pPr>
              <w:pStyle w:val="23"/>
              <w:jc w:val="center"/>
              <w:rPr>
                <w:rFonts w:ascii="宋体" w:hAnsi="宋体"/>
                <w:b/>
                <w:kern w:val="0"/>
                <w:szCs w:val="21"/>
              </w:rPr>
            </w:pPr>
            <w:r>
              <w:rPr>
                <w:rFonts w:ascii="宋体" w:hAnsi="宋体"/>
                <w:b/>
                <w:kern w:val="0"/>
                <w:szCs w:val="21"/>
              </w:rPr>
              <w:t>单位名称</w:t>
            </w:r>
          </w:p>
        </w:tc>
        <w:tc>
          <w:tcPr>
            <w:tcW w:w="1668" w:type="pct"/>
            <w:vAlign w:val="center"/>
          </w:tcPr>
          <w:p w14:paraId="6FF294BA">
            <w:pPr>
              <w:pStyle w:val="23"/>
              <w:jc w:val="center"/>
              <w:rPr>
                <w:rFonts w:ascii="宋体" w:hAnsi="宋体"/>
                <w:b/>
                <w:kern w:val="0"/>
                <w:szCs w:val="21"/>
              </w:rPr>
            </w:pPr>
            <w:r>
              <w:rPr>
                <w:rFonts w:ascii="宋体" w:hAnsi="宋体"/>
                <w:b/>
                <w:kern w:val="0"/>
                <w:szCs w:val="21"/>
              </w:rPr>
              <w:t>经济总收入(万元)</w:t>
            </w:r>
          </w:p>
        </w:tc>
        <w:tc>
          <w:tcPr>
            <w:tcW w:w="1666" w:type="pct"/>
            <w:vAlign w:val="center"/>
          </w:tcPr>
          <w:p w14:paraId="00F37788">
            <w:pPr>
              <w:pStyle w:val="23"/>
              <w:jc w:val="center"/>
              <w:rPr>
                <w:rFonts w:ascii="宋体" w:hAnsi="宋体"/>
                <w:b/>
                <w:kern w:val="0"/>
                <w:szCs w:val="21"/>
              </w:rPr>
            </w:pPr>
            <w:r>
              <w:rPr>
                <w:rFonts w:ascii="宋体" w:hAnsi="宋体"/>
                <w:b/>
                <w:kern w:val="0"/>
                <w:szCs w:val="21"/>
              </w:rPr>
              <w:t>耕地面积(亩)</w:t>
            </w:r>
          </w:p>
        </w:tc>
      </w:tr>
      <w:tr w14:paraId="0F65441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666" w:type="pct"/>
            <w:vAlign w:val="center"/>
          </w:tcPr>
          <w:p w14:paraId="4210E9A9">
            <w:pPr>
              <w:pStyle w:val="23"/>
              <w:jc w:val="center"/>
              <w:rPr>
                <w:rFonts w:ascii="宋体" w:hAnsi="宋体"/>
                <w:kern w:val="0"/>
                <w:szCs w:val="21"/>
              </w:rPr>
            </w:pPr>
            <w:r>
              <w:rPr>
                <w:rFonts w:ascii="宋体" w:hAnsi="宋体"/>
                <w:kern w:val="0"/>
                <w:szCs w:val="21"/>
              </w:rPr>
              <w:t>合计</w:t>
            </w:r>
          </w:p>
        </w:tc>
        <w:tc>
          <w:tcPr>
            <w:tcW w:w="1668" w:type="pct"/>
            <w:vAlign w:val="center"/>
          </w:tcPr>
          <w:p w14:paraId="2DBE5EBD">
            <w:pPr>
              <w:pStyle w:val="23"/>
              <w:jc w:val="center"/>
              <w:rPr>
                <w:rFonts w:ascii="宋体" w:hAnsi="宋体"/>
                <w:kern w:val="0"/>
                <w:szCs w:val="21"/>
              </w:rPr>
            </w:pPr>
            <w:r>
              <w:rPr>
                <w:rFonts w:ascii="宋体" w:hAnsi="宋体"/>
                <w:kern w:val="0"/>
                <w:szCs w:val="21"/>
              </w:rPr>
              <w:t>511181</w:t>
            </w:r>
          </w:p>
        </w:tc>
        <w:tc>
          <w:tcPr>
            <w:tcW w:w="1666" w:type="pct"/>
            <w:vAlign w:val="center"/>
          </w:tcPr>
          <w:p w14:paraId="35440615">
            <w:pPr>
              <w:pStyle w:val="23"/>
              <w:jc w:val="center"/>
              <w:rPr>
                <w:rFonts w:ascii="宋体" w:hAnsi="宋体"/>
                <w:kern w:val="0"/>
                <w:szCs w:val="21"/>
              </w:rPr>
            </w:pPr>
            <w:r>
              <w:rPr>
                <w:rFonts w:ascii="宋体" w:hAnsi="宋体"/>
                <w:kern w:val="0"/>
                <w:szCs w:val="21"/>
              </w:rPr>
              <w:t>456097</w:t>
            </w:r>
          </w:p>
        </w:tc>
      </w:tr>
      <w:tr w14:paraId="5781B08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666" w:type="pct"/>
            <w:vAlign w:val="center"/>
          </w:tcPr>
          <w:p w14:paraId="40A7B538">
            <w:pPr>
              <w:pStyle w:val="23"/>
              <w:jc w:val="center"/>
              <w:rPr>
                <w:rFonts w:ascii="宋体" w:hAnsi="宋体"/>
                <w:kern w:val="0"/>
                <w:szCs w:val="21"/>
              </w:rPr>
            </w:pPr>
            <w:r>
              <w:rPr>
                <w:rFonts w:ascii="宋体" w:hAnsi="宋体"/>
                <w:kern w:val="0"/>
                <w:szCs w:val="21"/>
              </w:rPr>
              <w:t>乌迳</w:t>
            </w:r>
          </w:p>
        </w:tc>
        <w:tc>
          <w:tcPr>
            <w:tcW w:w="1668" w:type="pct"/>
            <w:vAlign w:val="center"/>
          </w:tcPr>
          <w:p w14:paraId="47AF6A98">
            <w:pPr>
              <w:pStyle w:val="23"/>
              <w:jc w:val="center"/>
              <w:rPr>
                <w:rFonts w:ascii="宋体" w:hAnsi="宋体"/>
                <w:kern w:val="0"/>
                <w:szCs w:val="21"/>
              </w:rPr>
            </w:pPr>
            <w:r>
              <w:rPr>
                <w:rFonts w:ascii="宋体" w:hAnsi="宋体"/>
                <w:kern w:val="0"/>
                <w:szCs w:val="21"/>
              </w:rPr>
              <w:t>50830</w:t>
            </w:r>
          </w:p>
        </w:tc>
        <w:tc>
          <w:tcPr>
            <w:tcW w:w="1666" w:type="pct"/>
            <w:vAlign w:val="center"/>
          </w:tcPr>
          <w:p w14:paraId="1DF55DAA">
            <w:pPr>
              <w:pStyle w:val="23"/>
              <w:jc w:val="center"/>
              <w:rPr>
                <w:rFonts w:ascii="宋体" w:hAnsi="宋体"/>
                <w:kern w:val="0"/>
                <w:szCs w:val="21"/>
              </w:rPr>
            </w:pPr>
            <w:r>
              <w:rPr>
                <w:rFonts w:ascii="宋体" w:hAnsi="宋体"/>
                <w:kern w:val="0"/>
                <w:szCs w:val="21"/>
              </w:rPr>
              <w:t>48335</w:t>
            </w:r>
          </w:p>
        </w:tc>
      </w:tr>
      <w:tr w14:paraId="3F4483E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666" w:type="pct"/>
            <w:vAlign w:val="center"/>
          </w:tcPr>
          <w:p w14:paraId="42316157">
            <w:pPr>
              <w:pStyle w:val="23"/>
              <w:jc w:val="center"/>
              <w:rPr>
                <w:rFonts w:ascii="宋体" w:hAnsi="宋体"/>
                <w:kern w:val="0"/>
                <w:szCs w:val="21"/>
              </w:rPr>
            </w:pPr>
            <w:r>
              <w:rPr>
                <w:rFonts w:ascii="宋体" w:hAnsi="宋体"/>
                <w:kern w:val="0"/>
                <w:szCs w:val="21"/>
              </w:rPr>
              <w:t>界址</w:t>
            </w:r>
          </w:p>
        </w:tc>
        <w:tc>
          <w:tcPr>
            <w:tcW w:w="1668" w:type="pct"/>
            <w:vAlign w:val="center"/>
          </w:tcPr>
          <w:p w14:paraId="6EAE62D8">
            <w:pPr>
              <w:pStyle w:val="23"/>
              <w:jc w:val="center"/>
              <w:rPr>
                <w:rFonts w:ascii="宋体" w:hAnsi="宋体"/>
                <w:kern w:val="0"/>
                <w:szCs w:val="21"/>
              </w:rPr>
            </w:pPr>
            <w:r>
              <w:rPr>
                <w:rFonts w:ascii="宋体" w:hAnsi="宋体"/>
                <w:kern w:val="0"/>
                <w:szCs w:val="21"/>
              </w:rPr>
              <w:t>11285</w:t>
            </w:r>
          </w:p>
        </w:tc>
        <w:tc>
          <w:tcPr>
            <w:tcW w:w="1666" w:type="pct"/>
            <w:vAlign w:val="center"/>
          </w:tcPr>
          <w:p w14:paraId="0D1F393B">
            <w:pPr>
              <w:pStyle w:val="23"/>
              <w:jc w:val="center"/>
              <w:rPr>
                <w:rFonts w:ascii="宋体" w:hAnsi="宋体"/>
                <w:kern w:val="0"/>
                <w:szCs w:val="21"/>
              </w:rPr>
            </w:pPr>
            <w:r>
              <w:rPr>
                <w:rFonts w:ascii="宋体" w:hAnsi="宋体"/>
                <w:kern w:val="0"/>
                <w:szCs w:val="21"/>
              </w:rPr>
              <w:t>16200</w:t>
            </w:r>
          </w:p>
        </w:tc>
      </w:tr>
      <w:tr w14:paraId="22736A6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666" w:type="pct"/>
            <w:vAlign w:val="center"/>
          </w:tcPr>
          <w:p w14:paraId="36F595AE">
            <w:pPr>
              <w:pStyle w:val="23"/>
              <w:jc w:val="center"/>
              <w:rPr>
                <w:rFonts w:ascii="宋体" w:hAnsi="宋体"/>
                <w:kern w:val="0"/>
                <w:szCs w:val="21"/>
              </w:rPr>
            </w:pPr>
            <w:r>
              <w:rPr>
                <w:rFonts w:ascii="宋体" w:hAnsi="宋体"/>
                <w:kern w:val="0"/>
                <w:szCs w:val="21"/>
              </w:rPr>
              <w:t>坪田</w:t>
            </w:r>
          </w:p>
        </w:tc>
        <w:tc>
          <w:tcPr>
            <w:tcW w:w="1668" w:type="pct"/>
            <w:vAlign w:val="center"/>
          </w:tcPr>
          <w:p w14:paraId="0CC0348E">
            <w:pPr>
              <w:pStyle w:val="23"/>
              <w:jc w:val="center"/>
              <w:rPr>
                <w:rFonts w:ascii="宋体" w:hAnsi="宋体"/>
                <w:kern w:val="0"/>
                <w:szCs w:val="21"/>
              </w:rPr>
            </w:pPr>
            <w:r>
              <w:rPr>
                <w:rFonts w:ascii="宋体" w:hAnsi="宋体"/>
                <w:kern w:val="0"/>
                <w:szCs w:val="21"/>
              </w:rPr>
              <w:t>20045</w:t>
            </w:r>
          </w:p>
        </w:tc>
        <w:tc>
          <w:tcPr>
            <w:tcW w:w="1666" w:type="pct"/>
            <w:vAlign w:val="center"/>
          </w:tcPr>
          <w:p w14:paraId="0C9D7DE2">
            <w:pPr>
              <w:pStyle w:val="23"/>
              <w:jc w:val="center"/>
              <w:rPr>
                <w:rFonts w:ascii="宋体" w:hAnsi="宋体"/>
                <w:kern w:val="0"/>
                <w:szCs w:val="21"/>
              </w:rPr>
            </w:pPr>
            <w:r>
              <w:rPr>
                <w:rFonts w:ascii="宋体" w:hAnsi="宋体"/>
                <w:kern w:val="0"/>
                <w:szCs w:val="21"/>
              </w:rPr>
              <w:t>26673</w:t>
            </w:r>
          </w:p>
        </w:tc>
      </w:tr>
      <w:tr w14:paraId="5F95AB7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666" w:type="pct"/>
            <w:vAlign w:val="center"/>
          </w:tcPr>
          <w:p w14:paraId="2141E39F">
            <w:pPr>
              <w:pStyle w:val="23"/>
              <w:jc w:val="center"/>
              <w:rPr>
                <w:rFonts w:ascii="宋体" w:hAnsi="宋体"/>
                <w:kern w:val="0"/>
                <w:szCs w:val="21"/>
              </w:rPr>
            </w:pPr>
            <w:r>
              <w:rPr>
                <w:rFonts w:ascii="宋体" w:hAnsi="宋体"/>
                <w:kern w:val="0"/>
                <w:szCs w:val="21"/>
              </w:rPr>
              <w:t>黄坑</w:t>
            </w:r>
          </w:p>
        </w:tc>
        <w:tc>
          <w:tcPr>
            <w:tcW w:w="1668" w:type="pct"/>
            <w:vAlign w:val="center"/>
          </w:tcPr>
          <w:p w14:paraId="20BD5816">
            <w:pPr>
              <w:pStyle w:val="23"/>
              <w:jc w:val="center"/>
              <w:rPr>
                <w:rFonts w:ascii="宋体" w:hAnsi="宋体"/>
                <w:kern w:val="0"/>
                <w:szCs w:val="21"/>
              </w:rPr>
            </w:pPr>
            <w:r>
              <w:rPr>
                <w:rFonts w:ascii="宋体" w:hAnsi="宋体"/>
                <w:kern w:val="0"/>
                <w:szCs w:val="21"/>
              </w:rPr>
              <w:t>41633</w:t>
            </w:r>
          </w:p>
        </w:tc>
        <w:tc>
          <w:tcPr>
            <w:tcW w:w="1666" w:type="pct"/>
            <w:vAlign w:val="center"/>
          </w:tcPr>
          <w:p w14:paraId="66C80099">
            <w:pPr>
              <w:pStyle w:val="23"/>
              <w:jc w:val="center"/>
              <w:rPr>
                <w:rFonts w:ascii="宋体" w:hAnsi="宋体"/>
                <w:kern w:val="0"/>
                <w:szCs w:val="21"/>
              </w:rPr>
            </w:pPr>
            <w:r>
              <w:rPr>
                <w:rFonts w:ascii="宋体" w:hAnsi="宋体"/>
                <w:kern w:val="0"/>
                <w:szCs w:val="21"/>
              </w:rPr>
              <w:t>28476</w:t>
            </w:r>
          </w:p>
        </w:tc>
      </w:tr>
      <w:tr w14:paraId="510F7F1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666" w:type="pct"/>
            <w:vAlign w:val="center"/>
          </w:tcPr>
          <w:p w14:paraId="401B0835">
            <w:pPr>
              <w:pStyle w:val="23"/>
              <w:jc w:val="center"/>
              <w:rPr>
                <w:rFonts w:ascii="宋体" w:hAnsi="宋体"/>
                <w:kern w:val="0"/>
                <w:szCs w:val="21"/>
              </w:rPr>
            </w:pPr>
            <w:r>
              <w:rPr>
                <w:rFonts w:ascii="宋体" w:hAnsi="宋体"/>
                <w:kern w:val="0"/>
                <w:szCs w:val="21"/>
              </w:rPr>
              <w:t>邓坊</w:t>
            </w:r>
          </w:p>
        </w:tc>
        <w:tc>
          <w:tcPr>
            <w:tcW w:w="1668" w:type="pct"/>
            <w:vAlign w:val="center"/>
          </w:tcPr>
          <w:p w14:paraId="0B5273CE">
            <w:pPr>
              <w:pStyle w:val="23"/>
              <w:jc w:val="center"/>
              <w:rPr>
                <w:rFonts w:ascii="宋体" w:hAnsi="宋体"/>
                <w:kern w:val="0"/>
                <w:szCs w:val="21"/>
              </w:rPr>
            </w:pPr>
            <w:r>
              <w:rPr>
                <w:rFonts w:ascii="宋体" w:hAnsi="宋体"/>
                <w:kern w:val="0"/>
                <w:szCs w:val="21"/>
              </w:rPr>
              <w:t>22328</w:t>
            </w:r>
          </w:p>
        </w:tc>
        <w:tc>
          <w:tcPr>
            <w:tcW w:w="1666" w:type="pct"/>
            <w:vAlign w:val="center"/>
          </w:tcPr>
          <w:p w14:paraId="099C0AD1">
            <w:pPr>
              <w:pStyle w:val="23"/>
              <w:jc w:val="center"/>
              <w:rPr>
                <w:rFonts w:ascii="宋体" w:hAnsi="宋体"/>
                <w:kern w:val="0"/>
                <w:szCs w:val="21"/>
              </w:rPr>
            </w:pPr>
            <w:r>
              <w:rPr>
                <w:rFonts w:ascii="宋体" w:hAnsi="宋体"/>
                <w:kern w:val="0"/>
                <w:szCs w:val="21"/>
              </w:rPr>
              <w:t>18604</w:t>
            </w:r>
          </w:p>
        </w:tc>
      </w:tr>
      <w:tr w14:paraId="6C6740D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666" w:type="pct"/>
            <w:vAlign w:val="center"/>
          </w:tcPr>
          <w:p w14:paraId="678CB612">
            <w:pPr>
              <w:pStyle w:val="23"/>
              <w:jc w:val="center"/>
              <w:rPr>
                <w:rFonts w:ascii="宋体" w:hAnsi="宋体"/>
                <w:kern w:val="0"/>
                <w:szCs w:val="21"/>
              </w:rPr>
            </w:pPr>
            <w:r>
              <w:rPr>
                <w:rFonts w:ascii="宋体" w:hAnsi="宋体"/>
                <w:kern w:val="0"/>
                <w:szCs w:val="21"/>
              </w:rPr>
              <w:t>油山</w:t>
            </w:r>
          </w:p>
        </w:tc>
        <w:tc>
          <w:tcPr>
            <w:tcW w:w="1668" w:type="pct"/>
            <w:vAlign w:val="center"/>
          </w:tcPr>
          <w:p w14:paraId="5BB74330">
            <w:pPr>
              <w:pStyle w:val="23"/>
              <w:jc w:val="center"/>
              <w:rPr>
                <w:rFonts w:ascii="宋体" w:hAnsi="宋体"/>
                <w:kern w:val="0"/>
                <w:szCs w:val="21"/>
              </w:rPr>
            </w:pPr>
            <w:r>
              <w:rPr>
                <w:rFonts w:ascii="宋体" w:hAnsi="宋体"/>
                <w:kern w:val="0"/>
                <w:szCs w:val="21"/>
              </w:rPr>
              <w:t>25129</w:t>
            </w:r>
          </w:p>
        </w:tc>
        <w:tc>
          <w:tcPr>
            <w:tcW w:w="1666" w:type="pct"/>
            <w:vAlign w:val="center"/>
          </w:tcPr>
          <w:p w14:paraId="1CEB5506">
            <w:pPr>
              <w:pStyle w:val="23"/>
              <w:jc w:val="center"/>
              <w:rPr>
                <w:rFonts w:ascii="宋体" w:hAnsi="宋体"/>
                <w:kern w:val="0"/>
                <w:szCs w:val="21"/>
              </w:rPr>
            </w:pPr>
            <w:r>
              <w:rPr>
                <w:rFonts w:ascii="宋体" w:hAnsi="宋体"/>
                <w:kern w:val="0"/>
                <w:szCs w:val="21"/>
              </w:rPr>
              <w:t>49799</w:t>
            </w:r>
          </w:p>
        </w:tc>
      </w:tr>
      <w:tr w14:paraId="45C6B59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666" w:type="pct"/>
            <w:vAlign w:val="center"/>
          </w:tcPr>
          <w:p w14:paraId="7E6B6764">
            <w:pPr>
              <w:pStyle w:val="23"/>
              <w:jc w:val="center"/>
              <w:rPr>
                <w:rFonts w:ascii="宋体" w:hAnsi="宋体"/>
                <w:kern w:val="0"/>
                <w:szCs w:val="21"/>
              </w:rPr>
            </w:pPr>
            <w:r>
              <w:rPr>
                <w:rFonts w:ascii="宋体" w:hAnsi="宋体"/>
                <w:kern w:val="0"/>
                <w:szCs w:val="21"/>
              </w:rPr>
              <w:t>南亩</w:t>
            </w:r>
          </w:p>
        </w:tc>
        <w:tc>
          <w:tcPr>
            <w:tcW w:w="1668" w:type="pct"/>
            <w:vAlign w:val="center"/>
          </w:tcPr>
          <w:p w14:paraId="1A34A7D2">
            <w:pPr>
              <w:pStyle w:val="23"/>
              <w:jc w:val="center"/>
              <w:rPr>
                <w:rFonts w:ascii="宋体" w:hAnsi="宋体"/>
                <w:kern w:val="0"/>
                <w:szCs w:val="21"/>
              </w:rPr>
            </w:pPr>
            <w:r>
              <w:rPr>
                <w:rFonts w:ascii="宋体" w:hAnsi="宋体"/>
                <w:kern w:val="0"/>
                <w:szCs w:val="21"/>
              </w:rPr>
              <w:t>17055</w:t>
            </w:r>
          </w:p>
        </w:tc>
        <w:tc>
          <w:tcPr>
            <w:tcW w:w="1666" w:type="pct"/>
            <w:vAlign w:val="center"/>
          </w:tcPr>
          <w:p w14:paraId="65BC9317">
            <w:pPr>
              <w:pStyle w:val="23"/>
              <w:jc w:val="center"/>
              <w:rPr>
                <w:rFonts w:ascii="宋体" w:hAnsi="宋体"/>
                <w:kern w:val="0"/>
                <w:szCs w:val="21"/>
              </w:rPr>
            </w:pPr>
            <w:r>
              <w:rPr>
                <w:rFonts w:ascii="宋体" w:hAnsi="宋体"/>
                <w:kern w:val="0"/>
                <w:szCs w:val="21"/>
              </w:rPr>
              <w:t>13567</w:t>
            </w:r>
          </w:p>
        </w:tc>
      </w:tr>
      <w:tr w14:paraId="7261825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666" w:type="pct"/>
            <w:vAlign w:val="center"/>
          </w:tcPr>
          <w:p w14:paraId="38846CC0">
            <w:pPr>
              <w:pStyle w:val="23"/>
              <w:jc w:val="center"/>
              <w:rPr>
                <w:rFonts w:ascii="宋体" w:hAnsi="宋体"/>
                <w:kern w:val="0"/>
                <w:szCs w:val="21"/>
              </w:rPr>
            </w:pPr>
            <w:r>
              <w:rPr>
                <w:rFonts w:ascii="宋体" w:hAnsi="宋体"/>
                <w:kern w:val="0"/>
                <w:szCs w:val="21"/>
              </w:rPr>
              <w:t>水口</w:t>
            </w:r>
          </w:p>
        </w:tc>
        <w:tc>
          <w:tcPr>
            <w:tcW w:w="1668" w:type="pct"/>
            <w:vAlign w:val="center"/>
          </w:tcPr>
          <w:p w14:paraId="104A6C57">
            <w:pPr>
              <w:pStyle w:val="23"/>
              <w:jc w:val="center"/>
              <w:rPr>
                <w:rFonts w:ascii="宋体" w:hAnsi="宋体"/>
                <w:kern w:val="0"/>
                <w:szCs w:val="21"/>
              </w:rPr>
            </w:pPr>
            <w:r>
              <w:rPr>
                <w:rFonts w:ascii="宋体" w:hAnsi="宋体"/>
                <w:kern w:val="0"/>
                <w:szCs w:val="21"/>
              </w:rPr>
              <w:t>24606</w:t>
            </w:r>
          </w:p>
        </w:tc>
        <w:tc>
          <w:tcPr>
            <w:tcW w:w="1666" w:type="pct"/>
            <w:vAlign w:val="center"/>
          </w:tcPr>
          <w:p w14:paraId="7EE226EE">
            <w:pPr>
              <w:pStyle w:val="23"/>
              <w:jc w:val="center"/>
              <w:rPr>
                <w:rFonts w:ascii="宋体" w:hAnsi="宋体"/>
                <w:kern w:val="0"/>
                <w:szCs w:val="21"/>
              </w:rPr>
            </w:pPr>
            <w:r>
              <w:rPr>
                <w:rFonts w:ascii="宋体" w:hAnsi="宋体"/>
                <w:kern w:val="0"/>
                <w:szCs w:val="21"/>
              </w:rPr>
              <w:t>26910</w:t>
            </w:r>
          </w:p>
        </w:tc>
      </w:tr>
      <w:tr w14:paraId="7222E10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666" w:type="pct"/>
            <w:vAlign w:val="center"/>
          </w:tcPr>
          <w:p w14:paraId="6B609C90">
            <w:pPr>
              <w:pStyle w:val="23"/>
              <w:jc w:val="center"/>
              <w:rPr>
                <w:rFonts w:ascii="宋体" w:hAnsi="宋体"/>
                <w:kern w:val="0"/>
                <w:szCs w:val="21"/>
              </w:rPr>
            </w:pPr>
            <w:r>
              <w:rPr>
                <w:rFonts w:ascii="宋体" w:hAnsi="宋体"/>
                <w:kern w:val="0"/>
                <w:szCs w:val="21"/>
              </w:rPr>
              <w:t>江头</w:t>
            </w:r>
          </w:p>
        </w:tc>
        <w:tc>
          <w:tcPr>
            <w:tcW w:w="1668" w:type="pct"/>
            <w:vAlign w:val="center"/>
          </w:tcPr>
          <w:p w14:paraId="38686615">
            <w:pPr>
              <w:pStyle w:val="23"/>
              <w:jc w:val="center"/>
              <w:rPr>
                <w:rFonts w:ascii="宋体" w:hAnsi="宋体"/>
                <w:kern w:val="0"/>
                <w:szCs w:val="21"/>
              </w:rPr>
            </w:pPr>
            <w:r>
              <w:rPr>
                <w:rFonts w:ascii="宋体" w:hAnsi="宋体"/>
                <w:kern w:val="0"/>
                <w:szCs w:val="21"/>
              </w:rPr>
              <w:t>11942</w:t>
            </w:r>
          </w:p>
        </w:tc>
        <w:tc>
          <w:tcPr>
            <w:tcW w:w="1666" w:type="pct"/>
            <w:vAlign w:val="center"/>
          </w:tcPr>
          <w:p w14:paraId="3DC1FC08">
            <w:pPr>
              <w:pStyle w:val="23"/>
              <w:jc w:val="center"/>
              <w:rPr>
                <w:rFonts w:ascii="宋体" w:hAnsi="宋体"/>
                <w:kern w:val="0"/>
                <w:szCs w:val="21"/>
              </w:rPr>
            </w:pPr>
            <w:r>
              <w:rPr>
                <w:rFonts w:ascii="宋体" w:hAnsi="宋体"/>
                <w:kern w:val="0"/>
                <w:szCs w:val="21"/>
              </w:rPr>
              <w:t>14334</w:t>
            </w:r>
          </w:p>
        </w:tc>
      </w:tr>
      <w:tr w14:paraId="7DF8ED6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666" w:type="pct"/>
            <w:vAlign w:val="center"/>
          </w:tcPr>
          <w:p w14:paraId="2896EF02">
            <w:pPr>
              <w:pStyle w:val="23"/>
              <w:jc w:val="center"/>
              <w:rPr>
                <w:rFonts w:ascii="宋体" w:hAnsi="宋体"/>
                <w:kern w:val="0"/>
                <w:szCs w:val="21"/>
              </w:rPr>
            </w:pPr>
            <w:r>
              <w:rPr>
                <w:rFonts w:ascii="宋体" w:hAnsi="宋体"/>
                <w:kern w:val="0"/>
                <w:szCs w:val="21"/>
              </w:rPr>
              <w:t>湖口</w:t>
            </w:r>
          </w:p>
        </w:tc>
        <w:tc>
          <w:tcPr>
            <w:tcW w:w="1668" w:type="pct"/>
            <w:vAlign w:val="center"/>
          </w:tcPr>
          <w:p w14:paraId="10242803">
            <w:pPr>
              <w:pStyle w:val="23"/>
              <w:jc w:val="center"/>
              <w:rPr>
                <w:rFonts w:ascii="宋体" w:hAnsi="宋体"/>
                <w:kern w:val="0"/>
                <w:szCs w:val="21"/>
              </w:rPr>
            </w:pPr>
            <w:r>
              <w:rPr>
                <w:rFonts w:ascii="宋体" w:hAnsi="宋体"/>
                <w:kern w:val="0"/>
                <w:szCs w:val="21"/>
              </w:rPr>
              <w:t>43830</w:t>
            </w:r>
          </w:p>
        </w:tc>
        <w:tc>
          <w:tcPr>
            <w:tcW w:w="1666" w:type="pct"/>
            <w:vAlign w:val="center"/>
          </w:tcPr>
          <w:p w14:paraId="441B515A">
            <w:pPr>
              <w:pStyle w:val="23"/>
              <w:jc w:val="center"/>
              <w:rPr>
                <w:rFonts w:ascii="宋体" w:hAnsi="宋体"/>
                <w:kern w:val="0"/>
                <w:szCs w:val="21"/>
              </w:rPr>
            </w:pPr>
            <w:r>
              <w:rPr>
                <w:rFonts w:ascii="宋体" w:hAnsi="宋体"/>
                <w:kern w:val="0"/>
                <w:szCs w:val="21"/>
              </w:rPr>
              <w:t>36415</w:t>
            </w:r>
          </w:p>
        </w:tc>
      </w:tr>
      <w:tr w14:paraId="7D3E38E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666" w:type="pct"/>
            <w:vAlign w:val="center"/>
          </w:tcPr>
          <w:p w14:paraId="68BC4BDF">
            <w:pPr>
              <w:pStyle w:val="23"/>
              <w:jc w:val="center"/>
              <w:rPr>
                <w:rFonts w:ascii="宋体" w:hAnsi="宋体"/>
                <w:kern w:val="0"/>
                <w:szCs w:val="21"/>
              </w:rPr>
            </w:pPr>
            <w:r>
              <w:rPr>
                <w:rFonts w:ascii="宋体" w:hAnsi="宋体"/>
                <w:kern w:val="0"/>
                <w:szCs w:val="21"/>
              </w:rPr>
              <w:t>珠玑</w:t>
            </w:r>
          </w:p>
        </w:tc>
        <w:tc>
          <w:tcPr>
            <w:tcW w:w="1668" w:type="pct"/>
            <w:vAlign w:val="center"/>
          </w:tcPr>
          <w:p w14:paraId="08CB0CD6">
            <w:pPr>
              <w:pStyle w:val="23"/>
              <w:jc w:val="center"/>
              <w:rPr>
                <w:rFonts w:ascii="宋体" w:hAnsi="宋体"/>
                <w:kern w:val="0"/>
                <w:szCs w:val="21"/>
              </w:rPr>
            </w:pPr>
            <w:r>
              <w:rPr>
                <w:rFonts w:ascii="宋体" w:hAnsi="宋体"/>
                <w:kern w:val="0"/>
                <w:szCs w:val="21"/>
              </w:rPr>
              <w:t>45028</w:t>
            </w:r>
          </w:p>
        </w:tc>
        <w:tc>
          <w:tcPr>
            <w:tcW w:w="1666" w:type="pct"/>
            <w:vAlign w:val="center"/>
          </w:tcPr>
          <w:p w14:paraId="23CB0DEA">
            <w:pPr>
              <w:pStyle w:val="23"/>
              <w:jc w:val="center"/>
              <w:rPr>
                <w:rFonts w:ascii="宋体" w:hAnsi="宋体"/>
                <w:kern w:val="0"/>
                <w:szCs w:val="21"/>
              </w:rPr>
            </w:pPr>
            <w:r>
              <w:rPr>
                <w:rFonts w:ascii="宋体" w:hAnsi="宋体"/>
                <w:kern w:val="0"/>
                <w:szCs w:val="21"/>
              </w:rPr>
              <w:t>31818</w:t>
            </w:r>
          </w:p>
        </w:tc>
      </w:tr>
      <w:tr w14:paraId="4EFFCC7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666" w:type="pct"/>
            <w:vAlign w:val="center"/>
          </w:tcPr>
          <w:p w14:paraId="49842585">
            <w:pPr>
              <w:pStyle w:val="23"/>
              <w:jc w:val="center"/>
              <w:rPr>
                <w:rFonts w:ascii="宋体" w:hAnsi="宋体"/>
                <w:kern w:val="0"/>
                <w:szCs w:val="21"/>
              </w:rPr>
            </w:pPr>
            <w:r>
              <w:rPr>
                <w:rFonts w:ascii="宋体" w:hAnsi="宋体"/>
                <w:kern w:val="0"/>
                <w:szCs w:val="21"/>
              </w:rPr>
              <w:t>主田</w:t>
            </w:r>
          </w:p>
        </w:tc>
        <w:tc>
          <w:tcPr>
            <w:tcW w:w="1668" w:type="pct"/>
            <w:vAlign w:val="center"/>
          </w:tcPr>
          <w:p w14:paraId="021C5692">
            <w:pPr>
              <w:pStyle w:val="23"/>
              <w:jc w:val="center"/>
              <w:rPr>
                <w:rFonts w:ascii="宋体" w:hAnsi="宋体"/>
                <w:kern w:val="0"/>
                <w:szCs w:val="21"/>
              </w:rPr>
            </w:pPr>
            <w:r>
              <w:rPr>
                <w:rFonts w:ascii="宋体" w:hAnsi="宋体"/>
                <w:kern w:val="0"/>
                <w:szCs w:val="21"/>
              </w:rPr>
              <w:t>18847</w:t>
            </w:r>
          </w:p>
        </w:tc>
        <w:tc>
          <w:tcPr>
            <w:tcW w:w="1666" w:type="pct"/>
            <w:vAlign w:val="center"/>
          </w:tcPr>
          <w:p w14:paraId="7F44501F">
            <w:pPr>
              <w:pStyle w:val="23"/>
              <w:jc w:val="center"/>
              <w:rPr>
                <w:rFonts w:ascii="宋体" w:hAnsi="宋体"/>
                <w:kern w:val="0"/>
                <w:szCs w:val="21"/>
              </w:rPr>
            </w:pPr>
            <w:r>
              <w:rPr>
                <w:rFonts w:ascii="宋体" w:hAnsi="宋体"/>
                <w:kern w:val="0"/>
                <w:szCs w:val="21"/>
              </w:rPr>
              <w:t>15464</w:t>
            </w:r>
          </w:p>
        </w:tc>
      </w:tr>
      <w:tr w14:paraId="71C85B3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666" w:type="pct"/>
            <w:vAlign w:val="center"/>
          </w:tcPr>
          <w:p w14:paraId="2B3A7D78">
            <w:pPr>
              <w:pStyle w:val="23"/>
              <w:jc w:val="center"/>
              <w:rPr>
                <w:rFonts w:ascii="宋体" w:hAnsi="宋体"/>
                <w:kern w:val="0"/>
                <w:szCs w:val="21"/>
              </w:rPr>
            </w:pPr>
            <w:r>
              <w:rPr>
                <w:rFonts w:ascii="宋体" w:hAnsi="宋体"/>
                <w:kern w:val="0"/>
                <w:szCs w:val="21"/>
              </w:rPr>
              <w:t>古市</w:t>
            </w:r>
          </w:p>
        </w:tc>
        <w:tc>
          <w:tcPr>
            <w:tcW w:w="1668" w:type="pct"/>
            <w:vAlign w:val="center"/>
          </w:tcPr>
          <w:p w14:paraId="1611D29B">
            <w:pPr>
              <w:pStyle w:val="23"/>
              <w:jc w:val="center"/>
              <w:rPr>
                <w:rFonts w:ascii="宋体" w:hAnsi="宋体"/>
                <w:kern w:val="0"/>
                <w:szCs w:val="21"/>
              </w:rPr>
            </w:pPr>
            <w:r>
              <w:rPr>
                <w:rFonts w:ascii="宋体" w:hAnsi="宋体"/>
                <w:kern w:val="0"/>
                <w:szCs w:val="21"/>
              </w:rPr>
              <w:t>25191</w:t>
            </w:r>
          </w:p>
        </w:tc>
        <w:tc>
          <w:tcPr>
            <w:tcW w:w="1666" w:type="pct"/>
            <w:vAlign w:val="center"/>
          </w:tcPr>
          <w:p w14:paraId="57262953">
            <w:pPr>
              <w:pStyle w:val="23"/>
              <w:jc w:val="center"/>
              <w:rPr>
                <w:rFonts w:ascii="宋体" w:hAnsi="宋体"/>
                <w:kern w:val="0"/>
                <w:szCs w:val="21"/>
              </w:rPr>
            </w:pPr>
            <w:r>
              <w:rPr>
                <w:rFonts w:ascii="宋体" w:hAnsi="宋体"/>
                <w:kern w:val="0"/>
                <w:szCs w:val="21"/>
              </w:rPr>
              <w:t>25439</w:t>
            </w:r>
          </w:p>
        </w:tc>
      </w:tr>
      <w:tr w14:paraId="5FD4EE9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666" w:type="pct"/>
            <w:vAlign w:val="center"/>
          </w:tcPr>
          <w:p w14:paraId="2317005E">
            <w:pPr>
              <w:pStyle w:val="23"/>
              <w:jc w:val="center"/>
              <w:rPr>
                <w:rFonts w:ascii="宋体" w:hAnsi="宋体"/>
                <w:kern w:val="0"/>
                <w:szCs w:val="21"/>
              </w:rPr>
            </w:pPr>
            <w:r>
              <w:rPr>
                <w:rFonts w:ascii="宋体" w:hAnsi="宋体"/>
                <w:kern w:val="0"/>
                <w:szCs w:val="21"/>
              </w:rPr>
              <w:t>全安</w:t>
            </w:r>
          </w:p>
        </w:tc>
        <w:tc>
          <w:tcPr>
            <w:tcW w:w="1668" w:type="pct"/>
            <w:vAlign w:val="center"/>
          </w:tcPr>
          <w:p w14:paraId="45CC9005">
            <w:pPr>
              <w:pStyle w:val="23"/>
              <w:jc w:val="center"/>
              <w:rPr>
                <w:rFonts w:ascii="宋体" w:hAnsi="宋体"/>
                <w:kern w:val="0"/>
                <w:szCs w:val="21"/>
              </w:rPr>
            </w:pPr>
            <w:r>
              <w:rPr>
                <w:rFonts w:ascii="宋体" w:hAnsi="宋体"/>
                <w:kern w:val="0"/>
                <w:szCs w:val="21"/>
              </w:rPr>
              <w:t>30352</w:t>
            </w:r>
          </w:p>
        </w:tc>
        <w:tc>
          <w:tcPr>
            <w:tcW w:w="1666" w:type="pct"/>
            <w:vAlign w:val="center"/>
          </w:tcPr>
          <w:p w14:paraId="39842DC7">
            <w:pPr>
              <w:pStyle w:val="23"/>
              <w:jc w:val="center"/>
              <w:rPr>
                <w:rFonts w:ascii="宋体" w:hAnsi="宋体"/>
                <w:kern w:val="0"/>
                <w:szCs w:val="21"/>
              </w:rPr>
            </w:pPr>
            <w:r>
              <w:rPr>
                <w:rFonts w:ascii="宋体" w:hAnsi="宋体"/>
                <w:kern w:val="0"/>
                <w:szCs w:val="21"/>
              </w:rPr>
              <w:t>30230</w:t>
            </w:r>
          </w:p>
        </w:tc>
      </w:tr>
      <w:tr w14:paraId="0933650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666" w:type="pct"/>
            <w:vAlign w:val="center"/>
          </w:tcPr>
          <w:p w14:paraId="29652B0A">
            <w:pPr>
              <w:pStyle w:val="23"/>
              <w:jc w:val="center"/>
              <w:rPr>
                <w:rFonts w:ascii="宋体" w:hAnsi="宋体"/>
                <w:kern w:val="0"/>
                <w:szCs w:val="21"/>
              </w:rPr>
            </w:pPr>
            <w:r>
              <w:rPr>
                <w:rFonts w:ascii="宋体" w:hAnsi="宋体"/>
                <w:kern w:val="0"/>
                <w:szCs w:val="21"/>
              </w:rPr>
              <w:t>百顺</w:t>
            </w:r>
          </w:p>
        </w:tc>
        <w:tc>
          <w:tcPr>
            <w:tcW w:w="1668" w:type="pct"/>
            <w:vAlign w:val="center"/>
          </w:tcPr>
          <w:p w14:paraId="5D4C33D5">
            <w:pPr>
              <w:pStyle w:val="23"/>
              <w:jc w:val="center"/>
              <w:rPr>
                <w:rFonts w:ascii="宋体" w:hAnsi="宋体"/>
                <w:kern w:val="0"/>
                <w:szCs w:val="21"/>
              </w:rPr>
            </w:pPr>
            <w:r>
              <w:rPr>
                <w:rFonts w:ascii="宋体" w:hAnsi="宋体"/>
                <w:kern w:val="0"/>
                <w:szCs w:val="21"/>
              </w:rPr>
              <w:t>10048</w:t>
            </w:r>
          </w:p>
        </w:tc>
        <w:tc>
          <w:tcPr>
            <w:tcW w:w="1666" w:type="pct"/>
            <w:vAlign w:val="center"/>
          </w:tcPr>
          <w:p w14:paraId="308EBA10">
            <w:pPr>
              <w:pStyle w:val="23"/>
              <w:jc w:val="center"/>
              <w:rPr>
                <w:rFonts w:ascii="宋体" w:hAnsi="宋体"/>
                <w:kern w:val="0"/>
                <w:szCs w:val="21"/>
              </w:rPr>
            </w:pPr>
            <w:r>
              <w:rPr>
                <w:rFonts w:ascii="宋体" w:hAnsi="宋体"/>
                <w:kern w:val="0"/>
                <w:szCs w:val="21"/>
              </w:rPr>
              <w:t>20155</w:t>
            </w:r>
          </w:p>
        </w:tc>
      </w:tr>
      <w:tr w14:paraId="6A9E866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666" w:type="pct"/>
            <w:vAlign w:val="center"/>
          </w:tcPr>
          <w:p w14:paraId="1CB4D179">
            <w:pPr>
              <w:pStyle w:val="23"/>
              <w:jc w:val="center"/>
              <w:rPr>
                <w:rFonts w:ascii="宋体" w:hAnsi="宋体"/>
                <w:kern w:val="0"/>
                <w:szCs w:val="21"/>
              </w:rPr>
            </w:pPr>
            <w:r>
              <w:rPr>
                <w:rFonts w:ascii="宋体" w:hAnsi="宋体"/>
                <w:kern w:val="0"/>
                <w:szCs w:val="21"/>
              </w:rPr>
              <w:t>澜河</w:t>
            </w:r>
          </w:p>
        </w:tc>
        <w:tc>
          <w:tcPr>
            <w:tcW w:w="1668" w:type="pct"/>
            <w:vAlign w:val="center"/>
          </w:tcPr>
          <w:p w14:paraId="13121A8A">
            <w:pPr>
              <w:pStyle w:val="23"/>
              <w:jc w:val="center"/>
              <w:rPr>
                <w:rFonts w:ascii="宋体" w:hAnsi="宋体"/>
                <w:kern w:val="0"/>
                <w:szCs w:val="21"/>
              </w:rPr>
            </w:pPr>
            <w:r>
              <w:rPr>
                <w:rFonts w:ascii="宋体" w:hAnsi="宋体"/>
                <w:kern w:val="0"/>
                <w:szCs w:val="21"/>
              </w:rPr>
              <w:t>29381</w:t>
            </w:r>
          </w:p>
        </w:tc>
        <w:tc>
          <w:tcPr>
            <w:tcW w:w="1666" w:type="pct"/>
            <w:vAlign w:val="center"/>
          </w:tcPr>
          <w:p w14:paraId="2314B771">
            <w:pPr>
              <w:pStyle w:val="23"/>
              <w:jc w:val="center"/>
              <w:rPr>
                <w:rFonts w:ascii="宋体" w:hAnsi="宋体"/>
                <w:kern w:val="0"/>
                <w:szCs w:val="21"/>
              </w:rPr>
            </w:pPr>
            <w:r>
              <w:rPr>
                <w:rFonts w:ascii="宋体" w:hAnsi="宋体"/>
                <w:kern w:val="0"/>
                <w:szCs w:val="21"/>
              </w:rPr>
              <w:t>8373</w:t>
            </w:r>
          </w:p>
        </w:tc>
      </w:tr>
      <w:tr w14:paraId="7F2266E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666" w:type="pct"/>
            <w:vAlign w:val="center"/>
          </w:tcPr>
          <w:p w14:paraId="2E8A6800">
            <w:pPr>
              <w:pStyle w:val="23"/>
              <w:jc w:val="center"/>
              <w:rPr>
                <w:rFonts w:ascii="宋体" w:hAnsi="宋体"/>
                <w:kern w:val="0"/>
                <w:szCs w:val="21"/>
              </w:rPr>
            </w:pPr>
            <w:r>
              <w:rPr>
                <w:rFonts w:ascii="宋体" w:hAnsi="宋体"/>
                <w:kern w:val="0"/>
                <w:szCs w:val="21"/>
              </w:rPr>
              <w:t>帽子峰</w:t>
            </w:r>
          </w:p>
        </w:tc>
        <w:tc>
          <w:tcPr>
            <w:tcW w:w="1668" w:type="pct"/>
            <w:vAlign w:val="center"/>
          </w:tcPr>
          <w:p w14:paraId="5628427F">
            <w:pPr>
              <w:pStyle w:val="23"/>
              <w:jc w:val="center"/>
              <w:rPr>
                <w:rFonts w:ascii="宋体" w:hAnsi="宋体"/>
                <w:kern w:val="0"/>
                <w:szCs w:val="21"/>
              </w:rPr>
            </w:pPr>
            <w:r>
              <w:rPr>
                <w:rFonts w:ascii="宋体" w:hAnsi="宋体"/>
                <w:kern w:val="0"/>
                <w:szCs w:val="21"/>
              </w:rPr>
              <w:t>9227</w:t>
            </w:r>
          </w:p>
        </w:tc>
        <w:tc>
          <w:tcPr>
            <w:tcW w:w="1666" w:type="pct"/>
            <w:vAlign w:val="center"/>
          </w:tcPr>
          <w:p w14:paraId="22082770">
            <w:pPr>
              <w:pStyle w:val="23"/>
              <w:jc w:val="center"/>
              <w:rPr>
                <w:rFonts w:ascii="宋体" w:hAnsi="宋体"/>
                <w:kern w:val="0"/>
                <w:szCs w:val="21"/>
              </w:rPr>
            </w:pPr>
            <w:r>
              <w:rPr>
                <w:rFonts w:ascii="宋体" w:hAnsi="宋体"/>
                <w:kern w:val="0"/>
                <w:szCs w:val="21"/>
              </w:rPr>
              <w:t>12144</w:t>
            </w:r>
          </w:p>
        </w:tc>
      </w:tr>
      <w:tr w14:paraId="28561C0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666" w:type="pct"/>
            <w:vAlign w:val="center"/>
          </w:tcPr>
          <w:p w14:paraId="45B81DA1">
            <w:pPr>
              <w:pStyle w:val="23"/>
              <w:jc w:val="center"/>
              <w:rPr>
                <w:rFonts w:ascii="宋体" w:hAnsi="宋体"/>
                <w:kern w:val="0"/>
                <w:szCs w:val="21"/>
              </w:rPr>
            </w:pPr>
            <w:r>
              <w:rPr>
                <w:rFonts w:ascii="宋体" w:hAnsi="宋体"/>
                <w:kern w:val="0"/>
                <w:szCs w:val="21"/>
              </w:rPr>
              <w:t>雄州街道</w:t>
            </w:r>
          </w:p>
        </w:tc>
        <w:tc>
          <w:tcPr>
            <w:tcW w:w="1668" w:type="pct"/>
            <w:vAlign w:val="center"/>
          </w:tcPr>
          <w:p w14:paraId="6EFF6673">
            <w:pPr>
              <w:pStyle w:val="23"/>
              <w:jc w:val="center"/>
              <w:rPr>
                <w:rFonts w:ascii="宋体" w:hAnsi="宋体"/>
                <w:kern w:val="0"/>
                <w:szCs w:val="21"/>
              </w:rPr>
            </w:pPr>
            <w:r>
              <w:rPr>
                <w:rFonts w:ascii="宋体" w:hAnsi="宋体"/>
                <w:kern w:val="0"/>
                <w:szCs w:val="21"/>
              </w:rPr>
              <w:t>74424</w:t>
            </w:r>
          </w:p>
        </w:tc>
        <w:tc>
          <w:tcPr>
            <w:tcW w:w="1666" w:type="pct"/>
            <w:vAlign w:val="center"/>
          </w:tcPr>
          <w:p w14:paraId="73F6F083">
            <w:pPr>
              <w:pStyle w:val="23"/>
              <w:jc w:val="center"/>
              <w:rPr>
                <w:rFonts w:ascii="宋体" w:hAnsi="宋体"/>
                <w:kern w:val="0"/>
                <w:szCs w:val="21"/>
              </w:rPr>
            </w:pPr>
            <w:r>
              <w:rPr>
                <w:rFonts w:ascii="宋体" w:hAnsi="宋体"/>
                <w:kern w:val="0"/>
                <w:szCs w:val="21"/>
              </w:rPr>
              <w:t>33161</w:t>
            </w:r>
          </w:p>
        </w:tc>
      </w:tr>
    </w:tbl>
    <w:p w14:paraId="12217D81">
      <w:pPr>
        <w:ind w:firstLine="0" w:firstLineChars="0"/>
        <w:jc w:val="center"/>
        <w:rPr>
          <w:rFonts w:ascii="宋体" w:hAnsi="宋体"/>
          <w:b/>
          <w:szCs w:val="21"/>
        </w:rPr>
      </w:pPr>
      <w:r>
        <w:rPr>
          <w:rFonts w:hint="eastAsia" w:ascii="宋体" w:hAnsi="宋体"/>
          <w:b/>
          <w:szCs w:val="21"/>
        </w:rPr>
        <w:t>表51 分镇主要经济指标（二）</w:t>
      </w:r>
    </w:p>
    <w:tbl>
      <w:tblPr>
        <w:tblStyle w:val="14"/>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321"/>
        <w:gridCol w:w="3321"/>
        <w:gridCol w:w="3320"/>
      </w:tblGrid>
      <w:tr w14:paraId="36E09AC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667" w:type="pct"/>
            <w:shd w:val="clear" w:color="auto" w:fill="auto"/>
            <w:noWrap/>
            <w:vAlign w:val="center"/>
          </w:tcPr>
          <w:p w14:paraId="6469DB1A">
            <w:pPr>
              <w:pStyle w:val="23"/>
              <w:jc w:val="center"/>
              <w:rPr>
                <w:rFonts w:ascii="宋体" w:hAnsi="宋体"/>
                <w:b/>
                <w:kern w:val="0"/>
                <w:szCs w:val="21"/>
              </w:rPr>
            </w:pPr>
            <w:r>
              <w:rPr>
                <w:rFonts w:ascii="宋体" w:hAnsi="宋体"/>
                <w:b/>
                <w:kern w:val="0"/>
                <w:szCs w:val="21"/>
              </w:rPr>
              <w:t>单位名称</w:t>
            </w:r>
          </w:p>
        </w:tc>
        <w:tc>
          <w:tcPr>
            <w:tcW w:w="1667" w:type="pct"/>
            <w:shd w:val="clear" w:color="auto" w:fill="auto"/>
            <w:noWrap/>
            <w:vAlign w:val="center"/>
          </w:tcPr>
          <w:p w14:paraId="03C5D14C">
            <w:pPr>
              <w:pStyle w:val="23"/>
              <w:jc w:val="center"/>
              <w:rPr>
                <w:rFonts w:ascii="宋体" w:hAnsi="宋体"/>
                <w:b/>
                <w:kern w:val="0"/>
                <w:szCs w:val="21"/>
              </w:rPr>
            </w:pPr>
            <w:r>
              <w:rPr>
                <w:rFonts w:ascii="宋体" w:hAnsi="宋体"/>
                <w:b/>
                <w:kern w:val="0"/>
                <w:szCs w:val="21"/>
              </w:rPr>
              <w:t>农村合作医疗保险参保人数(人)</w:t>
            </w:r>
          </w:p>
        </w:tc>
        <w:tc>
          <w:tcPr>
            <w:tcW w:w="1667" w:type="pct"/>
            <w:shd w:val="clear" w:color="auto" w:fill="auto"/>
            <w:noWrap/>
            <w:vAlign w:val="center"/>
          </w:tcPr>
          <w:p w14:paraId="29A13842">
            <w:pPr>
              <w:pStyle w:val="23"/>
              <w:jc w:val="center"/>
              <w:rPr>
                <w:rFonts w:ascii="宋体" w:hAnsi="宋体"/>
                <w:b/>
                <w:kern w:val="0"/>
                <w:szCs w:val="21"/>
              </w:rPr>
            </w:pPr>
            <w:r>
              <w:rPr>
                <w:rFonts w:ascii="宋体" w:hAnsi="宋体"/>
                <w:b/>
                <w:kern w:val="0"/>
                <w:szCs w:val="21"/>
              </w:rPr>
              <w:t>享受居民最低生活保障人数(人)</w:t>
            </w:r>
          </w:p>
        </w:tc>
      </w:tr>
      <w:tr w14:paraId="0CC7B67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667" w:type="pct"/>
            <w:shd w:val="clear" w:color="auto" w:fill="auto"/>
            <w:noWrap/>
            <w:vAlign w:val="center"/>
          </w:tcPr>
          <w:p w14:paraId="56969335">
            <w:pPr>
              <w:pStyle w:val="23"/>
              <w:jc w:val="center"/>
              <w:rPr>
                <w:rFonts w:ascii="宋体" w:hAnsi="宋体"/>
                <w:kern w:val="0"/>
                <w:szCs w:val="21"/>
              </w:rPr>
            </w:pPr>
            <w:r>
              <w:rPr>
                <w:rFonts w:ascii="宋体" w:hAnsi="宋体"/>
                <w:kern w:val="0"/>
                <w:szCs w:val="21"/>
              </w:rPr>
              <w:t>合计</w:t>
            </w:r>
          </w:p>
        </w:tc>
        <w:tc>
          <w:tcPr>
            <w:tcW w:w="1667" w:type="pct"/>
            <w:shd w:val="clear" w:color="auto" w:fill="auto"/>
            <w:noWrap/>
            <w:vAlign w:val="center"/>
          </w:tcPr>
          <w:p w14:paraId="642DF96D">
            <w:pPr>
              <w:pStyle w:val="23"/>
              <w:jc w:val="center"/>
              <w:rPr>
                <w:rFonts w:ascii="宋体" w:hAnsi="宋体"/>
                <w:kern w:val="0"/>
                <w:szCs w:val="21"/>
              </w:rPr>
            </w:pPr>
            <w:r>
              <w:rPr>
                <w:rFonts w:ascii="宋体" w:hAnsi="宋体"/>
                <w:kern w:val="0"/>
                <w:szCs w:val="21"/>
              </w:rPr>
              <w:t>356163</w:t>
            </w:r>
          </w:p>
        </w:tc>
        <w:tc>
          <w:tcPr>
            <w:tcW w:w="1667" w:type="pct"/>
            <w:shd w:val="clear" w:color="auto" w:fill="auto"/>
            <w:noWrap/>
            <w:vAlign w:val="center"/>
          </w:tcPr>
          <w:p w14:paraId="396F95E9">
            <w:pPr>
              <w:pStyle w:val="23"/>
              <w:jc w:val="center"/>
              <w:rPr>
                <w:rFonts w:ascii="宋体" w:hAnsi="宋体"/>
                <w:kern w:val="0"/>
                <w:szCs w:val="21"/>
              </w:rPr>
            </w:pPr>
            <w:r>
              <w:rPr>
                <w:rFonts w:ascii="宋体" w:hAnsi="宋体"/>
                <w:kern w:val="0"/>
                <w:szCs w:val="21"/>
              </w:rPr>
              <w:t>14000</w:t>
            </w:r>
          </w:p>
        </w:tc>
      </w:tr>
      <w:tr w14:paraId="085A819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667" w:type="pct"/>
            <w:shd w:val="clear" w:color="auto" w:fill="auto"/>
            <w:noWrap/>
            <w:vAlign w:val="center"/>
          </w:tcPr>
          <w:p w14:paraId="471A10CC">
            <w:pPr>
              <w:pStyle w:val="23"/>
              <w:jc w:val="center"/>
              <w:rPr>
                <w:rFonts w:ascii="宋体" w:hAnsi="宋体"/>
                <w:kern w:val="0"/>
                <w:szCs w:val="21"/>
              </w:rPr>
            </w:pPr>
            <w:r>
              <w:rPr>
                <w:rFonts w:ascii="宋体" w:hAnsi="宋体"/>
                <w:kern w:val="0"/>
                <w:szCs w:val="21"/>
              </w:rPr>
              <w:t>乌迳</w:t>
            </w:r>
          </w:p>
        </w:tc>
        <w:tc>
          <w:tcPr>
            <w:tcW w:w="1667" w:type="pct"/>
            <w:shd w:val="clear" w:color="auto" w:fill="auto"/>
            <w:noWrap/>
            <w:vAlign w:val="center"/>
          </w:tcPr>
          <w:p w14:paraId="054545B0">
            <w:pPr>
              <w:pStyle w:val="23"/>
              <w:jc w:val="center"/>
              <w:rPr>
                <w:rFonts w:ascii="宋体" w:hAnsi="宋体"/>
                <w:kern w:val="0"/>
                <w:szCs w:val="21"/>
              </w:rPr>
            </w:pPr>
            <w:r>
              <w:rPr>
                <w:rFonts w:ascii="宋体" w:hAnsi="宋体"/>
                <w:kern w:val="0"/>
                <w:szCs w:val="21"/>
              </w:rPr>
              <w:t>37882</w:t>
            </w:r>
          </w:p>
        </w:tc>
        <w:tc>
          <w:tcPr>
            <w:tcW w:w="1667" w:type="pct"/>
            <w:shd w:val="clear" w:color="auto" w:fill="auto"/>
            <w:noWrap/>
            <w:vAlign w:val="center"/>
          </w:tcPr>
          <w:p w14:paraId="3E074A17">
            <w:pPr>
              <w:pStyle w:val="23"/>
              <w:jc w:val="center"/>
              <w:rPr>
                <w:rFonts w:ascii="宋体" w:hAnsi="宋体"/>
                <w:kern w:val="0"/>
                <w:szCs w:val="21"/>
              </w:rPr>
            </w:pPr>
            <w:r>
              <w:rPr>
                <w:rFonts w:ascii="宋体" w:hAnsi="宋体"/>
                <w:kern w:val="0"/>
                <w:szCs w:val="21"/>
              </w:rPr>
              <w:t>1328</w:t>
            </w:r>
          </w:p>
        </w:tc>
      </w:tr>
      <w:tr w14:paraId="774D334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667" w:type="pct"/>
            <w:shd w:val="clear" w:color="auto" w:fill="auto"/>
            <w:noWrap/>
            <w:vAlign w:val="center"/>
          </w:tcPr>
          <w:p w14:paraId="32488990">
            <w:pPr>
              <w:pStyle w:val="23"/>
              <w:jc w:val="center"/>
              <w:rPr>
                <w:rFonts w:ascii="宋体" w:hAnsi="宋体"/>
                <w:kern w:val="0"/>
                <w:szCs w:val="21"/>
              </w:rPr>
            </w:pPr>
            <w:r>
              <w:rPr>
                <w:rFonts w:ascii="宋体" w:hAnsi="宋体"/>
                <w:kern w:val="0"/>
                <w:szCs w:val="21"/>
              </w:rPr>
              <w:t>界址</w:t>
            </w:r>
          </w:p>
        </w:tc>
        <w:tc>
          <w:tcPr>
            <w:tcW w:w="1667" w:type="pct"/>
            <w:shd w:val="clear" w:color="auto" w:fill="auto"/>
            <w:noWrap/>
            <w:vAlign w:val="center"/>
          </w:tcPr>
          <w:p w14:paraId="446B3238">
            <w:pPr>
              <w:pStyle w:val="23"/>
              <w:jc w:val="center"/>
              <w:rPr>
                <w:rFonts w:ascii="宋体" w:hAnsi="宋体"/>
                <w:kern w:val="0"/>
                <w:szCs w:val="21"/>
              </w:rPr>
            </w:pPr>
            <w:r>
              <w:rPr>
                <w:rFonts w:ascii="宋体" w:hAnsi="宋体"/>
                <w:kern w:val="0"/>
                <w:szCs w:val="21"/>
              </w:rPr>
              <w:t>12742</w:t>
            </w:r>
          </w:p>
        </w:tc>
        <w:tc>
          <w:tcPr>
            <w:tcW w:w="1667" w:type="pct"/>
            <w:shd w:val="clear" w:color="auto" w:fill="auto"/>
            <w:noWrap/>
            <w:vAlign w:val="center"/>
          </w:tcPr>
          <w:p w14:paraId="259A977C">
            <w:pPr>
              <w:pStyle w:val="23"/>
              <w:jc w:val="center"/>
              <w:rPr>
                <w:rFonts w:ascii="宋体" w:hAnsi="宋体"/>
                <w:kern w:val="0"/>
                <w:szCs w:val="21"/>
              </w:rPr>
            </w:pPr>
            <w:r>
              <w:rPr>
                <w:rFonts w:ascii="宋体" w:hAnsi="宋体"/>
                <w:kern w:val="0"/>
                <w:szCs w:val="21"/>
              </w:rPr>
              <w:t>401</w:t>
            </w:r>
          </w:p>
        </w:tc>
      </w:tr>
      <w:tr w14:paraId="436C109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667" w:type="pct"/>
            <w:shd w:val="clear" w:color="auto" w:fill="auto"/>
            <w:noWrap/>
            <w:vAlign w:val="center"/>
          </w:tcPr>
          <w:p w14:paraId="464A91BB">
            <w:pPr>
              <w:pStyle w:val="23"/>
              <w:jc w:val="center"/>
              <w:rPr>
                <w:rFonts w:ascii="宋体" w:hAnsi="宋体"/>
                <w:kern w:val="0"/>
                <w:szCs w:val="21"/>
              </w:rPr>
            </w:pPr>
            <w:r>
              <w:rPr>
                <w:rFonts w:ascii="宋体" w:hAnsi="宋体"/>
                <w:kern w:val="0"/>
                <w:szCs w:val="21"/>
              </w:rPr>
              <w:t>坪田</w:t>
            </w:r>
          </w:p>
        </w:tc>
        <w:tc>
          <w:tcPr>
            <w:tcW w:w="1667" w:type="pct"/>
            <w:shd w:val="clear" w:color="auto" w:fill="auto"/>
            <w:noWrap/>
            <w:vAlign w:val="center"/>
          </w:tcPr>
          <w:p w14:paraId="33C00D38">
            <w:pPr>
              <w:pStyle w:val="23"/>
              <w:jc w:val="center"/>
              <w:rPr>
                <w:rFonts w:ascii="宋体" w:hAnsi="宋体"/>
                <w:kern w:val="0"/>
                <w:szCs w:val="21"/>
              </w:rPr>
            </w:pPr>
            <w:r>
              <w:rPr>
                <w:rFonts w:ascii="宋体" w:hAnsi="宋体"/>
                <w:kern w:val="0"/>
                <w:szCs w:val="21"/>
              </w:rPr>
              <w:t>20278</w:t>
            </w:r>
          </w:p>
        </w:tc>
        <w:tc>
          <w:tcPr>
            <w:tcW w:w="1667" w:type="pct"/>
            <w:shd w:val="clear" w:color="auto" w:fill="auto"/>
            <w:noWrap/>
            <w:vAlign w:val="center"/>
          </w:tcPr>
          <w:p w14:paraId="4F4A918A">
            <w:pPr>
              <w:pStyle w:val="23"/>
              <w:jc w:val="center"/>
              <w:rPr>
                <w:rFonts w:ascii="宋体" w:hAnsi="宋体"/>
                <w:kern w:val="0"/>
                <w:szCs w:val="21"/>
              </w:rPr>
            </w:pPr>
            <w:r>
              <w:rPr>
                <w:rFonts w:ascii="宋体" w:hAnsi="宋体"/>
                <w:kern w:val="0"/>
                <w:szCs w:val="21"/>
              </w:rPr>
              <w:t>769</w:t>
            </w:r>
          </w:p>
        </w:tc>
      </w:tr>
      <w:tr w14:paraId="5EEBB41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667" w:type="pct"/>
            <w:shd w:val="clear" w:color="auto" w:fill="auto"/>
            <w:noWrap/>
            <w:vAlign w:val="center"/>
          </w:tcPr>
          <w:p w14:paraId="1DA302DE">
            <w:pPr>
              <w:pStyle w:val="23"/>
              <w:jc w:val="center"/>
              <w:rPr>
                <w:rFonts w:ascii="宋体" w:hAnsi="宋体"/>
                <w:kern w:val="0"/>
                <w:szCs w:val="21"/>
              </w:rPr>
            </w:pPr>
            <w:r>
              <w:rPr>
                <w:rFonts w:ascii="宋体" w:hAnsi="宋体"/>
                <w:kern w:val="0"/>
                <w:szCs w:val="21"/>
              </w:rPr>
              <w:t>黄坑</w:t>
            </w:r>
          </w:p>
        </w:tc>
        <w:tc>
          <w:tcPr>
            <w:tcW w:w="1667" w:type="pct"/>
            <w:shd w:val="clear" w:color="auto" w:fill="auto"/>
            <w:noWrap/>
            <w:vAlign w:val="center"/>
          </w:tcPr>
          <w:p w14:paraId="3B25D0DF">
            <w:pPr>
              <w:pStyle w:val="23"/>
              <w:jc w:val="center"/>
              <w:rPr>
                <w:rFonts w:ascii="宋体" w:hAnsi="宋体"/>
                <w:kern w:val="0"/>
                <w:szCs w:val="21"/>
              </w:rPr>
            </w:pPr>
            <w:r>
              <w:rPr>
                <w:rFonts w:ascii="宋体" w:hAnsi="宋体"/>
                <w:kern w:val="0"/>
                <w:szCs w:val="21"/>
              </w:rPr>
              <w:t>20118</w:t>
            </w:r>
          </w:p>
        </w:tc>
        <w:tc>
          <w:tcPr>
            <w:tcW w:w="1667" w:type="pct"/>
            <w:shd w:val="clear" w:color="auto" w:fill="auto"/>
            <w:noWrap/>
            <w:vAlign w:val="center"/>
          </w:tcPr>
          <w:p w14:paraId="581A0D8A">
            <w:pPr>
              <w:pStyle w:val="23"/>
              <w:jc w:val="center"/>
              <w:rPr>
                <w:rFonts w:ascii="宋体" w:hAnsi="宋体"/>
                <w:kern w:val="0"/>
                <w:szCs w:val="21"/>
              </w:rPr>
            </w:pPr>
            <w:r>
              <w:rPr>
                <w:rFonts w:ascii="宋体" w:hAnsi="宋体"/>
                <w:kern w:val="0"/>
                <w:szCs w:val="21"/>
              </w:rPr>
              <w:t>807</w:t>
            </w:r>
          </w:p>
        </w:tc>
      </w:tr>
      <w:tr w14:paraId="22EDCE4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667" w:type="pct"/>
            <w:shd w:val="clear" w:color="auto" w:fill="auto"/>
            <w:noWrap/>
            <w:vAlign w:val="center"/>
          </w:tcPr>
          <w:p w14:paraId="164D1269">
            <w:pPr>
              <w:pStyle w:val="23"/>
              <w:jc w:val="center"/>
              <w:rPr>
                <w:rFonts w:ascii="宋体" w:hAnsi="宋体"/>
                <w:kern w:val="0"/>
                <w:szCs w:val="21"/>
              </w:rPr>
            </w:pPr>
            <w:r>
              <w:rPr>
                <w:rFonts w:ascii="宋体" w:hAnsi="宋体"/>
                <w:kern w:val="0"/>
                <w:szCs w:val="21"/>
              </w:rPr>
              <w:t>邓坊</w:t>
            </w:r>
          </w:p>
        </w:tc>
        <w:tc>
          <w:tcPr>
            <w:tcW w:w="1667" w:type="pct"/>
            <w:shd w:val="clear" w:color="auto" w:fill="auto"/>
            <w:noWrap/>
            <w:vAlign w:val="center"/>
          </w:tcPr>
          <w:p w14:paraId="467CE012">
            <w:pPr>
              <w:pStyle w:val="23"/>
              <w:jc w:val="center"/>
              <w:rPr>
                <w:rFonts w:ascii="宋体" w:hAnsi="宋体"/>
                <w:kern w:val="0"/>
                <w:szCs w:val="21"/>
              </w:rPr>
            </w:pPr>
            <w:r>
              <w:rPr>
                <w:rFonts w:ascii="宋体" w:hAnsi="宋体"/>
                <w:kern w:val="0"/>
                <w:szCs w:val="21"/>
              </w:rPr>
              <w:t>13772</w:t>
            </w:r>
          </w:p>
        </w:tc>
        <w:tc>
          <w:tcPr>
            <w:tcW w:w="1667" w:type="pct"/>
            <w:shd w:val="clear" w:color="auto" w:fill="auto"/>
            <w:noWrap/>
            <w:vAlign w:val="center"/>
          </w:tcPr>
          <w:p w14:paraId="3102084B">
            <w:pPr>
              <w:pStyle w:val="23"/>
              <w:jc w:val="center"/>
              <w:rPr>
                <w:rFonts w:ascii="宋体" w:hAnsi="宋体"/>
                <w:kern w:val="0"/>
                <w:szCs w:val="21"/>
              </w:rPr>
            </w:pPr>
            <w:r>
              <w:rPr>
                <w:rFonts w:ascii="宋体" w:hAnsi="宋体"/>
                <w:kern w:val="0"/>
                <w:szCs w:val="21"/>
              </w:rPr>
              <w:t>614</w:t>
            </w:r>
          </w:p>
        </w:tc>
      </w:tr>
      <w:tr w14:paraId="55802FB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667" w:type="pct"/>
            <w:shd w:val="clear" w:color="auto" w:fill="auto"/>
            <w:noWrap/>
            <w:vAlign w:val="center"/>
          </w:tcPr>
          <w:p w14:paraId="1A8861B7">
            <w:pPr>
              <w:pStyle w:val="23"/>
              <w:jc w:val="center"/>
              <w:rPr>
                <w:rFonts w:ascii="宋体" w:hAnsi="宋体"/>
                <w:kern w:val="0"/>
                <w:szCs w:val="21"/>
              </w:rPr>
            </w:pPr>
            <w:r>
              <w:rPr>
                <w:rFonts w:ascii="宋体" w:hAnsi="宋体"/>
                <w:kern w:val="0"/>
                <w:szCs w:val="21"/>
              </w:rPr>
              <w:t>油山</w:t>
            </w:r>
          </w:p>
        </w:tc>
        <w:tc>
          <w:tcPr>
            <w:tcW w:w="1667" w:type="pct"/>
            <w:shd w:val="clear" w:color="auto" w:fill="auto"/>
            <w:noWrap/>
            <w:vAlign w:val="center"/>
          </w:tcPr>
          <w:p w14:paraId="7919C506">
            <w:pPr>
              <w:pStyle w:val="23"/>
              <w:jc w:val="center"/>
              <w:rPr>
                <w:rFonts w:ascii="宋体" w:hAnsi="宋体"/>
                <w:kern w:val="0"/>
                <w:szCs w:val="21"/>
              </w:rPr>
            </w:pPr>
            <w:r>
              <w:rPr>
                <w:rFonts w:ascii="宋体" w:hAnsi="宋体"/>
                <w:kern w:val="0"/>
                <w:szCs w:val="21"/>
              </w:rPr>
              <w:t>24700</w:t>
            </w:r>
          </w:p>
        </w:tc>
        <w:tc>
          <w:tcPr>
            <w:tcW w:w="1667" w:type="pct"/>
            <w:shd w:val="clear" w:color="auto" w:fill="auto"/>
            <w:noWrap/>
            <w:vAlign w:val="center"/>
          </w:tcPr>
          <w:p w14:paraId="26A9BAEB">
            <w:pPr>
              <w:pStyle w:val="23"/>
              <w:jc w:val="center"/>
              <w:rPr>
                <w:rFonts w:ascii="宋体" w:hAnsi="宋体"/>
                <w:kern w:val="0"/>
                <w:szCs w:val="21"/>
              </w:rPr>
            </w:pPr>
            <w:r>
              <w:rPr>
                <w:rFonts w:ascii="宋体" w:hAnsi="宋体"/>
                <w:kern w:val="0"/>
                <w:szCs w:val="21"/>
              </w:rPr>
              <w:t>1414</w:t>
            </w:r>
          </w:p>
        </w:tc>
      </w:tr>
      <w:tr w14:paraId="3EC5F1D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667" w:type="pct"/>
            <w:shd w:val="clear" w:color="auto" w:fill="auto"/>
            <w:noWrap/>
            <w:vAlign w:val="center"/>
          </w:tcPr>
          <w:p w14:paraId="1B358EF7">
            <w:pPr>
              <w:pStyle w:val="23"/>
              <w:jc w:val="center"/>
              <w:rPr>
                <w:rFonts w:ascii="宋体" w:hAnsi="宋体"/>
                <w:kern w:val="0"/>
                <w:szCs w:val="21"/>
              </w:rPr>
            </w:pPr>
            <w:r>
              <w:rPr>
                <w:rFonts w:ascii="宋体" w:hAnsi="宋体"/>
                <w:kern w:val="0"/>
                <w:szCs w:val="21"/>
              </w:rPr>
              <w:t>南亩</w:t>
            </w:r>
          </w:p>
        </w:tc>
        <w:tc>
          <w:tcPr>
            <w:tcW w:w="1667" w:type="pct"/>
            <w:shd w:val="clear" w:color="auto" w:fill="auto"/>
            <w:noWrap/>
            <w:vAlign w:val="center"/>
          </w:tcPr>
          <w:p w14:paraId="7E653628">
            <w:pPr>
              <w:pStyle w:val="23"/>
              <w:jc w:val="center"/>
              <w:rPr>
                <w:rFonts w:ascii="宋体" w:hAnsi="宋体"/>
                <w:kern w:val="0"/>
                <w:szCs w:val="21"/>
              </w:rPr>
            </w:pPr>
            <w:r>
              <w:rPr>
                <w:rFonts w:ascii="宋体" w:hAnsi="宋体"/>
                <w:kern w:val="0"/>
                <w:szCs w:val="21"/>
              </w:rPr>
              <w:t>14217</w:t>
            </w:r>
          </w:p>
        </w:tc>
        <w:tc>
          <w:tcPr>
            <w:tcW w:w="1667" w:type="pct"/>
            <w:shd w:val="clear" w:color="auto" w:fill="auto"/>
            <w:noWrap/>
            <w:vAlign w:val="center"/>
          </w:tcPr>
          <w:p w14:paraId="0E50C2C6">
            <w:pPr>
              <w:pStyle w:val="23"/>
              <w:jc w:val="center"/>
              <w:rPr>
                <w:rFonts w:ascii="宋体" w:hAnsi="宋体"/>
                <w:kern w:val="0"/>
                <w:szCs w:val="21"/>
              </w:rPr>
            </w:pPr>
            <w:r>
              <w:rPr>
                <w:rFonts w:ascii="宋体" w:hAnsi="宋体"/>
                <w:kern w:val="0"/>
                <w:szCs w:val="21"/>
              </w:rPr>
              <w:t>296</w:t>
            </w:r>
          </w:p>
        </w:tc>
      </w:tr>
      <w:tr w14:paraId="7DF764C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667" w:type="pct"/>
            <w:shd w:val="clear" w:color="auto" w:fill="auto"/>
            <w:noWrap/>
            <w:vAlign w:val="center"/>
          </w:tcPr>
          <w:p w14:paraId="085FF70A">
            <w:pPr>
              <w:pStyle w:val="23"/>
              <w:jc w:val="center"/>
              <w:rPr>
                <w:rFonts w:ascii="宋体" w:hAnsi="宋体"/>
                <w:kern w:val="0"/>
                <w:szCs w:val="21"/>
              </w:rPr>
            </w:pPr>
            <w:r>
              <w:rPr>
                <w:rFonts w:ascii="宋体" w:hAnsi="宋体"/>
                <w:kern w:val="0"/>
                <w:szCs w:val="21"/>
              </w:rPr>
              <w:t>水口</w:t>
            </w:r>
          </w:p>
        </w:tc>
        <w:tc>
          <w:tcPr>
            <w:tcW w:w="1667" w:type="pct"/>
            <w:shd w:val="clear" w:color="auto" w:fill="auto"/>
            <w:noWrap/>
            <w:vAlign w:val="center"/>
          </w:tcPr>
          <w:p w14:paraId="3402FD3A">
            <w:pPr>
              <w:pStyle w:val="23"/>
              <w:jc w:val="center"/>
              <w:rPr>
                <w:rFonts w:ascii="宋体" w:hAnsi="宋体"/>
                <w:kern w:val="0"/>
                <w:szCs w:val="21"/>
              </w:rPr>
            </w:pPr>
            <w:r>
              <w:rPr>
                <w:rFonts w:ascii="宋体" w:hAnsi="宋体"/>
                <w:kern w:val="0"/>
                <w:szCs w:val="21"/>
              </w:rPr>
              <w:t>21263</w:t>
            </w:r>
          </w:p>
        </w:tc>
        <w:tc>
          <w:tcPr>
            <w:tcW w:w="1667" w:type="pct"/>
            <w:shd w:val="clear" w:color="auto" w:fill="auto"/>
            <w:noWrap/>
            <w:vAlign w:val="center"/>
          </w:tcPr>
          <w:p w14:paraId="5245108C">
            <w:pPr>
              <w:pStyle w:val="23"/>
              <w:jc w:val="center"/>
              <w:rPr>
                <w:rFonts w:ascii="宋体" w:hAnsi="宋体"/>
                <w:kern w:val="0"/>
                <w:szCs w:val="21"/>
              </w:rPr>
            </w:pPr>
            <w:r>
              <w:rPr>
                <w:rFonts w:ascii="宋体" w:hAnsi="宋体"/>
                <w:kern w:val="0"/>
                <w:szCs w:val="21"/>
              </w:rPr>
              <w:t>1129</w:t>
            </w:r>
          </w:p>
        </w:tc>
      </w:tr>
      <w:tr w14:paraId="6D5E54D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667" w:type="pct"/>
            <w:shd w:val="clear" w:color="auto" w:fill="auto"/>
            <w:noWrap/>
            <w:vAlign w:val="center"/>
          </w:tcPr>
          <w:p w14:paraId="4ACC11B0">
            <w:pPr>
              <w:pStyle w:val="23"/>
              <w:jc w:val="center"/>
              <w:rPr>
                <w:rFonts w:ascii="宋体" w:hAnsi="宋体"/>
                <w:kern w:val="0"/>
                <w:szCs w:val="21"/>
              </w:rPr>
            </w:pPr>
            <w:r>
              <w:rPr>
                <w:rFonts w:ascii="宋体" w:hAnsi="宋体"/>
                <w:kern w:val="0"/>
                <w:szCs w:val="21"/>
              </w:rPr>
              <w:t>江头</w:t>
            </w:r>
          </w:p>
        </w:tc>
        <w:tc>
          <w:tcPr>
            <w:tcW w:w="1667" w:type="pct"/>
            <w:shd w:val="clear" w:color="auto" w:fill="auto"/>
            <w:noWrap/>
            <w:vAlign w:val="center"/>
          </w:tcPr>
          <w:p w14:paraId="1C834599">
            <w:pPr>
              <w:pStyle w:val="23"/>
              <w:jc w:val="center"/>
              <w:rPr>
                <w:rFonts w:ascii="宋体" w:hAnsi="宋体"/>
                <w:kern w:val="0"/>
                <w:szCs w:val="21"/>
              </w:rPr>
            </w:pPr>
            <w:r>
              <w:rPr>
                <w:rFonts w:ascii="宋体" w:hAnsi="宋体"/>
                <w:kern w:val="0"/>
                <w:szCs w:val="21"/>
              </w:rPr>
              <w:t>10582</w:t>
            </w:r>
          </w:p>
        </w:tc>
        <w:tc>
          <w:tcPr>
            <w:tcW w:w="1667" w:type="pct"/>
            <w:shd w:val="clear" w:color="auto" w:fill="auto"/>
            <w:noWrap/>
            <w:vAlign w:val="center"/>
          </w:tcPr>
          <w:p w14:paraId="3A52DDBB">
            <w:pPr>
              <w:pStyle w:val="23"/>
              <w:jc w:val="center"/>
              <w:rPr>
                <w:rFonts w:ascii="宋体" w:hAnsi="宋体"/>
                <w:kern w:val="0"/>
                <w:szCs w:val="21"/>
              </w:rPr>
            </w:pPr>
            <w:r>
              <w:rPr>
                <w:rFonts w:ascii="宋体" w:hAnsi="宋体"/>
                <w:kern w:val="0"/>
                <w:szCs w:val="21"/>
              </w:rPr>
              <w:t>599</w:t>
            </w:r>
          </w:p>
        </w:tc>
      </w:tr>
      <w:tr w14:paraId="6F33B2B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667" w:type="pct"/>
            <w:shd w:val="clear" w:color="auto" w:fill="auto"/>
            <w:noWrap/>
            <w:vAlign w:val="center"/>
          </w:tcPr>
          <w:p w14:paraId="5B8AB2F6">
            <w:pPr>
              <w:pStyle w:val="23"/>
              <w:jc w:val="center"/>
              <w:rPr>
                <w:rFonts w:ascii="宋体" w:hAnsi="宋体"/>
                <w:kern w:val="0"/>
                <w:szCs w:val="21"/>
              </w:rPr>
            </w:pPr>
            <w:r>
              <w:rPr>
                <w:rFonts w:ascii="宋体" w:hAnsi="宋体"/>
                <w:kern w:val="0"/>
                <w:szCs w:val="21"/>
              </w:rPr>
              <w:t>湖口</w:t>
            </w:r>
          </w:p>
        </w:tc>
        <w:tc>
          <w:tcPr>
            <w:tcW w:w="1667" w:type="pct"/>
            <w:shd w:val="clear" w:color="auto" w:fill="auto"/>
            <w:noWrap/>
            <w:vAlign w:val="center"/>
          </w:tcPr>
          <w:p w14:paraId="0C555FAF">
            <w:pPr>
              <w:pStyle w:val="23"/>
              <w:jc w:val="center"/>
              <w:rPr>
                <w:rFonts w:ascii="宋体" w:hAnsi="宋体"/>
                <w:kern w:val="0"/>
                <w:szCs w:val="21"/>
              </w:rPr>
            </w:pPr>
            <w:r>
              <w:rPr>
                <w:rFonts w:ascii="宋体" w:hAnsi="宋体"/>
                <w:kern w:val="0"/>
                <w:szCs w:val="21"/>
              </w:rPr>
              <w:t>28820</w:t>
            </w:r>
          </w:p>
        </w:tc>
        <w:tc>
          <w:tcPr>
            <w:tcW w:w="1667" w:type="pct"/>
            <w:shd w:val="clear" w:color="auto" w:fill="auto"/>
            <w:noWrap/>
            <w:vAlign w:val="center"/>
          </w:tcPr>
          <w:p w14:paraId="0DA5D57A">
            <w:pPr>
              <w:pStyle w:val="23"/>
              <w:jc w:val="center"/>
              <w:rPr>
                <w:rFonts w:ascii="宋体" w:hAnsi="宋体"/>
                <w:kern w:val="0"/>
                <w:szCs w:val="21"/>
              </w:rPr>
            </w:pPr>
            <w:r>
              <w:rPr>
                <w:rFonts w:ascii="宋体" w:hAnsi="宋体"/>
                <w:kern w:val="0"/>
                <w:szCs w:val="21"/>
              </w:rPr>
              <w:t>1124</w:t>
            </w:r>
          </w:p>
        </w:tc>
      </w:tr>
      <w:tr w14:paraId="689B60F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667" w:type="pct"/>
            <w:shd w:val="clear" w:color="auto" w:fill="auto"/>
            <w:noWrap/>
            <w:vAlign w:val="center"/>
          </w:tcPr>
          <w:p w14:paraId="22870BC0">
            <w:pPr>
              <w:pStyle w:val="23"/>
              <w:jc w:val="center"/>
              <w:rPr>
                <w:rFonts w:ascii="宋体" w:hAnsi="宋体"/>
                <w:kern w:val="0"/>
                <w:szCs w:val="21"/>
              </w:rPr>
            </w:pPr>
            <w:r>
              <w:rPr>
                <w:rFonts w:ascii="宋体" w:hAnsi="宋体"/>
                <w:kern w:val="0"/>
                <w:szCs w:val="21"/>
              </w:rPr>
              <w:t>珠玑</w:t>
            </w:r>
          </w:p>
        </w:tc>
        <w:tc>
          <w:tcPr>
            <w:tcW w:w="1667" w:type="pct"/>
            <w:shd w:val="clear" w:color="auto" w:fill="auto"/>
            <w:noWrap/>
            <w:vAlign w:val="center"/>
          </w:tcPr>
          <w:p w14:paraId="39751971">
            <w:pPr>
              <w:pStyle w:val="23"/>
              <w:jc w:val="center"/>
              <w:rPr>
                <w:rFonts w:ascii="宋体" w:hAnsi="宋体"/>
                <w:kern w:val="0"/>
                <w:szCs w:val="21"/>
              </w:rPr>
            </w:pPr>
            <w:r>
              <w:rPr>
                <w:rFonts w:ascii="宋体" w:hAnsi="宋体"/>
                <w:kern w:val="0"/>
                <w:szCs w:val="21"/>
              </w:rPr>
              <w:t>37957</w:t>
            </w:r>
          </w:p>
        </w:tc>
        <w:tc>
          <w:tcPr>
            <w:tcW w:w="1667" w:type="pct"/>
            <w:shd w:val="clear" w:color="auto" w:fill="auto"/>
            <w:noWrap/>
            <w:vAlign w:val="center"/>
          </w:tcPr>
          <w:p w14:paraId="107F4111">
            <w:pPr>
              <w:pStyle w:val="23"/>
              <w:jc w:val="center"/>
              <w:rPr>
                <w:rFonts w:ascii="宋体" w:hAnsi="宋体"/>
                <w:kern w:val="0"/>
                <w:szCs w:val="21"/>
              </w:rPr>
            </w:pPr>
            <w:r>
              <w:rPr>
                <w:rFonts w:ascii="宋体" w:hAnsi="宋体"/>
                <w:kern w:val="0"/>
                <w:szCs w:val="21"/>
              </w:rPr>
              <w:t>1548</w:t>
            </w:r>
          </w:p>
        </w:tc>
      </w:tr>
      <w:tr w14:paraId="279D314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667" w:type="pct"/>
            <w:shd w:val="clear" w:color="auto" w:fill="auto"/>
            <w:noWrap/>
            <w:vAlign w:val="center"/>
          </w:tcPr>
          <w:p w14:paraId="48A5CF55">
            <w:pPr>
              <w:pStyle w:val="23"/>
              <w:jc w:val="center"/>
              <w:rPr>
                <w:rFonts w:ascii="宋体" w:hAnsi="宋体"/>
                <w:kern w:val="0"/>
                <w:szCs w:val="21"/>
              </w:rPr>
            </w:pPr>
            <w:r>
              <w:rPr>
                <w:rFonts w:ascii="宋体" w:hAnsi="宋体"/>
                <w:kern w:val="0"/>
                <w:szCs w:val="21"/>
              </w:rPr>
              <w:t>主田</w:t>
            </w:r>
          </w:p>
        </w:tc>
        <w:tc>
          <w:tcPr>
            <w:tcW w:w="1667" w:type="pct"/>
            <w:shd w:val="clear" w:color="auto" w:fill="auto"/>
            <w:noWrap/>
            <w:vAlign w:val="center"/>
          </w:tcPr>
          <w:p w14:paraId="53099A68">
            <w:pPr>
              <w:pStyle w:val="23"/>
              <w:jc w:val="center"/>
              <w:rPr>
                <w:rFonts w:ascii="宋体" w:hAnsi="宋体"/>
                <w:kern w:val="0"/>
                <w:szCs w:val="21"/>
              </w:rPr>
            </w:pPr>
            <w:r>
              <w:rPr>
                <w:rFonts w:ascii="宋体" w:hAnsi="宋体"/>
                <w:kern w:val="0"/>
                <w:szCs w:val="21"/>
              </w:rPr>
              <w:t>11441</w:t>
            </w:r>
          </w:p>
        </w:tc>
        <w:tc>
          <w:tcPr>
            <w:tcW w:w="1667" w:type="pct"/>
            <w:shd w:val="clear" w:color="auto" w:fill="auto"/>
            <w:noWrap/>
            <w:vAlign w:val="center"/>
          </w:tcPr>
          <w:p w14:paraId="5FA1F9F4">
            <w:pPr>
              <w:pStyle w:val="23"/>
              <w:jc w:val="center"/>
              <w:rPr>
                <w:rFonts w:ascii="宋体" w:hAnsi="宋体"/>
                <w:kern w:val="0"/>
                <w:szCs w:val="21"/>
              </w:rPr>
            </w:pPr>
            <w:r>
              <w:rPr>
                <w:rFonts w:ascii="宋体" w:hAnsi="宋体"/>
                <w:kern w:val="0"/>
                <w:szCs w:val="21"/>
              </w:rPr>
              <w:t>493</w:t>
            </w:r>
          </w:p>
        </w:tc>
      </w:tr>
      <w:tr w14:paraId="48E3596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667" w:type="pct"/>
            <w:shd w:val="clear" w:color="auto" w:fill="auto"/>
            <w:noWrap/>
            <w:vAlign w:val="center"/>
          </w:tcPr>
          <w:p w14:paraId="352A6B17">
            <w:pPr>
              <w:pStyle w:val="23"/>
              <w:jc w:val="center"/>
              <w:rPr>
                <w:rFonts w:ascii="宋体" w:hAnsi="宋体"/>
                <w:kern w:val="0"/>
                <w:szCs w:val="21"/>
              </w:rPr>
            </w:pPr>
            <w:r>
              <w:rPr>
                <w:rFonts w:ascii="宋体" w:hAnsi="宋体"/>
                <w:kern w:val="0"/>
                <w:szCs w:val="21"/>
              </w:rPr>
              <w:t>古市</w:t>
            </w:r>
          </w:p>
        </w:tc>
        <w:tc>
          <w:tcPr>
            <w:tcW w:w="1667" w:type="pct"/>
            <w:shd w:val="clear" w:color="auto" w:fill="auto"/>
            <w:noWrap/>
            <w:vAlign w:val="center"/>
          </w:tcPr>
          <w:p w14:paraId="77B6E746">
            <w:pPr>
              <w:pStyle w:val="23"/>
              <w:jc w:val="center"/>
              <w:rPr>
                <w:rFonts w:ascii="宋体" w:hAnsi="宋体"/>
                <w:kern w:val="0"/>
                <w:szCs w:val="21"/>
              </w:rPr>
            </w:pPr>
            <w:r>
              <w:rPr>
                <w:rFonts w:ascii="宋体" w:hAnsi="宋体"/>
                <w:kern w:val="0"/>
                <w:szCs w:val="21"/>
              </w:rPr>
              <w:t>17691</w:t>
            </w:r>
          </w:p>
        </w:tc>
        <w:tc>
          <w:tcPr>
            <w:tcW w:w="1667" w:type="pct"/>
            <w:shd w:val="clear" w:color="auto" w:fill="auto"/>
            <w:noWrap/>
            <w:vAlign w:val="center"/>
          </w:tcPr>
          <w:p w14:paraId="55E3C4F2">
            <w:pPr>
              <w:pStyle w:val="23"/>
              <w:jc w:val="center"/>
              <w:rPr>
                <w:rFonts w:ascii="宋体" w:hAnsi="宋体"/>
                <w:kern w:val="0"/>
                <w:szCs w:val="21"/>
              </w:rPr>
            </w:pPr>
            <w:r>
              <w:rPr>
                <w:rFonts w:ascii="宋体" w:hAnsi="宋体"/>
                <w:kern w:val="0"/>
                <w:szCs w:val="21"/>
              </w:rPr>
              <w:t>619</w:t>
            </w:r>
          </w:p>
        </w:tc>
      </w:tr>
      <w:tr w14:paraId="5890FC7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667" w:type="pct"/>
            <w:shd w:val="clear" w:color="auto" w:fill="auto"/>
            <w:noWrap/>
            <w:vAlign w:val="center"/>
          </w:tcPr>
          <w:p w14:paraId="1955B6AD">
            <w:pPr>
              <w:pStyle w:val="23"/>
              <w:jc w:val="center"/>
              <w:rPr>
                <w:rFonts w:ascii="宋体" w:hAnsi="宋体"/>
                <w:kern w:val="0"/>
                <w:szCs w:val="21"/>
              </w:rPr>
            </w:pPr>
            <w:r>
              <w:rPr>
                <w:rFonts w:ascii="宋体" w:hAnsi="宋体"/>
                <w:kern w:val="0"/>
                <w:szCs w:val="21"/>
              </w:rPr>
              <w:t>全安</w:t>
            </w:r>
          </w:p>
        </w:tc>
        <w:tc>
          <w:tcPr>
            <w:tcW w:w="1667" w:type="pct"/>
            <w:shd w:val="clear" w:color="auto" w:fill="auto"/>
            <w:noWrap/>
            <w:vAlign w:val="center"/>
          </w:tcPr>
          <w:p w14:paraId="7F067B13">
            <w:pPr>
              <w:pStyle w:val="23"/>
              <w:jc w:val="center"/>
              <w:rPr>
                <w:rFonts w:ascii="宋体" w:hAnsi="宋体"/>
                <w:kern w:val="0"/>
                <w:szCs w:val="21"/>
              </w:rPr>
            </w:pPr>
            <w:r>
              <w:rPr>
                <w:rFonts w:ascii="宋体" w:hAnsi="宋体"/>
                <w:kern w:val="0"/>
                <w:szCs w:val="21"/>
              </w:rPr>
              <w:t>23904</w:t>
            </w:r>
          </w:p>
        </w:tc>
        <w:tc>
          <w:tcPr>
            <w:tcW w:w="1667" w:type="pct"/>
            <w:shd w:val="clear" w:color="auto" w:fill="auto"/>
            <w:noWrap/>
            <w:vAlign w:val="center"/>
          </w:tcPr>
          <w:p w14:paraId="289B423A">
            <w:pPr>
              <w:pStyle w:val="23"/>
              <w:jc w:val="center"/>
              <w:rPr>
                <w:rFonts w:ascii="宋体" w:hAnsi="宋体"/>
                <w:kern w:val="0"/>
                <w:szCs w:val="21"/>
              </w:rPr>
            </w:pPr>
            <w:r>
              <w:rPr>
                <w:rFonts w:ascii="宋体" w:hAnsi="宋体"/>
                <w:kern w:val="0"/>
                <w:szCs w:val="21"/>
              </w:rPr>
              <w:t>1009</w:t>
            </w:r>
          </w:p>
        </w:tc>
      </w:tr>
      <w:tr w14:paraId="3D0173F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667" w:type="pct"/>
            <w:shd w:val="clear" w:color="auto" w:fill="auto"/>
            <w:noWrap/>
            <w:vAlign w:val="center"/>
          </w:tcPr>
          <w:p w14:paraId="3C7FF7BF">
            <w:pPr>
              <w:pStyle w:val="23"/>
              <w:jc w:val="center"/>
              <w:rPr>
                <w:rFonts w:ascii="宋体" w:hAnsi="宋体"/>
                <w:kern w:val="0"/>
                <w:szCs w:val="21"/>
              </w:rPr>
            </w:pPr>
            <w:r>
              <w:rPr>
                <w:rFonts w:ascii="宋体" w:hAnsi="宋体"/>
                <w:kern w:val="0"/>
                <w:szCs w:val="21"/>
              </w:rPr>
              <w:t>百顺</w:t>
            </w:r>
          </w:p>
        </w:tc>
        <w:tc>
          <w:tcPr>
            <w:tcW w:w="1667" w:type="pct"/>
            <w:shd w:val="clear" w:color="auto" w:fill="auto"/>
            <w:noWrap/>
            <w:vAlign w:val="center"/>
          </w:tcPr>
          <w:p w14:paraId="6401EEB2">
            <w:pPr>
              <w:pStyle w:val="23"/>
              <w:jc w:val="center"/>
              <w:rPr>
                <w:rFonts w:ascii="宋体" w:hAnsi="宋体"/>
                <w:kern w:val="0"/>
                <w:szCs w:val="21"/>
              </w:rPr>
            </w:pPr>
            <w:r>
              <w:rPr>
                <w:rFonts w:ascii="宋体" w:hAnsi="宋体"/>
                <w:kern w:val="0"/>
                <w:szCs w:val="21"/>
              </w:rPr>
              <w:t>11073</w:t>
            </w:r>
          </w:p>
        </w:tc>
        <w:tc>
          <w:tcPr>
            <w:tcW w:w="1667" w:type="pct"/>
            <w:shd w:val="clear" w:color="auto" w:fill="auto"/>
            <w:noWrap/>
            <w:vAlign w:val="center"/>
          </w:tcPr>
          <w:p w14:paraId="7F48DD7B">
            <w:pPr>
              <w:pStyle w:val="23"/>
              <w:jc w:val="center"/>
              <w:rPr>
                <w:rFonts w:ascii="宋体" w:hAnsi="宋体"/>
                <w:kern w:val="0"/>
                <w:szCs w:val="21"/>
              </w:rPr>
            </w:pPr>
            <w:r>
              <w:rPr>
                <w:rFonts w:ascii="宋体" w:hAnsi="宋体"/>
                <w:kern w:val="0"/>
                <w:szCs w:val="21"/>
              </w:rPr>
              <w:t>343</w:t>
            </w:r>
          </w:p>
        </w:tc>
      </w:tr>
      <w:tr w14:paraId="22AFCC7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667" w:type="pct"/>
            <w:shd w:val="clear" w:color="auto" w:fill="auto"/>
            <w:noWrap/>
            <w:vAlign w:val="center"/>
          </w:tcPr>
          <w:p w14:paraId="0B1D906F">
            <w:pPr>
              <w:pStyle w:val="23"/>
              <w:jc w:val="center"/>
              <w:rPr>
                <w:rFonts w:ascii="宋体" w:hAnsi="宋体"/>
                <w:kern w:val="0"/>
                <w:szCs w:val="21"/>
              </w:rPr>
            </w:pPr>
            <w:r>
              <w:rPr>
                <w:rFonts w:ascii="宋体" w:hAnsi="宋体"/>
                <w:kern w:val="0"/>
                <w:szCs w:val="21"/>
              </w:rPr>
              <w:t>澜河</w:t>
            </w:r>
          </w:p>
        </w:tc>
        <w:tc>
          <w:tcPr>
            <w:tcW w:w="1667" w:type="pct"/>
            <w:shd w:val="clear" w:color="auto" w:fill="auto"/>
            <w:noWrap/>
            <w:vAlign w:val="center"/>
          </w:tcPr>
          <w:p w14:paraId="4CA8E532">
            <w:pPr>
              <w:pStyle w:val="23"/>
              <w:jc w:val="center"/>
              <w:rPr>
                <w:rFonts w:ascii="宋体" w:hAnsi="宋体"/>
                <w:kern w:val="0"/>
                <w:szCs w:val="21"/>
              </w:rPr>
            </w:pPr>
            <w:r>
              <w:rPr>
                <w:rFonts w:ascii="宋体" w:hAnsi="宋体"/>
                <w:kern w:val="0"/>
                <w:szCs w:val="21"/>
              </w:rPr>
              <w:t>8898</w:t>
            </w:r>
          </w:p>
        </w:tc>
        <w:tc>
          <w:tcPr>
            <w:tcW w:w="1667" w:type="pct"/>
            <w:shd w:val="clear" w:color="auto" w:fill="auto"/>
            <w:noWrap/>
            <w:vAlign w:val="center"/>
          </w:tcPr>
          <w:p w14:paraId="21033F1A">
            <w:pPr>
              <w:pStyle w:val="23"/>
              <w:jc w:val="center"/>
              <w:rPr>
                <w:rFonts w:ascii="宋体" w:hAnsi="宋体"/>
                <w:kern w:val="0"/>
                <w:szCs w:val="21"/>
              </w:rPr>
            </w:pPr>
            <w:r>
              <w:rPr>
                <w:rFonts w:ascii="宋体" w:hAnsi="宋体"/>
                <w:kern w:val="0"/>
                <w:szCs w:val="21"/>
              </w:rPr>
              <w:t>335</w:t>
            </w:r>
          </w:p>
        </w:tc>
      </w:tr>
      <w:tr w14:paraId="1A8B6E5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667" w:type="pct"/>
            <w:shd w:val="clear" w:color="auto" w:fill="auto"/>
            <w:noWrap/>
            <w:vAlign w:val="center"/>
          </w:tcPr>
          <w:p w14:paraId="4F135E93">
            <w:pPr>
              <w:pStyle w:val="23"/>
              <w:jc w:val="center"/>
              <w:rPr>
                <w:rFonts w:ascii="宋体" w:hAnsi="宋体"/>
                <w:kern w:val="0"/>
                <w:szCs w:val="21"/>
              </w:rPr>
            </w:pPr>
            <w:r>
              <w:rPr>
                <w:rFonts w:ascii="宋体" w:hAnsi="宋体"/>
                <w:kern w:val="0"/>
                <w:szCs w:val="21"/>
              </w:rPr>
              <w:t>帽子峰</w:t>
            </w:r>
          </w:p>
        </w:tc>
        <w:tc>
          <w:tcPr>
            <w:tcW w:w="1667" w:type="pct"/>
            <w:shd w:val="clear" w:color="auto" w:fill="auto"/>
            <w:noWrap/>
            <w:vAlign w:val="center"/>
          </w:tcPr>
          <w:p w14:paraId="7DF1233D">
            <w:pPr>
              <w:pStyle w:val="23"/>
              <w:jc w:val="center"/>
              <w:rPr>
                <w:rFonts w:ascii="宋体" w:hAnsi="宋体"/>
                <w:kern w:val="0"/>
                <w:szCs w:val="21"/>
              </w:rPr>
            </w:pPr>
            <w:r>
              <w:rPr>
                <w:rFonts w:ascii="宋体" w:hAnsi="宋体"/>
                <w:kern w:val="0"/>
                <w:szCs w:val="21"/>
              </w:rPr>
              <w:t>7805</w:t>
            </w:r>
          </w:p>
        </w:tc>
        <w:tc>
          <w:tcPr>
            <w:tcW w:w="1667" w:type="pct"/>
            <w:shd w:val="clear" w:color="auto" w:fill="auto"/>
            <w:noWrap/>
            <w:vAlign w:val="center"/>
          </w:tcPr>
          <w:p w14:paraId="1F8E8331">
            <w:pPr>
              <w:pStyle w:val="23"/>
              <w:jc w:val="center"/>
              <w:rPr>
                <w:rFonts w:ascii="宋体" w:hAnsi="宋体"/>
                <w:kern w:val="0"/>
                <w:szCs w:val="21"/>
              </w:rPr>
            </w:pPr>
            <w:r>
              <w:rPr>
                <w:rFonts w:ascii="宋体" w:hAnsi="宋体"/>
                <w:kern w:val="0"/>
                <w:szCs w:val="21"/>
              </w:rPr>
              <w:t>273</w:t>
            </w:r>
          </w:p>
        </w:tc>
      </w:tr>
      <w:tr w14:paraId="349DF3A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667" w:type="pct"/>
            <w:shd w:val="clear" w:color="auto" w:fill="auto"/>
            <w:noWrap/>
            <w:vAlign w:val="center"/>
          </w:tcPr>
          <w:p w14:paraId="5518AF32">
            <w:pPr>
              <w:pStyle w:val="23"/>
              <w:jc w:val="center"/>
              <w:rPr>
                <w:rFonts w:ascii="宋体" w:hAnsi="宋体"/>
                <w:kern w:val="0"/>
                <w:szCs w:val="21"/>
              </w:rPr>
            </w:pPr>
            <w:r>
              <w:rPr>
                <w:rFonts w:ascii="宋体" w:hAnsi="宋体"/>
                <w:kern w:val="0"/>
                <w:szCs w:val="21"/>
              </w:rPr>
              <w:t>雄州街道</w:t>
            </w:r>
          </w:p>
        </w:tc>
        <w:tc>
          <w:tcPr>
            <w:tcW w:w="1667" w:type="pct"/>
            <w:shd w:val="clear" w:color="auto" w:fill="auto"/>
            <w:noWrap/>
            <w:vAlign w:val="center"/>
          </w:tcPr>
          <w:p w14:paraId="7AC0414D">
            <w:pPr>
              <w:pStyle w:val="23"/>
              <w:jc w:val="center"/>
              <w:rPr>
                <w:rFonts w:ascii="宋体" w:hAnsi="宋体"/>
                <w:kern w:val="0"/>
                <w:szCs w:val="21"/>
              </w:rPr>
            </w:pPr>
            <w:r>
              <w:rPr>
                <w:rFonts w:ascii="宋体" w:hAnsi="宋体"/>
                <w:kern w:val="0"/>
                <w:szCs w:val="21"/>
              </w:rPr>
              <w:t>33020</w:t>
            </w:r>
          </w:p>
        </w:tc>
        <w:tc>
          <w:tcPr>
            <w:tcW w:w="1667" w:type="pct"/>
            <w:shd w:val="clear" w:color="auto" w:fill="auto"/>
            <w:noWrap/>
            <w:vAlign w:val="center"/>
          </w:tcPr>
          <w:p w14:paraId="21E9F982">
            <w:pPr>
              <w:pStyle w:val="23"/>
              <w:jc w:val="center"/>
              <w:rPr>
                <w:rFonts w:ascii="宋体" w:hAnsi="宋体"/>
                <w:kern w:val="0"/>
                <w:szCs w:val="21"/>
              </w:rPr>
            </w:pPr>
            <w:r>
              <w:rPr>
                <w:rFonts w:ascii="宋体" w:hAnsi="宋体"/>
                <w:kern w:val="0"/>
                <w:szCs w:val="21"/>
              </w:rPr>
              <w:t>899</w:t>
            </w:r>
          </w:p>
        </w:tc>
      </w:tr>
    </w:tbl>
    <w:p w14:paraId="0DE0D9FD">
      <w:pPr>
        <w:ind w:firstLine="0" w:firstLineChars="0"/>
        <w:jc w:val="center"/>
        <w:rPr>
          <w:rFonts w:ascii="宋体" w:hAnsi="宋体"/>
          <w:b/>
          <w:szCs w:val="21"/>
        </w:rPr>
      </w:pPr>
      <w:r>
        <w:rPr>
          <w:rFonts w:hint="eastAsia" w:ascii="宋体" w:hAnsi="宋体"/>
          <w:b/>
          <w:szCs w:val="21"/>
        </w:rPr>
        <w:t>表52 分镇水稻播种面积和产量</w:t>
      </w:r>
    </w:p>
    <w:tbl>
      <w:tblPr>
        <w:tblStyle w:val="14"/>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81"/>
        <w:gridCol w:w="1413"/>
        <w:gridCol w:w="1413"/>
        <w:gridCol w:w="1413"/>
        <w:gridCol w:w="1414"/>
        <w:gridCol w:w="1414"/>
        <w:gridCol w:w="1414"/>
      </w:tblGrid>
      <w:tr w14:paraId="65BF987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714" w:type="pct"/>
            <w:shd w:val="clear" w:color="auto" w:fill="auto"/>
            <w:noWrap/>
            <w:vAlign w:val="center"/>
          </w:tcPr>
          <w:p w14:paraId="534A192D">
            <w:pPr>
              <w:pStyle w:val="23"/>
              <w:jc w:val="center"/>
              <w:rPr>
                <w:rFonts w:ascii="宋体" w:hAnsi="宋体"/>
                <w:b/>
                <w:kern w:val="0"/>
                <w:szCs w:val="21"/>
              </w:rPr>
            </w:pPr>
            <w:r>
              <w:rPr>
                <w:rFonts w:ascii="宋体" w:hAnsi="宋体"/>
                <w:b/>
                <w:kern w:val="0"/>
                <w:szCs w:val="21"/>
              </w:rPr>
              <w:t>单位单位名称</w:t>
            </w:r>
          </w:p>
        </w:tc>
        <w:tc>
          <w:tcPr>
            <w:tcW w:w="714" w:type="pct"/>
            <w:shd w:val="clear" w:color="auto" w:fill="auto"/>
            <w:noWrap/>
            <w:vAlign w:val="center"/>
          </w:tcPr>
          <w:p w14:paraId="2C2C2EB1">
            <w:pPr>
              <w:pStyle w:val="23"/>
              <w:jc w:val="center"/>
              <w:rPr>
                <w:rFonts w:ascii="宋体" w:hAnsi="宋体"/>
                <w:b/>
                <w:kern w:val="0"/>
                <w:szCs w:val="21"/>
              </w:rPr>
            </w:pPr>
            <w:r>
              <w:rPr>
                <w:rFonts w:ascii="宋体" w:hAnsi="宋体"/>
                <w:b/>
                <w:kern w:val="0"/>
                <w:szCs w:val="21"/>
              </w:rPr>
              <w:t>面积(亩)</w:t>
            </w:r>
          </w:p>
        </w:tc>
        <w:tc>
          <w:tcPr>
            <w:tcW w:w="714" w:type="pct"/>
            <w:shd w:val="clear" w:color="auto" w:fill="auto"/>
            <w:noWrap/>
            <w:vAlign w:val="center"/>
          </w:tcPr>
          <w:p w14:paraId="0576F767">
            <w:pPr>
              <w:pStyle w:val="23"/>
              <w:jc w:val="center"/>
              <w:rPr>
                <w:rFonts w:ascii="宋体" w:hAnsi="宋体"/>
                <w:b/>
                <w:kern w:val="0"/>
                <w:szCs w:val="21"/>
              </w:rPr>
            </w:pPr>
            <w:r>
              <w:rPr>
                <w:rFonts w:ascii="宋体" w:hAnsi="宋体"/>
                <w:b/>
                <w:kern w:val="0"/>
                <w:szCs w:val="21"/>
              </w:rPr>
              <w:t>亩产(公斤)</w:t>
            </w:r>
          </w:p>
        </w:tc>
        <w:tc>
          <w:tcPr>
            <w:tcW w:w="714" w:type="pct"/>
            <w:shd w:val="clear" w:color="auto" w:fill="auto"/>
            <w:noWrap/>
            <w:vAlign w:val="center"/>
          </w:tcPr>
          <w:p w14:paraId="1E1B1791">
            <w:pPr>
              <w:pStyle w:val="23"/>
              <w:jc w:val="center"/>
              <w:rPr>
                <w:rFonts w:ascii="宋体" w:hAnsi="宋体"/>
                <w:b/>
                <w:kern w:val="0"/>
                <w:szCs w:val="21"/>
              </w:rPr>
            </w:pPr>
            <w:r>
              <w:rPr>
                <w:rFonts w:ascii="宋体" w:hAnsi="宋体"/>
                <w:b/>
                <w:kern w:val="0"/>
                <w:szCs w:val="21"/>
              </w:rPr>
              <w:t>总产量(吨)</w:t>
            </w:r>
          </w:p>
        </w:tc>
        <w:tc>
          <w:tcPr>
            <w:tcW w:w="714" w:type="pct"/>
            <w:shd w:val="clear" w:color="auto" w:fill="auto"/>
            <w:noWrap/>
            <w:vAlign w:val="center"/>
          </w:tcPr>
          <w:p w14:paraId="60BCC632">
            <w:pPr>
              <w:pStyle w:val="23"/>
              <w:jc w:val="center"/>
              <w:rPr>
                <w:rFonts w:ascii="宋体" w:hAnsi="宋体"/>
                <w:b/>
                <w:kern w:val="0"/>
                <w:szCs w:val="21"/>
              </w:rPr>
            </w:pPr>
            <w:r>
              <w:rPr>
                <w:rFonts w:ascii="宋体" w:hAnsi="宋体"/>
                <w:b/>
                <w:kern w:val="0"/>
                <w:szCs w:val="21"/>
              </w:rPr>
              <w:t>单位名称</w:t>
            </w:r>
          </w:p>
        </w:tc>
        <w:tc>
          <w:tcPr>
            <w:tcW w:w="714" w:type="pct"/>
            <w:shd w:val="clear" w:color="auto" w:fill="auto"/>
            <w:noWrap/>
            <w:vAlign w:val="center"/>
          </w:tcPr>
          <w:p w14:paraId="6013360E">
            <w:pPr>
              <w:pStyle w:val="23"/>
              <w:jc w:val="center"/>
              <w:rPr>
                <w:rFonts w:ascii="宋体" w:hAnsi="宋体"/>
                <w:b/>
                <w:kern w:val="0"/>
                <w:szCs w:val="21"/>
              </w:rPr>
            </w:pPr>
            <w:r>
              <w:rPr>
                <w:rFonts w:ascii="宋体" w:hAnsi="宋体"/>
                <w:b/>
                <w:kern w:val="0"/>
                <w:szCs w:val="21"/>
              </w:rPr>
              <w:t>面积(亩)</w:t>
            </w:r>
          </w:p>
        </w:tc>
        <w:tc>
          <w:tcPr>
            <w:tcW w:w="714" w:type="pct"/>
            <w:shd w:val="clear" w:color="auto" w:fill="auto"/>
            <w:noWrap/>
            <w:vAlign w:val="center"/>
          </w:tcPr>
          <w:p w14:paraId="061F90EF">
            <w:pPr>
              <w:pStyle w:val="23"/>
              <w:jc w:val="center"/>
              <w:rPr>
                <w:rFonts w:ascii="宋体" w:hAnsi="宋体"/>
                <w:b/>
                <w:kern w:val="0"/>
                <w:szCs w:val="21"/>
              </w:rPr>
            </w:pPr>
            <w:r>
              <w:rPr>
                <w:rFonts w:ascii="宋体" w:hAnsi="宋体"/>
                <w:b/>
                <w:kern w:val="0"/>
                <w:szCs w:val="21"/>
              </w:rPr>
              <w:t>亩产(公斤)</w:t>
            </w:r>
          </w:p>
        </w:tc>
      </w:tr>
      <w:tr w14:paraId="12905AB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714" w:type="pct"/>
            <w:shd w:val="clear" w:color="auto" w:fill="auto"/>
            <w:noWrap/>
            <w:vAlign w:val="center"/>
          </w:tcPr>
          <w:p w14:paraId="25D2B09D">
            <w:pPr>
              <w:pStyle w:val="23"/>
              <w:jc w:val="center"/>
              <w:rPr>
                <w:rFonts w:ascii="宋体" w:hAnsi="宋体"/>
                <w:kern w:val="0"/>
                <w:szCs w:val="21"/>
              </w:rPr>
            </w:pPr>
            <w:r>
              <w:rPr>
                <w:rFonts w:ascii="宋体" w:hAnsi="宋体"/>
                <w:kern w:val="0"/>
                <w:szCs w:val="21"/>
              </w:rPr>
              <w:t>合计</w:t>
            </w:r>
          </w:p>
        </w:tc>
        <w:tc>
          <w:tcPr>
            <w:tcW w:w="714" w:type="pct"/>
            <w:shd w:val="clear" w:color="auto" w:fill="auto"/>
            <w:noWrap/>
            <w:vAlign w:val="center"/>
          </w:tcPr>
          <w:p w14:paraId="2A0D9344">
            <w:pPr>
              <w:pStyle w:val="23"/>
              <w:jc w:val="center"/>
              <w:rPr>
                <w:rFonts w:ascii="宋体" w:hAnsi="宋体"/>
                <w:kern w:val="0"/>
                <w:szCs w:val="21"/>
              </w:rPr>
            </w:pPr>
            <w:r>
              <w:rPr>
                <w:rFonts w:ascii="宋体" w:hAnsi="宋体"/>
                <w:kern w:val="0"/>
                <w:szCs w:val="21"/>
              </w:rPr>
              <w:t>452562</w:t>
            </w:r>
          </w:p>
        </w:tc>
        <w:tc>
          <w:tcPr>
            <w:tcW w:w="714" w:type="pct"/>
            <w:shd w:val="clear" w:color="auto" w:fill="auto"/>
            <w:noWrap/>
            <w:vAlign w:val="center"/>
          </w:tcPr>
          <w:p w14:paraId="611B0355">
            <w:pPr>
              <w:pStyle w:val="23"/>
              <w:jc w:val="center"/>
              <w:rPr>
                <w:rFonts w:ascii="宋体" w:hAnsi="宋体"/>
                <w:kern w:val="0"/>
                <w:szCs w:val="21"/>
              </w:rPr>
            </w:pPr>
            <w:r>
              <w:rPr>
                <w:rFonts w:ascii="宋体" w:hAnsi="宋体"/>
                <w:kern w:val="0"/>
                <w:szCs w:val="21"/>
              </w:rPr>
              <w:t>439</w:t>
            </w:r>
          </w:p>
        </w:tc>
        <w:tc>
          <w:tcPr>
            <w:tcW w:w="714" w:type="pct"/>
            <w:shd w:val="clear" w:color="auto" w:fill="auto"/>
            <w:noWrap/>
            <w:vAlign w:val="center"/>
          </w:tcPr>
          <w:p w14:paraId="36C7680C">
            <w:pPr>
              <w:pStyle w:val="23"/>
              <w:jc w:val="center"/>
              <w:rPr>
                <w:rFonts w:ascii="宋体" w:hAnsi="宋体"/>
                <w:kern w:val="0"/>
                <w:szCs w:val="21"/>
              </w:rPr>
            </w:pPr>
            <w:r>
              <w:rPr>
                <w:rFonts w:ascii="宋体" w:hAnsi="宋体"/>
                <w:kern w:val="0"/>
                <w:szCs w:val="21"/>
              </w:rPr>
              <w:t>198678</w:t>
            </w:r>
          </w:p>
        </w:tc>
        <w:tc>
          <w:tcPr>
            <w:tcW w:w="714" w:type="pct"/>
            <w:shd w:val="clear" w:color="auto" w:fill="auto"/>
            <w:noWrap/>
            <w:vAlign w:val="center"/>
          </w:tcPr>
          <w:p w14:paraId="2B05EAC6">
            <w:pPr>
              <w:pStyle w:val="23"/>
              <w:jc w:val="center"/>
              <w:rPr>
                <w:rFonts w:ascii="宋体" w:hAnsi="宋体"/>
                <w:kern w:val="0"/>
                <w:szCs w:val="21"/>
              </w:rPr>
            </w:pPr>
            <w:r>
              <w:rPr>
                <w:rFonts w:ascii="宋体" w:hAnsi="宋体"/>
                <w:kern w:val="0"/>
                <w:szCs w:val="21"/>
              </w:rPr>
              <w:t>湖口</w:t>
            </w:r>
          </w:p>
        </w:tc>
        <w:tc>
          <w:tcPr>
            <w:tcW w:w="714" w:type="pct"/>
            <w:shd w:val="clear" w:color="auto" w:fill="auto"/>
            <w:noWrap/>
            <w:vAlign w:val="center"/>
          </w:tcPr>
          <w:p w14:paraId="4FBBF01F">
            <w:pPr>
              <w:pStyle w:val="23"/>
              <w:jc w:val="center"/>
              <w:rPr>
                <w:rFonts w:ascii="宋体" w:hAnsi="宋体"/>
                <w:kern w:val="0"/>
                <w:szCs w:val="21"/>
              </w:rPr>
            </w:pPr>
            <w:r>
              <w:rPr>
                <w:rFonts w:ascii="宋体" w:hAnsi="宋体"/>
                <w:kern w:val="0"/>
                <w:szCs w:val="21"/>
              </w:rPr>
              <w:t>32600</w:t>
            </w:r>
          </w:p>
        </w:tc>
        <w:tc>
          <w:tcPr>
            <w:tcW w:w="714" w:type="pct"/>
            <w:shd w:val="clear" w:color="auto" w:fill="auto"/>
            <w:noWrap/>
            <w:vAlign w:val="center"/>
          </w:tcPr>
          <w:p w14:paraId="0190C7D2">
            <w:pPr>
              <w:pStyle w:val="23"/>
              <w:jc w:val="center"/>
              <w:rPr>
                <w:rFonts w:ascii="宋体" w:hAnsi="宋体"/>
                <w:kern w:val="0"/>
                <w:szCs w:val="21"/>
              </w:rPr>
            </w:pPr>
            <w:r>
              <w:rPr>
                <w:rFonts w:ascii="宋体" w:hAnsi="宋体"/>
                <w:kern w:val="0"/>
                <w:szCs w:val="21"/>
              </w:rPr>
              <w:t>439</w:t>
            </w:r>
          </w:p>
        </w:tc>
      </w:tr>
      <w:tr w14:paraId="5E5E10B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714" w:type="pct"/>
            <w:shd w:val="clear" w:color="auto" w:fill="auto"/>
            <w:noWrap/>
            <w:vAlign w:val="center"/>
          </w:tcPr>
          <w:p w14:paraId="7C73D1F0">
            <w:pPr>
              <w:pStyle w:val="23"/>
              <w:jc w:val="center"/>
              <w:rPr>
                <w:rFonts w:ascii="宋体" w:hAnsi="宋体"/>
                <w:kern w:val="0"/>
                <w:szCs w:val="21"/>
              </w:rPr>
            </w:pPr>
            <w:r>
              <w:rPr>
                <w:rFonts w:ascii="宋体" w:hAnsi="宋体"/>
                <w:kern w:val="0"/>
                <w:szCs w:val="21"/>
              </w:rPr>
              <w:t>乌迳</w:t>
            </w:r>
          </w:p>
        </w:tc>
        <w:tc>
          <w:tcPr>
            <w:tcW w:w="714" w:type="pct"/>
            <w:shd w:val="clear" w:color="auto" w:fill="auto"/>
            <w:noWrap/>
            <w:vAlign w:val="center"/>
          </w:tcPr>
          <w:p w14:paraId="13799296">
            <w:pPr>
              <w:pStyle w:val="23"/>
              <w:jc w:val="center"/>
              <w:rPr>
                <w:rFonts w:ascii="宋体" w:hAnsi="宋体"/>
                <w:kern w:val="0"/>
                <w:szCs w:val="21"/>
              </w:rPr>
            </w:pPr>
            <w:r>
              <w:rPr>
                <w:rFonts w:ascii="宋体" w:hAnsi="宋体"/>
                <w:kern w:val="0"/>
                <w:szCs w:val="21"/>
              </w:rPr>
              <w:t>49848</w:t>
            </w:r>
          </w:p>
        </w:tc>
        <w:tc>
          <w:tcPr>
            <w:tcW w:w="714" w:type="pct"/>
            <w:shd w:val="clear" w:color="auto" w:fill="auto"/>
            <w:noWrap/>
            <w:vAlign w:val="center"/>
          </w:tcPr>
          <w:p w14:paraId="74224DC8">
            <w:pPr>
              <w:pStyle w:val="23"/>
              <w:jc w:val="center"/>
              <w:rPr>
                <w:rFonts w:ascii="宋体" w:hAnsi="宋体"/>
                <w:kern w:val="0"/>
                <w:szCs w:val="21"/>
              </w:rPr>
            </w:pPr>
            <w:r>
              <w:rPr>
                <w:rFonts w:ascii="宋体" w:hAnsi="宋体"/>
                <w:kern w:val="0"/>
                <w:szCs w:val="21"/>
              </w:rPr>
              <w:t>437</w:t>
            </w:r>
          </w:p>
        </w:tc>
        <w:tc>
          <w:tcPr>
            <w:tcW w:w="714" w:type="pct"/>
            <w:shd w:val="clear" w:color="auto" w:fill="auto"/>
            <w:noWrap/>
            <w:vAlign w:val="center"/>
          </w:tcPr>
          <w:p w14:paraId="2169205A">
            <w:pPr>
              <w:pStyle w:val="23"/>
              <w:jc w:val="center"/>
              <w:rPr>
                <w:rFonts w:ascii="宋体" w:hAnsi="宋体"/>
                <w:kern w:val="0"/>
                <w:szCs w:val="21"/>
              </w:rPr>
            </w:pPr>
            <w:r>
              <w:rPr>
                <w:rFonts w:ascii="宋体" w:hAnsi="宋体"/>
                <w:kern w:val="0"/>
                <w:szCs w:val="21"/>
              </w:rPr>
              <w:t>21772</w:t>
            </w:r>
          </w:p>
        </w:tc>
        <w:tc>
          <w:tcPr>
            <w:tcW w:w="714" w:type="pct"/>
            <w:shd w:val="clear" w:color="auto" w:fill="auto"/>
            <w:noWrap/>
            <w:vAlign w:val="center"/>
          </w:tcPr>
          <w:p w14:paraId="0EF4E640">
            <w:pPr>
              <w:pStyle w:val="23"/>
              <w:jc w:val="center"/>
              <w:rPr>
                <w:rFonts w:ascii="宋体" w:hAnsi="宋体"/>
                <w:kern w:val="0"/>
                <w:szCs w:val="21"/>
              </w:rPr>
            </w:pPr>
            <w:r>
              <w:rPr>
                <w:rFonts w:ascii="宋体" w:hAnsi="宋体"/>
                <w:kern w:val="0"/>
                <w:szCs w:val="21"/>
              </w:rPr>
              <w:t>珠玑</w:t>
            </w:r>
          </w:p>
        </w:tc>
        <w:tc>
          <w:tcPr>
            <w:tcW w:w="714" w:type="pct"/>
            <w:shd w:val="clear" w:color="auto" w:fill="auto"/>
            <w:noWrap/>
            <w:vAlign w:val="center"/>
          </w:tcPr>
          <w:p w14:paraId="5D6EFDCA">
            <w:pPr>
              <w:pStyle w:val="23"/>
              <w:jc w:val="center"/>
              <w:rPr>
                <w:rFonts w:ascii="宋体" w:hAnsi="宋体"/>
                <w:kern w:val="0"/>
                <w:szCs w:val="21"/>
              </w:rPr>
            </w:pPr>
            <w:r>
              <w:rPr>
                <w:rFonts w:ascii="宋体" w:hAnsi="宋体"/>
                <w:kern w:val="0"/>
                <w:szCs w:val="21"/>
              </w:rPr>
              <w:t>29690</w:t>
            </w:r>
          </w:p>
        </w:tc>
        <w:tc>
          <w:tcPr>
            <w:tcW w:w="714" w:type="pct"/>
            <w:shd w:val="clear" w:color="auto" w:fill="auto"/>
            <w:noWrap/>
            <w:vAlign w:val="center"/>
          </w:tcPr>
          <w:p w14:paraId="24435FC4">
            <w:pPr>
              <w:pStyle w:val="23"/>
              <w:jc w:val="center"/>
              <w:rPr>
                <w:rFonts w:ascii="宋体" w:hAnsi="宋体"/>
                <w:kern w:val="0"/>
                <w:szCs w:val="21"/>
              </w:rPr>
            </w:pPr>
            <w:r>
              <w:rPr>
                <w:rFonts w:ascii="宋体" w:hAnsi="宋体"/>
                <w:kern w:val="0"/>
                <w:szCs w:val="21"/>
              </w:rPr>
              <w:t>447</w:t>
            </w:r>
          </w:p>
        </w:tc>
      </w:tr>
      <w:tr w14:paraId="3D7777C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714" w:type="pct"/>
            <w:shd w:val="clear" w:color="auto" w:fill="auto"/>
            <w:noWrap/>
            <w:vAlign w:val="center"/>
          </w:tcPr>
          <w:p w14:paraId="2BE6B33B">
            <w:pPr>
              <w:pStyle w:val="23"/>
              <w:jc w:val="center"/>
              <w:rPr>
                <w:rFonts w:ascii="宋体" w:hAnsi="宋体"/>
                <w:kern w:val="0"/>
                <w:szCs w:val="21"/>
              </w:rPr>
            </w:pPr>
            <w:r>
              <w:rPr>
                <w:rFonts w:ascii="宋体" w:hAnsi="宋体"/>
                <w:kern w:val="0"/>
                <w:szCs w:val="21"/>
              </w:rPr>
              <w:t>界址</w:t>
            </w:r>
          </w:p>
        </w:tc>
        <w:tc>
          <w:tcPr>
            <w:tcW w:w="714" w:type="pct"/>
            <w:shd w:val="clear" w:color="auto" w:fill="auto"/>
            <w:noWrap/>
            <w:vAlign w:val="center"/>
          </w:tcPr>
          <w:p w14:paraId="0E93A69A">
            <w:pPr>
              <w:pStyle w:val="23"/>
              <w:jc w:val="center"/>
              <w:rPr>
                <w:rFonts w:ascii="宋体" w:hAnsi="宋体"/>
                <w:kern w:val="0"/>
                <w:szCs w:val="21"/>
              </w:rPr>
            </w:pPr>
            <w:r>
              <w:rPr>
                <w:rFonts w:ascii="宋体" w:hAnsi="宋体"/>
                <w:kern w:val="0"/>
                <w:szCs w:val="21"/>
              </w:rPr>
              <w:t>11775</w:t>
            </w:r>
          </w:p>
        </w:tc>
        <w:tc>
          <w:tcPr>
            <w:tcW w:w="714" w:type="pct"/>
            <w:shd w:val="clear" w:color="auto" w:fill="auto"/>
            <w:noWrap/>
            <w:vAlign w:val="center"/>
          </w:tcPr>
          <w:p w14:paraId="0AEFF1C7">
            <w:pPr>
              <w:pStyle w:val="23"/>
              <w:jc w:val="center"/>
              <w:rPr>
                <w:rFonts w:ascii="宋体" w:hAnsi="宋体"/>
                <w:kern w:val="0"/>
                <w:szCs w:val="21"/>
              </w:rPr>
            </w:pPr>
            <w:r>
              <w:rPr>
                <w:rFonts w:ascii="宋体" w:hAnsi="宋体"/>
                <w:kern w:val="0"/>
                <w:szCs w:val="21"/>
              </w:rPr>
              <w:t>432</w:t>
            </w:r>
          </w:p>
        </w:tc>
        <w:tc>
          <w:tcPr>
            <w:tcW w:w="714" w:type="pct"/>
            <w:shd w:val="clear" w:color="auto" w:fill="auto"/>
            <w:noWrap/>
            <w:vAlign w:val="center"/>
          </w:tcPr>
          <w:p w14:paraId="3EC704F0">
            <w:pPr>
              <w:pStyle w:val="23"/>
              <w:jc w:val="center"/>
              <w:rPr>
                <w:rFonts w:ascii="宋体" w:hAnsi="宋体"/>
                <w:kern w:val="0"/>
                <w:szCs w:val="21"/>
              </w:rPr>
            </w:pPr>
            <w:r>
              <w:rPr>
                <w:rFonts w:ascii="宋体" w:hAnsi="宋体"/>
                <w:kern w:val="0"/>
                <w:szCs w:val="21"/>
              </w:rPr>
              <w:t>5087</w:t>
            </w:r>
          </w:p>
        </w:tc>
        <w:tc>
          <w:tcPr>
            <w:tcW w:w="714" w:type="pct"/>
            <w:shd w:val="clear" w:color="auto" w:fill="auto"/>
            <w:noWrap/>
            <w:vAlign w:val="center"/>
          </w:tcPr>
          <w:p w14:paraId="39761A94">
            <w:pPr>
              <w:pStyle w:val="23"/>
              <w:jc w:val="center"/>
              <w:rPr>
                <w:rFonts w:ascii="宋体" w:hAnsi="宋体"/>
                <w:kern w:val="0"/>
                <w:szCs w:val="21"/>
              </w:rPr>
            </w:pPr>
            <w:r>
              <w:rPr>
                <w:rFonts w:ascii="宋体" w:hAnsi="宋体"/>
                <w:kern w:val="0"/>
                <w:szCs w:val="21"/>
              </w:rPr>
              <w:t>主田</w:t>
            </w:r>
          </w:p>
        </w:tc>
        <w:tc>
          <w:tcPr>
            <w:tcW w:w="714" w:type="pct"/>
            <w:shd w:val="clear" w:color="auto" w:fill="auto"/>
            <w:noWrap/>
            <w:vAlign w:val="center"/>
          </w:tcPr>
          <w:p w14:paraId="16D9D04B">
            <w:pPr>
              <w:pStyle w:val="23"/>
              <w:jc w:val="center"/>
              <w:rPr>
                <w:rFonts w:ascii="宋体" w:hAnsi="宋体"/>
                <w:kern w:val="0"/>
                <w:szCs w:val="21"/>
              </w:rPr>
            </w:pPr>
            <w:r>
              <w:rPr>
                <w:rFonts w:ascii="宋体" w:hAnsi="宋体"/>
                <w:kern w:val="0"/>
                <w:szCs w:val="21"/>
              </w:rPr>
              <w:t>15514</w:t>
            </w:r>
          </w:p>
        </w:tc>
        <w:tc>
          <w:tcPr>
            <w:tcW w:w="714" w:type="pct"/>
            <w:shd w:val="clear" w:color="auto" w:fill="auto"/>
            <w:noWrap/>
            <w:vAlign w:val="center"/>
          </w:tcPr>
          <w:p w14:paraId="17023223">
            <w:pPr>
              <w:pStyle w:val="23"/>
              <w:jc w:val="center"/>
              <w:rPr>
                <w:rFonts w:ascii="宋体" w:hAnsi="宋体"/>
                <w:kern w:val="0"/>
                <w:szCs w:val="21"/>
              </w:rPr>
            </w:pPr>
            <w:r>
              <w:rPr>
                <w:rFonts w:ascii="宋体" w:hAnsi="宋体"/>
                <w:kern w:val="0"/>
                <w:szCs w:val="21"/>
              </w:rPr>
              <w:t>450</w:t>
            </w:r>
          </w:p>
        </w:tc>
      </w:tr>
      <w:tr w14:paraId="2B4B308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714" w:type="pct"/>
            <w:shd w:val="clear" w:color="auto" w:fill="auto"/>
            <w:noWrap/>
            <w:vAlign w:val="center"/>
          </w:tcPr>
          <w:p w14:paraId="469AAA80">
            <w:pPr>
              <w:pStyle w:val="23"/>
              <w:jc w:val="center"/>
              <w:rPr>
                <w:rFonts w:ascii="宋体" w:hAnsi="宋体"/>
                <w:kern w:val="0"/>
                <w:szCs w:val="21"/>
              </w:rPr>
            </w:pPr>
            <w:r>
              <w:rPr>
                <w:rFonts w:ascii="宋体" w:hAnsi="宋体"/>
                <w:kern w:val="0"/>
                <w:szCs w:val="21"/>
              </w:rPr>
              <w:t>坪田</w:t>
            </w:r>
          </w:p>
        </w:tc>
        <w:tc>
          <w:tcPr>
            <w:tcW w:w="714" w:type="pct"/>
            <w:shd w:val="clear" w:color="auto" w:fill="auto"/>
            <w:noWrap/>
            <w:vAlign w:val="center"/>
          </w:tcPr>
          <w:p w14:paraId="01683EA0">
            <w:pPr>
              <w:pStyle w:val="23"/>
              <w:jc w:val="center"/>
              <w:rPr>
                <w:rFonts w:ascii="宋体" w:hAnsi="宋体"/>
                <w:kern w:val="0"/>
                <w:szCs w:val="21"/>
              </w:rPr>
            </w:pPr>
            <w:r>
              <w:rPr>
                <w:rFonts w:ascii="宋体" w:hAnsi="宋体"/>
                <w:kern w:val="0"/>
                <w:szCs w:val="21"/>
              </w:rPr>
              <w:t>36675</w:t>
            </w:r>
          </w:p>
        </w:tc>
        <w:tc>
          <w:tcPr>
            <w:tcW w:w="714" w:type="pct"/>
            <w:shd w:val="clear" w:color="auto" w:fill="auto"/>
            <w:noWrap/>
            <w:vAlign w:val="center"/>
          </w:tcPr>
          <w:p w14:paraId="4E75950D">
            <w:pPr>
              <w:pStyle w:val="23"/>
              <w:jc w:val="center"/>
              <w:rPr>
                <w:rFonts w:ascii="宋体" w:hAnsi="宋体"/>
                <w:kern w:val="0"/>
                <w:szCs w:val="21"/>
              </w:rPr>
            </w:pPr>
            <w:r>
              <w:rPr>
                <w:rFonts w:ascii="宋体" w:hAnsi="宋体"/>
                <w:kern w:val="0"/>
                <w:szCs w:val="21"/>
              </w:rPr>
              <w:t>431</w:t>
            </w:r>
          </w:p>
        </w:tc>
        <w:tc>
          <w:tcPr>
            <w:tcW w:w="714" w:type="pct"/>
            <w:shd w:val="clear" w:color="auto" w:fill="auto"/>
            <w:noWrap/>
            <w:vAlign w:val="center"/>
          </w:tcPr>
          <w:p w14:paraId="024F3888">
            <w:pPr>
              <w:pStyle w:val="23"/>
              <w:jc w:val="center"/>
              <w:rPr>
                <w:rFonts w:ascii="宋体" w:hAnsi="宋体"/>
                <w:kern w:val="0"/>
                <w:szCs w:val="21"/>
              </w:rPr>
            </w:pPr>
            <w:r>
              <w:rPr>
                <w:rFonts w:ascii="宋体" w:hAnsi="宋体"/>
                <w:kern w:val="0"/>
                <w:szCs w:val="21"/>
              </w:rPr>
              <w:t>15821</w:t>
            </w:r>
          </w:p>
        </w:tc>
        <w:tc>
          <w:tcPr>
            <w:tcW w:w="714" w:type="pct"/>
            <w:shd w:val="clear" w:color="auto" w:fill="auto"/>
            <w:noWrap/>
            <w:vAlign w:val="center"/>
          </w:tcPr>
          <w:p w14:paraId="5CB7D658">
            <w:pPr>
              <w:pStyle w:val="23"/>
              <w:jc w:val="center"/>
              <w:rPr>
                <w:rFonts w:ascii="宋体" w:hAnsi="宋体"/>
                <w:kern w:val="0"/>
                <w:szCs w:val="21"/>
              </w:rPr>
            </w:pPr>
            <w:r>
              <w:rPr>
                <w:rFonts w:ascii="宋体" w:hAnsi="宋体"/>
                <w:kern w:val="0"/>
                <w:szCs w:val="21"/>
              </w:rPr>
              <w:t>古市</w:t>
            </w:r>
          </w:p>
        </w:tc>
        <w:tc>
          <w:tcPr>
            <w:tcW w:w="714" w:type="pct"/>
            <w:shd w:val="clear" w:color="auto" w:fill="auto"/>
            <w:noWrap/>
            <w:vAlign w:val="center"/>
          </w:tcPr>
          <w:p w14:paraId="5C15F464">
            <w:pPr>
              <w:pStyle w:val="23"/>
              <w:jc w:val="center"/>
              <w:rPr>
                <w:rFonts w:ascii="宋体" w:hAnsi="宋体"/>
                <w:kern w:val="0"/>
                <w:szCs w:val="21"/>
              </w:rPr>
            </w:pPr>
            <w:r>
              <w:rPr>
                <w:rFonts w:ascii="宋体" w:hAnsi="宋体"/>
                <w:kern w:val="0"/>
                <w:szCs w:val="21"/>
              </w:rPr>
              <w:t>22830</w:t>
            </w:r>
          </w:p>
        </w:tc>
        <w:tc>
          <w:tcPr>
            <w:tcW w:w="714" w:type="pct"/>
            <w:shd w:val="clear" w:color="auto" w:fill="auto"/>
            <w:noWrap/>
            <w:vAlign w:val="center"/>
          </w:tcPr>
          <w:p w14:paraId="218E734D">
            <w:pPr>
              <w:pStyle w:val="23"/>
              <w:jc w:val="center"/>
              <w:rPr>
                <w:rFonts w:ascii="宋体" w:hAnsi="宋体"/>
                <w:kern w:val="0"/>
                <w:szCs w:val="21"/>
              </w:rPr>
            </w:pPr>
            <w:r>
              <w:rPr>
                <w:rFonts w:ascii="宋体" w:hAnsi="宋体"/>
                <w:kern w:val="0"/>
                <w:szCs w:val="21"/>
              </w:rPr>
              <w:t>445</w:t>
            </w:r>
          </w:p>
        </w:tc>
      </w:tr>
      <w:tr w14:paraId="1B5A301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714" w:type="pct"/>
            <w:shd w:val="clear" w:color="auto" w:fill="auto"/>
            <w:noWrap/>
            <w:vAlign w:val="center"/>
          </w:tcPr>
          <w:p w14:paraId="306EB166">
            <w:pPr>
              <w:pStyle w:val="23"/>
              <w:jc w:val="center"/>
              <w:rPr>
                <w:rFonts w:ascii="宋体" w:hAnsi="宋体"/>
                <w:kern w:val="0"/>
                <w:szCs w:val="21"/>
              </w:rPr>
            </w:pPr>
            <w:r>
              <w:rPr>
                <w:rFonts w:ascii="宋体" w:hAnsi="宋体"/>
                <w:kern w:val="0"/>
                <w:szCs w:val="21"/>
              </w:rPr>
              <w:t>黄坑</w:t>
            </w:r>
          </w:p>
        </w:tc>
        <w:tc>
          <w:tcPr>
            <w:tcW w:w="714" w:type="pct"/>
            <w:shd w:val="clear" w:color="auto" w:fill="auto"/>
            <w:noWrap/>
            <w:vAlign w:val="center"/>
          </w:tcPr>
          <w:p w14:paraId="33466C12">
            <w:pPr>
              <w:pStyle w:val="23"/>
              <w:jc w:val="center"/>
              <w:rPr>
                <w:rFonts w:ascii="宋体" w:hAnsi="宋体"/>
                <w:kern w:val="0"/>
                <w:szCs w:val="21"/>
              </w:rPr>
            </w:pPr>
            <w:r>
              <w:rPr>
                <w:rFonts w:ascii="宋体" w:hAnsi="宋体"/>
                <w:kern w:val="0"/>
                <w:szCs w:val="21"/>
              </w:rPr>
              <w:t>24653</w:t>
            </w:r>
          </w:p>
        </w:tc>
        <w:tc>
          <w:tcPr>
            <w:tcW w:w="714" w:type="pct"/>
            <w:shd w:val="clear" w:color="auto" w:fill="auto"/>
            <w:noWrap/>
            <w:vAlign w:val="center"/>
          </w:tcPr>
          <w:p w14:paraId="6E26DF58">
            <w:pPr>
              <w:pStyle w:val="23"/>
              <w:jc w:val="center"/>
              <w:rPr>
                <w:rFonts w:ascii="宋体" w:hAnsi="宋体"/>
                <w:kern w:val="0"/>
                <w:szCs w:val="21"/>
              </w:rPr>
            </w:pPr>
            <w:r>
              <w:rPr>
                <w:rFonts w:ascii="宋体" w:hAnsi="宋体"/>
                <w:kern w:val="0"/>
                <w:szCs w:val="21"/>
              </w:rPr>
              <w:t>442</w:t>
            </w:r>
          </w:p>
        </w:tc>
        <w:tc>
          <w:tcPr>
            <w:tcW w:w="714" w:type="pct"/>
            <w:shd w:val="clear" w:color="auto" w:fill="auto"/>
            <w:noWrap/>
            <w:vAlign w:val="center"/>
          </w:tcPr>
          <w:p w14:paraId="593613F4">
            <w:pPr>
              <w:pStyle w:val="23"/>
              <w:jc w:val="center"/>
              <w:rPr>
                <w:rFonts w:ascii="宋体" w:hAnsi="宋体"/>
                <w:kern w:val="0"/>
                <w:szCs w:val="21"/>
              </w:rPr>
            </w:pPr>
            <w:r>
              <w:rPr>
                <w:rFonts w:ascii="宋体" w:hAnsi="宋体"/>
                <w:kern w:val="0"/>
                <w:szCs w:val="21"/>
              </w:rPr>
              <w:t>10908</w:t>
            </w:r>
          </w:p>
        </w:tc>
        <w:tc>
          <w:tcPr>
            <w:tcW w:w="714" w:type="pct"/>
            <w:shd w:val="clear" w:color="auto" w:fill="auto"/>
            <w:noWrap/>
            <w:vAlign w:val="center"/>
          </w:tcPr>
          <w:p w14:paraId="0C9C3300">
            <w:pPr>
              <w:pStyle w:val="23"/>
              <w:jc w:val="center"/>
              <w:rPr>
                <w:rFonts w:ascii="宋体" w:hAnsi="宋体"/>
                <w:kern w:val="0"/>
                <w:szCs w:val="21"/>
              </w:rPr>
            </w:pPr>
            <w:r>
              <w:rPr>
                <w:rFonts w:ascii="宋体" w:hAnsi="宋体"/>
                <w:kern w:val="0"/>
                <w:szCs w:val="21"/>
              </w:rPr>
              <w:t>全安</w:t>
            </w:r>
          </w:p>
        </w:tc>
        <w:tc>
          <w:tcPr>
            <w:tcW w:w="714" w:type="pct"/>
            <w:shd w:val="clear" w:color="auto" w:fill="auto"/>
            <w:noWrap/>
            <w:vAlign w:val="center"/>
          </w:tcPr>
          <w:p w14:paraId="7E838FA6">
            <w:pPr>
              <w:pStyle w:val="23"/>
              <w:jc w:val="center"/>
              <w:rPr>
                <w:rFonts w:ascii="宋体" w:hAnsi="宋体"/>
                <w:kern w:val="0"/>
                <w:szCs w:val="21"/>
              </w:rPr>
            </w:pPr>
            <w:r>
              <w:rPr>
                <w:rFonts w:ascii="宋体" w:hAnsi="宋体"/>
                <w:kern w:val="0"/>
                <w:szCs w:val="21"/>
              </w:rPr>
              <w:t>36622</w:t>
            </w:r>
          </w:p>
        </w:tc>
        <w:tc>
          <w:tcPr>
            <w:tcW w:w="714" w:type="pct"/>
            <w:shd w:val="clear" w:color="auto" w:fill="auto"/>
            <w:noWrap/>
            <w:vAlign w:val="center"/>
          </w:tcPr>
          <w:p w14:paraId="7F2D9EAE">
            <w:pPr>
              <w:pStyle w:val="23"/>
              <w:jc w:val="center"/>
              <w:rPr>
                <w:rFonts w:ascii="宋体" w:hAnsi="宋体"/>
                <w:kern w:val="0"/>
                <w:szCs w:val="21"/>
              </w:rPr>
            </w:pPr>
            <w:r>
              <w:rPr>
                <w:rFonts w:ascii="宋体" w:hAnsi="宋体"/>
                <w:kern w:val="0"/>
                <w:szCs w:val="21"/>
              </w:rPr>
              <w:t>438</w:t>
            </w:r>
          </w:p>
        </w:tc>
      </w:tr>
      <w:tr w14:paraId="5972541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714" w:type="pct"/>
            <w:shd w:val="clear" w:color="auto" w:fill="auto"/>
            <w:noWrap/>
            <w:vAlign w:val="center"/>
          </w:tcPr>
          <w:p w14:paraId="3B2ACA29">
            <w:pPr>
              <w:pStyle w:val="23"/>
              <w:jc w:val="center"/>
              <w:rPr>
                <w:rFonts w:ascii="宋体" w:hAnsi="宋体"/>
                <w:kern w:val="0"/>
                <w:szCs w:val="21"/>
              </w:rPr>
            </w:pPr>
            <w:r>
              <w:rPr>
                <w:rFonts w:ascii="宋体" w:hAnsi="宋体"/>
                <w:kern w:val="0"/>
                <w:szCs w:val="21"/>
              </w:rPr>
              <w:t>邓坊</w:t>
            </w:r>
          </w:p>
        </w:tc>
        <w:tc>
          <w:tcPr>
            <w:tcW w:w="714" w:type="pct"/>
            <w:shd w:val="clear" w:color="auto" w:fill="auto"/>
            <w:noWrap/>
            <w:vAlign w:val="center"/>
          </w:tcPr>
          <w:p w14:paraId="664A6BAC">
            <w:pPr>
              <w:pStyle w:val="23"/>
              <w:jc w:val="center"/>
              <w:rPr>
                <w:rFonts w:ascii="宋体" w:hAnsi="宋体"/>
                <w:kern w:val="0"/>
                <w:szCs w:val="21"/>
              </w:rPr>
            </w:pPr>
            <w:r>
              <w:rPr>
                <w:rFonts w:ascii="宋体" w:hAnsi="宋体"/>
                <w:kern w:val="0"/>
                <w:szCs w:val="21"/>
              </w:rPr>
              <w:t>21687</w:t>
            </w:r>
          </w:p>
        </w:tc>
        <w:tc>
          <w:tcPr>
            <w:tcW w:w="714" w:type="pct"/>
            <w:shd w:val="clear" w:color="auto" w:fill="auto"/>
            <w:noWrap/>
            <w:vAlign w:val="center"/>
          </w:tcPr>
          <w:p w14:paraId="63DD01EC">
            <w:pPr>
              <w:pStyle w:val="23"/>
              <w:jc w:val="center"/>
              <w:rPr>
                <w:rFonts w:ascii="宋体" w:hAnsi="宋体"/>
                <w:kern w:val="0"/>
                <w:szCs w:val="21"/>
              </w:rPr>
            </w:pPr>
            <w:r>
              <w:rPr>
                <w:rFonts w:ascii="宋体" w:hAnsi="宋体"/>
                <w:kern w:val="0"/>
                <w:szCs w:val="21"/>
              </w:rPr>
              <w:t>439</w:t>
            </w:r>
          </w:p>
        </w:tc>
        <w:tc>
          <w:tcPr>
            <w:tcW w:w="714" w:type="pct"/>
            <w:shd w:val="clear" w:color="auto" w:fill="auto"/>
            <w:noWrap/>
            <w:vAlign w:val="center"/>
          </w:tcPr>
          <w:p w14:paraId="2DE52C55">
            <w:pPr>
              <w:pStyle w:val="23"/>
              <w:jc w:val="center"/>
              <w:rPr>
                <w:rFonts w:ascii="宋体" w:hAnsi="宋体"/>
                <w:kern w:val="0"/>
                <w:szCs w:val="21"/>
              </w:rPr>
            </w:pPr>
            <w:r>
              <w:rPr>
                <w:rFonts w:ascii="宋体" w:hAnsi="宋体"/>
                <w:kern w:val="0"/>
                <w:szCs w:val="21"/>
              </w:rPr>
              <w:t>9511</w:t>
            </w:r>
          </w:p>
        </w:tc>
        <w:tc>
          <w:tcPr>
            <w:tcW w:w="714" w:type="pct"/>
            <w:shd w:val="clear" w:color="auto" w:fill="auto"/>
            <w:noWrap/>
            <w:vAlign w:val="center"/>
          </w:tcPr>
          <w:p w14:paraId="1AD7C7B3">
            <w:pPr>
              <w:pStyle w:val="23"/>
              <w:jc w:val="center"/>
              <w:rPr>
                <w:rFonts w:ascii="宋体" w:hAnsi="宋体"/>
                <w:kern w:val="0"/>
                <w:szCs w:val="21"/>
              </w:rPr>
            </w:pPr>
            <w:r>
              <w:rPr>
                <w:rFonts w:ascii="宋体" w:hAnsi="宋体"/>
                <w:kern w:val="0"/>
                <w:szCs w:val="21"/>
              </w:rPr>
              <w:t>百顺</w:t>
            </w:r>
          </w:p>
        </w:tc>
        <w:tc>
          <w:tcPr>
            <w:tcW w:w="714" w:type="pct"/>
            <w:shd w:val="clear" w:color="auto" w:fill="auto"/>
            <w:noWrap/>
            <w:vAlign w:val="center"/>
          </w:tcPr>
          <w:p w14:paraId="606E43EB">
            <w:pPr>
              <w:pStyle w:val="23"/>
              <w:jc w:val="center"/>
              <w:rPr>
                <w:rFonts w:ascii="宋体" w:hAnsi="宋体"/>
                <w:kern w:val="0"/>
                <w:szCs w:val="21"/>
              </w:rPr>
            </w:pPr>
            <w:r>
              <w:rPr>
                <w:rFonts w:ascii="宋体" w:hAnsi="宋体"/>
                <w:kern w:val="0"/>
                <w:szCs w:val="21"/>
              </w:rPr>
              <w:t>19555</w:t>
            </w:r>
          </w:p>
        </w:tc>
        <w:tc>
          <w:tcPr>
            <w:tcW w:w="714" w:type="pct"/>
            <w:shd w:val="clear" w:color="auto" w:fill="auto"/>
            <w:noWrap/>
            <w:vAlign w:val="center"/>
          </w:tcPr>
          <w:p w14:paraId="274ED8E5">
            <w:pPr>
              <w:pStyle w:val="23"/>
              <w:jc w:val="center"/>
              <w:rPr>
                <w:rFonts w:ascii="宋体" w:hAnsi="宋体"/>
                <w:kern w:val="0"/>
                <w:szCs w:val="21"/>
              </w:rPr>
            </w:pPr>
            <w:r>
              <w:rPr>
                <w:rFonts w:ascii="宋体" w:hAnsi="宋体"/>
                <w:kern w:val="0"/>
                <w:szCs w:val="21"/>
              </w:rPr>
              <w:t>429</w:t>
            </w:r>
          </w:p>
        </w:tc>
      </w:tr>
      <w:tr w14:paraId="2E87172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714" w:type="pct"/>
            <w:shd w:val="clear" w:color="auto" w:fill="auto"/>
            <w:noWrap/>
            <w:vAlign w:val="center"/>
          </w:tcPr>
          <w:p w14:paraId="12F3C897">
            <w:pPr>
              <w:pStyle w:val="23"/>
              <w:jc w:val="center"/>
              <w:rPr>
                <w:rFonts w:ascii="宋体" w:hAnsi="宋体"/>
                <w:kern w:val="0"/>
                <w:szCs w:val="21"/>
              </w:rPr>
            </w:pPr>
            <w:r>
              <w:rPr>
                <w:rFonts w:ascii="宋体" w:hAnsi="宋体"/>
                <w:kern w:val="0"/>
                <w:szCs w:val="21"/>
              </w:rPr>
              <w:t>油山</w:t>
            </w:r>
          </w:p>
        </w:tc>
        <w:tc>
          <w:tcPr>
            <w:tcW w:w="714" w:type="pct"/>
            <w:shd w:val="clear" w:color="auto" w:fill="auto"/>
            <w:noWrap/>
            <w:vAlign w:val="center"/>
          </w:tcPr>
          <w:p w14:paraId="16BFD7F1">
            <w:pPr>
              <w:pStyle w:val="23"/>
              <w:jc w:val="center"/>
              <w:rPr>
                <w:rFonts w:ascii="宋体" w:hAnsi="宋体"/>
                <w:kern w:val="0"/>
                <w:szCs w:val="21"/>
              </w:rPr>
            </w:pPr>
            <w:r>
              <w:rPr>
                <w:rFonts w:ascii="宋体" w:hAnsi="宋体"/>
                <w:kern w:val="0"/>
                <w:szCs w:val="21"/>
              </w:rPr>
              <w:t>37119</w:t>
            </w:r>
          </w:p>
        </w:tc>
        <w:tc>
          <w:tcPr>
            <w:tcW w:w="714" w:type="pct"/>
            <w:shd w:val="clear" w:color="auto" w:fill="auto"/>
            <w:noWrap/>
            <w:vAlign w:val="center"/>
          </w:tcPr>
          <w:p w14:paraId="5ECF99B4">
            <w:pPr>
              <w:pStyle w:val="23"/>
              <w:jc w:val="center"/>
              <w:rPr>
                <w:rFonts w:ascii="宋体" w:hAnsi="宋体"/>
                <w:kern w:val="0"/>
                <w:szCs w:val="21"/>
              </w:rPr>
            </w:pPr>
            <w:r>
              <w:rPr>
                <w:rFonts w:ascii="宋体" w:hAnsi="宋体"/>
                <w:kern w:val="0"/>
                <w:szCs w:val="21"/>
              </w:rPr>
              <w:t>441</w:t>
            </w:r>
          </w:p>
        </w:tc>
        <w:tc>
          <w:tcPr>
            <w:tcW w:w="714" w:type="pct"/>
            <w:shd w:val="clear" w:color="auto" w:fill="auto"/>
            <w:noWrap/>
            <w:vAlign w:val="center"/>
          </w:tcPr>
          <w:p w14:paraId="762CEB7D">
            <w:pPr>
              <w:pStyle w:val="23"/>
              <w:jc w:val="center"/>
              <w:rPr>
                <w:rFonts w:ascii="宋体" w:hAnsi="宋体"/>
                <w:kern w:val="0"/>
                <w:szCs w:val="21"/>
              </w:rPr>
            </w:pPr>
            <w:r>
              <w:rPr>
                <w:rFonts w:ascii="宋体" w:hAnsi="宋体"/>
                <w:kern w:val="0"/>
                <w:szCs w:val="21"/>
              </w:rPr>
              <w:t>16354</w:t>
            </w:r>
          </w:p>
        </w:tc>
        <w:tc>
          <w:tcPr>
            <w:tcW w:w="714" w:type="pct"/>
            <w:shd w:val="clear" w:color="auto" w:fill="auto"/>
            <w:noWrap/>
            <w:vAlign w:val="center"/>
          </w:tcPr>
          <w:p w14:paraId="5E8CC2CC">
            <w:pPr>
              <w:pStyle w:val="23"/>
              <w:jc w:val="center"/>
              <w:rPr>
                <w:rFonts w:ascii="宋体" w:hAnsi="宋体"/>
                <w:kern w:val="0"/>
                <w:szCs w:val="21"/>
              </w:rPr>
            </w:pPr>
            <w:r>
              <w:rPr>
                <w:rFonts w:ascii="宋体" w:hAnsi="宋体"/>
                <w:kern w:val="0"/>
                <w:szCs w:val="21"/>
              </w:rPr>
              <w:t>澜河</w:t>
            </w:r>
          </w:p>
        </w:tc>
        <w:tc>
          <w:tcPr>
            <w:tcW w:w="714" w:type="pct"/>
            <w:shd w:val="clear" w:color="auto" w:fill="auto"/>
            <w:noWrap/>
            <w:vAlign w:val="center"/>
          </w:tcPr>
          <w:p w14:paraId="185AA0F2">
            <w:pPr>
              <w:pStyle w:val="23"/>
              <w:jc w:val="center"/>
              <w:rPr>
                <w:rFonts w:ascii="宋体" w:hAnsi="宋体"/>
                <w:kern w:val="0"/>
                <w:szCs w:val="21"/>
              </w:rPr>
            </w:pPr>
            <w:r>
              <w:rPr>
                <w:rFonts w:ascii="宋体" w:hAnsi="宋体"/>
                <w:kern w:val="0"/>
                <w:szCs w:val="21"/>
              </w:rPr>
              <w:t>10062</w:t>
            </w:r>
          </w:p>
        </w:tc>
        <w:tc>
          <w:tcPr>
            <w:tcW w:w="714" w:type="pct"/>
            <w:shd w:val="clear" w:color="auto" w:fill="auto"/>
            <w:noWrap/>
            <w:vAlign w:val="center"/>
          </w:tcPr>
          <w:p w14:paraId="0F48CBFD">
            <w:pPr>
              <w:pStyle w:val="23"/>
              <w:jc w:val="center"/>
              <w:rPr>
                <w:rFonts w:ascii="宋体" w:hAnsi="宋体"/>
                <w:kern w:val="0"/>
                <w:szCs w:val="21"/>
              </w:rPr>
            </w:pPr>
            <w:r>
              <w:rPr>
                <w:rFonts w:ascii="宋体" w:hAnsi="宋体"/>
                <w:kern w:val="0"/>
                <w:szCs w:val="21"/>
              </w:rPr>
              <w:t>426</w:t>
            </w:r>
          </w:p>
        </w:tc>
      </w:tr>
      <w:tr w14:paraId="31057A1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714" w:type="pct"/>
            <w:shd w:val="clear" w:color="auto" w:fill="auto"/>
            <w:noWrap/>
            <w:vAlign w:val="center"/>
          </w:tcPr>
          <w:p w14:paraId="76118245">
            <w:pPr>
              <w:pStyle w:val="23"/>
              <w:jc w:val="center"/>
              <w:rPr>
                <w:rFonts w:ascii="宋体" w:hAnsi="宋体"/>
                <w:kern w:val="0"/>
                <w:szCs w:val="21"/>
              </w:rPr>
            </w:pPr>
            <w:r>
              <w:rPr>
                <w:rFonts w:ascii="宋体" w:hAnsi="宋体"/>
                <w:kern w:val="0"/>
                <w:szCs w:val="21"/>
              </w:rPr>
              <w:t>南亩</w:t>
            </w:r>
          </w:p>
        </w:tc>
        <w:tc>
          <w:tcPr>
            <w:tcW w:w="714" w:type="pct"/>
            <w:shd w:val="clear" w:color="auto" w:fill="auto"/>
            <w:noWrap/>
            <w:vAlign w:val="center"/>
          </w:tcPr>
          <w:p w14:paraId="3FBD729F">
            <w:pPr>
              <w:pStyle w:val="23"/>
              <w:jc w:val="center"/>
              <w:rPr>
                <w:rFonts w:ascii="宋体" w:hAnsi="宋体"/>
                <w:kern w:val="0"/>
                <w:szCs w:val="21"/>
              </w:rPr>
            </w:pPr>
            <w:r>
              <w:rPr>
                <w:rFonts w:ascii="宋体" w:hAnsi="宋体"/>
                <w:kern w:val="0"/>
                <w:szCs w:val="21"/>
              </w:rPr>
              <w:t>15230</w:t>
            </w:r>
          </w:p>
        </w:tc>
        <w:tc>
          <w:tcPr>
            <w:tcW w:w="714" w:type="pct"/>
            <w:shd w:val="clear" w:color="auto" w:fill="auto"/>
            <w:noWrap/>
            <w:vAlign w:val="center"/>
          </w:tcPr>
          <w:p w14:paraId="70390A5B">
            <w:pPr>
              <w:pStyle w:val="23"/>
              <w:jc w:val="center"/>
              <w:rPr>
                <w:rFonts w:ascii="宋体" w:hAnsi="宋体"/>
                <w:kern w:val="0"/>
                <w:szCs w:val="21"/>
              </w:rPr>
            </w:pPr>
            <w:r>
              <w:rPr>
                <w:rFonts w:ascii="宋体" w:hAnsi="宋体"/>
                <w:kern w:val="0"/>
                <w:szCs w:val="21"/>
              </w:rPr>
              <w:t>446</w:t>
            </w:r>
          </w:p>
        </w:tc>
        <w:tc>
          <w:tcPr>
            <w:tcW w:w="714" w:type="pct"/>
            <w:shd w:val="clear" w:color="auto" w:fill="auto"/>
            <w:noWrap/>
            <w:vAlign w:val="center"/>
          </w:tcPr>
          <w:p w14:paraId="63746748">
            <w:pPr>
              <w:pStyle w:val="23"/>
              <w:jc w:val="center"/>
              <w:rPr>
                <w:rFonts w:ascii="宋体" w:hAnsi="宋体"/>
                <w:kern w:val="0"/>
                <w:szCs w:val="21"/>
              </w:rPr>
            </w:pPr>
            <w:r>
              <w:rPr>
                <w:rFonts w:ascii="宋体" w:hAnsi="宋体"/>
                <w:kern w:val="0"/>
                <w:szCs w:val="21"/>
              </w:rPr>
              <w:t>6786</w:t>
            </w:r>
          </w:p>
        </w:tc>
        <w:tc>
          <w:tcPr>
            <w:tcW w:w="714" w:type="pct"/>
            <w:shd w:val="clear" w:color="auto" w:fill="auto"/>
            <w:noWrap/>
            <w:vAlign w:val="center"/>
          </w:tcPr>
          <w:p w14:paraId="46E13F42">
            <w:pPr>
              <w:pStyle w:val="23"/>
              <w:jc w:val="center"/>
              <w:rPr>
                <w:rFonts w:ascii="宋体" w:hAnsi="宋体"/>
                <w:kern w:val="0"/>
                <w:szCs w:val="21"/>
              </w:rPr>
            </w:pPr>
            <w:r>
              <w:rPr>
                <w:rFonts w:ascii="宋体" w:hAnsi="宋体"/>
                <w:kern w:val="0"/>
                <w:szCs w:val="21"/>
              </w:rPr>
              <w:t>帽子峰</w:t>
            </w:r>
          </w:p>
        </w:tc>
        <w:tc>
          <w:tcPr>
            <w:tcW w:w="714" w:type="pct"/>
            <w:shd w:val="clear" w:color="auto" w:fill="auto"/>
            <w:noWrap/>
            <w:vAlign w:val="center"/>
          </w:tcPr>
          <w:p w14:paraId="6FDC3742">
            <w:pPr>
              <w:pStyle w:val="23"/>
              <w:jc w:val="center"/>
              <w:rPr>
                <w:rFonts w:ascii="宋体" w:hAnsi="宋体"/>
                <w:kern w:val="0"/>
                <w:szCs w:val="21"/>
              </w:rPr>
            </w:pPr>
            <w:r>
              <w:rPr>
                <w:rFonts w:ascii="宋体" w:hAnsi="宋体"/>
                <w:kern w:val="0"/>
                <w:szCs w:val="21"/>
              </w:rPr>
              <w:t>13368</w:t>
            </w:r>
          </w:p>
        </w:tc>
        <w:tc>
          <w:tcPr>
            <w:tcW w:w="714" w:type="pct"/>
            <w:shd w:val="clear" w:color="auto" w:fill="auto"/>
            <w:noWrap/>
            <w:vAlign w:val="center"/>
          </w:tcPr>
          <w:p w14:paraId="3FE24DDF">
            <w:pPr>
              <w:pStyle w:val="23"/>
              <w:jc w:val="center"/>
              <w:rPr>
                <w:rFonts w:ascii="宋体" w:hAnsi="宋体"/>
                <w:kern w:val="0"/>
                <w:szCs w:val="21"/>
              </w:rPr>
            </w:pPr>
            <w:r>
              <w:rPr>
                <w:rFonts w:ascii="宋体" w:hAnsi="宋体"/>
                <w:kern w:val="0"/>
                <w:szCs w:val="21"/>
              </w:rPr>
              <w:t>445</w:t>
            </w:r>
          </w:p>
        </w:tc>
      </w:tr>
      <w:tr w14:paraId="487B366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714" w:type="pct"/>
            <w:shd w:val="clear" w:color="auto" w:fill="auto"/>
            <w:noWrap/>
            <w:vAlign w:val="center"/>
          </w:tcPr>
          <w:p w14:paraId="0339D04C">
            <w:pPr>
              <w:pStyle w:val="23"/>
              <w:jc w:val="center"/>
              <w:rPr>
                <w:rFonts w:ascii="宋体" w:hAnsi="宋体"/>
                <w:kern w:val="0"/>
                <w:szCs w:val="21"/>
              </w:rPr>
            </w:pPr>
            <w:r>
              <w:rPr>
                <w:rFonts w:ascii="宋体" w:hAnsi="宋体"/>
                <w:kern w:val="0"/>
                <w:szCs w:val="21"/>
              </w:rPr>
              <w:t>水口</w:t>
            </w:r>
          </w:p>
        </w:tc>
        <w:tc>
          <w:tcPr>
            <w:tcW w:w="714" w:type="pct"/>
            <w:shd w:val="clear" w:color="auto" w:fill="auto"/>
            <w:noWrap/>
            <w:vAlign w:val="center"/>
          </w:tcPr>
          <w:p w14:paraId="008E4099">
            <w:pPr>
              <w:pStyle w:val="23"/>
              <w:jc w:val="center"/>
              <w:rPr>
                <w:rFonts w:ascii="宋体" w:hAnsi="宋体"/>
                <w:kern w:val="0"/>
                <w:szCs w:val="21"/>
              </w:rPr>
            </w:pPr>
            <w:r>
              <w:rPr>
                <w:rFonts w:ascii="宋体" w:hAnsi="宋体"/>
                <w:kern w:val="0"/>
                <w:szCs w:val="21"/>
              </w:rPr>
              <w:t>28775</w:t>
            </w:r>
          </w:p>
        </w:tc>
        <w:tc>
          <w:tcPr>
            <w:tcW w:w="714" w:type="pct"/>
            <w:shd w:val="clear" w:color="auto" w:fill="auto"/>
            <w:noWrap/>
            <w:vAlign w:val="center"/>
          </w:tcPr>
          <w:p w14:paraId="767396F1">
            <w:pPr>
              <w:pStyle w:val="23"/>
              <w:jc w:val="center"/>
              <w:rPr>
                <w:rFonts w:ascii="宋体" w:hAnsi="宋体"/>
                <w:kern w:val="0"/>
                <w:szCs w:val="21"/>
              </w:rPr>
            </w:pPr>
            <w:r>
              <w:rPr>
                <w:rFonts w:ascii="宋体" w:hAnsi="宋体"/>
                <w:kern w:val="0"/>
                <w:szCs w:val="21"/>
              </w:rPr>
              <w:t>436</w:t>
            </w:r>
          </w:p>
        </w:tc>
        <w:tc>
          <w:tcPr>
            <w:tcW w:w="714" w:type="pct"/>
            <w:shd w:val="clear" w:color="auto" w:fill="auto"/>
            <w:noWrap/>
            <w:vAlign w:val="center"/>
          </w:tcPr>
          <w:p w14:paraId="0C3E7CA1">
            <w:pPr>
              <w:pStyle w:val="23"/>
              <w:jc w:val="center"/>
              <w:rPr>
                <w:rFonts w:ascii="宋体" w:hAnsi="宋体"/>
                <w:kern w:val="0"/>
                <w:szCs w:val="21"/>
              </w:rPr>
            </w:pPr>
            <w:r>
              <w:rPr>
                <w:rFonts w:ascii="宋体" w:hAnsi="宋体"/>
                <w:kern w:val="0"/>
                <w:szCs w:val="21"/>
              </w:rPr>
              <w:t>12559</w:t>
            </w:r>
          </w:p>
        </w:tc>
        <w:tc>
          <w:tcPr>
            <w:tcW w:w="714" w:type="pct"/>
            <w:shd w:val="clear" w:color="auto" w:fill="auto"/>
            <w:noWrap/>
            <w:vAlign w:val="center"/>
          </w:tcPr>
          <w:p w14:paraId="36D1724B">
            <w:pPr>
              <w:pStyle w:val="23"/>
              <w:jc w:val="center"/>
              <w:rPr>
                <w:rFonts w:ascii="宋体" w:hAnsi="宋体"/>
                <w:kern w:val="0"/>
                <w:szCs w:val="21"/>
              </w:rPr>
            </w:pPr>
            <w:r>
              <w:rPr>
                <w:rFonts w:ascii="宋体" w:hAnsi="宋体"/>
                <w:kern w:val="0"/>
                <w:szCs w:val="21"/>
              </w:rPr>
              <w:t>雄州街道</w:t>
            </w:r>
          </w:p>
        </w:tc>
        <w:tc>
          <w:tcPr>
            <w:tcW w:w="714" w:type="pct"/>
            <w:shd w:val="clear" w:color="auto" w:fill="auto"/>
            <w:noWrap/>
            <w:vAlign w:val="center"/>
          </w:tcPr>
          <w:p w14:paraId="5B95CC02">
            <w:pPr>
              <w:pStyle w:val="23"/>
              <w:jc w:val="center"/>
              <w:rPr>
                <w:rFonts w:ascii="宋体" w:hAnsi="宋体"/>
                <w:kern w:val="0"/>
                <w:szCs w:val="21"/>
              </w:rPr>
            </w:pPr>
            <w:r>
              <w:rPr>
                <w:rFonts w:ascii="宋体" w:hAnsi="宋体"/>
                <w:kern w:val="0"/>
                <w:szCs w:val="21"/>
              </w:rPr>
              <w:t>29934</w:t>
            </w:r>
          </w:p>
        </w:tc>
        <w:tc>
          <w:tcPr>
            <w:tcW w:w="714" w:type="pct"/>
            <w:shd w:val="clear" w:color="auto" w:fill="auto"/>
            <w:noWrap/>
            <w:vAlign w:val="center"/>
          </w:tcPr>
          <w:p w14:paraId="664F3C17">
            <w:pPr>
              <w:pStyle w:val="23"/>
              <w:jc w:val="center"/>
              <w:rPr>
                <w:rFonts w:ascii="宋体" w:hAnsi="宋体"/>
                <w:kern w:val="0"/>
                <w:szCs w:val="21"/>
              </w:rPr>
            </w:pPr>
            <w:r>
              <w:rPr>
                <w:rFonts w:ascii="宋体" w:hAnsi="宋体"/>
                <w:kern w:val="0"/>
                <w:szCs w:val="21"/>
              </w:rPr>
              <w:t>443</w:t>
            </w:r>
          </w:p>
        </w:tc>
      </w:tr>
      <w:tr w14:paraId="5A301BE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714" w:type="pct"/>
            <w:shd w:val="clear" w:color="auto" w:fill="auto"/>
            <w:noWrap/>
            <w:vAlign w:val="center"/>
          </w:tcPr>
          <w:p w14:paraId="411F9352">
            <w:pPr>
              <w:pStyle w:val="23"/>
              <w:jc w:val="center"/>
              <w:rPr>
                <w:rFonts w:ascii="宋体" w:hAnsi="宋体"/>
                <w:kern w:val="0"/>
                <w:szCs w:val="21"/>
              </w:rPr>
            </w:pPr>
            <w:r>
              <w:rPr>
                <w:rFonts w:ascii="宋体" w:hAnsi="宋体"/>
                <w:kern w:val="0"/>
                <w:szCs w:val="21"/>
              </w:rPr>
              <w:t>江头</w:t>
            </w:r>
          </w:p>
        </w:tc>
        <w:tc>
          <w:tcPr>
            <w:tcW w:w="714" w:type="pct"/>
            <w:shd w:val="clear" w:color="auto" w:fill="auto"/>
            <w:noWrap/>
            <w:vAlign w:val="center"/>
          </w:tcPr>
          <w:p w14:paraId="14868EA9">
            <w:pPr>
              <w:pStyle w:val="23"/>
              <w:jc w:val="center"/>
              <w:rPr>
                <w:rFonts w:ascii="宋体" w:hAnsi="宋体"/>
                <w:kern w:val="0"/>
                <w:szCs w:val="21"/>
              </w:rPr>
            </w:pPr>
            <w:r>
              <w:rPr>
                <w:rFonts w:ascii="宋体" w:hAnsi="宋体"/>
                <w:kern w:val="0"/>
                <w:szCs w:val="21"/>
              </w:rPr>
              <w:t>16625</w:t>
            </w:r>
          </w:p>
        </w:tc>
        <w:tc>
          <w:tcPr>
            <w:tcW w:w="714" w:type="pct"/>
            <w:shd w:val="clear" w:color="auto" w:fill="auto"/>
            <w:noWrap/>
            <w:vAlign w:val="center"/>
          </w:tcPr>
          <w:p w14:paraId="32D07A9A">
            <w:pPr>
              <w:pStyle w:val="23"/>
              <w:jc w:val="center"/>
              <w:rPr>
                <w:rFonts w:ascii="宋体" w:hAnsi="宋体"/>
                <w:kern w:val="0"/>
                <w:szCs w:val="21"/>
              </w:rPr>
            </w:pPr>
            <w:r>
              <w:rPr>
                <w:rFonts w:ascii="宋体" w:hAnsi="宋体"/>
                <w:kern w:val="0"/>
                <w:szCs w:val="21"/>
              </w:rPr>
              <w:t>437</w:t>
            </w:r>
          </w:p>
        </w:tc>
        <w:tc>
          <w:tcPr>
            <w:tcW w:w="714" w:type="pct"/>
            <w:shd w:val="clear" w:color="auto" w:fill="auto"/>
            <w:noWrap/>
            <w:vAlign w:val="center"/>
          </w:tcPr>
          <w:p w14:paraId="4CAB2335">
            <w:pPr>
              <w:pStyle w:val="23"/>
              <w:jc w:val="center"/>
              <w:rPr>
                <w:rFonts w:ascii="宋体" w:hAnsi="宋体"/>
                <w:kern w:val="0"/>
                <w:szCs w:val="21"/>
              </w:rPr>
            </w:pPr>
            <w:r>
              <w:rPr>
                <w:rFonts w:ascii="宋体" w:hAnsi="宋体"/>
                <w:kern w:val="0"/>
                <w:szCs w:val="21"/>
              </w:rPr>
              <w:t>7268</w:t>
            </w:r>
          </w:p>
        </w:tc>
        <w:tc>
          <w:tcPr>
            <w:tcW w:w="714" w:type="pct"/>
            <w:shd w:val="clear" w:color="auto" w:fill="auto"/>
            <w:noWrap/>
            <w:vAlign w:val="center"/>
          </w:tcPr>
          <w:p w14:paraId="378D2BAD">
            <w:pPr>
              <w:pStyle w:val="23"/>
              <w:jc w:val="center"/>
              <w:rPr>
                <w:rFonts w:ascii="宋体" w:hAnsi="宋体"/>
                <w:kern w:val="0"/>
                <w:szCs w:val="21"/>
              </w:rPr>
            </w:pPr>
          </w:p>
        </w:tc>
        <w:tc>
          <w:tcPr>
            <w:tcW w:w="714" w:type="pct"/>
            <w:shd w:val="clear" w:color="auto" w:fill="auto"/>
            <w:noWrap/>
            <w:vAlign w:val="center"/>
          </w:tcPr>
          <w:p w14:paraId="066C43BA">
            <w:pPr>
              <w:pStyle w:val="23"/>
              <w:jc w:val="center"/>
              <w:rPr>
                <w:rFonts w:ascii="宋体" w:hAnsi="宋体"/>
                <w:kern w:val="0"/>
                <w:szCs w:val="21"/>
              </w:rPr>
            </w:pPr>
          </w:p>
        </w:tc>
        <w:tc>
          <w:tcPr>
            <w:tcW w:w="714" w:type="pct"/>
            <w:shd w:val="clear" w:color="auto" w:fill="auto"/>
            <w:noWrap/>
            <w:vAlign w:val="center"/>
          </w:tcPr>
          <w:p w14:paraId="54DE9933">
            <w:pPr>
              <w:pStyle w:val="23"/>
              <w:jc w:val="center"/>
              <w:rPr>
                <w:rFonts w:ascii="宋体" w:hAnsi="宋体"/>
                <w:kern w:val="0"/>
                <w:szCs w:val="21"/>
              </w:rPr>
            </w:pPr>
          </w:p>
        </w:tc>
      </w:tr>
    </w:tbl>
    <w:p w14:paraId="6906BE13">
      <w:pPr>
        <w:ind w:firstLine="0" w:firstLineChars="0"/>
        <w:jc w:val="center"/>
        <w:rPr>
          <w:rFonts w:ascii="宋体" w:hAnsi="宋体"/>
          <w:b/>
          <w:szCs w:val="21"/>
        </w:rPr>
      </w:pPr>
      <w:r>
        <w:rPr>
          <w:rFonts w:hint="eastAsia" w:ascii="宋体" w:hAnsi="宋体"/>
          <w:b/>
          <w:szCs w:val="21"/>
        </w:rPr>
        <w:t>表53 分镇早稻播种面积和产量</w:t>
      </w:r>
    </w:p>
    <w:tbl>
      <w:tblPr>
        <w:tblStyle w:val="14"/>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81"/>
        <w:gridCol w:w="1413"/>
        <w:gridCol w:w="1413"/>
        <w:gridCol w:w="1413"/>
        <w:gridCol w:w="1414"/>
        <w:gridCol w:w="1414"/>
        <w:gridCol w:w="1414"/>
      </w:tblGrid>
      <w:tr w14:paraId="5E65202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714" w:type="pct"/>
            <w:shd w:val="clear" w:color="auto" w:fill="auto"/>
            <w:noWrap/>
            <w:vAlign w:val="center"/>
          </w:tcPr>
          <w:p w14:paraId="58CF223C">
            <w:pPr>
              <w:pStyle w:val="23"/>
              <w:jc w:val="center"/>
              <w:rPr>
                <w:rFonts w:ascii="宋体" w:hAnsi="宋体"/>
                <w:b/>
                <w:kern w:val="0"/>
                <w:szCs w:val="21"/>
              </w:rPr>
            </w:pPr>
            <w:r>
              <w:rPr>
                <w:rFonts w:ascii="宋体" w:hAnsi="宋体"/>
                <w:b/>
                <w:kern w:val="0"/>
                <w:szCs w:val="21"/>
              </w:rPr>
              <w:t>单位单位名称</w:t>
            </w:r>
          </w:p>
        </w:tc>
        <w:tc>
          <w:tcPr>
            <w:tcW w:w="714" w:type="pct"/>
            <w:shd w:val="clear" w:color="auto" w:fill="auto"/>
            <w:noWrap/>
            <w:vAlign w:val="center"/>
          </w:tcPr>
          <w:p w14:paraId="3079A8F3">
            <w:pPr>
              <w:pStyle w:val="23"/>
              <w:jc w:val="center"/>
              <w:rPr>
                <w:rFonts w:ascii="宋体" w:hAnsi="宋体"/>
                <w:b/>
                <w:kern w:val="0"/>
                <w:szCs w:val="21"/>
              </w:rPr>
            </w:pPr>
            <w:r>
              <w:rPr>
                <w:rFonts w:ascii="宋体" w:hAnsi="宋体"/>
                <w:b/>
                <w:kern w:val="0"/>
                <w:szCs w:val="21"/>
              </w:rPr>
              <w:t>面积(亩)</w:t>
            </w:r>
          </w:p>
        </w:tc>
        <w:tc>
          <w:tcPr>
            <w:tcW w:w="714" w:type="pct"/>
            <w:shd w:val="clear" w:color="auto" w:fill="auto"/>
            <w:noWrap/>
            <w:vAlign w:val="center"/>
          </w:tcPr>
          <w:p w14:paraId="45984888">
            <w:pPr>
              <w:pStyle w:val="23"/>
              <w:jc w:val="center"/>
              <w:rPr>
                <w:rFonts w:ascii="宋体" w:hAnsi="宋体"/>
                <w:b/>
                <w:kern w:val="0"/>
                <w:szCs w:val="21"/>
              </w:rPr>
            </w:pPr>
            <w:r>
              <w:rPr>
                <w:rFonts w:ascii="宋体" w:hAnsi="宋体"/>
                <w:b/>
                <w:kern w:val="0"/>
                <w:szCs w:val="21"/>
              </w:rPr>
              <w:t>亩产(公斤)</w:t>
            </w:r>
          </w:p>
        </w:tc>
        <w:tc>
          <w:tcPr>
            <w:tcW w:w="714" w:type="pct"/>
            <w:shd w:val="clear" w:color="auto" w:fill="auto"/>
            <w:noWrap/>
            <w:vAlign w:val="center"/>
          </w:tcPr>
          <w:p w14:paraId="74BC2533">
            <w:pPr>
              <w:pStyle w:val="23"/>
              <w:jc w:val="center"/>
              <w:rPr>
                <w:rFonts w:ascii="宋体" w:hAnsi="宋体"/>
                <w:b/>
                <w:kern w:val="0"/>
                <w:szCs w:val="21"/>
              </w:rPr>
            </w:pPr>
            <w:r>
              <w:rPr>
                <w:rFonts w:ascii="宋体" w:hAnsi="宋体"/>
                <w:b/>
                <w:kern w:val="0"/>
                <w:szCs w:val="21"/>
              </w:rPr>
              <w:t>总产量(吨)</w:t>
            </w:r>
          </w:p>
        </w:tc>
        <w:tc>
          <w:tcPr>
            <w:tcW w:w="714" w:type="pct"/>
            <w:shd w:val="clear" w:color="auto" w:fill="auto"/>
            <w:noWrap/>
            <w:vAlign w:val="center"/>
          </w:tcPr>
          <w:p w14:paraId="5556FA2E">
            <w:pPr>
              <w:pStyle w:val="23"/>
              <w:jc w:val="center"/>
              <w:rPr>
                <w:rFonts w:ascii="宋体" w:hAnsi="宋体"/>
                <w:b/>
                <w:kern w:val="0"/>
                <w:szCs w:val="21"/>
              </w:rPr>
            </w:pPr>
            <w:r>
              <w:rPr>
                <w:rFonts w:ascii="宋体" w:hAnsi="宋体"/>
                <w:b/>
                <w:kern w:val="0"/>
                <w:szCs w:val="21"/>
              </w:rPr>
              <w:t>单位名称</w:t>
            </w:r>
          </w:p>
        </w:tc>
        <w:tc>
          <w:tcPr>
            <w:tcW w:w="714" w:type="pct"/>
            <w:shd w:val="clear" w:color="auto" w:fill="auto"/>
            <w:noWrap/>
            <w:vAlign w:val="center"/>
          </w:tcPr>
          <w:p w14:paraId="17692759">
            <w:pPr>
              <w:pStyle w:val="23"/>
              <w:jc w:val="center"/>
              <w:rPr>
                <w:rFonts w:ascii="宋体" w:hAnsi="宋体"/>
                <w:b/>
                <w:kern w:val="0"/>
                <w:szCs w:val="21"/>
              </w:rPr>
            </w:pPr>
            <w:r>
              <w:rPr>
                <w:rFonts w:ascii="宋体" w:hAnsi="宋体"/>
                <w:b/>
                <w:kern w:val="0"/>
                <w:szCs w:val="21"/>
              </w:rPr>
              <w:t>面积(亩)</w:t>
            </w:r>
          </w:p>
        </w:tc>
        <w:tc>
          <w:tcPr>
            <w:tcW w:w="714" w:type="pct"/>
            <w:shd w:val="clear" w:color="auto" w:fill="auto"/>
            <w:noWrap/>
            <w:vAlign w:val="center"/>
          </w:tcPr>
          <w:p w14:paraId="17212CD0">
            <w:pPr>
              <w:pStyle w:val="23"/>
              <w:jc w:val="center"/>
              <w:rPr>
                <w:rFonts w:ascii="宋体" w:hAnsi="宋体"/>
                <w:b/>
                <w:kern w:val="0"/>
                <w:szCs w:val="21"/>
              </w:rPr>
            </w:pPr>
            <w:r>
              <w:rPr>
                <w:rFonts w:ascii="宋体" w:hAnsi="宋体"/>
                <w:b/>
                <w:kern w:val="0"/>
                <w:szCs w:val="21"/>
              </w:rPr>
              <w:t>亩产(公斤)</w:t>
            </w:r>
          </w:p>
        </w:tc>
      </w:tr>
      <w:tr w14:paraId="1951284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714" w:type="pct"/>
            <w:shd w:val="clear" w:color="auto" w:fill="auto"/>
            <w:noWrap/>
            <w:vAlign w:val="center"/>
          </w:tcPr>
          <w:p w14:paraId="34CE88E8">
            <w:pPr>
              <w:pStyle w:val="23"/>
              <w:jc w:val="center"/>
              <w:rPr>
                <w:rFonts w:ascii="宋体" w:hAnsi="宋体"/>
                <w:kern w:val="0"/>
                <w:szCs w:val="21"/>
              </w:rPr>
            </w:pPr>
            <w:r>
              <w:rPr>
                <w:rFonts w:ascii="宋体" w:hAnsi="宋体"/>
                <w:kern w:val="0"/>
                <w:szCs w:val="21"/>
              </w:rPr>
              <w:t>合计</w:t>
            </w:r>
          </w:p>
        </w:tc>
        <w:tc>
          <w:tcPr>
            <w:tcW w:w="714" w:type="pct"/>
            <w:shd w:val="clear" w:color="auto" w:fill="auto"/>
            <w:noWrap/>
            <w:vAlign w:val="center"/>
          </w:tcPr>
          <w:p w14:paraId="6A28DF0C">
            <w:pPr>
              <w:pStyle w:val="23"/>
              <w:jc w:val="center"/>
              <w:rPr>
                <w:rFonts w:ascii="宋体" w:hAnsi="宋体"/>
                <w:kern w:val="0"/>
                <w:szCs w:val="21"/>
              </w:rPr>
            </w:pPr>
            <w:r>
              <w:rPr>
                <w:rFonts w:ascii="宋体" w:hAnsi="宋体"/>
                <w:kern w:val="0"/>
                <w:szCs w:val="21"/>
              </w:rPr>
              <w:t>145242</w:t>
            </w:r>
          </w:p>
        </w:tc>
        <w:tc>
          <w:tcPr>
            <w:tcW w:w="714" w:type="pct"/>
            <w:shd w:val="clear" w:color="auto" w:fill="auto"/>
            <w:noWrap/>
            <w:vAlign w:val="center"/>
          </w:tcPr>
          <w:p w14:paraId="7B189FBF">
            <w:pPr>
              <w:pStyle w:val="23"/>
              <w:jc w:val="center"/>
              <w:rPr>
                <w:rFonts w:ascii="宋体" w:hAnsi="宋体"/>
                <w:kern w:val="0"/>
                <w:szCs w:val="21"/>
              </w:rPr>
            </w:pPr>
            <w:r>
              <w:rPr>
                <w:rFonts w:ascii="宋体" w:hAnsi="宋体"/>
                <w:kern w:val="0"/>
                <w:szCs w:val="21"/>
              </w:rPr>
              <w:t>411</w:t>
            </w:r>
          </w:p>
        </w:tc>
        <w:tc>
          <w:tcPr>
            <w:tcW w:w="714" w:type="pct"/>
            <w:shd w:val="clear" w:color="auto" w:fill="auto"/>
            <w:noWrap/>
            <w:vAlign w:val="center"/>
          </w:tcPr>
          <w:p w14:paraId="18EA2F13">
            <w:pPr>
              <w:pStyle w:val="23"/>
              <w:jc w:val="center"/>
              <w:rPr>
                <w:rFonts w:ascii="宋体" w:hAnsi="宋体"/>
                <w:kern w:val="0"/>
                <w:szCs w:val="21"/>
              </w:rPr>
            </w:pPr>
            <w:r>
              <w:rPr>
                <w:rFonts w:ascii="宋体" w:hAnsi="宋体"/>
                <w:kern w:val="0"/>
                <w:szCs w:val="21"/>
              </w:rPr>
              <w:t>59747</w:t>
            </w:r>
          </w:p>
        </w:tc>
        <w:tc>
          <w:tcPr>
            <w:tcW w:w="714" w:type="pct"/>
            <w:shd w:val="clear" w:color="auto" w:fill="auto"/>
            <w:noWrap/>
            <w:vAlign w:val="center"/>
          </w:tcPr>
          <w:p w14:paraId="2D9494FC">
            <w:pPr>
              <w:pStyle w:val="23"/>
              <w:jc w:val="center"/>
              <w:rPr>
                <w:rFonts w:ascii="宋体" w:hAnsi="宋体"/>
                <w:kern w:val="0"/>
                <w:szCs w:val="21"/>
              </w:rPr>
            </w:pPr>
            <w:r>
              <w:rPr>
                <w:rFonts w:ascii="宋体" w:hAnsi="宋体"/>
                <w:kern w:val="0"/>
                <w:szCs w:val="21"/>
              </w:rPr>
              <w:t>湖口</w:t>
            </w:r>
          </w:p>
        </w:tc>
        <w:tc>
          <w:tcPr>
            <w:tcW w:w="714" w:type="pct"/>
            <w:shd w:val="clear" w:color="auto" w:fill="auto"/>
            <w:noWrap/>
            <w:vAlign w:val="center"/>
          </w:tcPr>
          <w:p w14:paraId="22133E08">
            <w:pPr>
              <w:pStyle w:val="23"/>
              <w:jc w:val="center"/>
              <w:rPr>
                <w:rFonts w:ascii="宋体" w:hAnsi="宋体"/>
                <w:kern w:val="0"/>
                <w:szCs w:val="21"/>
              </w:rPr>
            </w:pPr>
            <w:r>
              <w:rPr>
                <w:rFonts w:ascii="宋体" w:hAnsi="宋体"/>
                <w:kern w:val="0"/>
                <w:szCs w:val="21"/>
              </w:rPr>
              <w:t>9865</w:t>
            </w:r>
          </w:p>
        </w:tc>
        <w:tc>
          <w:tcPr>
            <w:tcW w:w="714" w:type="pct"/>
            <w:shd w:val="clear" w:color="auto" w:fill="auto"/>
            <w:noWrap/>
            <w:vAlign w:val="center"/>
          </w:tcPr>
          <w:p w14:paraId="6E58DBD7">
            <w:pPr>
              <w:pStyle w:val="23"/>
              <w:jc w:val="center"/>
              <w:rPr>
                <w:rFonts w:ascii="宋体" w:hAnsi="宋体"/>
                <w:kern w:val="0"/>
                <w:szCs w:val="21"/>
              </w:rPr>
            </w:pPr>
            <w:r>
              <w:rPr>
                <w:rFonts w:ascii="宋体" w:hAnsi="宋体"/>
                <w:kern w:val="0"/>
                <w:szCs w:val="21"/>
              </w:rPr>
              <w:t>405</w:t>
            </w:r>
          </w:p>
        </w:tc>
      </w:tr>
      <w:tr w14:paraId="43B77BB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714" w:type="pct"/>
            <w:shd w:val="clear" w:color="auto" w:fill="auto"/>
            <w:noWrap/>
            <w:vAlign w:val="center"/>
          </w:tcPr>
          <w:p w14:paraId="04387CAB">
            <w:pPr>
              <w:pStyle w:val="23"/>
              <w:jc w:val="center"/>
              <w:rPr>
                <w:rFonts w:ascii="宋体" w:hAnsi="宋体"/>
                <w:kern w:val="0"/>
                <w:szCs w:val="21"/>
              </w:rPr>
            </w:pPr>
            <w:r>
              <w:rPr>
                <w:rFonts w:ascii="宋体" w:hAnsi="宋体"/>
                <w:kern w:val="0"/>
                <w:szCs w:val="21"/>
              </w:rPr>
              <w:t>乌迳</w:t>
            </w:r>
          </w:p>
        </w:tc>
        <w:tc>
          <w:tcPr>
            <w:tcW w:w="714" w:type="pct"/>
            <w:shd w:val="clear" w:color="auto" w:fill="auto"/>
            <w:noWrap/>
            <w:vAlign w:val="center"/>
          </w:tcPr>
          <w:p w14:paraId="6DA82A52">
            <w:pPr>
              <w:pStyle w:val="23"/>
              <w:jc w:val="center"/>
              <w:rPr>
                <w:rFonts w:ascii="宋体" w:hAnsi="宋体"/>
                <w:kern w:val="0"/>
                <w:szCs w:val="21"/>
              </w:rPr>
            </w:pPr>
            <w:r>
              <w:rPr>
                <w:rFonts w:ascii="宋体" w:hAnsi="宋体"/>
                <w:kern w:val="0"/>
                <w:szCs w:val="21"/>
              </w:rPr>
              <w:t>17236</w:t>
            </w:r>
          </w:p>
        </w:tc>
        <w:tc>
          <w:tcPr>
            <w:tcW w:w="714" w:type="pct"/>
            <w:shd w:val="clear" w:color="auto" w:fill="auto"/>
            <w:noWrap/>
            <w:vAlign w:val="center"/>
          </w:tcPr>
          <w:p w14:paraId="1AF887B9">
            <w:pPr>
              <w:pStyle w:val="23"/>
              <w:jc w:val="center"/>
              <w:rPr>
                <w:rFonts w:ascii="宋体" w:hAnsi="宋体"/>
                <w:kern w:val="0"/>
                <w:szCs w:val="21"/>
              </w:rPr>
            </w:pPr>
            <w:r>
              <w:rPr>
                <w:rFonts w:ascii="宋体" w:hAnsi="宋体"/>
                <w:kern w:val="0"/>
                <w:szCs w:val="21"/>
              </w:rPr>
              <w:t>409</w:t>
            </w:r>
          </w:p>
        </w:tc>
        <w:tc>
          <w:tcPr>
            <w:tcW w:w="714" w:type="pct"/>
            <w:shd w:val="clear" w:color="auto" w:fill="auto"/>
            <w:noWrap/>
            <w:vAlign w:val="center"/>
          </w:tcPr>
          <w:p w14:paraId="4FB9BF4C">
            <w:pPr>
              <w:pStyle w:val="23"/>
              <w:jc w:val="center"/>
              <w:rPr>
                <w:rFonts w:ascii="宋体" w:hAnsi="宋体"/>
                <w:kern w:val="0"/>
                <w:szCs w:val="21"/>
              </w:rPr>
            </w:pPr>
            <w:r>
              <w:rPr>
                <w:rFonts w:ascii="宋体" w:hAnsi="宋体"/>
                <w:kern w:val="0"/>
                <w:szCs w:val="21"/>
              </w:rPr>
              <w:t>7057</w:t>
            </w:r>
          </w:p>
        </w:tc>
        <w:tc>
          <w:tcPr>
            <w:tcW w:w="714" w:type="pct"/>
            <w:shd w:val="clear" w:color="auto" w:fill="auto"/>
            <w:noWrap/>
            <w:vAlign w:val="center"/>
          </w:tcPr>
          <w:p w14:paraId="38A525AB">
            <w:pPr>
              <w:pStyle w:val="23"/>
              <w:jc w:val="center"/>
              <w:rPr>
                <w:rFonts w:ascii="宋体" w:hAnsi="宋体"/>
                <w:kern w:val="0"/>
                <w:szCs w:val="21"/>
              </w:rPr>
            </w:pPr>
            <w:r>
              <w:rPr>
                <w:rFonts w:ascii="宋体" w:hAnsi="宋体"/>
                <w:kern w:val="0"/>
                <w:szCs w:val="21"/>
              </w:rPr>
              <w:t>珠玑</w:t>
            </w:r>
          </w:p>
        </w:tc>
        <w:tc>
          <w:tcPr>
            <w:tcW w:w="714" w:type="pct"/>
            <w:shd w:val="clear" w:color="auto" w:fill="auto"/>
            <w:noWrap/>
            <w:vAlign w:val="center"/>
          </w:tcPr>
          <w:p w14:paraId="2CDE0862">
            <w:pPr>
              <w:pStyle w:val="23"/>
              <w:jc w:val="center"/>
              <w:rPr>
                <w:rFonts w:ascii="宋体" w:hAnsi="宋体"/>
                <w:kern w:val="0"/>
                <w:szCs w:val="21"/>
              </w:rPr>
            </w:pPr>
            <w:r>
              <w:rPr>
                <w:rFonts w:ascii="宋体" w:hAnsi="宋体"/>
                <w:kern w:val="0"/>
                <w:szCs w:val="21"/>
              </w:rPr>
              <w:t>6190</w:t>
            </w:r>
          </w:p>
        </w:tc>
        <w:tc>
          <w:tcPr>
            <w:tcW w:w="714" w:type="pct"/>
            <w:shd w:val="clear" w:color="auto" w:fill="auto"/>
            <w:noWrap/>
            <w:vAlign w:val="center"/>
          </w:tcPr>
          <w:p w14:paraId="5A56D3DC">
            <w:pPr>
              <w:pStyle w:val="23"/>
              <w:jc w:val="center"/>
              <w:rPr>
                <w:rFonts w:ascii="宋体" w:hAnsi="宋体"/>
                <w:kern w:val="0"/>
                <w:szCs w:val="21"/>
              </w:rPr>
            </w:pPr>
            <w:r>
              <w:rPr>
                <w:rFonts w:ascii="宋体" w:hAnsi="宋体"/>
                <w:kern w:val="0"/>
                <w:szCs w:val="21"/>
              </w:rPr>
              <w:t>424</w:t>
            </w:r>
          </w:p>
        </w:tc>
      </w:tr>
      <w:tr w14:paraId="73F9A38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714" w:type="pct"/>
            <w:shd w:val="clear" w:color="auto" w:fill="auto"/>
            <w:noWrap/>
            <w:vAlign w:val="center"/>
          </w:tcPr>
          <w:p w14:paraId="39BF83FF">
            <w:pPr>
              <w:pStyle w:val="23"/>
              <w:jc w:val="center"/>
              <w:rPr>
                <w:rFonts w:ascii="宋体" w:hAnsi="宋体"/>
                <w:kern w:val="0"/>
                <w:szCs w:val="21"/>
              </w:rPr>
            </w:pPr>
            <w:r>
              <w:rPr>
                <w:rFonts w:ascii="宋体" w:hAnsi="宋体"/>
                <w:kern w:val="0"/>
                <w:szCs w:val="21"/>
              </w:rPr>
              <w:t>界址</w:t>
            </w:r>
          </w:p>
        </w:tc>
        <w:tc>
          <w:tcPr>
            <w:tcW w:w="714" w:type="pct"/>
            <w:shd w:val="clear" w:color="auto" w:fill="auto"/>
            <w:noWrap/>
            <w:vAlign w:val="center"/>
          </w:tcPr>
          <w:p w14:paraId="7E17D1D7">
            <w:pPr>
              <w:pStyle w:val="23"/>
              <w:jc w:val="center"/>
              <w:rPr>
                <w:rFonts w:ascii="宋体" w:hAnsi="宋体"/>
                <w:kern w:val="0"/>
                <w:szCs w:val="21"/>
              </w:rPr>
            </w:pPr>
            <w:r>
              <w:rPr>
                <w:rFonts w:ascii="宋体" w:hAnsi="宋体"/>
                <w:kern w:val="0"/>
                <w:szCs w:val="21"/>
              </w:rPr>
              <w:t>4368</w:t>
            </w:r>
          </w:p>
        </w:tc>
        <w:tc>
          <w:tcPr>
            <w:tcW w:w="714" w:type="pct"/>
            <w:shd w:val="clear" w:color="auto" w:fill="auto"/>
            <w:noWrap/>
            <w:vAlign w:val="center"/>
          </w:tcPr>
          <w:p w14:paraId="0D1F2F29">
            <w:pPr>
              <w:pStyle w:val="23"/>
              <w:jc w:val="center"/>
              <w:rPr>
                <w:rFonts w:ascii="宋体" w:hAnsi="宋体"/>
                <w:kern w:val="0"/>
                <w:szCs w:val="21"/>
              </w:rPr>
            </w:pPr>
            <w:r>
              <w:rPr>
                <w:rFonts w:ascii="宋体" w:hAnsi="宋体"/>
                <w:kern w:val="0"/>
                <w:szCs w:val="21"/>
              </w:rPr>
              <w:t>401</w:t>
            </w:r>
          </w:p>
        </w:tc>
        <w:tc>
          <w:tcPr>
            <w:tcW w:w="714" w:type="pct"/>
            <w:shd w:val="clear" w:color="auto" w:fill="auto"/>
            <w:noWrap/>
            <w:vAlign w:val="center"/>
          </w:tcPr>
          <w:p w14:paraId="4385AF48">
            <w:pPr>
              <w:pStyle w:val="23"/>
              <w:jc w:val="center"/>
              <w:rPr>
                <w:rFonts w:ascii="宋体" w:hAnsi="宋体"/>
                <w:kern w:val="0"/>
                <w:szCs w:val="21"/>
              </w:rPr>
            </w:pPr>
            <w:r>
              <w:rPr>
                <w:rFonts w:ascii="宋体" w:hAnsi="宋体"/>
                <w:kern w:val="0"/>
                <w:szCs w:val="21"/>
              </w:rPr>
              <w:t>1753</w:t>
            </w:r>
          </w:p>
        </w:tc>
        <w:tc>
          <w:tcPr>
            <w:tcW w:w="714" w:type="pct"/>
            <w:shd w:val="clear" w:color="auto" w:fill="auto"/>
            <w:noWrap/>
            <w:vAlign w:val="center"/>
          </w:tcPr>
          <w:p w14:paraId="40E051EE">
            <w:pPr>
              <w:pStyle w:val="23"/>
              <w:jc w:val="center"/>
              <w:rPr>
                <w:rFonts w:ascii="宋体" w:hAnsi="宋体"/>
                <w:kern w:val="0"/>
                <w:szCs w:val="21"/>
              </w:rPr>
            </w:pPr>
            <w:r>
              <w:rPr>
                <w:rFonts w:ascii="宋体" w:hAnsi="宋体"/>
                <w:kern w:val="0"/>
                <w:szCs w:val="21"/>
              </w:rPr>
              <w:t>主田</w:t>
            </w:r>
          </w:p>
        </w:tc>
        <w:tc>
          <w:tcPr>
            <w:tcW w:w="714" w:type="pct"/>
            <w:shd w:val="clear" w:color="auto" w:fill="auto"/>
            <w:noWrap/>
            <w:vAlign w:val="center"/>
          </w:tcPr>
          <w:p w14:paraId="14805D45">
            <w:pPr>
              <w:pStyle w:val="23"/>
              <w:jc w:val="center"/>
              <w:rPr>
                <w:rFonts w:ascii="宋体" w:hAnsi="宋体"/>
                <w:kern w:val="0"/>
                <w:szCs w:val="21"/>
              </w:rPr>
            </w:pPr>
            <w:r>
              <w:rPr>
                <w:rFonts w:ascii="宋体" w:hAnsi="宋体"/>
                <w:kern w:val="0"/>
                <w:szCs w:val="21"/>
              </w:rPr>
              <w:t>1598</w:t>
            </w:r>
          </w:p>
        </w:tc>
        <w:tc>
          <w:tcPr>
            <w:tcW w:w="714" w:type="pct"/>
            <w:shd w:val="clear" w:color="auto" w:fill="auto"/>
            <w:noWrap/>
            <w:vAlign w:val="center"/>
          </w:tcPr>
          <w:p w14:paraId="672210A3">
            <w:pPr>
              <w:pStyle w:val="23"/>
              <w:jc w:val="center"/>
              <w:rPr>
                <w:rFonts w:ascii="宋体" w:hAnsi="宋体"/>
                <w:kern w:val="0"/>
                <w:szCs w:val="21"/>
              </w:rPr>
            </w:pPr>
            <w:r>
              <w:rPr>
                <w:rFonts w:ascii="宋体" w:hAnsi="宋体"/>
                <w:kern w:val="0"/>
                <w:szCs w:val="21"/>
              </w:rPr>
              <w:t>402</w:t>
            </w:r>
          </w:p>
        </w:tc>
      </w:tr>
      <w:tr w14:paraId="4265CCA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714" w:type="pct"/>
            <w:shd w:val="clear" w:color="auto" w:fill="auto"/>
            <w:noWrap/>
            <w:vAlign w:val="center"/>
          </w:tcPr>
          <w:p w14:paraId="75A1D20F">
            <w:pPr>
              <w:pStyle w:val="23"/>
              <w:jc w:val="center"/>
              <w:rPr>
                <w:rFonts w:ascii="宋体" w:hAnsi="宋体"/>
                <w:kern w:val="0"/>
                <w:szCs w:val="21"/>
              </w:rPr>
            </w:pPr>
            <w:r>
              <w:rPr>
                <w:rFonts w:ascii="宋体" w:hAnsi="宋体"/>
                <w:kern w:val="0"/>
                <w:szCs w:val="21"/>
              </w:rPr>
              <w:t>坪田</w:t>
            </w:r>
          </w:p>
        </w:tc>
        <w:tc>
          <w:tcPr>
            <w:tcW w:w="714" w:type="pct"/>
            <w:shd w:val="clear" w:color="auto" w:fill="auto"/>
            <w:noWrap/>
            <w:vAlign w:val="center"/>
          </w:tcPr>
          <w:p w14:paraId="51CD5835">
            <w:pPr>
              <w:pStyle w:val="23"/>
              <w:jc w:val="center"/>
              <w:rPr>
                <w:rFonts w:ascii="宋体" w:hAnsi="宋体"/>
                <w:kern w:val="0"/>
                <w:szCs w:val="21"/>
              </w:rPr>
            </w:pPr>
            <w:r>
              <w:rPr>
                <w:rFonts w:ascii="宋体" w:hAnsi="宋体"/>
                <w:kern w:val="0"/>
                <w:szCs w:val="21"/>
              </w:rPr>
              <w:t>17447</w:t>
            </w:r>
          </w:p>
        </w:tc>
        <w:tc>
          <w:tcPr>
            <w:tcW w:w="714" w:type="pct"/>
            <w:shd w:val="clear" w:color="auto" w:fill="auto"/>
            <w:noWrap/>
            <w:vAlign w:val="center"/>
          </w:tcPr>
          <w:p w14:paraId="5E1036F0">
            <w:pPr>
              <w:pStyle w:val="23"/>
              <w:jc w:val="center"/>
              <w:rPr>
                <w:rFonts w:ascii="宋体" w:hAnsi="宋体"/>
                <w:kern w:val="0"/>
                <w:szCs w:val="21"/>
              </w:rPr>
            </w:pPr>
            <w:r>
              <w:rPr>
                <w:rFonts w:ascii="宋体" w:hAnsi="宋体"/>
                <w:kern w:val="0"/>
                <w:szCs w:val="21"/>
              </w:rPr>
              <w:t>410</w:t>
            </w:r>
          </w:p>
        </w:tc>
        <w:tc>
          <w:tcPr>
            <w:tcW w:w="714" w:type="pct"/>
            <w:shd w:val="clear" w:color="auto" w:fill="auto"/>
            <w:noWrap/>
            <w:vAlign w:val="center"/>
          </w:tcPr>
          <w:p w14:paraId="185FD743">
            <w:pPr>
              <w:pStyle w:val="23"/>
              <w:jc w:val="center"/>
              <w:rPr>
                <w:rFonts w:ascii="宋体" w:hAnsi="宋体"/>
                <w:kern w:val="0"/>
                <w:szCs w:val="21"/>
              </w:rPr>
            </w:pPr>
            <w:r>
              <w:rPr>
                <w:rFonts w:ascii="宋体" w:hAnsi="宋体"/>
                <w:kern w:val="0"/>
                <w:szCs w:val="21"/>
              </w:rPr>
              <w:t>7146</w:t>
            </w:r>
          </w:p>
        </w:tc>
        <w:tc>
          <w:tcPr>
            <w:tcW w:w="714" w:type="pct"/>
            <w:shd w:val="clear" w:color="auto" w:fill="auto"/>
            <w:noWrap/>
            <w:vAlign w:val="center"/>
          </w:tcPr>
          <w:p w14:paraId="224971CC">
            <w:pPr>
              <w:pStyle w:val="23"/>
              <w:jc w:val="center"/>
              <w:rPr>
                <w:rFonts w:ascii="宋体" w:hAnsi="宋体"/>
                <w:kern w:val="0"/>
                <w:szCs w:val="21"/>
              </w:rPr>
            </w:pPr>
            <w:r>
              <w:rPr>
                <w:rFonts w:ascii="宋体" w:hAnsi="宋体"/>
                <w:kern w:val="0"/>
                <w:szCs w:val="21"/>
              </w:rPr>
              <w:t>古市</w:t>
            </w:r>
          </w:p>
        </w:tc>
        <w:tc>
          <w:tcPr>
            <w:tcW w:w="714" w:type="pct"/>
            <w:shd w:val="clear" w:color="auto" w:fill="auto"/>
            <w:noWrap/>
            <w:vAlign w:val="center"/>
          </w:tcPr>
          <w:p w14:paraId="2AF02E26">
            <w:pPr>
              <w:pStyle w:val="23"/>
              <w:jc w:val="center"/>
              <w:rPr>
                <w:rFonts w:ascii="宋体" w:hAnsi="宋体"/>
                <w:kern w:val="0"/>
                <w:szCs w:val="21"/>
              </w:rPr>
            </w:pPr>
            <w:r>
              <w:rPr>
                <w:rFonts w:ascii="宋体" w:hAnsi="宋体"/>
                <w:kern w:val="0"/>
                <w:szCs w:val="21"/>
              </w:rPr>
              <w:t>4157</w:t>
            </w:r>
          </w:p>
        </w:tc>
        <w:tc>
          <w:tcPr>
            <w:tcW w:w="714" w:type="pct"/>
            <w:shd w:val="clear" w:color="auto" w:fill="auto"/>
            <w:noWrap/>
            <w:vAlign w:val="center"/>
          </w:tcPr>
          <w:p w14:paraId="7CB38069">
            <w:pPr>
              <w:pStyle w:val="23"/>
              <w:jc w:val="center"/>
              <w:rPr>
                <w:rFonts w:ascii="宋体" w:hAnsi="宋体"/>
                <w:kern w:val="0"/>
                <w:szCs w:val="21"/>
              </w:rPr>
            </w:pPr>
            <w:r>
              <w:rPr>
                <w:rFonts w:ascii="宋体" w:hAnsi="宋体"/>
                <w:kern w:val="0"/>
                <w:szCs w:val="21"/>
              </w:rPr>
              <w:t>417</w:t>
            </w:r>
          </w:p>
        </w:tc>
      </w:tr>
      <w:tr w14:paraId="1FFD297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714" w:type="pct"/>
            <w:shd w:val="clear" w:color="auto" w:fill="auto"/>
            <w:noWrap/>
            <w:vAlign w:val="center"/>
          </w:tcPr>
          <w:p w14:paraId="2CD9FE44">
            <w:pPr>
              <w:pStyle w:val="23"/>
              <w:jc w:val="center"/>
              <w:rPr>
                <w:rFonts w:ascii="宋体" w:hAnsi="宋体"/>
                <w:kern w:val="0"/>
                <w:szCs w:val="21"/>
              </w:rPr>
            </w:pPr>
            <w:r>
              <w:rPr>
                <w:rFonts w:ascii="宋体" w:hAnsi="宋体"/>
                <w:kern w:val="0"/>
                <w:szCs w:val="21"/>
              </w:rPr>
              <w:t>黄坑</w:t>
            </w:r>
          </w:p>
        </w:tc>
        <w:tc>
          <w:tcPr>
            <w:tcW w:w="714" w:type="pct"/>
            <w:shd w:val="clear" w:color="auto" w:fill="auto"/>
            <w:noWrap/>
            <w:vAlign w:val="center"/>
          </w:tcPr>
          <w:p w14:paraId="170D1420">
            <w:pPr>
              <w:pStyle w:val="23"/>
              <w:jc w:val="center"/>
              <w:rPr>
                <w:rFonts w:ascii="宋体" w:hAnsi="宋体"/>
                <w:kern w:val="0"/>
                <w:szCs w:val="21"/>
              </w:rPr>
            </w:pPr>
            <w:r>
              <w:rPr>
                <w:rFonts w:ascii="宋体" w:hAnsi="宋体"/>
                <w:kern w:val="0"/>
                <w:szCs w:val="21"/>
              </w:rPr>
              <w:t>5253</w:t>
            </w:r>
          </w:p>
        </w:tc>
        <w:tc>
          <w:tcPr>
            <w:tcW w:w="714" w:type="pct"/>
            <w:shd w:val="clear" w:color="auto" w:fill="auto"/>
            <w:noWrap/>
            <w:vAlign w:val="center"/>
          </w:tcPr>
          <w:p w14:paraId="333180EA">
            <w:pPr>
              <w:pStyle w:val="23"/>
              <w:jc w:val="center"/>
              <w:rPr>
                <w:rFonts w:ascii="宋体" w:hAnsi="宋体"/>
                <w:kern w:val="0"/>
                <w:szCs w:val="21"/>
              </w:rPr>
            </w:pPr>
            <w:r>
              <w:rPr>
                <w:rFonts w:ascii="宋体" w:hAnsi="宋体"/>
                <w:kern w:val="0"/>
                <w:szCs w:val="21"/>
              </w:rPr>
              <w:t>408</w:t>
            </w:r>
          </w:p>
        </w:tc>
        <w:tc>
          <w:tcPr>
            <w:tcW w:w="714" w:type="pct"/>
            <w:shd w:val="clear" w:color="auto" w:fill="auto"/>
            <w:noWrap/>
            <w:vAlign w:val="center"/>
          </w:tcPr>
          <w:p w14:paraId="4494D285">
            <w:pPr>
              <w:pStyle w:val="23"/>
              <w:jc w:val="center"/>
              <w:rPr>
                <w:rFonts w:ascii="宋体" w:hAnsi="宋体"/>
                <w:kern w:val="0"/>
                <w:szCs w:val="21"/>
              </w:rPr>
            </w:pPr>
            <w:r>
              <w:rPr>
                <w:rFonts w:ascii="宋体" w:hAnsi="宋体"/>
                <w:kern w:val="0"/>
                <w:szCs w:val="21"/>
              </w:rPr>
              <w:t>2142</w:t>
            </w:r>
          </w:p>
        </w:tc>
        <w:tc>
          <w:tcPr>
            <w:tcW w:w="714" w:type="pct"/>
            <w:shd w:val="clear" w:color="auto" w:fill="auto"/>
            <w:noWrap/>
            <w:vAlign w:val="center"/>
          </w:tcPr>
          <w:p w14:paraId="6ED0861E">
            <w:pPr>
              <w:pStyle w:val="23"/>
              <w:jc w:val="center"/>
              <w:rPr>
                <w:rFonts w:ascii="宋体" w:hAnsi="宋体"/>
                <w:kern w:val="0"/>
                <w:szCs w:val="21"/>
              </w:rPr>
            </w:pPr>
            <w:r>
              <w:rPr>
                <w:rFonts w:ascii="宋体" w:hAnsi="宋体"/>
                <w:kern w:val="0"/>
                <w:szCs w:val="21"/>
              </w:rPr>
              <w:t>全安</w:t>
            </w:r>
          </w:p>
        </w:tc>
        <w:tc>
          <w:tcPr>
            <w:tcW w:w="714" w:type="pct"/>
            <w:shd w:val="clear" w:color="auto" w:fill="auto"/>
            <w:noWrap/>
            <w:vAlign w:val="center"/>
          </w:tcPr>
          <w:p w14:paraId="26D24B8E">
            <w:pPr>
              <w:pStyle w:val="23"/>
              <w:jc w:val="center"/>
              <w:rPr>
                <w:rFonts w:ascii="宋体" w:hAnsi="宋体"/>
                <w:kern w:val="0"/>
                <w:szCs w:val="21"/>
              </w:rPr>
            </w:pPr>
            <w:r>
              <w:rPr>
                <w:rFonts w:ascii="宋体" w:hAnsi="宋体"/>
                <w:kern w:val="0"/>
                <w:szCs w:val="21"/>
              </w:rPr>
              <w:t>12539</w:t>
            </w:r>
          </w:p>
        </w:tc>
        <w:tc>
          <w:tcPr>
            <w:tcW w:w="714" w:type="pct"/>
            <w:shd w:val="clear" w:color="auto" w:fill="auto"/>
            <w:noWrap/>
            <w:vAlign w:val="center"/>
          </w:tcPr>
          <w:p w14:paraId="4D2DD2AB">
            <w:pPr>
              <w:pStyle w:val="23"/>
              <w:jc w:val="center"/>
              <w:rPr>
                <w:rFonts w:ascii="宋体" w:hAnsi="宋体"/>
                <w:kern w:val="0"/>
                <w:szCs w:val="21"/>
              </w:rPr>
            </w:pPr>
            <w:r>
              <w:rPr>
                <w:rFonts w:ascii="宋体" w:hAnsi="宋体"/>
                <w:kern w:val="0"/>
                <w:szCs w:val="21"/>
              </w:rPr>
              <w:t>406</w:t>
            </w:r>
          </w:p>
        </w:tc>
      </w:tr>
      <w:tr w14:paraId="30805AC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714" w:type="pct"/>
            <w:shd w:val="clear" w:color="auto" w:fill="auto"/>
            <w:noWrap/>
            <w:vAlign w:val="center"/>
          </w:tcPr>
          <w:p w14:paraId="30CF843F">
            <w:pPr>
              <w:pStyle w:val="23"/>
              <w:jc w:val="center"/>
              <w:rPr>
                <w:rFonts w:ascii="宋体" w:hAnsi="宋体"/>
                <w:kern w:val="0"/>
                <w:szCs w:val="21"/>
              </w:rPr>
            </w:pPr>
            <w:r>
              <w:rPr>
                <w:rFonts w:ascii="宋体" w:hAnsi="宋体"/>
                <w:kern w:val="0"/>
                <w:szCs w:val="21"/>
              </w:rPr>
              <w:t>邓坊</w:t>
            </w:r>
          </w:p>
        </w:tc>
        <w:tc>
          <w:tcPr>
            <w:tcW w:w="714" w:type="pct"/>
            <w:shd w:val="clear" w:color="auto" w:fill="auto"/>
            <w:noWrap/>
            <w:vAlign w:val="center"/>
          </w:tcPr>
          <w:p w14:paraId="31EA6B95">
            <w:pPr>
              <w:pStyle w:val="23"/>
              <w:jc w:val="center"/>
              <w:rPr>
                <w:rFonts w:ascii="宋体" w:hAnsi="宋体"/>
                <w:kern w:val="0"/>
                <w:szCs w:val="21"/>
              </w:rPr>
            </w:pPr>
            <w:r>
              <w:rPr>
                <w:rFonts w:ascii="宋体" w:hAnsi="宋体"/>
                <w:kern w:val="0"/>
                <w:szCs w:val="21"/>
              </w:rPr>
              <w:t>6229</w:t>
            </w:r>
          </w:p>
        </w:tc>
        <w:tc>
          <w:tcPr>
            <w:tcW w:w="714" w:type="pct"/>
            <w:shd w:val="clear" w:color="auto" w:fill="auto"/>
            <w:noWrap/>
            <w:vAlign w:val="center"/>
          </w:tcPr>
          <w:p w14:paraId="1281BD77">
            <w:pPr>
              <w:pStyle w:val="23"/>
              <w:jc w:val="center"/>
              <w:rPr>
                <w:rFonts w:ascii="宋体" w:hAnsi="宋体"/>
                <w:kern w:val="0"/>
                <w:szCs w:val="21"/>
              </w:rPr>
            </w:pPr>
            <w:r>
              <w:rPr>
                <w:rFonts w:ascii="宋体" w:hAnsi="宋体"/>
                <w:kern w:val="0"/>
                <w:szCs w:val="21"/>
              </w:rPr>
              <w:t>408</w:t>
            </w:r>
          </w:p>
        </w:tc>
        <w:tc>
          <w:tcPr>
            <w:tcW w:w="714" w:type="pct"/>
            <w:shd w:val="clear" w:color="auto" w:fill="auto"/>
            <w:noWrap/>
            <w:vAlign w:val="center"/>
          </w:tcPr>
          <w:p w14:paraId="11646B24">
            <w:pPr>
              <w:pStyle w:val="23"/>
              <w:jc w:val="center"/>
              <w:rPr>
                <w:rFonts w:ascii="宋体" w:hAnsi="宋体"/>
                <w:kern w:val="0"/>
                <w:szCs w:val="21"/>
              </w:rPr>
            </w:pPr>
            <w:r>
              <w:rPr>
                <w:rFonts w:ascii="宋体" w:hAnsi="宋体"/>
                <w:kern w:val="0"/>
                <w:szCs w:val="21"/>
              </w:rPr>
              <w:t>2541</w:t>
            </w:r>
          </w:p>
        </w:tc>
        <w:tc>
          <w:tcPr>
            <w:tcW w:w="714" w:type="pct"/>
            <w:shd w:val="clear" w:color="auto" w:fill="auto"/>
            <w:noWrap/>
            <w:vAlign w:val="center"/>
          </w:tcPr>
          <w:p w14:paraId="085E7C57">
            <w:pPr>
              <w:pStyle w:val="23"/>
              <w:jc w:val="center"/>
              <w:rPr>
                <w:rFonts w:ascii="宋体" w:hAnsi="宋体"/>
                <w:kern w:val="0"/>
                <w:szCs w:val="21"/>
              </w:rPr>
            </w:pPr>
            <w:r>
              <w:rPr>
                <w:rFonts w:ascii="宋体" w:hAnsi="宋体"/>
                <w:kern w:val="0"/>
                <w:szCs w:val="21"/>
              </w:rPr>
              <w:t>百顺</w:t>
            </w:r>
          </w:p>
        </w:tc>
        <w:tc>
          <w:tcPr>
            <w:tcW w:w="714" w:type="pct"/>
            <w:shd w:val="clear" w:color="auto" w:fill="auto"/>
            <w:noWrap/>
            <w:vAlign w:val="center"/>
          </w:tcPr>
          <w:p w14:paraId="065FFF40">
            <w:pPr>
              <w:pStyle w:val="23"/>
              <w:jc w:val="center"/>
              <w:rPr>
                <w:rFonts w:ascii="宋体" w:hAnsi="宋体"/>
                <w:kern w:val="0"/>
                <w:szCs w:val="21"/>
              </w:rPr>
            </w:pPr>
            <w:r>
              <w:rPr>
                <w:rFonts w:ascii="宋体" w:hAnsi="宋体"/>
                <w:kern w:val="0"/>
                <w:szCs w:val="21"/>
              </w:rPr>
              <w:t>8731</w:t>
            </w:r>
          </w:p>
        </w:tc>
        <w:tc>
          <w:tcPr>
            <w:tcW w:w="714" w:type="pct"/>
            <w:shd w:val="clear" w:color="auto" w:fill="auto"/>
            <w:noWrap/>
            <w:vAlign w:val="center"/>
          </w:tcPr>
          <w:p w14:paraId="55B1F953">
            <w:pPr>
              <w:pStyle w:val="23"/>
              <w:jc w:val="center"/>
              <w:rPr>
                <w:rFonts w:ascii="宋体" w:hAnsi="宋体"/>
                <w:kern w:val="0"/>
                <w:szCs w:val="21"/>
              </w:rPr>
            </w:pPr>
            <w:r>
              <w:rPr>
                <w:rFonts w:ascii="宋体" w:hAnsi="宋体"/>
                <w:kern w:val="0"/>
                <w:szCs w:val="21"/>
              </w:rPr>
              <w:t>403</w:t>
            </w:r>
          </w:p>
        </w:tc>
      </w:tr>
      <w:tr w14:paraId="04AF74D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714" w:type="pct"/>
            <w:shd w:val="clear" w:color="auto" w:fill="auto"/>
            <w:noWrap/>
            <w:vAlign w:val="center"/>
          </w:tcPr>
          <w:p w14:paraId="2FEE722D">
            <w:pPr>
              <w:pStyle w:val="23"/>
              <w:jc w:val="center"/>
              <w:rPr>
                <w:rFonts w:ascii="宋体" w:hAnsi="宋体"/>
                <w:kern w:val="0"/>
                <w:szCs w:val="21"/>
              </w:rPr>
            </w:pPr>
            <w:r>
              <w:rPr>
                <w:rFonts w:ascii="宋体" w:hAnsi="宋体"/>
                <w:kern w:val="0"/>
                <w:szCs w:val="21"/>
              </w:rPr>
              <w:t>油山</w:t>
            </w:r>
          </w:p>
        </w:tc>
        <w:tc>
          <w:tcPr>
            <w:tcW w:w="714" w:type="pct"/>
            <w:shd w:val="clear" w:color="auto" w:fill="auto"/>
            <w:noWrap/>
            <w:vAlign w:val="center"/>
          </w:tcPr>
          <w:p w14:paraId="0E609F32">
            <w:pPr>
              <w:pStyle w:val="23"/>
              <w:jc w:val="center"/>
              <w:rPr>
                <w:rFonts w:ascii="宋体" w:hAnsi="宋体"/>
                <w:kern w:val="0"/>
                <w:szCs w:val="21"/>
              </w:rPr>
            </w:pPr>
            <w:r>
              <w:rPr>
                <w:rFonts w:ascii="宋体" w:hAnsi="宋体"/>
                <w:kern w:val="0"/>
                <w:szCs w:val="21"/>
              </w:rPr>
              <w:t>10737</w:t>
            </w:r>
          </w:p>
        </w:tc>
        <w:tc>
          <w:tcPr>
            <w:tcW w:w="714" w:type="pct"/>
            <w:shd w:val="clear" w:color="auto" w:fill="auto"/>
            <w:noWrap/>
            <w:vAlign w:val="center"/>
          </w:tcPr>
          <w:p w14:paraId="3CA1237C">
            <w:pPr>
              <w:pStyle w:val="23"/>
              <w:jc w:val="center"/>
              <w:rPr>
                <w:rFonts w:ascii="宋体" w:hAnsi="宋体"/>
                <w:kern w:val="0"/>
                <w:szCs w:val="21"/>
              </w:rPr>
            </w:pPr>
            <w:r>
              <w:rPr>
                <w:rFonts w:ascii="宋体" w:hAnsi="宋体"/>
                <w:kern w:val="0"/>
                <w:szCs w:val="21"/>
              </w:rPr>
              <w:t>416</w:t>
            </w:r>
          </w:p>
        </w:tc>
        <w:tc>
          <w:tcPr>
            <w:tcW w:w="714" w:type="pct"/>
            <w:shd w:val="clear" w:color="auto" w:fill="auto"/>
            <w:noWrap/>
            <w:vAlign w:val="center"/>
          </w:tcPr>
          <w:p w14:paraId="1F9591FB">
            <w:pPr>
              <w:pStyle w:val="23"/>
              <w:jc w:val="center"/>
              <w:rPr>
                <w:rFonts w:ascii="宋体" w:hAnsi="宋体"/>
                <w:kern w:val="0"/>
                <w:szCs w:val="21"/>
              </w:rPr>
            </w:pPr>
            <w:r>
              <w:rPr>
                <w:rFonts w:ascii="宋体" w:hAnsi="宋体"/>
                <w:kern w:val="0"/>
                <w:szCs w:val="21"/>
              </w:rPr>
              <w:t>4468</w:t>
            </w:r>
          </w:p>
        </w:tc>
        <w:tc>
          <w:tcPr>
            <w:tcW w:w="714" w:type="pct"/>
            <w:shd w:val="clear" w:color="auto" w:fill="auto"/>
            <w:noWrap/>
            <w:vAlign w:val="center"/>
          </w:tcPr>
          <w:p w14:paraId="76C1525B">
            <w:pPr>
              <w:pStyle w:val="23"/>
              <w:jc w:val="center"/>
              <w:rPr>
                <w:rFonts w:ascii="宋体" w:hAnsi="宋体"/>
                <w:kern w:val="0"/>
                <w:szCs w:val="21"/>
              </w:rPr>
            </w:pPr>
            <w:r>
              <w:rPr>
                <w:rFonts w:ascii="宋体" w:hAnsi="宋体"/>
                <w:kern w:val="0"/>
                <w:szCs w:val="21"/>
              </w:rPr>
              <w:t>澜河</w:t>
            </w:r>
          </w:p>
        </w:tc>
        <w:tc>
          <w:tcPr>
            <w:tcW w:w="714" w:type="pct"/>
            <w:shd w:val="clear" w:color="auto" w:fill="auto"/>
            <w:noWrap/>
            <w:vAlign w:val="center"/>
          </w:tcPr>
          <w:p w14:paraId="59D52C45">
            <w:pPr>
              <w:pStyle w:val="23"/>
              <w:jc w:val="center"/>
              <w:rPr>
                <w:rFonts w:ascii="宋体" w:hAnsi="宋体"/>
                <w:kern w:val="0"/>
                <w:szCs w:val="21"/>
              </w:rPr>
            </w:pPr>
            <w:r>
              <w:rPr>
                <w:rFonts w:ascii="宋体" w:hAnsi="宋体"/>
                <w:kern w:val="0"/>
                <w:szCs w:val="21"/>
              </w:rPr>
              <w:t>4696</w:t>
            </w:r>
          </w:p>
        </w:tc>
        <w:tc>
          <w:tcPr>
            <w:tcW w:w="714" w:type="pct"/>
            <w:shd w:val="clear" w:color="auto" w:fill="auto"/>
            <w:noWrap/>
            <w:vAlign w:val="center"/>
          </w:tcPr>
          <w:p w14:paraId="17FCC39F">
            <w:pPr>
              <w:pStyle w:val="23"/>
              <w:jc w:val="center"/>
              <w:rPr>
                <w:rFonts w:ascii="宋体" w:hAnsi="宋体"/>
                <w:kern w:val="0"/>
                <w:szCs w:val="21"/>
              </w:rPr>
            </w:pPr>
            <w:r>
              <w:rPr>
                <w:rFonts w:ascii="宋体" w:hAnsi="宋体"/>
                <w:kern w:val="0"/>
                <w:szCs w:val="21"/>
              </w:rPr>
              <w:t>399</w:t>
            </w:r>
          </w:p>
        </w:tc>
      </w:tr>
      <w:tr w14:paraId="527D3AD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714" w:type="pct"/>
            <w:shd w:val="clear" w:color="auto" w:fill="auto"/>
            <w:noWrap/>
            <w:vAlign w:val="center"/>
          </w:tcPr>
          <w:p w14:paraId="3DE13E2F">
            <w:pPr>
              <w:pStyle w:val="23"/>
              <w:jc w:val="center"/>
              <w:rPr>
                <w:rFonts w:ascii="宋体" w:hAnsi="宋体"/>
                <w:kern w:val="0"/>
                <w:szCs w:val="21"/>
              </w:rPr>
            </w:pPr>
            <w:r>
              <w:rPr>
                <w:rFonts w:ascii="宋体" w:hAnsi="宋体"/>
                <w:kern w:val="0"/>
                <w:szCs w:val="21"/>
              </w:rPr>
              <w:t>南亩</w:t>
            </w:r>
          </w:p>
        </w:tc>
        <w:tc>
          <w:tcPr>
            <w:tcW w:w="714" w:type="pct"/>
            <w:shd w:val="clear" w:color="auto" w:fill="auto"/>
            <w:noWrap/>
            <w:vAlign w:val="center"/>
          </w:tcPr>
          <w:p w14:paraId="3B2D475A">
            <w:pPr>
              <w:pStyle w:val="23"/>
              <w:jc w:val="center"/>
              <w:rPr>
                <w:rFonts w:ascii="宋体" w:hAnsi="宋体"/>
                <w:kern w:val="0"/>
                <w:szCs w:val="21"/>
              </w:rPr>
            </w:pPr>
            <w:r>
              <w:rPr>
                <w:rFonts w:ascii="宋体" w:hAnsi="宋体"/>
                <w:kern w:val="0"/>
                <w:szCs w:val="21"/>
              </w:rPr>
              <w:t>5250</w:t>
            </w:r>
          </w:p>
        </w:tc>
        <w:tc>
          <w:tcPr>
            <w:tcW w:w="714" w:type="pct"/>
            <w:shd w:val="clear" w:color="auto" w:fill="auto"/>
            <w:noWrap/>
            <w:vAlign w:val="center"/>
          </w:tcPr>
          <w:p w14:paraId="69F7C82E">
            <w:pPr>
              <w:pStyle w:val="23"/>
              <w:jc w:val="center"/>
              <w:rPr>
                <w:rFonts w:ascii="宋体" w:hAnsi="宋体"/>
                <w:kern w:val="0"/>
                <w:szCs w:val="21"/>
              </w:rPr>
            </w:pPr>
            <w:r>
              <w:rPr>
                <w:rFonts w:ascii="宋体" w:hAnsi="宋体"/>
                <w:kern w:val="0"/>
                <w:szCs w:val="21"/>
              </w:rPr>
              <w:t>426</w:t>
            </w:r>
          </w:p>
        </w:tc>
        <w:tc>
          <w:tcPr>
            <w:tcW w:w="714" w:type="pct"/>
            <w:shd w:val="clear" w:color="auto" w:fill="auto"/>
            <w:noWrap/>
            <w:vAlign w:val="center"/>
          </w:tcPr>
          <w:p w14:paraId="470C4936">
            <w:pPr>
              <w:pStyle w:val="23"/>
              <w:jc w:val="center"/>
              <w:rPr>
                <w:rFonts w:ascii="宋体" w:hAnsi="宋体"/>
                <w:kern w:val="0"/>
                <w:szCs w:val="21"/>
              </w:rPr>
            </w:pPr>
            <w:r>
              <w:rPr>
                <w:rFonts w:ascii="宋体" w:hAnsi="宋体"/>
                <w:kern w:val="0"/>
                <w:szCs w:val="21"/>
              </w:rPr>
              <w:t>2234</w:t>
            </w:r>
          </w:p>
        </w:tc>
        <w:tc>
          <w:tcPr>
            <w:tcW w:w="714" w:type="pct"/>
            <w:shd w:val="clear" w:color="auto" w:fill="auto"/>
            <w:noWrap/>
            <w:vAlign w:val="center"/>
          </w:tcPr>
          <w:p w14:paraId="40E8386C">
            <w:pPr>
              <w:pStyle w:val="23"/>
              <w:jc w:val="center"/>
              <w:rPr>
                <w:rFonts w:ascii="宋体" w:hAnsi="宋体"/>
                <w:kern w:val="0"/>
                <w:szCs w:val="21"/>
              </w:rPr>
            </w:pPr>
            <w:r>
              <w:rPr>
                <w:rFonts w:ascii="宋体" w:hAnsi="宋体"/>
                <w:kern w:val="0"/>
                <w:szCs w:val="21"/>
              </w:rPr>
              <w:t>帽子峰</w:t>
            </w:r>
          </w:p>
        </w:tc>
        <w:tc>
          <w:tcPr>
            <w:tcW w:w="714" w:type="pct"/>
            <w:shd w:val="clear" w:color="auto" w:fill="auto"/>
            <w:noWrap/>
            <w:vAlign w:val="center"/>
          </w:tcPr>
          <w:p w14:paraId="6EC2851C">
            <w:pPr>
              <w:pStyle w:val="23"/>
              <w:jc w:val="center"/>
              <w:rPr>
                <w:rFonts w:ascii="宋体" w:hAnsi="宋体"/>
                <w:kern w:val="0"/>
                <w:szCs w:val="21"/>
              </w:rPr>
            </w:pPr>
            <w:r>
              <w:rPr>
                <w:rFonts w:ascii="宋体" w:hAnsi="宋体"/>
                <w:kern w:val="0"/>
                <w:szCs w:val="21"/>
              </w:rPr>
              <w:t>3623</w:t>
            </w:r>
          </w:p>
        </w:tc>
        <w:tc>
          <w:tcPr>
            <w:tcW w:w="714" w:type="pct"/>
            <w:shd w:val="clear" w:color="auto" w:fill="auto"/>
            <w:noWrap/>
            <w:vAlign w:val="center"/>
          </w:tcPr>
          <w:p w14:paraId="29615E39">
            <w:pPr>
              <w:pStyle w:val="23"/>
              <w:jc w:val="center"/>
              <w:rPr>
                <w:rFonts w:ascii="宋体" w:hAnsi="宋体"/>
                <w:kern w:val="0"/>
                <w:szCs w:val="21"/>
              </w:rPr>
            </w:pPr>
            <w:r>
              <w:rPr>
                <w:rFonts w:ascii="宋体" w:hAnsi="宋体"/>
                <w:kern w:val="0"/>
                <w:szCs w:val="21"/>
              </w:rPr>
              <w:t>430</w:t>
            </w:r>
          </w:p>
        </w:tc>
      </w:tr>
      <w:tr w14:paraId="21F0151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714" w:type="pct"/>
            <w:shd w:val="clear" w:color="auto" w:fill="auto"/>
            <w:noWrap/>
            <w:vAlign w:val="center"/>
          </w:tcPr>
          <w:p w14:paraId="6459C2EF">
            <w:pPr>
              <w:pStyle w:val="23"/>
              <w:jc w:val="center"/>
              <w:rPr>
                <w:rFonts w:ascii="宋体" w:hAnsi="宋体"/>
                <w:kern w:val="0"/>
                <w:szCs w:val="21"/>
              </w:rPr>
            </w:pPr>
            <w:r>
              <w:rPr>
                <w:rFonts w:ascii="宋体" w:hAnsi="宋体"/>
                <w:kern w:val="0"/>
                <w:szCs w:val="21"/>
              </w:rPr>
              <w:t>水口</w:t>
            </w:r>
          </w:p>
        </w:tc>
        <w:tc>
          <w:tcPr>
            <w:tcW w:w="714" w:type="pct"/>
            <w:shd w:val="clear" w:color="auto" w:fill="auto"/>
            <w:noWrap/>
            <w:vAlign w:val="center"/>
          </w:tcPr>
          <w:p w14:paraId="096CA2A9">
            <w:pPr>
              <w:pStyle w:val="23"/>
              <w:jc w:val="center"/>
              <w:rPr>
                <w:rFonts w:ascii="宋体" w:hAnsi="宋体"/>
                <w:kern w:val="0"/>
                <w:szCs w:val="21"/>
              </w:rPr>
            </w:pPr>
            <w:r>
              <w:rPr>
                <w:rFonts w:ascii="宋体" w:hAnsi="宋体"/>
                <w:kern w:val="0"/>
                <w:szCs w:val="21"/>
              </w:rPr>
              <w:t>9790</w:t>
            </w:r>
          </w:p>
        </w:tc>
        <w:tc>
          <w:tcPr>
            <w:tcW w:w="714" w:type="pct"/>
            <w:shd w:val="clear" w:color="auto" w:fill="auto"/>
            <w:noWrap/>
            <w:vAlign w:val="center"/>
          </w:tcPr>
          <w:p w14:paraId="532A4C2E">
            <w:pPr>
              <w:pStyle w:val="23"/>
              <w:jc w:val="center"/>
              <w:rPr>
                <w:rFonts w:ascii="宋体" w:hAnsi="宋体"/>
                <w:kern w:val="0"/>
                <w:szCs w:val="21"/>
              </w:rPr>
            </w:pPr>
            <w:r>
              <w:rPr>
                <w:rFonts w:ascii="宋体" w:hAnsi="宋体"/>
                <w:kern w:val="0"/>
                <w:szCs w:val="21"/>
              </w:rPr>
              <w:t>413</w:t>
            </w:r>
          </w:p>
        </w:tc>
        <w:tc>
          <w:tcPr>
            <w:tcW w:w="714" w:type="pct"/>
            <w:shd w:val="clear" w:color="auto" w:fill="auto"/>
            <w:noWrap/>
            <w:vAlign w:val="center"/>
          </w:tcPr>
          <w:p w14:paraId="64ABD286">
            <w:pPr>
              <w:pStyle w:val="23"/>
              <w:jc w:val="center"/>
              <w:rPr>
                <w:rFonts w:ascii="宋体" w:hAnsi="宋体"/>
                <w:kern w:val="0"/>
                <w:szCs w:val="21"/>
              </w:rPr>
            </w:pPr>
            <w:r>
              <w:rPr>
                <w:rFonts w:ascii="宋体" w:hAnsi="宋体"/>
                <w:kern w:val="0"/>
                <w:szCs w:val="21"/>
              </w:rPr>
              <w:t>4045</w:t>
            </w:r>
          </w:p>
        </w:tc>
        <w:tc>
          <w:tcPr>
            <w:tcW w:w="714" w:type="pct"/>
            <w:shd w:val="clear" w:color="auto" w:fill="auto"/>
            <w:noWrap/>
            <w:vAlign w:val="center"/>
          </w:tcPr>
          <w:p w14:paraId="4CE64ED7">
            <w:pPr>
              <w:pStyle w:val="23"/>
              <w:jc w:val="center"/>
              <w:rPr>
                <w:rFonts w:ascii="宋体" w:hAnsi="宋体"/>
                <w:kern w:val="0"/>
                <w:szCs w:val="21"/>
              </w:rPr>
            </w:pPr>
            <w:r>
              <w:rPr>
                <w:rFonts w:ascii="宋体" w:hAnsi="宋体"/>
                <w:kern w:val="0"/>
                <w:szCs w:val="21"/>
              </w:rPr>
              <w:t>雄州街道</w:t>
            </w:r>
          </w:p>
        </w:tc>
        <w:tc>
          <w:tcPr>
            <w:tcW w:w="714" w:type="pct"/>
            <w:shd w:val="clear" w:color="auto" w:fill="auto"/>
            <w:noWrap/>
            <w:vAlign w:val="center"/>
          </w:tcPr>
          <w:p w14:paraId="21845165">
            <w:pPr>
              <w:pStyle w:val="23"/>
              <w:jc w:val="center"/>
              <w:rPr>
                <w:rFonts w:ascii="宋体" w:hAnsi="宋体"/>
                <w:kern w:val="0"/>
                <w:szCs w:val="21"/>
              </w:rPr>
            </w:pPr>
            <w:r>
              <w:rPr>
                <w:rFonts w:ascii="宋体" w:hAnsi="宋体"/>
                <w:kern w:val="0"/>
                <w:szCs w:val="21"/>
              </w:rPr>
              <w:t>10343</w:t>
            </w:r>
          </w:p>
        </w:tc>
        <w:tc>
          <w:tcPr>
            <w:tcW w:w="714" w:type="pct"/>
            <w:shd w:val="clear" w:color="auto" w:fill="auto"/>
            <w:noWrap/>
            <w:vAlign w:val="center"/>
          </w:tcPr>
          <w:p w14:paraId="18AB10A8">
            <w:pPr>
              <w:pStyle w:val="23"/>
              <w:jc w:val="center"/>
              <w:rPr>
                <w:rFonts w:ascii="宋体" w:hAnsi="宋体"/>
                <w:kern w:val="0"/>
                <w:szCs w:val="21"/>
              </w:rPr>
            </w:pPr>
            <w:r>
              <w:rPr>
                <w:rFonts w:ascii="宋体" w:hAnsi="宋体"/>
                <w:kern w:val="0"/>
                <w:szCs w:val="21"/>
              </w:rPr>
              <w:t>419</w:t>
            </w:r>
          </w:p>
        </w:tc>
      </w:tr>
      <w:tr w14:paraId="08141A6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714" w:type="pct"/>
            <w:shd w:val="clear" w:color="auto" w:fill="auto"/>
            <w:noWrap/>
            <w:vAlign w:val="center"/>
          </w:tcPr>
          <w:p w14:paraId="4E5E7110">
            <w:pPr>
              <w:pStyle w:val="23"/>
              <w:jc w:val="center"/>
              <w:rPr>
                <w:rFonts w:ascii="宋体" w:hAnsi="宋体"/>
                <w:kern w:val="0"/>
                <w:szCs w:val="21"/>
              </w:rPr>
            </w:pPr>
            <w:r>
              <w:rPr>
                <w:rFonts w:ascii="宋体" w:hAnsi="宋体"/>
                <w:kern w:val="0"/>
                <w:szCs w:val="21"/>
              </w:rPr>
              <w:t>江头</w:t>
            </w:r>
          </w:p>
        </w:tc>
        <w:tc>
          <w:tcPr>
            <w:tcW w:w="714" w:type="pct"/>
            <w:shd w:val="clear" w:color="auto" w:fill="auto"/>
            <w:noWrap/>
            <w:vAlign w:val="center"/>
          </w:tcPr>
          <w:p w14:paraId="7C73DB9D">
            <w:pPr>
              <w:pStyle w:val="23"/>
              <w:jc w:val="center"/>
              <w:rPr>
                <w:rFonts w:ascii="宋体" w:hAnsi="宋体"/>
                <w:kern w:val="0"/>
                <w:szCs w:val="21"/>
              </w:rPr>
            </w:pPr>
            <w:r>
              <w:rPr>
                <w:rFonts w:ascii="宋体" w:hAnsi="宋体"/>
                <w:kern w:val="0"/>
                <w:szCs w:val="21"/>
              </w:rPr>
              <w:t>7190</w:t>
            </w:r>
          </w:p>
        </w:tc>
        <w:tc>
          <w:tcPr>
            <w:tcW w:w="714" w:type="pct"/>
            <w:shd w:val="clear" w:color="auto" w:fill="auto"/>
            <w:noWrap/>
            <w:vAlign w:val="center"/>
          </w:tcPr>
          <w:p w14:paraId="5E525AA2">
            <w:pPr>
              <w:pStyle w:val="23"/>
              <w:jc w:val="center"/>
              <w:rPr>
                <w:rFonts w:ascii="宋体" w:hAnsi="宋体"/>
                <w:kern w:val="0"/>
                <w:szCs w:val="21"/>
              </w:rPr>
            </w:pPr>
            <w:r>
              <w:rPr>
                <w:rFonts w:ascii="宋体" w:hAnsi="宋体"/>
                <w:kern w:val="0"/>
                <w:szCs w:val="21"/>
              </w:rPr>
              <w:t>417</w:t>
            </w:r>
          </w:p>
        </w:tc>
        <w:tc>
          <w:tcPr>
            <w:tcW w:w="714" w:type="pct"/>
            <w:shd w:val="clear" w:color="auto" w:fill="auto"/>
            <w:noWrap/>
            <w:vAlign w:val="center"/>
          </w:tcPr>
          <w:p w14:paraId="72F80807">
            <w:pPr>
              <w:pStyle w:val="23"/>
              <w:jc w:val="center"/>
              <w:rPr>
                <w:rFonts w:ascii="宋体" w:hAnsi="宋体"/>
                <w:kern w:val="0"/>
                <w:szCs w:val="21"/>
              </w:rPr>
            </w:pPr>
            <w:r>
              <w:rPr>
                <w:rFonts w:ascii="宋体" w:hAnsi="宋体"/>
                <w:kern w:val="0"/>
                <w:szCs w:val="21"/>
              </w:rPr>
              <w:t>2998</w:t>
            </w:r>
          </w:p>
        </w:tc>
        <w:tc>
          <w:tcPr>
            <w:tcW w:w="714" w:type="pct"/>
            <w:shd w:val="clear" w:color="auto" w:fill="auto"/>
            <w:noWrap/>
            <w:vAlign w:val="center"/>
          </w:tcPr>
          <w:p w14:paraId="4DF50BEA">
            <w:pPr>
              <w:pStyle w:val="23"/>
              <w:jc w:val="center"/>
              <w:rPr>
                <w:rFonts w:ascii="宋体" w:hAnsi="宋体"/>
                <w:kern w:val="0"/>
                <w:szCs w:val="21"/>
              </w:rPr>
            </w:pPr>
          </w:p>
        </w:tc>
        <w:tc>
          <w:tcPr>
            <w:tcW w:w="714" w:type="pct"/>
            <w:shd w:val="clear" w:color="auto" w:fill="auto"/>
            <w:noWrap/>
            <w:vAlign w:val="center"/>
          </w:tcPr>
          <w:p w14:paraId="06349E97">
            <w:pPr>
              <w:pStyle w:val="23"/>
              <w:jc w:val="center"/>
              <w:rPr>
                <w:rFonts w:ascii="宋体" w:hAnsi="宋体"/>
                <w:kern w:val="0"/>
                <w:szCs w:val="21"/>
              </w:rPr>
            </w:pPr>
          </w:p>
        </w:tc>
        <w:tc>
          <w:tcPr>
            <w:tcW w:w="714" w:type="pct"/>
            <w:shd w:val="clear" w:color="auto" w:fill="auto"/>
            <w:noWrap/>
            <w:vAlign w:val="center"/>
          </w:tcPr>
          <w:p w14:paraId="4217FD8A">
            <w:pPr>
              <w:pStyle w:val="23"/>
              <w:jc w:val="center"/>
              <w:rPr>
                <w:rFonts w:ascii="宋体" w:hAnsi="宋体"/>
                <w:kern w:val="0"/>
                <w:szCs w:val="21"/>
              </w:rPr>
            </w:pPr>
          </w:p>
        </w:tc>
      </w:tr>
    </w:tbl>
    <w:p w14:paraId="23EBDD25">
      <w:pPr>
        <w:ind w:firstLine="0" w:firstLineChars="0"/>
        <w:jc w:val="center"/>
        <w:rPr>
          <w:rFonts w:ascii="宋体" w:hAnsi="宋体"/>
          <w:b/>
          <w:szCs w:val="21"/>
        </w:rPr>
      </w:pPr>
      <w:r>
        <w:rPr>
          <w:rFonts w:hint="eastAsia" w:ascii="宋体" w:hAnsi="宋体"/>
          <w:b/>
          <w:szCs w:val="21"/>
        </w:rPr>
        <w:t>表54 分镇中、晚稻播种面积和产量</w:t>
      </w:r>
    </w:p>
    <w:tbl>
      <w:tblPr>
        <w:tblStyle w:val="14"/>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30" w:type="dxa"/>
          <w:bottom w:w="0" w:type="dxa"/>
          <w:right w:w="30" w:type="dxa"/>
        </w:tblCellMar>
      </w:tblPr>
      <w:tblGrid>
        <w:gridCol w:w="1400"/>
        <w:gridCol w:w="1402"/>
        <w:gridCol w:w="1400"/>
        <w:gridCol w:w="1402"/>
        <w:gridCol w:w="1400"/>
        <w:gridCol w:w="1401"/>
        <w:gridCol w:w="1401"/>
      </w:tblGrid>
      <w:tr w14:paraId="11BDBD1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714" w:type="pct"/>
            <w:vAlign w:val="center"/>
          </w:tcPr>
          <w:p w14:paraId="15B4C62B">
            <w:pPr>
              <w:pStyle w:val="23"/>
              <w:jc w:val="center"/>
              <w:rPr>
                <w:rFonts w:ascii="宋体" w:hAnsi="宋体"/>
                <w:b/>
                <w:kern w:val="0"/>
                <w:szCs w:val="21"/>
              </w:rPr>
            </w:pPr>
            <w:r>
              <w:rPr>
                <w:rFonts w:ascii="宋体" w:hAnsi="宋体"/>
                <w:b/>
                <w:kern w:val="0"/>
                <w:szCs w:val="21"/>
              </w:rPr>
              <w:t>单位单位名称</w:t>
            </w:r>
          </w:p>
        </w:tc>
        <w:tc>
          <w:tcPr>
            <w:tcW w:w="715" w:type="pct"/>
            <w:vAlign w:val="center"/>
          </w:tcPr>
          <w:p w14:paraId="6AE0D1ED">
            <w:pPr>
              <w:pStyle w:val="23"/>
              <w:jc w:val="center"/>
              <w:rPr>
                <w:rFonts w:ascii="宋体" w:hAnsi="宋体"/>
                <w:b/>
                <w:kern w:val="0"/>
                <w:szCs w:val="21"/>
              </w:rPr>
            </w:pPr>
            <w:r>
              <w:rPr>
                <w:rFonts w:ascii="宋体" w:hAnsi="宋体"/>
                <w:b/>
                <w:kern w:val="0"/>
                <w:szCs w:val="21"/>
              </w:rPr>
              <w:t>面积(亩)</w:t>
            </w:r>
          </w:p>
        </w:tc>
        <w:tc>
          <w:tcPr>
            <w:tcW w:w="714" w:type="pct"/>
            <w:vAlign w:val="center"/>
          </w:tcPr>
          <w:p w14:paraId="3FA14077">
            <w:pPr>
              <w:pStyle w:val="23"/>
              <w:jc w:val="center"/>
              <w:rPr>
                <w:rFonts w:ascii="宋体" w:hAnsi="宋体"/>
                <w:b/>
                <w:kern w:val="0"/>
                <w:szCs w:val="21"/>
              </w:rPr>
            </w:pPr>
            <w:r>
              <w:rPr>
                <w:rFonts w:ascii="宋体" w:hAnsi="宋体"/>
                <w:b/>
                <w:kern w:val="0"/>
                <w:szCs w:val="21"/>
              </w:rPr>
              <w:t>亩产(公斤)</w:t>
            </w:r>
          </w:p>
        </w:tc>
        <w:tc>
          <w:tcPr>
            <w:tcW w:w="715" w:type="pct"/>
            <w:vAlign w:val="center"/>
          </w:tcPr>
          <w:p w14:paraId="6D7D9555">
            <w:pPr>
              <w:pStyle w:val="23"/>
              <w:jc w:val="center"/>
              <w:rPr>
                <w:rFonts w:ascii="宋体" w:hAnsi="宋体"/>
                <w:b/>
                <w:kern w:val="0"/>
                <w:szCs w:val="21"/>
              </w:rPr>
            </w:pPr>
            <w:r>
              <w:rPr>
                <w:rFonts w:ascii="宋体" w:hAnsi="宋体"/>
                <w:b/>
                <w:kern w:val="0"/>
                <w:szCs w:val="21"/>
              </w:rPr>
              <w:t>总产量(吨)</w:t>
            </w:r>
          </w:p>
        </w:tc>
        <w:tc>
          <w:tcPr>
            <w:tcW w:w="714" w:type="pct"/>
            <w:vAlign w:val="center"/>
          </w:tcPr>
          <w:p w14:paraId="5FC124DC">
            <w:pPr>
              <w:pStyle w:val="23"/>
              <w:jc w:val="center"/>
              <w:rPr>
                <w:rFonts w:ascii="宋体" w:hAnsi="宋体"/>
                <w:b/>
                <w:kern w:val="0"/>
                <w:szCs w:val="21"/>
              </w:rPr>
            </w:pPr>
            <w:r>
              <w:rPr>
                <w:rFonts w:ascii="宋体" w:hAnsi="宋体"/>
                <w:b/>
                <w:kern w:val="0"/>
                <w:szCs w:val="21"/>
              </w:rPr>
              <w:t>单位名称</w:t>
            </w:r>
          </w:p>
        </w:tc>
        <w:tc>
          <w:tcPr>
            <w:tcW w:w="714" w:type="pct"/>
            <w:vAlign w:val="center"/>
          </w:tcPr>
          <w:p w14:paraId="3E16A661">
            <w:pPr>
              <w:pStyle w:val="23"/>
              <w:jc w:val="center"/>
              <w:rPr>
                <w:rFonts w:ascii="宋体" w:hAnsi="宋体"/>
                <w:b/>
                <w:kern w:val="0"/>
                <w:szCs w:val="21"/>
              </w:rPr>
            </w:pPr>
            <w:r>
              <w:rPr>
                <w:rFonts w:ascii="宋体" w:hAnsi="宋体"/>
                <w:b/>
                <w:kern w:val="0"/>
                <w:szCs w:val="21"/>
              </w:rPr>
              <w:t>面积(亩)</w:t>
            </w:r>
          </w:p>
        </w:tc>
        <w:tc>
          <w:tcPr>
            <w:tcW w:w="715" w:type="pct"/>
            <w:vAlign w:val="center"/>
          </w:tcPr>
          <w:p w14:paraId="2E6940DB">
            <w:pPr>
              <w:pStyle w:val="23"/>
              <w:jc w:val="center"/>
              <w:rPr>
                <w:rFonts w:ascii="宋体" w:hAnsi="宋体"/>
                <w:b/>
                <w:kern w:val="0"/>
                <w:szCs w:val="21"/>
              </w:rPr>
            </w:pPr>
            <w:r>
              <w:rPr>
                <w:rFonts w:ascii="宋体" w:hAnsi="宋体"/>
                <w:b/>
                <w:kern w:val="0"/>
                <w:szCs w:val="21"/>
              </w:rPr>
              <w:t>亩产(公斤)</w:t>
            </w:r>
          </w:p>
        </w:tc>
      </w:tr>
      <w:tr w14:paraId="5E8A83A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714" w:type="pct"/>
            <w:vAlign w:val="center"/>
          </w:tcPr>
          <w:p w14:paraId="5228866F">
            <w:pPr>
              <w:pStyle w:val="23"/>
              <w:jc w:val="center"/>
              <w:rPr>
                <w:rFonts w:ascii="宋体" w:hAnsi="宋体"/>
                <w:kern w:val="0"/>
                <w:szCs w:val="21"/>
              </w:rPr>
            </w:pPr>
            <w:r>
              <w:rPr>
                <w:rFonts w:ascii="宋体" w:hAnsi="宋体"/>
                <w:kern w:val="0"/>
                <w:szCs w:val="21"/>
              </w:rPr>
              <w:t>合计</w:t>
            </w:r>
          </w:p>
        </w:tc>
        <w:tc>
          <w:tcPr>
            <w:tcW w:w="715" w:type="pct"/>
            <w:vAlign w:val="center"/>
          </w:tcPr>
          <w:p w14:paraId="51D7F380">
            <w:pPr>
              <w:pStyle w:val="23"/>
              <w:jc w:val="center"/>
              <w:rPr>
                <w:rFonts w:ascii="宋体" w:hAnsi="宋体"/>
                <w:kern w:val="0"/>
                <w:szCs w:val="21"/>
              </w:rPr>
            </w:pPr>
            <w:r>
              <w:rPr>
                <w:rFonts w:ascii="宋体" w:hAnsi="宋体"/>
                <w:kern w:val="0"/>
                <w:szCs w:val="21"/>
              </w:rPr>
              <w:t>307320</w:t>
            </w:r>
          </w:p>
        </w:tc>
        <w:tc>
          <w:tcPr>
            <w:tcW w:w="714" w:type="pct"/>
            <w:vAlign w:val="center"/>
          </w:tcPr>
          <w:p w14:paraId="286F6DEA">
            <w:pPr>
              <w:pStyle w:val="23"/>
              <w:jc w:val="center"/>
              <w:rPr>
                <w:rFonts w:ascii="宋体" w:hAnsi="宋体"/>
                <w:kern w:val="0"/>
                <w:szCs w:val="21"/>
              </w:rPr>
            </w:pPr>
            <w:r>
              <w:rPr>
                <w:rFonts w:ascii="宋体" w:hAnsi="宋体"/>
                <w:kern w:val="0"/>
                <w:szCs w:val="21"/>
              </w:rPr>
              <w:t>452</w:t>
            </w:r>
          </w:p>
        </w:tc>
        <w:tc>
          <w:tcPr>
            <w:tcW w:w="715" w:type="pct"/>
            <w:vAlign w:val="center"/>
          </w:tcPr>
          <w:p w14:paraId="50389AAA">
            <w:pPr>
              <w:pStyle w:val="23"/>
              <w:jc w:val="center"/>
              <w:rPr>
                <w:rFonts w:ascii="宋体" w:hAnsi="宋体"/>
                <w:kern w:val="0"/>
                <w:szCs w:val="21"/>
              </w:rPr>
            </w:pPr>
            <w:r>
              <w:rPr>
                <w:rFonts w:ascii="宋体" w:hAnsi="宋体"/>
                <w:kern w:val="0"/>
                <w:szCs w:val="21"/>
              </w:rPr>
              <w:t>138931</w:t>
            </w:r>
          </w:p>
        </w:tc>
        <w:tc>
          <w:tcPr>
            <w:tcW w:w="714" w:type="pct"/>
            <w:vAlign w:val="center"/>
          </w:tcPr>
          <w:p w14:paraId="72E3D37B">
            <w:pPr>
              <w:pStyle w:val="23"/>
              <w:jc w:val="center"/>
              <w:rPr>
                <w:rFonts w:ascii="宋体" w:hAnsi="宋体"/>
                <w:kern w:val="0"/>
                <w:szCs w:val="21"/>
              </w:rPr>
            </w:pPr>
            <w:r>
              <w:rPr>
                <w:rFonts w:ascii="宋体" w:hAnsi="宋体"/>
                <w:kern w:val="0"/>
                <w:szCs w:val="21"/>
              </w:rPr>
              <w:t>湖口</w:t>
            </w:r>
          </w:p>
        </w:tc>
        <w:tc>
          <w:tcPr>
            <w:tcW w:w="714" w:type="pct"/>
            <w:vAlign w:val="center"/>
          </w:tcPr>
          <w:p w14:paraId="03759191">
            <w:pPr>
              <w:pStyle w:val="23"/>
              <w:jc w:val="center"/>
              <w:rPr>
                <w:rFonts w:ascii="宋体" w:hAnsi="宋体"/>
                <w:kern w:val="0"/>
                <w:szCs w:val="21"/>
              </w:rPr>
            </w:pPr>
            <w:r>
              <w:rPr>
                <w:rFonts w:ascii="宋体" w:hAnsi="宋体"/>
                <w:kern w:val="0"/>
                <w:szCs w:val="21"/>
              </w:rPr>
              <w:t>22735</w:t>
            </w:r>
          </w:p>
        </w:tc>
        <w:tc>
          <w:tcPr>
            <w:tcW w:w="715" w:type="pct"/>
            <w:vAlign w:val="center"/>
          </w:tcPr>
          <w:p w14:paraId="4FDAB982">
            <w:pPr>
              <w:pStyle w:val="23"/>
              <w:jc w:val="center"/>
              <w:rPr>
                <w:rFonts w:ascii="宋体" w:hAnsi="宋体"/>
                <w:kern w:val="0"/>
                <w:szCs w:val="21"/>
              </w:rPr>
            </w:pPr>
            <w:r>
              <w:rPr>
                <w:rFonts w:ascii="宋体" w:hAnsi="宋体"/>
                <w:kern w:val="0"/>
                <w:szCs w:val="21"/>
              </w:rPr>
              <w:t>454</w:t>
            </w:r>
          </w:p>
        </w:tc>
      </w:tr>
      <w:tr w14:paraId="059D39C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714" w:type="pct"/>
            <w:vAlign w:val="center"/>
          </w:tcPr>
          <w:p w14:paraId="142441D8">
            <w:pPr>
              <w:pStyle w:val="23"/>
              <w:jc w:val="center"/>
              <w:rPr>
                <w:rFonts w:ascii="宋体" w:hAnsi="宋体"/>
                <w:kern w:val="0"/>
                <w:szCs w:val="21"/>
              </w:rPr>
            </w:pPr>
            <w:r>
              <w:rPr>
                <w:rFonts w:ascii="宋体" w:hAnsi="宋体"/>
                <w:kern w:val="0"/>
                <w:szCs w:val="21"/>
              </w:rPr>
              <w:t>乌迳</w:t>
            </w:r>
          </w:p>
        </w:tc>
        <w:tc>
          <w:tcPr>
            <w:tcW w:w="715" w:type="pct"/>
            <w:vAlign w:val="center"/>
          </w:tcPr>
          <w:p w14:paraId="32B19FE6">
            <w:pPr>
              <w:pStyle w:val="23"/>
              <w:jc w:val="center"/>
              <w:rPr>
                <w:rFonts w:ascii="宋体" w:hAnsi="宋体"/>
                <w:kern w:val="0"/>
                <w:szCs w:val="21"/>
              </w:rPr>
            </w:pPr>
            <w:r>
              <w:rPr>
                <w:rFonts w:ascii="宋体" w:hAnsi="宋体"/>
                <w:kern w:val="0"/>
                <w:szCs w:val="21"/>
              </w:rPr>
              <w:t>32612</w:t>
            </w:r>
          </w:p>
        </w:tc>
        <w:tc>
          <w:tcPr>
            <w:tcW w:w="714" w:type="pct"/>
            <w:vAlign w:val="center"/>
          </w:tcPr>
          <w:p w14:paraId="0DA695A1">
            <w:pPr>
              <w:pStyle w:val="23"/>
              <w:jc w:val="center"/>
              <w:rPr>
                <w:rFonts w:ascii="宋体" w:hAnsi="宋体"/>
                <w:kern w:val="0"/>
                <w:szCs w:val="21"/>
              </w:rPr>
            </w:pPr>
            <w:r>
              <w:rPr>
                <w:rFonts w:ascii="宋体" w:hAnsi="宋体"/>
                <w:kern w:val="0"/>
                <w:szCs w:val="21"/>
              </w:rPr>
              <w:t>451</w:t>
            </w:r>
          </w:p>
        </w:tc>
        <w:tc>
          <w:tcPr>
            <w:tcW w:w="715" w:type="pct"/>
            <w:vAlign w:val="center"/>
          </w:tcPr>
          <w:p w14:paraId="46D3B850">
            <w:pPr>
              <w:pStyle w:val="23"/>
              <w:jc w:val="center"/>
              <w:rPr>
                <w:rFonts w:ascii="宋体" w:hAnsi="宋体"/>
                <w:kern w:val="0"/>
                <w:szCs w:val="21"/>
              </w:rPr>
            </w:pPr>
            <w:r>
              <w:rPr>
                <w:rFonts w:ascii="宋体" w:hAnsi="宋体"/>
                <w:kern w:val="0"/>
                <w:szCs w:val="21"/>
              </w:rPr>
              <w:t>14715</w:t>
            </w:r>
          </w:p>
        </w:tc>
        <w:tc>
          <w:tcPr>
            <w:tcW w:w="714" w:type="pct"/>
            <w:vAlign w:val="center"/>
          </w:tcPr>
          <w:p w14:paraId="426DAF43">
            <w:pPr>
              <w:pStyle w:val="23"/>
              <w:jc w:val="center"/>
              <w:rPr>
                <w:rFonts w:ascii="宋体" w:hAnsi="宋体"/>
                <w:kern w:val="0"/>
                <w:szCs w:val="21"/>
              </w:rPr>
            </w:pPr>
            <w:r>
              <w:rPr>
                <w:rFonts w:ascii="宋体" w:hAnsi="宋体"/>
                <w:kern w:val="0"/>
                <w:szCs w:val="21"/>
              </w:rPr>
              <w:t>珠玑</w:t>
            </w:r>
          </w:p>
        </w:tc>
        <w:tc>
          <w:tcPr>
            <w:tcW w:w="714" w:type="pct"/>
            <w:vAlign w:val="center"/>
          </w:tcPr>
          <w:p w14:paraId="496DB081">
            <w:pPr>
              <w:pStyle w:val="23"/>
              <w:jc w:val="center"/>
              <w:rPr>
                <w:rFonts w:ascii="宋体" w:hAnsi="宋体"/>
                <w:kern w:val="0"/>
                <w:szCs w:val="21"/>
              </w:rPr>
            </w:pPr>
            <w:r>
              <w:rPr>
                <w:rFonts w:ascii="宋体" w:hAnsi="宋体"/>
                <w:kern w:val="0"/>
                <w:szCs w:val="21"/>
              </w:rPr>
              <w:t>23500</w:t>
            </w:r>
          </w:p>
        </w:tc>
        <w:tc>
          <w:tcPr>
            <w:tcW w:w="715" w:type="pct"/>
            <w:vAlign w:val="center"/>
          </w:tcPr>
          <w:p w14:paraId="0BFC0467">
            <w:pPr>
              <w:pStyle w:val="23"/>
              <w:jc w:val="center"/>
              <w:rPr>
                <w:rFonts w:ascii="宋体" w:hAnsi="宋体"/>
                <w:kern w:val="0"/>
                <w:szCs w:val="21"/>
              </w:rPr>
            </w:pPr>
            <w:r>
              <w:rPr>
                <w:rFonts w:ascii="宋体" w:hAnsi="宋体"/>
                <w:kern w:val="0"/>
                <w:szCs w:val="21"/>
              </w:rPr>
              <w:t>453</w:t>
            </w:r>
          </w:p>
        </w:tc>
      </w:tr>
      <w:tr w14:paraId="760C678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714" w:type="pct"/>
            <w:vAlign w:val="center"/>
          </w:tcPr>
          <w:p w14:paraId="54974EDD">
            <w:pPr>
              <w:pStyle w:val="23"/>
              <w:jc w:val="center"/>
              <w:rPr>
                <w:rFonts w:ascii="宋体" w:hAnsi="宋体"/>
                <w:kern w:val="0"/>
                <w:szCs w:val="21"/>
              </w:rPr>
            </w:pPr>
            <w:r>
              <w:rPr>
                <w:rFonts w:ascii="宋体" w:hAnsi="宋体"/>
                <w:kern w:val="0"/>
                <w:szCs w:val="21"/>
              </w:rPr>
              <w:t>界址</w:t>
            </w:r>
          </w:p>
        </w:tc>
        <w:tc>
          <w:tcPr>
            <w:tcW w:w="715" w:type="pct"/>
            <w:vAlign w:val="center"/>
          </w:tcPr>
          <w:p w14:paraId="62A7FCC0">
            <w:pPr>
              <w:pStyle w:val="23"/>
              <w:jc w:val="center"/>
              <w:rPr>
                <w:rFonts w:ascii="宋体" w:hAnsi="宋体"/>
                <w:kern w:val="0"/>
                <w:szCs w:val="21"/>
              </w:rPr>
            </w:pPr>
            <w:r>
              <w:rPr>
                <w:rFonts w:ascii="宋体" w:hAnsi="宋体"/>
                <w:kern w:val="0"/>
                <w:szCs w:val="21"/>
              </w:rPr>
              <w:t>7407</w:t>
            </w:r>
          </w:p>
        </w:tc>
        <w:tc>
          <w:tcPr>
            <w:tcW w:w="714" w:type="pct"/>
            <w:vAlign w:val="center"/>
          </w:tcPr>
          <w:p w14:paraId="07E5FED8">
            <w:pPr>
              <w:pStyle w:val="23"/>
              <w:jc w:val="center"/>
              <w:rPr>
                <w:rFonts w:ascii="宋体" w:hAnsi="宋体"/>
                <w:kern w:val="0"/>
                <w:szCs w:val="21"/>
              </w:rPr>
            </w:pPr>
            <w:r>
              <w:rPr>
                <w:rFonts w:ascii="宋体" w:hAnsi="宋体"/>
                <w:kern w:val="0"/>
                <w:szCs w:val="21"/>
              </w:rPr>
              <w:t>450</w:t>
            </w:r>
          </w:p>
        </w:tc>
        <w:tc>
          <w:tcPr>
            <w:tcW w:w="715" w:type="pct"/>
            <w:vAlign w:val="center"/>
          </w:tcPr>
          <w:p w14:paraId="05435D13">
            <w:pPr>
              <w:pStyle w:val="23"/>
              <w:jc w:val="center"/>
              <w:rPr>
                <w:rFonts w:ascii="宋体" w:hAnsi="宋体"/>
                <w:kern w:val="0"/>
                <w:szCs w:val="21"/>
              </w:rPr>
            </w:pPr>
            <w:r>
              <w:rPr>
                <w:rFonts w:ascii="宋体" w:hAnsi="宋体"/>
                <w:kern w:val="0"/>
                <w:szCs w:val="21"/>
              </w:rPr>
              <w:t>3334</w:t>
            </w:r>
          </w:p>
        </w:tc>
        <w:tc>
          <w:tcPr>
            <w:tcW w:w="714" w:type="pct"/>
            <w:vAlign w:val="center"/>
          </w:tcPr>
          <w:p w14:paraId="5FB67E55">
            <w:pPr>
              <w:pStyle w:val="23"/>
              <w:jc w:val="center"/>
              <w:rPr>
                <w:rFonts w:ascii="宋体" w:hAnsi="宋体"/>
                <w:kern w:val="0"/>
                <w:szCs w:val="21"/>
              </w:rPr>
            </w:pPr>
            <w:r>
              <w:rPr>
                <w:rFonts w:ascii="宋体" w:hAnsi="宋体"/>
                <w:kern w:val="0"/>
                <w:szCs w:val="21"/>
              </w:rPr>
              <w:t>主田</w:t>
            </w:r>
          </w:p>
        </w:tc>
        <w:tc>
          <w:tcPr>
            <w:tcW w:w="714" w:type="pct"/>
            <w:vAlign w:val="center"/>
          </w:tcPr>
          <w:p w14:paraId="2104A4A5">
            <w:pPr>
              <w:pStyle w:val="23"/>
              <w:jc w:val="center"/>
              <w:rPr>
                <w:rFonts w:ascii="宋体" w:hAnsi="宋体"/>
                <w:kern w:val="0"/>
                <w:szCs w:val="21"/>
              </w:rPr>
            </w:pPr>
            <w:r>
              <w:rPr>
                <w:rFonts w:ascii="宋体" w:hAnsi="宋体"/>
                <w:kern w:val="0"/>
                <w:szCs w:val="21"/>
              </w:rPr>
              <w:t>13916</w:t>
            </w:r>
          </w:p>
        </w:tc>
        <w:tc>
          <w:tcPr>
            <w:tcW w:w="715" w:type="pct"/>
            <w:vAlign w:val="center"/>
          </w:tcPr>
          <w:p w14:paraId="7D64A5E4">
            <w:pPr>
              <w:pStyle w:val="23"/>
              <w:jc w:val="center"/>
              <w:rPr>
                <w:rFonts w:ascii="宋体" w:hAnsi="宋体"/>
                <w:kern w:val="0"/>
                <w:szCs w:val="21"/>
              </w:rPr>
            </w:pPr>
            <w:r>
              <w:rPr>
                <w:rFonts w:ascii="宋体" w:hAnsi="宋体"/>
                <w:kern w:val="0"/>
                <w:szCs w:val="21"/>
              </w:rPr>
              <w:t>456</w:t>
            </w:r>
          </w:p>
        </w:tc>
      </w:tr>
      <w:tr w14:paraId="54C5CA1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714" w:type="pct"/>
            <w:vAlign w:val="center"/>
          </w:tcPr>
          <w:p w14:paraId="530C44E2">
            <w:pPr>
              <w:pStyle w:val="23"/>
              <w:jc w:val="center"/>
              <w:rPr>
                <w:rFonts w:ascii="宋体" w:hAnsi="宋体"/>
                <w:kern w:val="0"/>
                <w:szCs w:val="21"/>
              </w:rPr>
            </w:pPr>
            <w:r>
              <w:rPr>
                <w:rFonts w:ascii="宋体" w:hAnsi="宋体"/>
                <w:kern w:val="0"/>
                <w:szCs w:val="21"/>
              </w:rPr>
              <w:t>坪田</w:t>
            </w:r>
          </w:p>
        </w:tc>
        <w:tc>
          <w:tcPr>
            <w:tcW w:w="715" w:type="pct"/>
            <w:vAlign w:val="center"/>
          </w:tcPr>
          <w:p w14:paraId="17E1CBF2">
            <w:pPr>
              <w:pStyle w:val="23"/>
              <w:jc w:val="center"/>
              <w:rPr>
                <w:rFonts w:ascii="宋体" w:hAnsi="宋体"/>
                <w:kern w:val="0"/>
                <w:szCs w:val="21"/>
              </w:rPr>
            </w:pPr>
            <w:r>
              <w:rPr>
                <w:rFonts w:ascii="宋体" w:hAnsi="宋体"/>
                <w:kern w:val="0"/>
                <w:szCs w:val="21"/>
              </w:rPr>
              <w:t>19228</w:t>
            </w:r>
          </w:p>
        </w:tc>
        <w:tc>
          <w:tcPr>
            <w:tcW w:w="714" w:type="pct"/>
            <w:vAlign w:val="center"/>
          </w:tcPr>
          <w:p w14:paraId="461FD0AF">
            <w:pPr>
              <w:pStyle w:val="23"/>
              <w:jc w:val="center"/>
              <w:rPr>
                <w:rFonts w:ascii="宋体" w:hAnsi="宋体"/>
                <w:kern w:val="0"/>
                <w:szCs w:val="21"/>
              </w:rPr>
            </w:pPr>
            <w:r>
              <w:rPr>
                <w:rFonts w:ascii="宋体" w:hAnsi="宋体"/>
                <w:kern w:val="0"/>
                <w:szCs w:val="21"/>
              </w:rPr>
              <w:t>451</w:t>
            </w:r>
          </w:p>
        </w:tc>
        <w:tc>
          <w:tcPr>
            <w:tcW w:w="715" w:type="pct"/>
            <w:vAlign w:val="center"/>
          </w:tcPr>
          <w:p w14:paraId="19E29DC3">
            <w:pPr>
              <w:pStyle w:val="23"/>
              <w:jc w:val="center"/>
              <w:rPr>
                <w:rFonts w:ascii="宋体" w:hAnsi="宋体"/>
                <w:kern w:val="0"/>
                <w:szCs w:val="21"/>
              </w:rPr>
            </w:pPr>
            <w:r>
              <w:rPr>
                <w:rFonts w:ascii="宋体" w:hAnsi="宋体"/>
                <w:kern w:val="0"/>
                <w:szCs w:val="21"/>
              </w:rPr>
              <w:t>8675</w:t>
            </w:r>
          </w:p>
        </w:tc>
        <w:tc>
          <w:tcPr>
            <w:tcW w:w="714" w:type="pct"/>
            <w:vAlign w:val="center"/>
          </w:tcPr>
          <w:p w14:paraId="3D938FFE">
            <w:pPr>
              <w:pStyle w:val="23"/>
              <w:jc w:val="center"/>
              <w:rPr>
                <w:rFonts w:ascii="宋体" w:hAnsi="宋体"/>
                <w:kern w:val="0"/>
                <w:szCs w:val="21"/>
              </w:rPr>
            </w:pPr>
            <w:r>
              <w:rPr>
                <w:rFonts w:ascii="宋体" w:hAnsi="宋体"/>
                <w:kern w:val="0"/>
                <w:szCs w:val="21"/>
              </w:rPr>
              <w:t>古市</w:t>
            </w:r>
          </w:p>
        </w:tc>
        <w:tc>
          <w:tcPr>
            <w:tcW w:w="714" w:type="pct"/>
            <w:vAlign w:val="center"/>
          </w:tcPr>
          <w:p w14:paraId="5C13AD3E">
            <w:pPr>
              <w:pStyle w:val="23"/>
              <w:jc w:val="center"/>
              <w:rPr>
                <w:rFonts w:ascii="宋体" w:hAnsi="宋体"/>
                <w:kern w:val="0"/>
                <w:szCs w:val="21"/>
              </w:rPr>
            </w:pPr>
            <w:r>
              <w:rPr>
                <w:rFonts w:ascii="宋体" w:hAnsi="宋体"/>
                <w:kern w:val="0"/>
                <w:szCs w:val="21"/>
              </w:rPr>
              <w:t>18673</w:t>
            </w:r>
          </w:p>
        </w:tc>
        <w:tc>
          <w:tcPr>
            <w:tcW w:w="715" w:type="pct"/>
            <w:vAlign w:val="center"/>
          </w:tcPr>
          <w:p w14:paraId="1392D577">
            <w:pPr>
              <w:pStyle w:val="23"/>
              <w:jc w:val="center"/>
              <w:rPr>
                <w:rFonts w:ascii="宋体" w:hAnsi="宋体"/>
                <w:kern w:val="0"/>
                <w:szCs w:val="21"/>
              </w:rPr>
            </w:pPr>
            <w:r>
              <w:rPr>
                <w:rFonts w:ascii="宋体" w:hAnsi="宋体"/>
                <w:kern w:val="0"/>
                <w:szCs w:val="21"/>
              </w:rPr>
              <w:t>451</w:t>
            </w:r>
          </w:p>
        </w:tc>
      </w:tr>
      <w:tr w14:paraId="3C7B017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714" w:type="pct"/>
            <w:vAlign w:val="center"/>
          </w:tcPr>
          <w:p w14:paraId="1C6200C4">
            <w:pPr>
              <w:pStyle w:val="23"/>
              <w:jc w:val="center"/>
              <w:rPr>
                <w:rFonts w:ascii="宋体" w:hAnsi="宋体"/>
                <w:kern w:val="0"/>
                <w:szCs w:val="21"/>
              </w:rPr>
            </w:pPr>
            <w:r>
              <w:rPr>
                <w:rFonts w:ascii="宋体" w:hAnsi="宋体"/>
                <w:kern w:val="0"/>
                <w:szCs w:val="21"/>
              </w:rPr>
              <w:t>黄坑</w:t>
            </w:r>
          </w:p>
        </w:tc>
        <w:tc>
          <w:tcPr>
            <w:tcW w:w="715" w:type="pct"/>
            <w:vAlign w:val="center"/>
          </w:tcPr>
          <w:p w14:paraId="355676E1">
            <w:pPr>
              <w:pStyle w:val="23"/>
              <w:jc w:val="center"/>
              <w:rPr>
                <w:rFonts w:ascii="宋体" w:hAnsi="宋体"/>
                <w:kern w:val="0"/>
                <w:szCs w:val="21"/>
              </w:rPr>
            </w:pPr>
            <w:r>
              <w:rPr>
                <w:rFonts w:ascii="宋体" w:hAnsi="宋体"/>
                <w:kern w:val="0"/>
                <w:szCs w:val="21"/>
              </w:rPr>
              <w:t>19400</w:t>
            </w:r>
          </w:p>
        </w:tc>
        <w:tc>
          <w:tcPr>
            <w:tcW w:w="714" w:type="pct"/>
            <w:vAlign w:val="center"/>
          </w:tcPr>
          <w:p w14:paraId="5F75CC7B">
            <w:pPr>
              <w:pStyle w:val="23"/>
              <w:jc w:val="center"/>
              <w:rPr>
                <w:rFonts w:ascii="宋体" w:hAnsi="宋体"/>
                <w:kern w:val="0"/>
                <w:szCs w:val="21"/>
              </w:rPr>
            </w:pPr>
            <w:r>
              <w:rPr>
                <w:rFonts w:ascii="宋体" w:hAnsi="宋体"/>
                <w:kern w:val="0"/>
                <w:szCs w:val="21"/>
              </w:rPr>
              <w:t>452</w:t>
            </w:r>
          </w:p>
        </w:tc>
        <w:tc>
          <w:tcPr>
            <w:tcW w:w="715" w:type="pct"/>
            <w:vAlign w:val="center"/>
          </w:tcPr>
          <w:p w14:paraId="61844D2A">
            <w:pPr>
              <w:pStyle w:val="23"/>
              <w:jc w:val="center"/>
              <w:rPr>
                <w:rFonts w:ascii="宋体" w:hAnsi="宋体"/>
                <w:kern w:val="0"/>
                <w:szCs w:val="21"/>
              </w:rPr>
            </w:pPr>
            <w:r>
              <w:rPr>
                <w:rFonts w:ascii="宋体" w:hAnsi="宋体"/>
                <w:kern w:val="0"/>
                <w:szCs w:val="21"/>
              </w:rPr>
              <w:t>8766</w:t>
            </w:r>
          </w:p>
        </w:tc>
        <w:tc>
          <w:tcPr>
            <w:tcW w:w="714" w:type="pct"/>
            <w:vAlign w:val="center"/>
          </w:tcPr>
          <w:p w14:paraId="7CA8D9CF">
            <w:pPr>
              <w:pStyle w:val="23"/>
              <w:jc w:val="center"/>
              <w:rPr>
                <w:rFonts w:ascii="宋体" w:hAnsi="宋体"/>
                <w:kern w:val="0"/>
                <w:szCs w:val="21"/>
              </w:rPr>
            </w:pPr>
            <w:r>
              <w:rPr>
                <w:rFonts w:ascii="宋体" w:hAnsi="宋体"/>
                <w:kern w:val="0"/>
                <w:szCs w:val="21"/>
              </w:rPr>
              <w:t>全安</w:t>
            </w:r>
          </w:p>
        </w:tc>
        <w:tc>
          <w:tcPr>
            <w:tcW w:w="714" w:type="pct"/>
            <w:vAlign w:val="center"/>
          </w:tcPr>
          <w:p w14:paraId="1387395A">
            <w:pPr>
              <w:pStyle w:val="23"/>
              <w:jc w:val="center"/>
              <w:rPr>
                <w:rFonts w:ascii="宋体" w:hAnsi="宋体"/>
                <w:kern w:val="0"/>
                <w:szCs w:val="21"/>
              </w:rPr>
            </w:pPr>
            <w:r>
              <w:rPr>
                <w:rFonts w:ascii="宋体" w:hAnsi="宋体"/>
                <w:kern w:val="0"/>
                <w:szCs w:val="21"/>
              </w:rPr>
              <w:t>24083</w:t>
            </w:r>
          </w:p>
        </w:tc>
        <w:tc>
          <w:tcPr>
            <w:tcW w:w="715" w:type="pct"/>
            <w:vAlign w:val="center"/>
          </w:tcPr>
          <w:p w14:paraId="7DC7043B">
            <w:pPr>
              <w:pStyle w:val="23"/>
              <w:jc w:val="center"/>
              <w:rPr>
                <w:rFonts w:ascii="宋体" w:hAnsi="宋体"/>
                <w:kern w:val="0"/>
                <w:szCs w:val="21"/>
              </w:rPr>
            </w:pPr>
            <w:r>
              <w:rPr>
                <w:rFonts w:ascii="宋体" w:hAnsi="宋体"/>
                <w:kern w:val="0"/>
                <w:szCs w:val="21"/>
              </w:rPr>
              <w:t>455</w:t>
            </w:r>
          </w:p>
        </w:tc>
      </w:tr>
      <w:tr w14:paraId="6058949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714" w:type="pct"/>
            <w:vAlign w:val="center"/>
          </w:tcPr>
          <w:p w14:paraId="6EE74C4E">
            <w:pPr>
              <w:pStyle w:val="23"/>
              <w:jc w:val="center"/>
              <w:rPr>
                <w:rFonts w:ascii="宋体" w:hAnsi="宋体"/>
                <w:kern w:val="0"/>
                <w:szCs w:val="21"/>
              </w:rPr>
            </w:pPr>
            <w:r>
              <w:rPr>
                <w:rFonts w:ascii="宋体" w:hAnsi="宋体"/>
                <w:kern w:val="0"/>
                <w:szCs w:val="21"/>
              </w:rPr>
              <w:t>邓坊</w:t>
            </w:r>
          </w:p>
        </w:tc>
        <w:tc>
          <w:tcPr>
            <w:tcW w:w="715" w:type="pct"/>
            <w:vAlign w:val="center"/>
          </w:tcPr>
          <w:p w14:paraId="26F0F4D6">
            <w:pPr>
              <w:pStyle w:val="23"/>
              <w:jc w:val="center"/>
              <w:rPr>
                <w:rFonts w:ascii="宋体" w:hAnsi="宋体"/>
                <w:kern w:val="0"/>
                <w:szCs w:val="21"/>
              </w:rPr>
            </w:pPr>
            <w:r>
              <w:rPr>
                <w:rFonts w:ascii="宋体" w:hAnsi="宋体"/>
                <w:kern w:val="0"/>
                <w:szCs w:val="21"/>
              </w:rPr>
              <w:t>15458</w:t>
            </w:r>
          </w:p>
        </w:tc>
        <w:tc>
          <w:tcPr>
            <w:tcW w:w="714" w:type="pct"/>
            <w:vAlign w:val="center"/>
          </w:tcPr>
          <w:p w14:paraId="59CAB939">
            <w:pPr>
              <w:pStyle w:val="23"/>
              <w:jc w:val="center"/>
              <w:rPr>
                <w:rFonts w:ascii="宋体" w:hAnsi="宋体"/>
                <w:kern w:val="0"/>
                <w:szCs w:val="21"/>
              </w:rPr>
            </w:pPr>
            <w:r>
              <w:rPr>
                <w:rFonts w:ascii="宋体" w:hAnsi="宋体"/>
                <w:kern w:val="0"/>
                <w:szCs w:val="21"/>
              </w:rPr>
              <w:t>451</w:t>
            </w:r>
          </w:p>
        </w:tc>
        <w:tc>
          <w:tcPr>
            <w:tcW w:w="715" w:type="pct"/>
            <w:vAlign w:val="center"/>
          </w:tcPr>
          <w:p w14:paraId="5303B24F">
            <w:pPr>
              <w:pStyle w:val="23"/>
              <w:jc w:val="center"/>
              <w:rPr>
                <w:rFonts w:ascii="宋体" w:hAnsi="宋体"/>
                <w:kern w:val="0"/>
                <w:szCs w:val="21"/>
              </w:rPr>
            </w:pPr>
            <w:r>
              <w:rPr>
                <w:rFonts w:ascii="宋体" w:hAnsi="宋体"/>
                <w:kern w:val="0"/>
                <w:szCs w:val="21"/>
              </w:rPr>
              <w:t>6970</w:t>
            </w:r>
          </w:p>
        </w:tc>
        <w:tc>
          <w:tcPr>
            <w:tcW w:w="714" w:type="pct"/>
            <w:vAlign w:val="center"/>
          </w:tcPr>
          <w:p w14:paraId="28A22985">
            <w:pPr>
              <w:pStyle w:val="23"/>
              <w:jc w:val="center"/>
              <w:rPr>
                <w:rFonts w:ascii="宋体" w:hAnsi="宋体"/>
                <w:kern w:val="0"/>
                <w:szCs w:val="21"/>
              </w:rPr>
            </w:pPr>
            <w:r>
              <w:rPr>
                <w:rFonts w:ascii="宋体" w:hAnsi="宋体"/>
                <w:kern w:val="0"/>
                <w:szCs w:val="21"/>
              </w:rPr>
              <w:t>百顺</w:t>
            </w:r>
          </w:p>
        </w:tc>
        <w:tc>
          <w:tcPr>
            <w:tcW w:w="714" w:type="pct"/>
            <w:vAlign w:val="center"/>
          </w:tcPr>
          <w:p w14:paraId="54BC54BA">
            <w:pPr>
              <w:pStyle w:val="23"/>
              <w:jc w:val="center"/>
              <w:rPr>
                <w:rFonts w:ascii="宋体" w:hAnsi="宋体"/>
                <w:kern w:val="0"/>
                <w:szCs w:val="21"/>
              </w:rPr>
            </w:pPr>
            <w:r>
              <w:rPr>
                <w:rFonts w:ascii="宋体" w:hAnsi="宋体"/>
                <w:kern w:val="0"/>
                <w:szCs w:val="21"/>
              </w:rPr>
              <w:t>10824</w:t>
            </w:r>
          </w:p>
        </w:tc>
        <w:tc>
          <w:tcPr>
            <w:tcW w:w="715" w:type="pct"/>
            <w:vAlign w:val="center"/>
          </w:tcPr>
          <w:p w14:paraId="5BD79C5B">
            <w:pPr>
              <w:pStyle w:val="23"/>
              <w:jc w:val="center"/>
              <w:rPr>
                <w:rFonts w:ascii="宋体" w:hAnsi="宋体"/>
                <w:kern w:val="0"/>
                <w:szCs w:val="21"/>
              </w:rPr>
            </w:pPr>
            <w:r>
              <w:rPr>
                <w:rFonts w:ascii="宋体" w:hAnsi="宋体"/>
                <w:kern w:val="0"/>
                <w:szCs w:val="21"/>
              </w:rPr>
              <w:t>450</w:t>
            </w:r>
          </w:p>
        </w:tc>
      </w:tr>
      <w:tr w14:paraId="4E6993F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714" w:type="pct"/>
            <w:vAlign w:val="center"/>
          </w:tcPr>
          <w:p w14:paraId="5D03D6C1">
            <w:pPr>
              <w:pStyle w:val="23"/>
              <w:jc w:val="center"/>
              <w:rPr>
                <w:rFonts w:ascii="宋体" w:hAnsi="宋体"/>
                <w:kern w:val="0"/>
                <w:szCs w:val="21"/>
              </w:rPr>
            </w:pPr>
            <w:r>
              <w:rPr>
                <w:rFonts w:ascii="宋体" w:hAnsi="宋体"/>
                <w:kern w:val="0"/>
                <w:szCs w:val="21"/>
              </w:rPr>
              <w:t>油山</w:t>
            </w:r>
          </w:p>
        </w:tc>
        <w:tc>
          <w:tcPr>
            <w:tcW w:w="715" w:type="pct"/>
            <w:vAlign w:val="center"/>
          </w:tcPr>
          <w:p w14:paraId="0975D991">
            <w:pPr>
              <w:pStyle w:val="23"/>
              <w:jc w:val="center"/>
              <w:rPr>
                <w:rFonts w:ascii="宋体" w:hAnsi="宋体"/>
                <w:kern w:val="0"/>
                <w:szCs w:val="21"/>
              </w:rPr>
            </w:pPr>
            <w:r>
              <w:rPr>
                <w:rFonts w:ascii="宋体" w:hAnsi="宋体"/>
                <w:kern w:val="0"/>
                <w:szCs w:val="21"/>
              </w:rPr>
              <w:t>26382</w:t>
            </w:r>
          </w:p>
        </w:tc>
        <w:tc>
          <w:tcPr>
            <w:tcW w:w="714" w:type="pct"/>
            <w:vAlign w:val="center"/>
          </w:tcPr>
          <w:p w14:paraId="7A438DB3">
            <w:pPr>
              <w:pStyle w:val="23"/>
              <w:jc w:val="center"/>
              <w:rPr>
                <w:rFonts w:ascii="宋体" w:hAnsi="宋体"/>
                <w:kern w:val="0"/>
                <w:szCs w:val="21"/>
              </w:rPr>
            </w:pPr>
            <w:r>
              <w:rPr>
                <w:rFonts w:ascii="宋体" w:hAnsi="宋体"/>
                <w:kern w:val="0"/>
                <w:szCs w:val="21"/>
              </w:rPr>
              <w:t>451</w:t>
            </w:r>
          </w:p>
        </w:tc>
        <w:tc>
          <w:tcPr>
            <w:tcW w:w="715" w:type="pct"/>
            <w:vAlign w:val="center"/>
          </w:tcPr>
          <w:p w14:paraId="1AF309E6">
            <w:pPr>
              <w:pStyle w:val="23"/>
              <w:jc w:val="center"/>
              <w:rPr>
                <w:rFonts w:ascii="宋体" w:hAnsi="宋体"/>
                <w:kern w:val="0"/>
                <w:szCs w:val="21"/>
              </w:rPr>
            </w:pPr>
            <w:r>
              <w:rPr>
                <w:rFonts w:ascii="宋体" w:hAnsi="宋体"/>
                <w:kern w:val="0"/>
                <w:szCs w:val="21"/>
              </w:rPr>
              <w:t>11886</w:t>
            </w:r>
          </w:p>
        </w:tc>
        <w:tc>
          <w:tcPr>
            <w:tcW w:w="714" w:type="pct"/>
            <w:vAlign w:val="center"/>
          </w:tcPr>
          <w:p w14:paraId="5C341455">
            <w:pPr>
              <w:pStyle w:val="23"/>
              <w:jc w:val="center"/>
              <w:rPr>
                <w:rFonts w:ascii="宋体" w:hAnsi="宋体"/>
                <w:kern w:val="0"/>
                <w:szCs w:val="21"/>
              </w:rPr>
            </w:pPr>
            <w:r>
              <w:rPr>
                <w:rFonts w:ascii="宋体" w:hAnsi="宋体"/>
                <w:kern w:val="0"/>
                <w:szCs w:val="21"/>
              </w:rPr>
              <w:t>澜河</w:t>
            </w:r>
          </w:p>
        </w:tc>
        <w:tc>
          <w:tcPr>
            <w:tcW w:w="714" w:type="pct"/>
            <w:vAlign w:val="center"/>
          </w:tcPr>
          <w:p w14:paraId="630F3395">
            <w:pPr>
              <w:pStyle w:val="23"/>
              <w:jc w:val="center"/>
              <w:rPr>
                <w:rFonts w:ascii="宋体" w:hAnsi="宋体"/>
                <w:kern w:val="0"/>
                <w:szCs w:val="21"/>
              </w:rPr>
            </w:pPr>
            <w:r>
              <w:rPr>
                <w:rFonts w:ascii="宋体" w:hAnsi="宋体"/>
                <w:kern w:val="0"/>
                <w:szCs w:val="21"/>
              </w:rPr>
              <w:t>5366</w:t>
            </w:r>
          </w:p>
        </w:tc>
        <w:tc>
          <w:tcPr>
            <w:tcW w:w="715" w:type="pct"/>
            <w:vAlign w:val="center"/>
          </w:tcPr>
          <w:p w14:paraId="7089972A">
            <w:pPr>
              <w:pStyle w:val="23"/>
              <w:jc w:val="center"/>
              <w:rPr>
                <w:rFonts w:ascii="宋体" w:hAnsi="宋体"/>
                <w:kern w:val="0"/>
                <w:szCs w:val="21"/>
              </w:rPr>
            </w:pPr>
            <w:r>
              <w:rPr>
                <w:rFonts w:ascii="宋体" w:hAnsi="宋体"/>
                <w:kern w:val="0"/>
                <w:szCs w:val="21"/>
              </w:rPr>
              <w:t>449</w:t>
            </w:r>
          </w:p>
        </w:tc>
      </w:tr>
      <w:tr w14:paraId="0A9B47D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714" w:type="pct"/>
            <w:vAlign w:val="center"/>
          </w:tcPr>
          <w:p w14:paraId="04240FE8">
            <w:pPr>
              <w:pStyle w:val="23"/>
              <w:jc w:val="center"/>
              <w:rPr>
                <w:rFonts w:ascii="宋体" w:hAnsi="宋体"/>
                <w:kern w:val="0"/>
                <w:szCs w:val="21"/>
              </w:rPr>
            </w:pPr>
            <w:r>
              <w:rPr>
                <w:rFonts w:ascii="宋体" w:hAnsi="宋体"/>
                <w:kern w:val="0"/>
                <w:szCs w:val="21"/>
              </w:rPr>
              <w:t>南亩</w:t>
            </w:r>
          </w:p>
        </w:tc>
        <w:tc>
          <w:tcPr>
            <w:tcW w:w="715" w:type="pct"/>
            <w:vAlign w:val="center"/>
          </w:tcPr>
          <w:p w14:paraId="6B8F94B0">
            <w:pPr>
              <w:pStyle w:val="23"/>
              <w:jc w:val="center"/>
              <w:rPr>
                <w:rFonts w:ascii="宋体" w:hAnsi="宋体"/>
                <w:kern w:val="0"/>
                <w:szCs w:val="21"/>
              </w:rPr>
            </w:pPr>
            <w:r>
              <w:rPr>
                <w:rFonts w:ascii="宋体" w:hAnsi="宋体"/>
                <w:kern w:val="0"/>
                <w:szCs w:val="21"/>
              </w:rPr>
              <w:t>9980</w:t>
            </w:r>
          </w:p>
        </w:tc>
        <w:tc>
          <w:tcPr>
            <w:tcW w:w="714" w:type="pct"/>
            <w:vAlign w:val="center"/>
          </w:tcPr>
          <w:p w14:paraId="18725B9E">
            <w:pPr>
              <w:pStyle w:val="23"/>
              <w:jc w:val="center"/>
              <w:rPr>
                <w:rFonts w:ascii="宋体" w:hAnsi="宋体"/>
                <w:kern w:val="0"/>
                <w:szCs w:val="21"/>
              </w:rPr>
            </w:pPr>
            <w:r>
              <w:rPr>
                <w:rFonts w:ascii="宋体" w:hAnsi="宋体"/>
                <w:kern w:val="0"/>
                <w:szCs w:val="21"/>
              </w:rPr>
              <w:t>456</w:t>
            </w:r>
          </w:p>
        </w:tc>
        <w:tc>
          <w:tcPr>
            <w:tcW w:w="715" w:type="pct"/>
            <w:vAlign w:val="center"/>
          </w:tcPr>
          <w:p w14:paraId="682CEA96">
            <w:pPr>
              <w:pStyle w:val="23"/>
              <w:jc w:val="center"/>
              <w:rPr>
                <w:rFonts w:ascii="宋体" w:hAnsi="宋体"/>
                <w:kern w:val="0"/>
                <w:szCs w:val="21"/>
              </w:rPr>
            </w:pPr>
            <w:r>
              <w:rPr>
                <w:rFonts w:ascii="宋体" w:hAnsi="宋体"/>
                <w:kern w:val="0"/>
                <w:szCs w:val="21"/>
              </w:rPr>
              <w:t>4552</w:t>
            </w:r>
          </w:p>
        </w:tc>
        <w:tc>
          <w:tcPr>
            <w:tcW w:w="714" w:type="pct"/>
            <w:vAlign w:val="center"/>
          </w:tcPr>
          <w:p w14:paraId="42381A07">
            <w:pPr>
              <w:pStyle w:val="23"/>
              <w:jc w:val="center"/>
              <w:rPr>
                <w:rFonts w:ascii="宋体" w:hAnsi="宋体"/>
                <w:kern w:val="0"/>
                <w:szCs w:val="21"/>
              </w:rPr>
            </w:pPr>
            <w:r>
              <w:rPr>
                <w:rFonts w:ascii="宋体" w:hAnsi="宋体"/>
                <w:kern w:val="0"/>
                <w:szCs w:val="21"/>
              </w:rPr>
              <w:t>帽子峰</w:t>
            </w:r>
          </w:p>
        </w:tc>
        <w:tc>
          <w:tcPr>
            <w:tcW w:w="714" w:type="pct"/>
            <w:vAlign w:val="center"/>
          </w:tcPr>
          <w:p w14:paraId="3D60B865">
            <w:pPr>
              <w:pStyle w:val="23"/>
              <w:jc w:val="center"/>
              <w:rPr>
                <w:rFonts w:ascii="宋体" w:hAnsi="宋体"/>
                <w:kern w:val="0"/>
                <w:szCs w:val="21"/>
              </w:rPr>
            </w:pPr>
            <w:r>
              <w:rPr>
                <w:rFonts w:ascii="宋体" w:hAnsi="宋体"/>
                <w:kern w:val="0"/>
                <w:szCs w:val="21"/>
              </w:rPr>
              <w:t>9745</w:t>
            </w:r>
          </w:p>
        </w:tc>
        <w:tc>
          <w:tcPr>
            <w:tcW w:w="715" w:type="pct"/>
            <w:vAlign w:val="center"/>
          </w:tcPr>
          <w:p w14:paraId="20EEE685">
            <w:pPr>
              <w:pStyle w:val="23"/>
              <w:jc w:val="center"/>
              <w:rPr>
                <w:rFonts w:ascii="宋体" w:hAnsi="宋体"/>
                <w:kern w:val="0"/>
                <w:szCs w:val="21"/>
              </w:rPr>
            </w:pPr>
            <w:r>
              <w:rPr>
                <w:rFonts w:ascii="宋体" w:hAnsi="宋体"/>
                <w:kern w:val="0"/>
                <w:szCs w:val="21"/>
              </w:rPr>
              <w:t>450</w:t>
            </w:r>
          </w:p>
        </w:tc>
      </w:tr>
      <w:tr w14:paraId="6FD2CF9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714" w:type="pct"/>
            <w:vAlign w:val="center"/>
          </w:tcPr>
          <w:p w14:paraId="6ABA9B3B">
            <w:pPr>
              <w:pStyle w:val="23"/>
              <w:jc w:val="center"/>
              <w:rPr>
                <w:rFonts w:ascii="宋体" w:hAnsi="宋体"/>
                <w:kern w:val="0"/>
                <w:szCs w:val="21"/>
              </w:rPr>
            </w:pPr>
            <w:r>
              <w:rPr>
                <w:rFonts w:ascii="宋体" w:hAnsi="宋体"/>
                <w:kern w:val="0"/>
                <w:szCs w:val="21"/>
              </w:rPr>
              <w:t>水口</w:t>
            </w:r>
          </w:p>
        </w:tc>
        <w:tc>
          <w:tcPr>
            <w:tcW w:w="715" w:type="pct"/>
            <w:vAlign w:val="center"/>
          </w:tcPr>
          <w:p w14:paraId="46C3320D">
            <w:pPr>
              <w:pStyle w:val="23"/>
              <w:jc w:val="center"/>
              <w:rPr>
                <w:rFonts w:ascii="宋体" w:hAnsi="宋体"/>
                <w:kern w:val="0"/>
                <w:szCs w:val="21"/>
              </w:rPr>
            </w:pPr>
            <w:r>
              <w:rPr>
                <w:rFonts w:ascii="宋体" w:hAnsi="宋体"/>
                <w:kern w:val="0"/>
                <w:szCs w:val="21"/>
              </w:rPr>
              <w:t>18985</w:t>
            </w:r>
          </w:p>
        </w:tc>
        <w:tc>
          <w:tcPr>
            <w:tcW w:w="714" w:type="pct"/>
            <w:vAlign w:val="center"/>
          </w:tcPr>
          <w:p w14:paraId="058575C2">
            <w:pPr>
              <w:pStyle w:val="23"/>
              <w:jc w:val="center"/>
              <w:rPr>
                <w:rFonts w:ascii="宋体" w:hAnsi="宋体"/>
                <w:kern w:val="0"/>
                <w:szCs w:val="21"/>
              </w:rPr>
            </w:pPr>
            <w:r>
              <w:rPr>
                <w:rFonts w:ascii="宋体" w:hAnsi="宋体"/>
                <w:kern w:val="0"/>
                <w:szCs w:val="21"/>
              </w:rPr>
              <w:t>448</w:t>
            </w:r>
          </w:p>
        </w:tc>
        <w:tc>
          <w:tcPr>
            <w:tcW w:w="715" w:type="pct"/>
            <w:vAlign w:val="center"/>
          </w:tcPr>
          <w:p w14:paraId="78E079F7">
            <w:pPr>
              <w:pStyle w:val="23"/>
              <w:jc w:val="center"/>
              <w:rPr>
                <w:rFonts w:ascii="宋体" w:hAnsi="宋体"/>
                <w:kern w:val="0"/>
                <w:szCs w:val="21"/>
              </w:rPr>
            </w:pPr>
            <w:r>
              <w:rPr>
                <w:rFonts w:ascii="宋体" w:hAnsi="宋体"/>
                <w:kern w:val="0"/>
                <w:szCs w:val="21"/>
              </w:rPr>
              <w:t>8514</w:t>
            </w:r>
          </w:p>
        </w:tc>
        <w:tc>
          <w:tcPr>
            <w:tcW w:w="714" w:type="pct"/>
            <w:vAlign w:val="center"/>
          </w:tcPr>
          <w:p w14:paraId="25C99DEE">
            <w:pPr>
              <w:pStyle w:val="23"/>
              <w:jc w:val="center"/>
              <w:rPr>
                <w:rFonts w:ascii="宋体" w:hAnsi="宋体"/>
                <w:kern w:val="0"/>
                <w:szCs w:val="21"/>
              </w:rPr>
            </w:pPr>
            <w:r>
              <w:rPr>
                <w:rFonts w:ascii="宋体" w:hAnsi="宋体"/>
                <w:kern w:val="0"/>
                <w:szCs w:val="21"/>
              </w:rPr>
              <w:t>雄州街道</w:t>
            </w:r>
          </w:p>
        </w:tc>
        <w:tc>
          <w:tcPr>
            <w:tcW w:w="714" w:type="pct"/>
            <w:vAlign w:val="center"/>
          </w:tcPr>
          <w:p w14:paraId="59DB8654">
            <w:pPr>
              <w:pStyle w:val="23"/>
              <w:jc w:val="center"/>
              <w:rPr>
                <w:rFonts w:ascii="宋体" w:hAnsi="宋体"/>
                <w:kern w:val="0"/>
                <w:szCs w:val="21"/>
              </w:rPr>
            </w:pPr>
            <w:r>
              <w:rPr>
                <w:rFonts w:ascii="宋体" w:hAnsi="宋体"/>
                <w:kern w:val="0"/>
                <w:szCs w:val="21"/>
              </w:rPr>
              <w:t>19591</w:t>
            </w:r>
          </w:p>
        </w:tc>
        <w:tc>
          <w:tcPr>
            <w:tcW w:w="715" w:type="pct"/>
            <w:vAlign w:val="center"/>
          </w:tcPr>
          <w:p w14:paraId="729F138E">
            <w:pPr>
              <w:pStyle w:val="23"/>
              <w:jc w:val="center"/>
              <w:rPr>
                <w:rFonts w:ascii="宋体" w:hAnsi="宋体"/>
                <w:kern w:val="0"/>
                <w:szCs w:val="21"/>
              </w:rPr>
            </w:pPr>
            <w:r>
              <w:rPr>
                <w:rFonts w:ascii="宋体" w:hAnsi="宋体"/>
                <w:kern w:val="0"/>
                <w:szCs w:val="21"/>
              </w:rPr>
              <w:t>455</w:t>
            </w:r>
          </w:p>
        </w:tc>
      </w:tr>
      <w:tr w14:paraId="73C9392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714" w:type="pct"/>
            <w:vAlign w:val="center"/>
          </w:tcPr>
          <w:p w14:paraId="52960ADA">
            <w:pPr>
              <w:pStyle w:val="23"/>
              <w:jc w:val="center"/>
              <w:rPr>
                <w:rFonts w:ascii="宋体" w:hAnsi="宋体"/>
                <w:kern w:val="0"/>
                <w:szCs w:val="21"/>
              </w:rPr>
            </w:pPr>
            <w:r>
              <w:rPr>
                <w:rFonts w:ascii="宋体" w:hAnsi="宋体"/>
                <w:kern w:val="0"/>
                <w:szCs w:val="21"/>
              </w:rPr>
              <w:t>江头</w:t>
            </w:r>
          </w:p>
        </w:tc>
        <w:tc>
          <w:tcPr>
            <w:tcW w:w="715" w:type="pct"/>
            <w:vAlign w:val="center"/>
          </w:tcPr>
          <w:p w14:paraId="28B7D679">
            <w:pPr>
              <w:pStyle w:val="23"/>
              <w:jc w:val="center"/>
              <w:rPr>
                <w:rFonts w:ascii="宋体" w:hAnsi="宋体"/>
                <w:kern w:val="0"/>
                <w:szCs w:val="21"/>
              </w:rPr>
            </w:pPr>
            <w:r>
              <w:rPr>
                <w:rFonts w:ascii="宋体" w:hAnsi="宋体"/>
                <w:kern w:val="0"/>
                <w:szCs w:val="21"/>
              </w:rPr>
              <w:t>9435</w:t>
            </w:r>
          </w:p>
        </w:tc>
        <w:tc>
          <w:tcPr>
            <w:tcW w:w="714" w:type="pct"/>
            <w:vAlign w:val="center"/>
          </w:tcPr>
          <w:p w14:paraId="451BD72C">
            <w:pPr>
              <w:pStyle w:val="23"/>
              <w:jc w:val="center"/>
              <w:rPr>
                <w:rFonts w:ascii="宋体" w:hAnsi="宋体"/>
                <w:kern w:val="0"/>
                <w:szCs w:val="21"/>
              </w:rPr>
            </w:pPr>
            <w:r>
              <w:rPr>
                <w:rFonts w:ascii="宋体" w:hAnsi="宋体"/>
                <w:kern w:val="0"/>
                <w:szCs w:val="21"/>
              </w:rPr>
              <w:t>453</w:t>
            </w:r>
          </w:p>
        </w:tc>
        <w:tc>
          <w:tcPr>
            <w:tcW w:w="715" w:type="pct"/>
            <w:vAlign w:val="center"/>
          </w:tcPr>
          <w:p w14:paraId="19CD771D">
            <w:pPr>
              <w:pStyle w:val="23"/>
              <w:jc w:val="center"/>
              <w:rPr>
                <w:rFonts w:ascii="宋体" w:hAnsi="宋体"/>
                <w:kern w:val="0"/>
                <w:szCs w:val="21"/>
              </w:rPr>
            </w:pPr>
            <w:r>
              <w:rPr>
                <w:rFonts w:ascii="宋体" w:hAnsi="宋体"/>
                <w:kern w:val="0"/>
                <w:szCs w:val="21"/>
              </w:rPr>
              <w:t>4270</w:t>
            </w:r>
          </w:p>
        </w:tc>
        <w:tc>
          <w:tcPr>
            <w:tcW w:w="714" w:type="pct"/>
            <w:vAlign w:val="center"/>
          </w:tcPr>
          <w:p w14:paraId="784E5848">
            <w:pPr>
              <w:pStyle w:val="23"/>
              <w:jc w:val="center"/>
              <w:rPr>
                <w:rFonts w:ascii="宋体" w:hAnsi="宋体"/>
                <w:kern w:val="0"/>
                <w:szCs w:val="21"/>
              </w:rPr>
            </w:pPr>
          </w:p>
        </w:tc>
        <w:tc>
          <w:tcPr>
            <w:tcW w:w="714" w:type="pct"/>
            <w:vAlign w:val="center"/>
          </w:tcPr>
          <w:p w14:paraId="09EA9AD0">
            <w:pPr>
              <w:pStyle w:val="23"/>
              <w:jc w:val="center"/>
              <w:rPr>
                <w:rFonts w:ascii="宋体" w:hAnsi="宋体"/>
                <w:kern w:val="0"/>
                <w:szCs w:val="21"/>
              </w:rPr>
            </w:pPr>
          </w:p>
        </w:tc>
        <w:tc>
          <w:tcPr>
            <w:tcW w:w="715" w:type="pct"/>
            <w:vAlign w:val="center"/>
          </w:tcPr>
          <w:p w14:paraId="38670DFF">
            <w:pPr>
              <w:pStyle w:val="23"/>
              <w:jc w:val="center"/>
              <w:rPr>
                <w:rFonts w:ascii="宋体" w:hAnsi="宋体"/>
                <w:kern w:val="0"/>
                <w:szCs w:val="21"/>
              </w:rPr>
            </w:pPr>
          </w:p>
        </w:tc>
      </w:tr>
    </w:tbl>
    <w:p w14:paraId="5782DAB7">
      <w:pPr>
        <w:ind w:firstLine="0" w:firstLineChars="0"/>
        <w:jc w:val="center"/>
        <w:rPr>
          <w:rFonts w:ascii="宋体" w:hAnsi="宋体"/>
          <w:b/>
          <w:szCs w:val="21"/>
        </w:rPr>
      </w:pPr>
      <w:r>
        <w:rPr>
          <w:rFonts w:hint="eastAsia" w:ascii="宋体" w:hAnsi="宋体"/>
          <w:b/>
          <w:szCs w:val="21"/>
        </w:rPr>
        <w:t>表55 分镇黄烟播种面积和产量</w:t>
      </w:r>
    </w:p>
    <w:tbl>
      <w:tblPr>
        <w:tblStyle w:val="14"/>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81"/>
        <w:gridCol w:w="1413"/>
        <w:gridCol w:w="1413"/>
        <w:gridCol w:w="1413"/>
        <w:gridCol w:w="1414"/>
        <w:gridCol w:w="1414"/>
        <w:gridCol w:w="1414"/>
      </w:tblGrid>
      <w:tr w14:paraId="431A7ED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714" w:type="pct"/>
            <w:shd w:val="clear" w:color="auto" w:fill="auto"/>
            <w:noWrap/>
            <w:vAlign w:val="center"/>
          </w:tcPr>
          <w:p w14:paraId="5AB6D3F3">
            <w:pPr>
              <w:pStyle w:val="23"/>
              <w:jc w:val="center"/>
              <w:rPr>
                <w:rFonts w:ascii="宋体" w:hAnsi="宋体"/>
                <w:b/>
                <w:kern w:val="0"/>
                <w:szCs w:val="21"/>
              </w:rPr>
            </w:pPr>
            <w:r>
              <w:rPr>
                <w:rFonts w:ascii="宋体" w:hAnsi="宋体"/>
                <w:b/>
                <w:kern w:val="0"/>
                <w:szCs w:val="21"/>
              </w:rPr>
              <w:t>单位单位名称</w:t>
            </w:r>
          </w:p>
        </w:tc>
        <w:tc>
          <w:tcPr>
            <w:tcW w:w="714" w:type="pct"/>
            <w:shd w:val="clear" w:color="auto" w:fill="auto"/>
            <w:noWrap/>
            <w:vAlign w:val="center"/>
          </w:tcPr>
          <w:p w14:paraId="523F6EAF">
            <w:pPr>
              <w:pStyle w:val="23"/>
              <w:jc w:val="center"/>
              <w:rPr>
                <w:rFonts w:ascii="宋体" w:hAnsi="宋体"/>
                <w:b/>
                <w:kern w:val="0"/>
                <w:szCs w:val="21"/>
              </w:rPr>
            </w:pPr>
            <w:r>
              <w:rPr>
                <w:rFonts w:ascii="宋体" w:hAnsi="宋体"/>
                <w:b/>
                <w:kern w:val="0"/>
                <w:szCs w:val="21"/>
              </w:rPr>
              <w:t>面积(亩)</w:t>
            </w:r>
          </w:p>
        </w:tc>
        <w:tc>
          <w:tcPr>
            <w:tcW w:w="714" w:type="pct"/>
            <w:shd w:val="clear" w:color="auto" w:fill="auto"/>
            <w:noWrap/>
            <w:vAlign w:val="center"/>
          </w:tcPr>
          <w:p w14:paraId="3BE60D48">
            <w:pPr>
              <w:pStyle w:val="23"/>
              <w:jc w:val="center"/>
              <w:rPr>
                <w:rFonts w:ascii="宋体" w:hAnsi="宋体"/>
                <w:b/>
                <w:kern w:val="0"/>
                <w:szCs w:val="21"/>
              </w:rPr>
            </w:pPr>
            <w:r>
              <w:rPr>
                <w:rFonts w:ascii="宋体" w:hAnsi="宋体"/>
                <w:b/>
                <w:kern w:val="0"/>
                <w:szCs w:val="21"/>
              </w:rPr>
              <w:t>亩产(公斤)</w:t>
            </w:r>
          </w:p>
        </w:tc>
        <w:tc>
          <w:tcPr>
            <w:tcW w:w="714" w:type="pct"/>
            <w:shd w:val="clear" w:color="auto" w:fill="auto"/>
            <w:noWrap/>
            <w:vAlign w:val="center"/>
          </w:tcPr>
          <w:p w14:paraId="64192E47">
            <w:pPr>
              <w:pStyle w:val="23"/>
              <w:jc w:val="center"/>
              <w:rPr>
                <w:rFonts w:ascii="宋体" w:hAnsi="宋体"/>
                <w:b/>
                <w:kern w:val="0"/>
                <w:szCs w:val="21"/>
              </w:rPr>
            </w:pPr>
            <w:r>
              <w:rPr>
                <w:rFonts w:ascii="宋体" w:hAnsi="宋体"/>
                <w:b/>
                <w:kern w:val="0"/>
                <w:szCs w:val="21"/>
              </w:rPr>
              <w:t>总产量(吨)</w:t>
            </w:r>
          </w:p>
        </w:tc>
        <w:tc>
          <w:tcPr>
            <w:tcW w:w="714" w:type="pct"/>
            <w:shd w:val="clear" w:color="auto" w:fill="auto"/>
            <w:noWrap/>
            <w:vAlign w:val="center"/>
          </w:tcPr>
          <w:p w14:paraId="5EFF9A29">
            <w:pPr>
              <w:pStyle w:val="23"/>
              <w:jc w:val="center"/>
              <w:rPr>
                <w:rFonts w:ascii="宋体" w:hAnsi="宋体"/>
                <w:b/>
                <w:kern w:val="0"/>
                <w:szCs w:val="21"/>
              </w:rPr>
            </w:pPr>
            <w:r>
              <w:rPr>
                <w:rFonts w:ascii="宋体" w:hAnsi="宋体"/>
                <w:b/>
                <w:kern w:val="0"/>
                <w:szCs w:val="21"/>
              </w:rPr>
              <w:t>单位名称</w:t>
            </w:r>
          </w:p>
        </w:tc>
        <w:tc>
          <w:tcPr>
            <w:tcW w:w="714" w:type="pct"/>
            <w:shd w:val="clear" w:color="auto" w:fill="auto"/>
            <w:noWrap/>
            <w:vAlign w:val="center"/>
          </w:tcPr>
          <w:p w14:paraId="43A62851">
            <w:pPr>
              <w:pStyle w:val="23"/>
              <w:jc w:val="center"/>
              <w:rPr>
                <w:rFonts w:ascii="宋体" w:hAnsi="宋体"/>
                <w:b/>
                <w:kern w:val="0"/>
                <w:szCs w:val="21"/>
              </w:rPr>
            </w:pPr>
            <w:r>
              <w:rPr>
                <w:rFonts w:ascii="宋体" w:hAnsi="宋体"/>
                <w:b/>
                <w:kern w:val="0"/>
                <w:szCs w:val="21"/>
              </w:rPr>
              <w:t>面积(亩)</w:t>
            </w:r>
          </w:p>
        </w:tc>
        <w:tc>
          <w:tcPr>
            <w:tcW w:w="714" w:type="pct"/>
            <w:shd w:val="clear" w:color="auto" w:fill="auto"/>
            <w:noWrap/>
            <w:vAlign w:val="center"/>
          </w:tcPr>
          <w:p w14:paraId="4BDDF2DB">
            <w:pPr>
              <w:pStyle w:val="23"/>
              <w:jc w:val="center"/>
              <w:rPr>
                <w:rFonts w:ascii="宋体" w:hAnsi="宋体"/>
                <w:b/>
                <w:kern w:val="0"/>
                <w:szCs w:val="21"/>
              </w:rPr>
            </w:pPr>
            <w:r>
              <w:rPr>
                <w:rFonts w:ascii="宋体" w:hAnsi="宋体"/>
                <w:b/>
                <w:kern w:val="0"/>
                <w:szCs w:val="21"/>
              </w:rPr>
              <w:t>亩产(公斤)</w:t>
            </w:r>
          </w:p>
        </w:tc>
      </w:tr>
      <w:tr w14:paraId="794171E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714" w:type="pct"/>
            <w:shd w:val="clear" w:color="auto" w:fill="auto"/>
            <w:noWrap/>
            <w:vAlign w:val="center"/>
          </w:tcPr>
          <w:p w14:paraId="7CFE941F">
            <w:pPr>
              <w:pStyle w:val="23"/>
              <w:jc w:val="center"/>
              <w:rPr>
                <w:rFonts w:ascii="宋体" w:hAnsi="宋体"/>
                <w:kern w:val="0"/>
                <w:szCs w:val="21"/>
              </w:rPr>
            </w:pPr>
            <w:r>
              <w:rPr>
                <w:rFonts w:ascii="宋体" w:hAnsi="宋体"/>
                <w:kern w:val="0"/>
                <w:szCs w:val="21"/>
              </w:rPr>
              <w:t>合计</w:t>
            </w:r>
          </w:p>
        </w:tc>
        <w:tc>
          <w:tcPr>
            <w:tcW w:w="714" w:type="pct"/>
            <w:shd w:val="clear" w:color="auto" w:fill="auto"/>
            <w:noWrap/>
            <w:vAlign w:val="center"/>
          </w:tcPr>
          <w:p w14:paraId="745CCB1F">
            <w:pPr>
              <w:pStyle w:val="23"/>
              <w:jc w:val="center"/>
              <w:rPr>
                <w:rFonts w:ascii="宋体" w:hAnsi="宋体"/>
                <w:kern w:val="0"/>
                <w:szCs w:val="21"/>
              </w:rPr>
            </w:pPr>
            <w:r>
              <w:rPr>
                <w:rFonts w:ascii="宋体" w:hAnsi="宋体"/>
                <w:kern w:val="0"/>
                <w:szCs w:val="21"/>
              </w:rPr>
              <w:t>148186</w:t>
            </w:r>
          </w:p>
        </w:tc>
        <w:tc>
          <w:tcPr>
            <w:tcW w:w="714" w:type="pct"/>
            <w:shd w:val="clear" w:color="auto" w:fill="auto"/>
            <w:noWrap/>
            <w:vAlign w:val="center"/>
          </w:tcPr>
          <w:p w14:paraId="5922A549">
            <w:pPr>
              <w:pStyle w:val="23"/>
              <w:jc w:val="center"/>
              <w:rPr>
                <w:rFonts w:ascii="宋体" w:hAnsi="宋体"/>
                <w:kern w:val="0"/>
                <w:szCs w:val="21"/>
              </w:rPr>
            </w:pPr>
            <w:r>
              <w:rPr>
                <w:rFonts w:ascii="宋体" w:hAnsi="宋体"/>
                <w:kern w:val="0"/>
                <w:szCs w:val="21"/>
              </w:rPr>
              <w:t>162</w:t>
            </w:r>
          </w:p>
        </w:tc>
        <w:tc>
          <w:tcPr>
            <w:tcW w:w="714" w:type="pct"/>
            <w:shd w:val="clear" w:color="auto" w:fill="auto"/>
            <w:noWrap/>
            <w:vAlign w:val="center"/>
          </w:tcPr>
          <w:p w14:paraId="48CE4BA3">
            <w:pPr>
              <w:pStyle w:val="23"/>
              <w:jc w:val="center"/>
              <w:rPr>
                <w:rFonts w:ascii="宋体" w:hAnsi="宋体"/>
                <w:kern w:val="0"/>
                <w:szCs w:val="21"/>
              </w:rPr>
            </w:pPr>
            <w:r>
              <w:rPr>
                <w:rFonts w:ascii="宋体" w:hAnsi="宋体"/>
                <w:kern w:val="0"/>
                <w:szCs w:val="21"/>
              </w:rPr>
              <w:t>24001</w:t>
            </w:r>
          </w:p>
        </w:tc>
        <w:tc>
          <w:tcPr>
            <w:tcW w:w="714" w:type="pct"/>
            <w:shd w:val="clear" w:color="auto" w:fill="auto"/>
            <w:noWrap/>
            <w:vAlign w:val="center"/>
          </w:tcPr>
          <w:p w14:paraId="36C144EF">
            <w:pPr>
              <w:pStyle w:val="23"/>
              <w:jc w:val="center"/>
              <w:rPr>
                <w:rFonts w:ascii="宋体" w:hAnsi="宋体"/>
                <w:kern w:val="0"/>
                <w:szCs w:val="21"/>
              </w:rPr>
            </w:pPr>
            <w:r>
              <w:rPr>
                <w:rFonts w:ascii="宋体" w:hAnsi="宋体"/>
                <w:kern w:val="0"/>
                <w:szCs w:val="21"/>
              </w:rPr>
              <w:t>湖口</w:t>
            </w:r>
          </w:p>
        </w:tc>
        <w:tc>
          <w:tcPr>
            <w:tcW w:w="714" w:type="pct"/>
            <w:shd w:val="clear" w:color="auto" w:fill="auto"/>
            <w:noWrap/>
            <w:vAlign w:val="center"/>
          </w:tcPr>
          <w:p w14:paraId="1FE03C45">
            <w:pPr>
              <w:pStyle w:val="23"/>
              <w:jc w:val="center"/>
              <w:rPr>
                <w:rFonts w:ascii="宋体" w:hAnsi="宋体"/>
                <w:kern w:val="0"/>
                <w:szCs w:val="21"/>
              </w:rPr>
            </w:pPr>
            <w:r>
              <w:rPr>
                <w:rFonts w:ascii="宋体" w:hAnsi="宋体"/>
                <w:kern w:val="0"/>
                <w:szCs w:val="21"/>
              </w:rPr>
              <w:t>17600</w:t>
            </w:r>
          </w:p>
        </w:tc>
        <w:tc>
          <w:tcPr>
            <w:tcW w:w="714" w:type="pct"/>
            <w:shd w:val="clear" w:color="auto" w:fill="auto"/>
            <w:noWrap/>
            <w:vAlign w:val="center"/>
          </w:tcPr>
          <w:p w14:paraId="511A7B95">
            <w:pPr>
              <w:pStyle w:val="23"/>
              <w:jc w:val="center"/>
              <w:rPr>
                <w:rFonts w:ascii="宋体" w:hAnsi="宋体"/>
                <w:kern w:val="0"/>
                <w:szCs w:val="21"/>
              </w:rPr>
            </w:pPr>
            <w:r>
              <w:rPr>
                <w:rFonts w:ascii="宋体" w:hAnsi="宋体"/>
                <w:kern w:val="0"/>
                <w:szCs w:val="21"/>
              </w:rPr>
              <w:t>162</w:t>
            </w:r>
          </w:p>
        </w:tc>
      </w:tr>
      <w:tr w14:paraId="32DA383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714" w:type="pct"/>
            <w:shd w:val="clear" w:color="auto" w:fill="auto"/>
            <w:noWrap/>
            <w:vAlign w:val="center"/>
          </w:tcPr>
          <w:p w14:paraId="2BE7D439">
            <w:pPr>
              <w:pStyle w:val="23"/>
              <w:jc w:val="center"/>
              <w:rPr>
                <w:rFonts w:ascii="宋体" w:hAnsi="宋体"/>
                <w:kern w:val="0"/>
                <w:szCs w:val="21"/>
              </w:rPr>
            </w:pPr>
            <w:r>
              <w:rPr>
                <w:rFonts w:ascii="宋体" w:hAnsi="宋体"/>
                <w:kern w:val="0"/>
                <w:szCs w:val="21"/>
              </w:rPr>
              <w:t>乌迳</w:t>
            </w:r>
          </w:p>
        </w:tc>
        <w:tc>
          <w:tcPr>
            <w:tcW w:w="714" w:type="pct"/>
            <w:shd w:val="clear" w:color="auto" w:fill="auto"/>
            <w:noWrap/>
            <w:vAlign w:val="center"/>
          </w:tcPr>
          <w:p w14:paraId="2D5B9C24">
            <w:pPr>
              <w:pStyle w:val="23"/>
              <w:jc w:val="center"/>
              <w:rPr>
                <w:rFonts w:ascii="宋体" w:hAnsi="宋体"/>
                <w:kern w:val="0"/>
                <w:szCs w:val="21"/>
              </w:rPr>
            </w:pPr>
            <w:r>
              <w:rPr>
                <w:rFonts w:ascii="宋体" w:hAnsi="宋体"/>
                <w:kern w:val="0"/>
                <w:szCs w:val="21"/>
              </w:rPr>
              <w:t>13411</w:t>
            </w:r>
          </w:p>
        </w:tc>
        <w:tc>
          <w:tcPr>
            <w:tcW w:w="714" w:type="pct"/>
            <w:shd w:val="clear" w:color="auto" w:fill="auto"/>
            <w:noWrap/>
            <w:vAlign w:val="center"/>
          </w:tcPr>
          <w:p w14:paraId="3F2C8D2A">
            <w:pPr>
              <w:pStyle w:val="23"/>
              <w:jc w:val="center"/>
              <w:rPr>
                <w:rFonts w:ascii="宋体" w:hAnsi="宋体"/>
                <w:kern w:val="0"/>
                <w:szCs w:val="21"/>
              </w:rPr>
            </w:pPr>
            <w:r>
              <w:rPr>
                <w:rFonts w:ascii="宋体" w:hAnsi="宋体"/>
                <w:kern w:val="0"/>
                <w:szCs w:val="21"/>
              </w:rPr>
              <w:t>160</w:t>
            </w:r>
          </w:p>
        </w:tc>
        <w:tc>
          <w:tcPr>
            <w:tcW w:w="714" w:type="pct"/>
            <w:shd w:val="clear" w:color="auto" w:fill="auto"/>
            <w:noWrap/>
            <w:vAlign w:val="center"/>
          </w:tcPr>
          <w:p w14:paraId="399152E6">
            <w:pPr>
              <w:pStyle w:val="23"/>
              <w:jc w:val="center"/>
              <w:rPr>
                <w:rFonts w:ascii="宋体" w:hAnsi="宋体"/>
                <w:kern w:val="0"/>
                <w:szCs w:val="21"/>
              </w:rPr>
            </w:pPr>
            <w:r>
              <w:rPr>
                <w:rFonts w:ascii="宋体" w:hAnsi="宋体"/>
                <w:kern w:val="0"/>
                <w:szCs w:val="21"/>
              </w:rPr>
              <w:t>2144</w:t>
            </w:r>
          </w:p>
        </w:tc>
        <w:tc>
          <w:tcPr>
            <w:tcW w:w="714" w:type="pct"/>
            <w:shd w:val="clear" w:color="auto" w:fill="auto"/>
            <w:noWrap/>
            <w:vAlign w:val="center"/>
          </w:tcPr>
          <w:p w14:paraId="43191DB8">
            <w:pPr>
              <w:pStyle w:val="23"/>
              <w:jc w:val="center"/>
              <w:rPr>
                <w:rFonts w:ascii="宋体" w:hAnsi="宋体"/>
                <w:kern w:val="0"/>
                <w:szCs w:val="21"/>
              </w:rPr>
            </w:pPr>
            <w:r>
              <w:rPr>
                <w:rFonts w:ascii="宋体" w:hAnsi="宋体"/>
                <w:kern w:val="0"/>
                <w:szCs w:val="21"/>
              </w:rPr>
              <w:t>珠玑</w:t>
            </w:r>
          </w:p>
        </w:tc>
        <w:tc>
          <w:tcPr>
            <w:tcW w:w="714" w:type="pct"/>
            <w:shd w:val="clear" w:color="auto" w:fill="auto"/>
            <w:noWrap/>
            <w:vAlign w:val="center"/>
          </w:tcPr>
          <w:p w14:paraId="5E5286BD">
            <w:pPr>
              <w:pStyle w:val="23"/>
              <w:jc w:val="center"/>
              <w:rPr>
                <w:rFonts w:ascii="宋体" w:hAnsi="宋体"/>
                <w:kern w:val="0"/>
                <w:szCs w:val="21"/>
              </w:rPr>
            </w:pPr>
            <w:r>
              <w:rPr>
                <w:rFonts w:ascii="宋体" w:hAnsi="宋体"/>
                <w:kern w:val="0"/>
                <w:szCs w:val="21"/>
              </w:rPr>
              <w:t>13910</w:t>
            </w:r>
          </w:p>
        </w:tc>
        <w:tc>
          <w:tcPr>
            <w:tcW w:w="714" w:type="pct"/>
            <w:shd w:val="clear" w:color="auto" w:fill="auto"/>
            <w:noWrap/>
            <w:vAlign w:val="center"/>
          </w:tcPr>
          <w:p w14:paraId="55766DBB">
            <w:pPr>
              <w:pStyle w:val="23"/>
              <w:jc w:val="center"/>
              <w:rPr>
                <w:rFonts w:ascii="宋体" w:hAnsi="宋体"/>
                <w:kern w:val="0"/>
                <w:szCs w:val="21"/>
              </w:rPr>
            </w:pPr>
            <w:r>
              <w:rPr>
                <w:rFonts w:ascii="宋体" w:hAnsi="宋体"/>
                <w:kern w:val="0"/>
                <w:szCs w:val="21"/>
              </w:rPr>
              <w:t>165</w:t>
            </w:r>
          </w:p>
        </w:tc>
      </w:tr>
      <w:tr w14:paraId="01DC58E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714" w:type="pct"/>
            <w:shd w:val="clear" w:color="auto" w:fill="auto"/>
            <w:noWrap/>
            <w:vAlign w:val="center"/>
          </w:tcPr>
          <w:p w14:paraId="1759D0E8">
            <w:pPr>
              <w:pStyle w:val="23"/>
              <w:jc w:val="center"/>
              <w:rPr>
                <w:rFonts w:ascii="宋体" w:hAnsi="宋体"/>
                <w:kern w:val="0"/>
                <w:szCs w:val="21"/>
              </w:rPr>
            </w:pPr>
            <w:r>
              <w:rPr>
                <w:rFonts w:ascii="宋体" w:hAnsi="宋体"/>
                <w:kern w:val="0"/>
                <w:szCs w:val="21"/>
              </w:rPr>
              <w:t>界址</w:t>
            </w:r>
          </w:p>
        </w:tc>
        <w:tc>
          <w:tcPr>
            <w:tcW w:w="714" w:type="pct"/>
            <w:shd w:val="clear" w:color="auto" w:fill="auto"/>
            <w:noWrap/>
            <w:vAlign w:val="center"/>
          </w:tcPr>
          <w:p w14:paraId="4444A4CF">
            <w:pPr>
              <w:pStyle w:val="23"/>
              <w:jc w:val="center"/>
              <w:rPr>
                <w:rFonts w:ascii="宋体" w:hAnsi="宋体"/>
                <w:kern w:val="0"/>
                <w:szCs w:val="21"/>
              </w:rPr>
            </w:pPr>
            <w:r>
              <w:rPr>
                <w:rFonts w:ascii="宋体" w:hAnsi="宋体"/>
                <w:kern w:val="0"/>
                <w:szCs w:val="21"/>
              </w:rPr>
              <w:t>74</w:t>
            </w:r>
          </w:p>
        </w:tc>
        <w:tc>
          <w:tcPr>
            <w:tcW w:w="714" w:type="pct"/>
            <w:shd w:val="clear" w:color="auto" w:fill="auto"/>
            <w:noWrap/>
            <w:vAlign w:val="center"/>
          </w:tcPr>
          <w:p w14:paraId="79FF4D40">
            <w:pPr>
              <w:pStyle w:val="23"/>
              <w:jc w:val="center"/>
              <w:rPr>
                <w:rFonts w:ascii="宋体" w:hAnsi="宋体"/>
                <w:kern w:val="0"/>
                <w:szCs w:val="21"/>
              </w:rPr>
            </w:pPr>
            <w:r>
              <w:rPr>
                <w:rFonts w:ascii="宋体" w:hAnsi="宋体"/>
                <w:kern w:val="0"/>
                <w:szCs w:val="21"/>
              </w:rPr>
              <w:t>159</w:t>
            </w:r>
          </w:p>
        </w:tc>
        <w:tc>
          <w:tcPr>
            <w:tcW w:w="714" w:type="pct"/>
            <w:shd w:val="clear" w:color="auto" w:fill="auto"/>
            <w:noWrap/>
            <w:vAlign w:val="center"/>
          </w:tcPr>
          <w:p w14:paraId="4DC88603">
            <w:pPr>
              <w:pStyle w:val="23"/>
              <w:jc w:val="center"/>
              <w:rPr>
                <w:rFonts w:ascii="宋体" w:hAnsi="宋体"/>
                <w:kern w:val="0"/>
                <w:szCs w:val="21"/>
              </w:rPr>
            </w:pPr>
            <w:r>
              <w:rPr>
                <w:rFonts w:ascii="宋体" w:hAnsi="宋体"/>
                <w:kern w:val="0"/>
                <w:szCs w:val="21"/>
              </w:rPr>
              <w:t>12</w:t>
            </w:r>
          </w:p>
        </w:tc>
        <w:tc>
          <w:tcPr>
            <w:tcW w:w="714" w:type="pct"/>
            <w:shd w:val="clear" w:color="auto" w:fill="auto"/>
            <w:noWrap/>
            <w:vAlign w:val="center"/>
          </w:tcPr>
          <w:p w14:paraId="4CA8C8D3">
            <w:pPr>
              <w:pStyle w:val="23"/>
              <w:jc w:val="center"/>
              <w:rPr>
                <w:rFonts w:ascii="宋体" w:hAnsi="宋体"/>
                <w:kern w:val="0"/>
                <w:szCs w:val="21"/>
              </w:rPr>
            </w:pPr>
            <w:r>
              <w:rPr>
                <w:rFonts w:ascii="宋体" w:hAnsi="宋体"/>
                <w:kern w:val="0"/>
                <w:szCs w:val="21"/>
              </w:rPr>
              <w:t>主田</w:t>
            </w:r>
          </w:p>
        </w:tc>
        <w:tc>
          <w:tcPr>
            <w:tcW w:w="714" w:type="pct"/>
            <w:shd w:val="clear" w:color="auto" w:fill="auto"/>
            <w:noWrap/>
            <w:vAlign w:val="center"/>
          </w:tcPr>
          <w:p w14:paraId="3F7E05A7">
            <w:pPr>
              <w:pStyle w:val="23"/>
              <w:jc w:val="center"/>
              <w:rPr>
                <w:rFonts w:ascii="宋体" w:hAnsi="宋体"/>
                <w:kern w:val="0"/>
                <w:szCs w:val="21"/>
              </w:rPr>
            </w:pPr>
            <w:r>
              <w:rPr>
                <w:rFonts w:ascii="宋体" w:hAnsi="宋体"/>
                <w:kern w:val="0"/>
                <w:szCs w:val="21"/>
              </w:rPr>
              <w:t>10600</w:t>
            </w:r>
          </w:p>
        </w:tc>
        <w:tc>
          <w:tcPr>
            <w:tcW w:w="714" w:type="pct"/>
            <w:shd w:val="clear" w:color="auto" w:fill="auto"/>
            <w:noWrap/>
            <w:vAlign w:val="center"/>
          </w:tcPr>
          <w:p w14:paraId="1768D333">
            <w:pPr>
              <w:pStyle w:val="23"/>
              <w:jc w:val="center"/>
              <w:rPr>
                <w:rFonts w:ascii="宋体" w:hAnsi="宋体"/>
                <w:kern w:val="0"/>
                <w:szCs w:val="21"/>
              </w:rPr>
            </w:pPr>
            <w:r>
              <w:rPr>
                <w:rFonts w:ascii="宋体" w:hAnsi="宋体"/>
                <w:kern w:val="0"/>
                <w:szCs w:val="21"/>
              </w:rPr>
              <w:t>161</w:t>
            </w:r>
          </w:p>
        </w:tc>
      </w:tr>
      <w:tr w14:paraId="7A1F1D9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714" w:type="pct"/>
            <w:shd w:val="clear" w:color="auto" w:fill="auto"/>
            <w:noWrap/>
            <w:vAlign w:val="center"/>
          </w:tcPr>
          <w:p w14:paraId="7BFF8EBA">
            <w:pPr>
              <w:pStyle w:val="23"/>
              <w:jc w:val="center"/>
              <w:rPr>
                <w:rFonts w:ascii="宋体" w:hAnsi="宋体"/>
                <w:kern w:val="0"/>
                <w:szCs w:val="21"/>
              </w:rPr>
            </w:pPr>
            <w:r>
              <w:rPr>
                <w:rFonts w:ascii="宋体" w:hAnsi="宋体"/>
                <w:kern w:val="0"/>
                <w:szCs w:val="21"/>
              </w:rPr>
              <w:t>坪田</w:t>
            </w:r>
          </w:p>
        </w:tc>
        <w:tc>
          <w:tcPr>
            <w:tcW w:w="714" w:type="pct"/>
            <w:shd w:val="clear" w:color="auto" w:fill="auto"/>
            <w:noWrap/>
            <w:vAlign w:val="center"/>
          </w:tcPr>
          <w:p w14:paraId="08B04C07">
            <w:pPr>
              <w:pStyle w:val="23"/>
              <w:jc w:val="center"/>
              <w:rPr>
                <w:rFonts w:ascii="宋体" w:hAnsi="宋体"/>
                <w:kern w:val="0"/>
                <w:szCs w:val="21"/>
              </w:rPr>
            </w:pPr>
            <w:r>
              <w:rPr>
                <w:rFonts w:ascii="宋体" w:hAnsi="宋体"/>
                <w:kern w:val="0"/>
                <w:szCs w:val="21"/>
              </w:rPr>
              <w:t>6641</w:t>
            </w:r>
          </w:p>
        </w:tc>
        <w:tc>
          <w:tcPr>
            <w:tcW w:w="714" w:type="pct"/>
            <w:shd w:val="clear" w:color="auto" w:fill="auto"/>
            <w:noWrap/>
            <w:vAlign w:val="center"/>
          </w:tcPr>
          <w:p w14:paraId="00B491D9">
            <w:pPr>
              <w:pStyle w:val="23"/>
              <w:jc w:val="center"/>
              <w:rPr>
                <w:rFonts w:ascii="宋体" w:hAnsi="宋体"/>
                <w:kern w:val="0"/>
                <w:szCs w:val="21"/>
              </w:rPr>
            </w:pPr>
            <w:r>
              <w:rPr>
                <w:rFonts w:ascii="宋体" w:hAnsi="宋体"/>
                <w:kern w:val="0"/>
                <w:szCs w:val="21"/>
              </w:rPr>
              <w:t>161</w:t>
            </w:r>
          </w:p>
        </w:tc>
        <w:tc>
          <w:tcPr>
            <w:tcW w:w="714" w:type="pct"/>
            <w:shd w:val="clear" w:color="auto" w:fill="auto"/>
            <w:noWrap/>
            <w:vAlign w:val="center"/>
          </w:tcPr>
          <w:p w14:paraId="399D395B">
            <w:pPr>
              <w:pStyle w:val="23"/>
              <w:jc w:val="center"/>
              <w:rPr>
                <w:rFonts w:ascii="宋体" w:hAnsi="宋体"/>
                <w:kern w:val="0"/>
                <w:szCs w:val="21"/>
              </w:rPr>
            </w:pPr>
            <w:r>
              <w:rPr>
                <w:rFonts w:ascii="宋体" w:hAnsi="宋体"/>
                <w:kern w:val="0"/>
                <w:szCs w:val="21"/>
              </w:rPr>
              <w:t>1069</w:t>
            </w:r>
          </w:p>
        </w:tc>
        <w:tc>
          <w:tcPr>
            <w:tcW w:w="714" w:type="pct"/>
            <w:shd w:val="clear" w:color="auto" w:fill="auto"/>
            <w:noWrap/>
            <w:vAlign w:val="center"/>
          </w:tcPr>
          <w:p w14:paraId="7CE92D12">
            <w:pPr>
              <w:pStyle w:val="23"/>
              <w:jc w:val="center"/>
              <w:rPr>
                <w:rFonts w:ascii="宋体" w:hAnsi="宋体"/>
                <w:kern w:val="0"/>
                <w:szCs w:val="21"/>
              </w:rPr>
            </w:pPr>
            <w:r>
              <w:rPr>
                <w:rFonts w:ascii="宋体" w:hAnsi="宋体"/>
                <w:kern w:val="0"/>
                <w:szCs w:val="21"/>
              </w:rPr>
              <w:t>古市</w:t>
            </w:r>
          </w:p>
        </w:tc>
        <w:tc>
          <w:tcPr>
            <w:tcW w:w="714" w:type="pct"/>
            <w:shd w:val="clear" w:color="auto" w:fill="auto"/>
            <w:noWrap/>
            <w:vAlign w:val="center"/>
          </w:tcPr>
          <w:p w14:paraId="31A68864">
            <w:pPr>
              <w:pStyle w:val="23"/>
              <w:jc w:val="center"/>
              <w:rPr>
                <w:rFonts w:ascii="宋体" w:hAnsi="宋体"/>
                <w:kern w:val="0"/>
                <w:szCs w:val="21"/>
              </w:rPr>
            </w:pPr>
            <w:r>
              <w:rPr>
                <w:rFonts w:ascii="宋体" w:hAnsi="宋体"/>
                <w:kern w:val="0"/>
                <w:szCs w:val="21"/>
              </w:rPr>
              <w:t>17304</w:t>
            </w:r>
          </w:p>
        </w:tc>
        <w:tc>
          <w:tcPr>
            <w:tcW w:w="714" w:type="pct"/>
            <w:shd w:val="clear" w:color="auto" w:fill="auto"/>
            <w:noWrap/>
            <w:vAlign w:val="center"/>
          </w:tcPr>
          <w:p w14:paraId="13BF188A">
            <w:pPr>
              <w:pStyle w:val="23"/>
              <w:jc w:val="center"/>
              <w:rPr>
                <w:rFonts w:ascii="宋体" w:hAnsi="宋体"/>
                <w:kern w:val="0"/>
                <w:szCs w:val="21"/>
              </w:rPr>
            </w:pPr>
            <w:r>
              <w:rPr>
                <w:rFonts w:ascii="宋体" w:hAnsi="宋体"/>
                <w:kern w:val="0"/>
                <w:szCs w:val="21"/>
              </w:rPr>
              <w:t>163</w:t>
            </w:r>
          </w:p>
        </w:tc>
      </w:tr>
      <w:tr w14:paraId="068A549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714" w:type="pct"/>
            <w:shd w:val="clear" w:color="auto" w:fill="auto"/>
            <w:noWrap/>
            <w:vAlign w:val="center"/>
          </w:tcPr>
          <w:p w14:paraId="0006CF6E">
            <w:pPr>
              <w:pStyle w:val="23"/>
              <w:jc w:val="center"/>
              <w:rPr>
                <w:rFonts w:ascii="宋体" w:hAnsi="宋体"/>
                <w:kern w:val="0"/>
                <w:szCs w:val="21"/>
              </w:rPr>
            </w:pPr>
            <w:r>
              <w:rPr>
                <w:rFonts w:ascii="宋体" w:hAnsi="宋体"/>
                <w:kern w:val="0"/>
                <w:szCs w:val="21"/>
              </w:rPr>
              <w:t>黄坑</w:t>
            </w:r>
          </w:p>
        </w:tc>
        <w:tc>
          <w:tcPr>
            <w:tcW w:w="714" w:type="pct"/>
            <w:shd w:val="clear" w:color="auto" w:fill="auto"/>
            <w:noWrap/>
            <w:vAlign w:val="center"/>
          </w:tcPr>
          <w:p w14:paraId="4AE2752C">
            <w:pPr>
              <w:pStyle w:val="23"/>
              <w:jc w:val="center"/>
              <w:rPr>
                <w:rFonts w:ascii="宋体" w:hAnsi="宋体"/>
                <w:kern w:val="0"/>
                <w:szCs w:val="21"/>
              </w:rPr>
            </w:pPr>
            <w:r>
              <w:rPr>
                <w:rFonts w:ascii="宋体" w:hAnsi="宋体"/>
                <w:kern w:val="0"/>
                <w:szCs w:val="21"/>
              </w:rPr>
              <w:t>16258</w:t>
            </w:r>
          </w:p>
        </w:tc>
        <w:tc>
          <w:tcPr>
            <w:tcW w:w="714" w:type="pct"/>
            <w:shd w:val="clear" w:color="auto" w:fill="auto"/>
            <w:noWrap/>
            <w:vAlign w:val="center"/>
          </w:tcPr>
          <w:p w14:paraId="015504E2">
            <w:pPr>
              <w:pStyle w:val="23"/>
              <w:jc w:val="center"/>
              <w:rPr>
                <w:rFonts w:ascii="宋体" w:hAnsi="宋体"/>
                <w:kern w:val="0"/>
                <w:szCs w:val="21"/>
              </w:rPr>
            </w:pPr>
            <w:r>
              <w:rPr>
                <w:rFonts w:ascii="宋体" w:hAnsi="宋体"/>
                <w:kern w:val="0"/>
                <w:szCs w:val="21"/>
              </w:rPr>
              <w:t>165</w:t>
            </w:r>
          </w:p>
        </w:tc>
        <w:tc>
          <w:tcPr>
            <w:tcW w:w="714" w:type="pct"/>
            <w:shd w:val="clear" w:color="auto" w:fill="auto"/>
            <w:noWrap/>
            <w:vAlign w:val="center"/>
          </w:tcPr>
          <w:p w14:paraId="1338A025">
            <w:pPr>
              <w:pStyle w:val="23"/>
              <w:jc w:val="center"/>
              <w:rPr>
                <w:rFonts w:ascii="宋体" w:hAnsi="宋体"/>
                <w:kern w:val="0"/>
                <w:szCs w:val="21"/>
              </w:rPr>
            </w:pPr>
            <w:r>
              <w:rPr>
                <w:rFonts w:ascii="宋体" w:hAnsi="宋体"/>
                <w:kern w:val="0"/>
                <w:szCs w:val="21"/>
              </w:rPr>
              <w:t>2687</w:t>
            </w:r>
          </w:p>
        </w:tc>
        <w:tc>
          <w:tcPr>
            <w:tcW w:w="714" w:type="pct"/>
            <w:shd w:val="clear" w:color="auto" w:fill="auto"/>
            <w:noWrap/>
            <w:vAlign w:val="center"/>
          </w:tcPr>
          <w:p w14:paraId="09FD8E88">
            <w:pPr>
              <w:pStyle w:val="23"/>
              <w:jc w:val="center"/>
              <w:rPr>
                <w:rFonts w:ascii="宋体" w:hAnsi="宋体"/>
                <w:kern w:val="0"/>
                <w:szCs w:val="21"/>
              </w:rPr>
            </w:pPr>
            <w:r>
              <w:rPr>
                <w:rFonts w:ascii="宋体" w:hAnsi="宋体"/>
                <w:kern w:val="0"/>
                <w:szCs w:val="21"/>
              </w:rPr>
              <w:t>全安</w:t>
            </w:r>
          </w:p>
        </w:tc>
        <w:tc>
          <w:tcPr>
            <w:tcW w:w="714" w:type="pct"/>
            <w:shd w:val="clear" w:color="auto" w:fill="auto"/>
            <w:noWrap/>
            <w:vAlign w:val="center"/>
          </w:tcPr>
          <w:p w14:paraId="377467E7">
            <w:pPr>
              <w:pStyle w:val="23"/>
              <w:jc w:val="center"/>
              <w:rPr>
                <w:rFonts w:ascii="宋体" w:hAnsi="宋体"/>
                <w:kern w:val="0"/>
                <w:szCs w:val="21"/>
              </w:rPr>
            </w:pPr>
            <w:r>
              <w:rPr>
                <w:rFonts w:ascii="宋体" w:hAnsi="宋体"/>
                <w:kern w:val="0"/>
                <w:szCs w:val="21"/>
              </w:rPr>
              <w:t>5912</w:t>
            </w:r>
          </w:p>
        </w:tc>
        <w:tc>
          <w:tcPr>
            <w:tcW w:w="714" w:type="pct"/>
            <w:shd w:val="clear" w:color="auto" w:fill="auto"/>
            <w:noWrap/>
            <w:vAlign w:val="center"/>
          </w:tcPr>
          <w:p w14:paraId="21A81D7A">
            <w:pPr>
              <w:pStyle w:val="23"/>
              <w:jc w:val="center"/>
              <w:rPr>
                <w:rFonts w:ascii="宋体" w:hAnsi="宋体"/>
                <w:kern w:val="0"/>
                <w:szCs w:val="21"/>
              </w:rPr>
            </w:pPr>
            <w:r>
              <w:rPr>
                <w:rFonts w:ascii="宋体" w:hAnsi="宋体"/>
                <w:kern w:val="0"/>
                <w:szCs w:val="21"/>
              </w:rPr>
              <w:t>162</w:t>
            </w:r>
          </w:p>
        </w:tc>
      </w:tr>
      <w:tr w14:paraId="189B68E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714" w:type="pct"/>
            <w:shd w:val="clear" w:color="auto" w:fill="auto"/>
            <w:noWrap/>
            <w:vAlign w:val="center"/>
          </w:tcPr>
          <w:p w14:paraId="2B5E201B">
            <w:pPr>
              <w:pStyle w:val="23"/>
              <w:jc w:val="center"/>
              <w:rPr>
                <w:rFonts w:ascii="宋体" w:hAnsi="宋体"/>
                <w:kern w:val="0"/>
                <w:szCs w:val="21"/>
              </w:rPr>
            </w:pPr>
            <w:r>
              <w:rPr>
                <w:rFonts w:ascii="宋体" w:hAnsi="宋体"/>
                <w:kern w:val="0"/>
                <w:szCs w:val="21"/>
              </w:rPr>
              <w:t>邓坊</w:t>
            </w:r>
          </w:p>
        </w:tc>
        <w:tc>
          <w:tcPr>
            <w:tcW w:w="714" w:type="pct"/>
            <w:shd w:val="clear" w:color="auto" w:fill="auto"/>
            <w:noWrap/>
            <w:vAlign w:val="center"/>
          </w:tcPr>
          <w:p w14:paraId="2DB3BDC7">
            <w:pPr>
              <w:pStyle w:val="23"/>
              <w:jc w:val="center"/>
              <w:rPr>
                <w:rFonts w:ascii="宋体" w:hAnsi="宋体"/>
                <w:kern w:val="0"/>
                <w:szCs w:val="21"/>
              </w:rPr>
            </w:pPr>
            <w:r>
              <w:rPr>
                <w:rFonts w:ascii="宋体" w:hAnsi="宋体"/>
                <w:kern w:val="0"/>
                <w:szCs w:val="21"/>
              </w:rPr>
              <w:t>6882</w:t>
            </w:r>
          </w:p>
        </w:tc>
        <w:tc>
          <w:tcPr>
            <w:tcW w:w="714" w:type="pct"/>
            <w:shd w:val="clear" w:color="auto" w:fill="auto"/>
            <w:noWrap/>
            <w:vAlign w:val="center"/>
          </w:tcPr>
          <w:p w14:paraId="3D4EEEBB">
            <w:pPr>
              <w:pStyle w:val="23"/>
              <w:jc w:val="center"/>
              <w:rPr>
                <w:rFonts w:ascii="宋体" w:hAnsi="宋体"/>
                <w:kern w:val="0"/>
                <w:szCs w:val="21"/>
              </w:rPr>
            </w:pPr>
            <w:r>
              <w:rPr>
                <w:rFonts w:ascii="宋体" w:hAnsi="宋体"/>
                <w:kern w:val="0"/>
                <w:szCs w:val="21"/>
              </w:rPr>
              <w:t>160</w:t>
            </w:r>
          </w:p>
        </w:tc>
        <w:tc>
          <w:tcPr>
            <w:tcW w:w="714" w:type="pct"/>
            <w:shd w:val="clear" w:color="auto" w:fill="auto"/>
            <w:noWrap/>
            <w:vAlign w:val="center"/>
          </w:tcPr>
          <w:p w14:paraId="6CD207A9">
            <w:pPr>
              <w:pStyle w:val="23"/>
              <w:jc w:val="center"/>
              <w:rPr>
                <w:rFonts w:ascii="宋体" w:hAnsi="宋体"/>
                <w:kern w:val="0"/>
                <w:szCs w:val="21"/>
              </w:rPr>
            </w:pPr>
            <w:r>
              <w:rPr>
                <w:rFonts w:ascii="宋体" w:hAnsi="宋体"/>
                <w:kern w:val="0"/>
                <w:szCs w:val="21"/>
              </w:rPr>
              <w:t>1104</w:t>
            </w:r>
          </w:p>
        </w:tc>
        <w:tc>
          <w:tcPr>
            <w:tcW w:w="714" w:type="pct"/>
            <w:shd w:val="clear" w:color="auto" w:fill="auto"/>
            <w:noWrap/>
            <w:vAlign w:val="center"/>
          </w:tcPr>
          <w:p w14:paraId="25A4ACD4">
            <w:pPr>
              <w:pStyle w:val="23"/>
              <w:jc w:val="center"/>
              <w:rPr>
                <w:rFonts w:ascii="宋体" w:hAnsi="宋体"/>
                <w:kern w:val="0"/>
                <w:szCs w:val="21"/>
              </w:rPr>
            </w:pPr>
            <w:r>
              <w:rPr>
                <w:rFonts w:ascii="宋体" w:hAnsi="宋体"/>
                <w:kern w:val="0"/>
                <w:szCs w:val="21"/>
              </w:rPr>
              <w:t>百顺</w:t>
            </w:r>
          </w:p>
        </w:tc>
        <w:tc>
          <w:tcPr>
            <w:tcW w:w="714" w:type="pct"/>
            <w:shd w:val="clear" w:color="auto" w:fill="auto"/>
            <w:noWrap/>
            <w:vAlign w:val="center"/>
          </w:tcPr>
          <w:p w14:paraId="21BF6F89">
            <w:pPr>
              <w:pStyle w:val="23"/>
              <w:jc w:val="center"/>
              <w:rPr>
                <w:rFonts w:ascii="宋体" w:hAnsi="宋体"/>
                <w:kern w:val="0"/>
                <w:szCs w:val="21"/>
              </w:rPr>
            </w:pPr>
          </w:p>
        </w:tc>
        <w:tc>
          <w:tcPr>
            <w:tcW w:w="714" w:type="pct"/>
            <w:shd w:val="clear" w:color="auto" w:fill="auto"/>
            <w:noWrap/>
            <w:vAlign w:val="center"/>
          </w:tcPr>
          <w:p w14:paraId="14F490FC">
            <w:pPr>
              <w:pStyle w:val="23"/>
              <w:jc w:val="center"/>
              <w:rPr>
                <w:rFonts w:ascii="宋体" w:hAnsi="宋体"/>
                <w:kern w:val="0"/>
                <w:szCs w:val="21"/>
              </w:rPr>
            </w:pPr>
          </w:p>
        </w:tc>
      </w:tr>
      <w:tr w14:paraId="4DB220B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714" w:type="pct"/>
            <w:shd w:val="clear" w:color="auto" w:fill="auto"/>
            <w:noWrap/>
            <w:vAlign w:val="center"/>
          </w:tcPr>
          <w:p w14:paraId="54E8B100">
            <w:pPr>
              <w:pStyle w:val="23"/>
              <w:jc w:val="center"/>
              <w:rPr>
                <w:rFonts w:ascii="宋体" w:hAnsi="宋体"/>
                <w:kern w:val="0"/>
                <w:szCs w:val="21"/>
              </w:rPr>
            </w:pPr>
            <w:r>
              <w:rPr>
                <w:rFonts w:ascii="宋体" w:hAnsi="宋体"/>
                <w:kern w:val="0"/>
                <w:szCs w:val="21"/>
              </w:rPr>
              <w:t>油山</w:t>
            </w:r>
          </w:p>
        </w:tc>
        <w:tc>
          <w:tcPr>
            <w:tcW w:w="714" w:type="pct"/>
            <w:shd w:val="clear" w:color="auto" w:fill="auto"/>
            <w:noWrap/>
            <w:vAlign w:val="center"/>
          </w:tcPr>
          <w:p w14:paraId="241A2F70">
            <w:pPr>
              <w:pStyle w:val="23"/>
              <w:jc w:val="center"/>
              <w:rPr>
                <w:rFonts w:ascii="宋体" w:hAnsi="宋体"/>
                <w:kern w:val="0"/>
                <w:szCs w:val="21"/>
              </w:rPr>
            </w:pPr>
            <w:r>
              <w:rPr>
                <w:rFonts w:ascii="宋体" w:hAnsi="宋体"/>
                <w:kern w:val="0"/>
                <w:szCs w:val="21"/>
              </w:rPr>
              <w:t>11662</w:t>
            </w:r>
          </w:p>
        </w:tc>
        <w:tc>
          <w:tcPr>
            <w:tcW w:w="714" w:type="pct"/>
            <w:shd w:val="clear" w:color="auto" w:fill="auto"/>
            <w:noWrap/>
            <w:vAlign w:val="center"/>
          </w:tcPr>
          <w:p w14:paraId="34544246">
            <w:pPr>
              <w:pStyle w:val="23"/>
              <w:jc w:val="center"/>
              <w:rPr>
                <w:rFonts w:ascii="宋体" w:hAnsi="宋体"/>
                <w:kern w:val="0"/>
                <w:szCs w:val="21"/>
              </w:rPr>
            </w:pPr>
            <w:r>
              <w:rPr>
                <w:rFonts w:ascii="宋体" w:hAnsi="宋体"/>
                <w:kern w:val="0"/>
                <w:szCs w:val="21"/>
              </w:rPr>
              <w:t>160</w:t>
            </w:r>
          </w:p>
        </w:tc>
        <w:tc>
          <w:tcPr>
            <w:tcW w:w="714" w:type="pct"/>
            <w:shd w:val="clear" w:color="auto" w:fill="auto"/>
            <w:noWrap/>
            <w:vAlign w:val="center"/>
          </w:tcPr>
          <w:p w14:paraId="04E53728">
            <w:pPr>
              <w:pStyle w:val="23"/>
              <w:jc w:val="center"/>
              <w:rPr>
                <w:rFonts w:ascii="宋体" w:hAnsi="宋体"/>
                <w:kern w:val="0"/>
                <w:szCs w:val="21"/>
              </w:rPr>
            </w:pPr>
            <w:r>
              <w:rPr>
                <w:rFonts w:ascii="宋体" w:hAnsi="宋体"/>
                <w:kern w:val="0"/>
                <w:szCs w:val="21"/>
              </w:rPr>
              <w:t>1865</w:t>
            </w:r>
          </w:p>
        </w:tc>
        <w:tc>
          <w:tcPr>
            <w:tcW w:w="714" w:type="pct"/>
            <w:shd w:val="clear" w:color="auto" w:fill="auto"/>
            <w:noWrap/>
            <w:vAlign w:val="center"/>
          </w:tcPr>
          <w:p w14:paraId="3CBCBB43">
            <w:pPr>
              <w:pStyle w:val="23"/>
              <w:jc w:val="center"/>
              <w:rPr>
                <w:rFonts w:ascii="宋体" w:hAnsi="宋体"/>
                <w:kern w:val="0"/>
                <w:szCs w:val="21"/>
              </w:rPr>
            </w:pPr>
            <w:r>
              <w:rPr>
                <w:rFonts w:ascii="宋体" w:hAnsi="宋体"/>
                <w:kern w:val="0"/>
                <w:szCs w:val="21"/>
              </w:rPr>
              <w:t>澜河</w:t>
            </w:r>
          </w:p>
        </w:tc>
        <w:tc>
          <w:tcPr>
            <w:tcW w:w="714" w:type="pct"/>
            <w:shd w:val="clear" w:color="auto" w:fill="auto"/>
            <w:noWrap/>
            <w:vAlign w:val="center"/>
          </w:tcPr>
          <w:p w14:paraId="6B9B03FB">
            <w:pPr>
              <w:pStyle w:val="23"/>
              <w:jc w:val="center"/>
              <w:rPr>
                <w:rFonts w:ascii="宋体" w:hAnsi="宋体"/>
                <w:kern w:val="0"/>
                <w:szCs w:val="21"/>
              </w:rPr>
            </w:pPr>
          </w:p>
        </w:tc>
        <w:tc>
          <w:tcPr>
            <w:tcW w:w="714" w:type="pct"/>
            <w:shd w:val="clear" w:color="auto" w:fill="auto"/>
            <w:noWrap/>
            <w:vAlign w:val="center"/>
          </w:tcPr>
          <w:p w14:paraId="2053BB37">
            <w:pPr>
              <w:pStyle w:val="23"/>
              <w:jc w:val="center"/>
              <w:rPr>
                <w:rFonts w:ascii="宋体" w:hAnsi="宋体"/>
                <w:kern w:val="0"/>
                <w:szCs w:val="21"/>
              </w:rPr>
            </w:pPr>
          </w:p>
        </w:tc>
      </w:tr>
      <w:tr w14:paraId="4C0E6B0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714" w:type="pct"/>
            <w:shd w:val="clear" w:color="auto" w:fill="auto"/>
            <w:noWrap/>
            <w:vAlign w:val="center"/>
          </w:tcPr>
          <w:p w14:paraId="229F6D74">
            <w:pPr>
              <w:pStyle w:val="23"/>
              <w:jc w:val="center"/>
              <w:rPr>
                <w:rFonts w:ascii="宋体" w:hAnsi="宋体"/>
                <w:kern w:val="0"/>
                <w:szCs w:val="21"/>
              </w:rPr>
            </w:pPr>
            <w:r>
              <w:rPr>
                <w:rFonts w:ascii="宋体" w:hAnsi="宋体"/>
                <w:kern w:val="0"/>
                <w:szCs w:val="21"/>
              </w:rPr>
              <w:t>南亩</w:t>
            </w:r>
          </w:p>
        </w:tc>
        <w:tc>
          <w:tcPr>
            <w:tcW w:w="714" w:type="pct"/>
            <w:shd w:val="clear" w:color="auto" w:fill="auto"/>
            <w:noWrap/>
            <w:vAlign w:val="center"/>
          </w:tcPr>
          <w:p w14:paraId="6B71AB08">
            <w:pPr>
              <w:pStyle w:val="23"/>
              <w:jc w:val="center"/>
              <w:rPr>
                <w:rFonts w:ascii="宋体" w:hAnsi="宋体"/>
                <w:kern w:val="0"/>
                <w:szCs w:val="21"/>
              </w:rPr>
            </w:pPr>
            <w:r>
              <w:rPr>
                <w:rFonts w:ascii="宋体" w:hAnsi="宋体"/>
                <w:kern w:val="0"/>
                <w:szCs w:val="21"/>
              </w:rPr>
              <w:t>2000</w:t>
            </w:r>
          </w:p>
        </w:tc>
        <w:tc>
          <w:tcPr>
            <w:tcW w:w="714" w:type="pct"/>
            <w:shd w:val="clear" w:color="auto" w:fill="auto"/>
            <w:noWrap/>
            <w:vAlign w:val="center"/>
          </w:tcPr>
          <w:p w14:paraId="67C178FD">
            <w:pPr>
              <w:pStyle w:val="23"/>
              <w:jc w:val="center"/>
              <w:rPr>
                <w:rFonts w:ascii="宋体" w:hAnsi="宋体"/>
                <w:kern w:val="0"/>
                <w:szCs w:val="21"/>
              </w:rPr>
            </w:pPr>
            <w:r>
              <w:rPr>
                <w:rFonts w:ascii="宋体" w:hAnsi="宋体"/>
                <w:kern w:val="0"/>
                <w:szCs w:val="21"/>
              </w:rPr>
              <w:t>159</w:t>
            </w:r>
          </w:p>
        </w:tc>
        <w:tc>
          <w:tcPr>
            <w:tcW w:w="714" w:type="pct"/>
            <w:shd w:val="clear" w:color="auto" w:fill="auto"/>
            <w:noWrap/>
            <w:vAlign w:val="center"/>
          </w:tcPr>
          <w:p w14:paraId="595FD795">
            <w:pPr>
              <w:pStyle w:val="23"/>
              <w:jc w:val="center"/>
              <w:rPr>
                <w:rFonts w:ascii="宋体" w:hAnsi="宋体"/>
                <w:kern w:val="0"/>
                <w:szCs w:val="21"/>
              </w:rPr>
            </w:pPr>
            <w:r>
              <w:rPr>
                <w:rFonts w:ascii="宋体" w:hAnsi="宋体"/>
                <w:kern w:val="0"/>
                <w:szCs w:val="21"/>
              </w:rPr>
              <w:t>318</w:t>
            </w:r>
          </w:p>
        </w:tc>
        <w:tc>
          <w:tcPr>
            <w:tcW w:w="714" w:type="pct"/>
            <w:shd w:val="clear" w:color="auto" w:fill="auto"/>
            <w:noWrap/>
            <w:vAlign w:val="center"/>
          </w:tcPr>
          <w:p w14:paraId="6821DB62">
            <w:pPr>
              <w:pStyle w:val="23"/>
              <w:jc w:val="center"/>
              <w:rPr>
                <w:rFonts w:ascii="宋体" w:hAnsi="宋体"/>
                <w:kern w:val="0"/>
                <w:szCs w:val="21"/>
              </w:rPr>
            </w:pPr>
            <w:r>
              <w:rPr>
                <w:rFonts w:ascii="宋体" w:hAnsi="宋体"/>
                <w:kern w:val="0"/>
                <w:szCs w:val="21"/>
              </w:rPr>
              <w:t>帽子峰</w:t>
            </w:r>
          </w:p>
        </w:tc>
        <w:tc>
          <w:tcPr>
            <w:tcW w:w="714" w:type="pct"/>
            <w:shd w:val="clear" w:color="auto" w:fill="auto"/>
            <w:noWrap/>
            <w:vAlign w:val="center"/>
          </w:tcPr>
          <w:p w14:paraId="79BA4986">
            <w:pPr>
              <w:pStyle w:val="23"/>
              <w:jc w:val="center"/>
              <w:rPr>
                <w:rFonts w:ascii="宋体" w:hAnsi="宋体"/>
                <w:kern w:val="0"/>
                <w:szCs w:val="21"/>
              </w:rPr>
            </w:pPr>
            <w:r>
              <w:rPr>
                <w:rFonts w:ascii="宋体" w:hAnsi="宋体"/>
                <w:kern w:val="0"/>
                <w:szCs w:val="21"/>
              </w:rPr>
              <w:t>3085</w:t>
            </w:r>
          </w:p>
        </w:tc>
        <w:tc>
          <w:tcPr>
            <w:tcW w:w="714" w:type="pct"/>
            <w:shd w:val="clear" w:color="auto" w:fill="auto"/>
            <w:noWrap/>
            <w:vAlign w:val="center"/>
          </w:tcPr>
          <w:p w14:paraId="7CBB9C68">
            <w:pPr>
              <w:pStyle w:val="23"/>
              <w:jc w:val="center"/>
              <w:rPr>
                <w:rFonts w:ascii="宋体" w:hAnsi="宋体"/>
                <w:kern w:val="0"/>
                <w:szCs w:val="21"/>
              </w:rPr>
            </w:pPr>
            <w:r>
              <w:rPr>
                <w:rFonts w:ascii="宋体" w:hAnsi="宋体"/>
                <w:kern w:val="0"/>
                <w:szCs w:val="21"/>
              </w:rPr>
              <w:t>162</w:t>
            </w:r>
          </w:p>
        </w:tc>
      </w:tr>
      <w:tr w14:paraId="65F3941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714" w:type="pct"/>
            <w:shd w:val="clear" w:color="auto" w:fill="auto"/>
            <w:noWrap/>
            <w:vAlign w:val="center"/>
          </w:tcPr>
          <w:p w14:paraId="30705E48">
            <w:pPr>
              <w:pStyle w:val="23"/>
              <w:jc w:val="center"/>
              <w:rPr>
                <w:rFonts w:ascii="宋体" w:hAnsi="宋体"/>
                <w:kern w:val="0"/>
                <w:szCs w:val="21"/>
              </w:rPr>
            </w:pPr>
            <w:r>
              <w:rPr>
                <w:rFonts w:ascii="宋体" w:hAnsi="宋体"/>
                <w:kern w:val="0"/>
                <w:szCs w:val="21"/>
              </w:rPr>
              <w:t>水口</w:t>
            </w:r>
          </w:p>
        </w:tc>
        <w:tc>
          <w:tcPr>
            <w:tcW w:w="714" w:type="pct"/>
            <w:shd w:val="clear" w:color="auto" w:fill="auto"/>
            <w:noWrap/>
            <w:vAlign w:val="center"/>
          </w:tcPr>
          <w:p w14:paraId="78E3200F">
            <w:pPr>
              <w:pStyle w:val="23"/>
              <w:jc w:val="center"/>
              <w:rPr>
                <w:rFonts w:ascii="宋体" w:hAnsi="宋体"/>
                <w:kern w:val="0"/>
                <w:szCs w:val="21"/>
              </w:rPr>
            </w:pPr>
            <w:r>
              <w:rPr>
                <w:rFonts w:ascii="宋体" w:hAnsi="宋体"/>
                <w:kern w:val="0"/>
                <w:szCs w:val="21"/>
              </w:rPr>
              <w:t>9412</w:t>
            </w:r>
          </w:p>
        </w:tc>
        <w:tc>
          <w:tcPr>
            <w:tcW w:w="714" w:type="pct"/>
            <w:shd w:val="clear" w:color="auto" w:fill="auto"/>
            <w:noWrap/>
            <w:vAlign w:val="center"/>
          </w:tcPr>
          <w:p w14:paraId="727532F6">
            <w:pPr>
              <w:pStyle w:val="23"/>
              <w:jc w:val="center"/>
              <w:rPr>
                <w:rFonts w:ascii="宋体" w:hAnsi="宋体"/>
                <w:kern w:val="0"/>
                <w:szCs w:val="21"/>
              </w:rPr>
            </w:pPr>
            <w:r>
              <w:rPr>
                <w:rFonts w:ascii="宋体" w:hAnsi="宋体"/>
                <w:kern w:val="0"/>
                <w:szCs w:val="21"/>
              </w:rPr>
              <w:t>160</w:t>
            </w:r>
          </w:p>
        </w:tc>
        <w:tc>
          <w:tcPr>
            <w:tcW w:w="714" w:type="pct"/>
            <w:shd w:val="clear" w:color="auto" w:fill="auto"/>
            <w:noWrap/>
            <w:vAlign w:val="center"/>
          </w:tcPr>
          <w:p w14:paraId="0E143D38">
            <w:pPr>
              <w:pStyle w:val="23"/>
              <w:jc w:val="center"/>
              <w:rPr>
                <w:rFonts w:ascii="宋体" w:hAnsi="宋体"/>
                <w:kern w:val="0"/>
                <w:szCs w:val="21"/>
              </w:rPr>
            </w:pPr>
            <w:r>
              <w:rPr>
                <w:rFonts w:ascii="宋体" w:hAnsi="宋体"/>
                <w:kern w:val="0"/>
                <w:szCs w:val="21"/>
              </w:rPr>
              <w:t>1502</w:t>
            </w:r>
          </w:p>
        </w:tc>
        <w:tc>
          <w:tcPr>
            <w:tcW w:w="714" w:type="pct"/>
            <w:shd w:val="clear" w:color="auto" w:fill="auto"/>
            <w:noWrap/>
            <w:vAlign w:val="center"/>
          </w:tcPr>
          <w:p w14:paraId="592EA731">
            <w:pPr>
              <w:pStyle w:val="23"/>
              <w:jc w:val="center"/>
              <w:rPr>
                <w:rFonts w:ascii="宋体" w:hAnsi="宋体"/>
                <w:kern w:val="0"/>
                <w:szCs w:val="21"/>
              </w:rPr>
            </w:pPr>
            <w:r>
              <w:rPr>
                <w:rFonts w:ascii="宋体" w:hAnsi="宋体"/>
                <w:kern w:val="0"/>
                <w:szCs w:val="21"/>
              </w:rPr>
              <w:t>雄州街道</w:t>
            </w:r>
          </w:p>
        </w:tc>
        <w:tc>
          <w:tcPr>
            <w:tcW w:w="714" w:type="pct"/>
            <w:shd w:val="clear" w:color="auto" w:fill="auto"/>
            <w:noWrap/>
            <w:vAlign w:val="center"/>
          </w:tcPr>
          <w:p w14:paraId="6DFE5F5A">
            <w:pPr>
              <w:pStyle w:val="23"/>
              <w:jc w:val="center"/>
              <w:rPr>
                <w:rFonts w:ascii="宋体" w:hAnsi="宋体"/>
                <w:kern w:val="0"/>
                <w:szCs w:val="21"/>
              </w:rPr>
            </w:pPr>
            <w:r>
              <w:rPr>
                <w:rFonts w:ascii="宋体" w:hAnsi="宋体"/>
                <w:kern w:val="0"/>
                <w:szCs w:val="21"/>
              </w:rPr>
              <w:t>11535</w:t>
            </w:r>
          </w:p>
        </w:tc>
        <w:tc>
          <w:tcPr>
            <w:tcW w:w="714" w:type="pct"/>
            <w:shd w:val="clear" w:color="auto" w:fill="auto"/>
            <w:noWrap/>
            <w:vAlign w:val="center"/>
          </w:tcPr>
          <w:p w14:paraId="76CC598E">
            <w:pPr>
              <w:pStyle w:val="23"/>
              <w:jc w:val="center"/>
              <w:rPr>
                <w:rFonts w:ascii="宋体" w:hAnsi="宋体"/>
                <w:kern w:val="0"/>
                <w:szCs w:val="21"/>
              </w:rPr>
            </w:pPr>
            <w:r>
              <w:rPr>
                <w:rFonts w:ascii="宋体" w:hAnsi="宋体"/>
                <w:kern w:val="0"/>
                <w:szCs w:val="21"/>
              </w:rPr>
              <w:t>162</w:t>
            </w:r>
          </w:p>
        </w:tc>
      </w:tr>
      <w:tr w14:paraId="0327A68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714" w:type="pct"/>
            <w:shd w:val="clear" w:color="auto" w:fill="auto"/>
            <w:noWrap/>
            <w:vAlign w:val="center"/>
          </w:tcPr>
          <w:p w14:paraId="08FC09F9">
            <w:pPr>
              <w:pStyle w:val="23"/>
              <w:jc w:val="center"/>
              <w:rPr>
                <w:rFonts w:ascii="宋体" w:hAnsi="宋体"/>
                <w:kern w:val="0"/>
                <w:szCs w:val="21"/>
              </w:rPr>
            </w:pPr>
            <w:r>
              <w:rPr>
                <w:rFonts w:ascii="宋体" w:hAnsi="宋体"/>
                <w:kern w:val="0"/>
                <w:szCs w:val="21"/>
              </w:rPr>
              <w:t>江头</w:t>
            </w:r>
          </w:p>
        </w:tc>
        <w:tc>
          <w:tcPr>
            <w:tcW w:w="714" w:type="pct"/>
            <w:shd w:val="clear" w:color="auto" w:fill="auto"/>
            <w:noWrap/>
            <w:vAlign w:val="center"/>
          </w:tcPr>
          <w:p w14:paraId="104DCE5F">
            <w:pPr>
              <w:pStyle w:val="23"/>
              <w:jc w:val="center"/>
              <w:rPr>
                <w:rFonts w:ascii="宋体" w:hAnsi="宋体"/>
                <w:kern w:val="0"/>
                <w:szCs w:val="21"/>
              </w:rPr>
            </w:pPr>
            <w:r>
              <w:rPr>
                <w:rFonts w:ascii="宋体" w:hAnsi="宋体"/>
                <w:kern w:val="0"/>
                <w:szCs w:val="21"/>
              </w:rPr>
              <w:t>1900</w:t>
            </w:r>
          </w:p>
        </w:tc>
        <w:tc>
          <w:tcPr>
            <w:tcW w:w="714" w:type="pct"/>
            <w:shd w:val="clear" w:color="auto" w:fill="auto"/>
            <w:noWrap/>
            <w:vAlign w:val="center"/>
          </w:tcPr>
          <w:p w14:paraId="0D0865B6">
            <w:pPr>
              <w:pStyle w:val="23"/>
              <w:jc w:val="center"/>
              <w:rPr>
                <w:rFonts w:ascii="宋体" w:hAnsi="宋体"/>
                <w:kern w:val="0"/>
                <w:szCs w:val="21"/>
              </w:rPr>
            </w:pPr>
            <w:r>
              <w:rPr>
                <w:rFonts w:ascii="宋体" w:hAnsi="宋体"/>
                <w:kern w:val="0"/>
                <w:szCs w:val="21"/>
              </w:rPr>
              <w:t>161</w:t>
            </w:r>
          </w:p>
        </w:tc>
        <w:tc>
          <w:tcPr>
            <w:tcW w:w="714" w:type="pct"/>
            <w:shd w:val="clear" w:color="auto" w:fill="auto"/>
            <w:noWrap/>
            <w:vAlign w:val="center"/>
          </w:tcPr>
          <w:p w14:paraId="7B5F0DF2">
            <w:pPr>
              <w:pStyle w:val="23"/>
              <w:jc w:val="center"/>
              <w:rPr>
                <w:rFonts w:ascii="宋体" w:hAnsi="宋体"/>
                <w:kern w:val="0"/>
                <w:szCs w:val="21"/>
              </w:rPr>
            </w:pPr>
            <w:r>
              <w:rPr>
                <w:rFonts w:ascii="宋体" w:hAnsi="宋体"/>
                <w:kern w:val="0"/>
                <w:szCs w:val="21"/>
              </w:rPr>
              <w:t>306</w:t>
            </w:r>
          </w:p>
        </w:tc>
        <w:tc>
          <w:tcPr>
            <w:tcW w:w="714" w:type="pct"/>
            <w:shd w:val="clear" w:color="auto" w:fill="auto"/>
            <w:noWrap/>
            <w:vAlign w:val="center"/>
          </w:tcPr>
          <w:p w14:paraId="68839C23">
            <w:pPr>
              <w:pStyle w:val="23"/>
              <w:jc w:val="center"/>
              <w:rPr>
                <w:rFonts w:ascii="宋体" w:hAnsi="宋体"/>
                <w:kern w:val="0"/>
                <w:szCs w:val="21"/>
              </w:rPr>
            </w:pPr>
          </w:p>
        </w:tc>
        <w:tc>
          <w:tcPr>
            <w:tcW w:w="714" w:type="pct"/>
            <w:shd w:val="clear" w:color="auto" w:fill="auto"/>
            <w:noWrap/>
            <w:vAlign w:val="center"/>
          </w:tcPr>
          <w:p w14:paraId="1CB7A0F3">
            <w:pPr>
              <w:pStyle w:val="23"/>
              <w:jc w:val="center"/>
              <w:rPr>
                <w:rFonts w:ascii="宋体" w:hAnsi="宋体"/>
                <w:kern w:val="0"/>
                <w:szCs w:val="21"/>
              </w:rPr>
            </w:pPr>
          </w:p>
        </w:tc>
        <w:tc>
          <w:tcPr>
            <w:tcW w:w="714" w:type="pct"/>
            <w:shd w:val="clear" w:color="auto" w:fill="auto"/>
            <w:noWrap/>
            <w:vAlign w:val="center"/>
          </w:tcPr>
          <w:p w14:paraId="1F07A9CD">
            <w:pPr>
              <w:pStyle w:val="23"/>
              <w:jc w:val="center"/>
              <w:rPr>
                <w:rFonts w:ascii="宋体" w:hAnsi="宋体"/>
                <w:kern w:val="0"/>
                <w:szCs w:val="21"/>
              </w:rPr>
            </w:pPr>
          </w:p>
        </w:tc>
      </w:tr>
    </w:tbl>
    <w:p w14:paraId="107A6CAD">
      <w:pPr>
        <w:ind w:firstLine="0" w:firstLineChars="0"/>
        <w:jc w:val="center"/>
        <w:rPr>
          <w:rFonts w:ascii="宋体" w:hAnsi="宋体"/>
          <w:b/>
          <w:szCs w:val="21"/>
        </w:rPr>
      </w:pPr>
      <w:r>
        <w:rPr>
          <w:rFonts w:hint="eastAsia" w:ascii="宋体" w:hAnsi="宋体"/>
          <w:b/>
          <w:szCs w:val="21"/>
        </w:rPr>
        <w:t>表56 分镇花生播种面积和产量</w:t>
      </w:r>
    </w:p>
    <w:tbl>
      <w:tblPr>
        <w:tblStyle w:val="14"/>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81"/>
        <w:gridCol w:w="1413"/>
        <w:gridCol w:w="1413"/>
        <w:gridCol w:w="1413"/>
        <w:gridCol w:w="1414"/>
        <w:gridCol w:w="1414"/>
        <w:gridCol w:w="1414"/>
      </w:tblGrid>
      <w:tr w14:paraId="7FCC5F6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714" w:type="pct"/>
            <w:shd w:val="clear" w:color="auto" w:fill="auto"/>
            <w:noWrap/>
            <w:vAlign w:val="center"/>
          </w:tcPr>
          <w:p w14:paraId="5BA4A4C8">
            <w:pPr>
              <w:pStyle w:val="23"/>
              <w:jc w:val="center"/>
              <w:rPr>
                <w:rFonts w:ascii="宋体" w:hAnsi="宋体"/>
                <w:b/>
                <w:kern w:val="0"/>
                <w:szCs w:val="21"/>
              </w:rPr>
            </w:pPr>
            <w:r>
              <w:rPr>
                <w:rFonts w:ascii="宋体" w:hAnsi="宋体"/>
                <w:b/>
                <w:kern w:val="0"/>
                <w:szCs w:val="21"/>
              </w:rPr>
              <w:t>单位单位名称</w:t>
            </w:r>
          </w:p>
        </w:tc>
        <w:tc>
          <w:tcPr>
            <w:tcW w:w="714" w:type="pct"/>
            <w:shd w:val="clear" w:color="auto" w:fill="auto"/>
            <w:noWrap/>
            <w:vAlign w:val="center"/>
          </w:tcPr>
          <w:p w14:paraId="720159CC">
            <w:pPr>
              <w:pStyle w:val="23"/>
              <w:jc w:val="center"/>
              <w:rPr>
                <w:rFonts w:ascii="宋体" w:hAnsi="宋体"/>
                <w:b/>
                <w:kern w:val="0"/>
                <w:szCs w:val="21"/>
              </w:rPr>
            </w:pPr>
            <w:r>
              <w:rPr>
                <w:rFonts w:ascii="宋体" w:hAnsi="宋体"/>
                <w:b/>
                <w:kern w:val="0"/>
                <w:szCs w:val="21"/>
              </w:rPr>
              <w:t>面积(亩)</w:t>
            </w:r>
          </w:p>
        </w:tc>
        <w:tc>
          <w:tcPr>
            <w:tcW w:w="714" w:type="pct"/>
            <w:shd w:val="clear" w:color="auto" w:fill="auto"/>
            <w:noWrap/>
            <w:vAlign w:val="center"/>
          </w:tcPr>
          <w:p w14:paraId="7C83DA51">
            <w:pPr>
              <w:pStyle w:val="23"/>
              <w:jc w:val="center"/>
              <w:rPr>
                <w:rFonts w:ascii="宋体" w:hAnsi="宋体"/>
                <w:b/>
                <w:kern w:val="0"/>
                <w:szCs w:val="21"/>
              </w:rPr>
            </w:pPr>
            <w:r>
              <w:rPr>
                <w:rFonts w:ascii="宋体" w:hAnsi="宋体"/>
                <w:b/>
                <w:kern w:val="0"/>
                <w:szCs w:val="21"/>
              </w:rPr>
              <w:t>亩产(公斤)</w:t>
            </w:r>
          </w:p>
        </w:tc>
        <w:tc>
          <w:tcPr>
            <w:tcW w:w="714" w:type="pct"/>
            <w:shd w:val="clear" w:color="auto" w:fill="auto"/>
            <w:noWrap/>
            <w:vAlign w:val="center"/>
          </w:tcPr>
          <w:p w14:paraId="27C172B0">
            <w:pPr>
              <w:pStyle w:val="23"/>
              <w:jc w:val="center"/>
              <w:rPr>
                <w:rFonts w:ascii="宋体" w:hAnsi="宋体"/>
                <w:b/>
                <w:kern w:val="0"/>
                <w:szCs w:val="21"/>
              </w:rPr>
            </w:pPr>
            <w:r>
              <w:rPr>
                <w:rFonts w:ascii="宋体" w:hAnsi="宋体"/>
                <w:b/>
                <w:kern w:val="0"/>
                <w:szCs w:val="21"/>
              </w:rPr>
              <w:t>总产量()</w:t>
            </w:r>
          </w:p>
        </w:tc>
        <w:tc>
          <w:tcPr>
            <w:tcW w:w="714" w:type="pct"/>
            <w:shd w:val="clear" w:color="auto" w:fill="auto"/>
            <w:noWrap/>
            <w:vAlign w:val="center"/>
          </w:tcPr>
          <w:p w14:paraId="4F36AA0B">
            <w:pPr>
              <w:pStyle w:val="23"/>
              <w:jc w:val="center"/>
              <w:rPr>
                <w:rFonts w:ascii="宋体" w:hAnsi="宋体"/>
                <w:b/>
                <w:kern w:val="0"/>
                <w:szCs w:val="21"/>
              </w:rPr>
            </w:pPr>
            <w:r>
              <w:rPr>
                <w:rFonts w:ascii="宋体" w:hAnsi="宋体"/>
                <w:b/>
                <w:kern w:val="0"/>
                <w:szCs w:val="21"/>
              </w:rPr>
              <w:t>单位名称</w:t>
            </w:r>
          </w:p>
        </w:tc>
        <w:tc>
          <w:tcPr>
            <w:tcW w:w="714" w:type="pct"/>
            <w:shd w:val="clear" w:color="auto" w:fill="auto"/>
            <w:noWrap/>
            <w:vAlign w:val="center"/>
          </w:tcPr>
          <w:p w14:paraId="7EDBA033">
            <w:pPr>
              <w:pStyle w:val="23"/>
              <w:jc w:val="center"/>
              <w:rPr>
                <w:rFonts w:ascii="宋体" w:hAnsi="宋体"/>
                <w:b/>
                <w:kern w:val="0"/>
                <w:szCs w:val="21"/>
              </w:rPr>
            </w:pPr>
            <w:r>
              <w:rPr>
                <w:rFonts w:ascii="宋体" w:hAnsi="宋体"/>
                <w:b/>
                <w:kern w:val="0"/>
                <w:szCs w:val="21"/>
              </w:rPr>
              <w:t>面积(亩)</w:t>
            </w:r>
          </w:p>
        </w:tc>
        <w:tc>
          <w:tcPr>
            <w:tcW w:w="714" w:type="pct"/>
            <w:shd w:val="clear" w:color="auto" w:fill="auto"/>
            <w:noWrap/>
            <w:vAlign w:val="center"/>
          </w:tcPr>
          <w:p w14:paraId="35F4D02C">
            <w:pPr>
              <w:pStyle w:val="23"/>
              <w:jc w:val="center"/>
              <w:rPr>
                <w:rFonts w:ascii="宋体" w:hAnsi="宋体"/>
                <w:b/>
                <w:kern w:val="0"/>
                <w:szCs w:val="21"/>
              </w:rPr>
            </w:pPr>
            <w:r>
              <w:rPr>
                <w:rFonts w:ascii="宋体" w:hAnsi="宋体"/>
                <w:b/>
                <w:kern w:val="0"/>
                <w:szCs w:val="21"/>
              </w:rPr>
              <w:t>亩产(公斤)</w:t>
            </w:r>
          </w:p>
        </w:tc>
      </w:tr>
      <w:tr w14:paraId="0A974E5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714" w:type="pct"/>
            <w:shd w:val="clear" w:color="auto" w:fill="auto"/>
            <w:noWrap/>
            <w:vAlign w:val="center"/>
          </w:tcPr>
          <w:p w14:paraId="1DB59B5C">
            <w:pPr>
              <w:pStyle w:val="23"/>
              <w:jc w:val="center"/>
              <w:rPr>
                <w:rFonts w:ascii="宋体" w:hAnsi="宋体"/>
                <w:kern w:val="0"/>
                <w:szCs w:val="21"/>
              </w:rPr>
            </w:pPr>
            <w:r>
              <w:rPr>
                <w:rFonts w:ascii="宋体" w:hAnsi="宋体"/>
                <w:kern w:val="0"/>
                <w:szCs w:val="21"/>
              </w:rPr>
              <w:t>合计</w:t>
            </w:r>
          </w:p>
        </w:tc>
        <w:tc>
          <w:tcPr>
            <w:tcW w:w="714" w:type="pct"/>
            <w:shd w:val="clear" w:color="auto" w:fill="auto"/>
            <w:noWrap/>
            <w:vAlign w:val="center"/>
          </w:tcPr>
          <w:p w14:paraId="5DD38D23">
            <w:pPr>
              <w:pStyle w:val="23"/>
              <w:jc w:val="center"/>
              <w:rPr>
                <w:rFonts w:ascii="宋体" w:hAnsi="宋体"/>
                <w:kern w:val="0"/>
                <w:szCs w:val="21"/>
              </w:rPr>
            </w:pPr>
            <w:r>
              <w:rPr>
                <w:rFonts w:ascii="宋体" w:hAnsi="宋体"/>
                <w:kern w:val="0"/>
                <w:szCs w:val="21"/>
              </w:rPr>
              <w:t>103579</w:t>
            </w:r>
          </w:p>
        </w:tc>
        <w:tc>
          <w:tcPr>
            <w:tcW w:w="714" w:type="pct"/>
            <w:shd w:val="clear" w:color="auto" w:fill="auto"/>
            <w:noWrap/>
            <w:vAlign w:val="center"/>
          </w:tcPr>
          <w:p w14:paraId="7729AD1D">
            <w:pPr>
              <w:pStyle w:val="23"/>
              <w:jc w:val="center"/>
              <w:rPr>
                <w:rFonts w:ascii="宋体" w:hAnsi="宋体"/>
                <w:kern w:val="0"/>
                <w:szCs w:val="21"/>
              </w:rPr>
            </w:pPr>
            <w:r>
              <w:rPr>
                <w:rFonts w:ascii="宋体" w:hAnsi="宋体"/>
                <w:kern w:val="0"/>
                <w:szCs w:val="21"/>
              </w:rPr>
              <w:t>213</w:t>
            </w:r>
          </w:p>
        </w:tc>
        <w:tc>
          <w:tcPr>
            <w:tcW w:w="714" w:type="pct"/>
            <w:shd w:val="clear" w:color="auto" w:fill="auto"/>
            <w:noWrap/>
            <w:vAlign w:val="center"/>
          </w:tcPr>
          <w:p w14:paraId="6312F482">
            <w:pPr>
              <w:pStyle w:val="23"/>
              <w:jc w:val="center"/>
              <w:rPr>
                <w:rFonts w:ascii="宋体" w:hAnsi="宋体"/>
                <w:kern w:val="0"/>
                <w:szCs w:val="21"/>
              </w:rPr>
            </w:pPr>
            <w:r>
              <w:rPr>
                <w:rFonts w:ascii="宋体" w:hAnsi="宋体"/>
                <w:kern w:val="0"/>
                <w:szCs w:val="21"/>
              </w:rPr>
              <w:t>22062</w:t>
            </w:r>
          </w:p>
        </w:tc>
        <w:tc>
          <w:tcPr>
            <w:tcW w:w="714" w:type="pct"/>
            <w:shd w:val="clear" w:color="auto" w:fill="auto"/>
            <w:noWrap/>
            <w:vAlign w:val="center"/>
          </w:tcPr>
          <w:p w14:paraId="045AE5EB">
            <w:pPr>
              <w:pStyle w:val="23"/>
              <w:jc w:val="center"/>
              <w:rPr>
                <w:rFonts w:ascii="宋体" w:hAnsi="宋体"/>
                <w:kern w:val="0"/>
                <w:szCs w:val="21"/>
              </w:rPr>
            </w:pPr>
            <w:r>
              <w:rPr>
                <w:rFonts w:ascii="宋体" w:hAnsi="宋体"/>
                <w:kern w:val="0"/>
                <w:szCs w:val="21"/>
              </w:rPr>
              <w:t>湖口</w:t>
            </w:r>
          </w:p>
        </w:tc>
        <w:tc>
          <w:tcPr>
            <w:tcW w:w="714" w:type="pct"/>
            <w:shd w:val="clear" w:color="auto" w:fill="auto"/>
            <w:noWrap/>
            <w:vAlign w:val="center"/>
          </w:tcPr>
          <w:p w14:paraId="14213715">
            <w:pPr>
              <w:pStyle w:val="23"/>
              <w:jc w:val="center"/>
              <w:rPr>
                <w:rFonts w:ascii="宋体" w:hAnsi="宋体"/>
                <w:kern w:val="0"/>
                <w:szCs w:val="21"/>
              </w:rPr>
            </w:pPr>
            <w:r>
              <w:rPr>
                <w:rFonts w:ascii="宋体" w:hAnsi="宋体"/>
                <w:kern w:val="0"/>
                <w:szCs w:val="21"/>
              </w:rPr>
              <w:t>8112</w:t>
            </w:r>
          </w:p>
        </w:tc>
        <w:tc>
          <w:tcPr>
            <w:tcW w:w="714" w:type="pct"/>
            <w:shd w:val="clear" w:color="auto" w:fill="auto"/>
            <w:noWrap/>
            <w:vAlign w:val="center"/>
          </w:tcPr>
          <w:p w14:paraId="50E64846">
            <w:pPr>
              <w:pStyle w:val="23"/>
              <w:jc w:val="center"/>
              <w:rPr>
                <w:rFonts w:ascii="宋体" w:hAnsi="宋体"/>
                <w:kern w:val="0"/>
                <w:szCs w:val="21"/>
              </w:rPr>
            </w:pPr>
            <w:r>
              <w:rPr>
                <w:rFonts w:ascii="宋体" w:hAnsi="宋体"/>
                <w:kern w:val="0"/>
                <w:szCs w:val="21"/>
              </w:rPr>
              <w:t>209</w:t>
            </w:r>
          </w:p>
        </w:tc>
      </w:tr>
      <w:tr w14:paraId="76EFB18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714" w:type="pct"/>
            <w:shd w:val="clear" w:color="auto" w:fill="auto"/>
            <w:noWrap/>
            <w:vAlign w:val="center"/>
          </w:tcPr>
          <w:p w14:paraId="15F1AD04">
            <w:pPr>
              <w:pStyle w:val="23"/>
              <w:jc w:val="center"/>
              <w:rPr>
                <w:rFonts w:ascii="宋体" w:hAnsi="宋体"/>
                <w:kern w:val="0"/>
                <w:szCs w:val="21"/>
              </w:rPr>
            </w:pPr>
            <w:r>
              <w:rPr>
                <w:rFonts w:ascii="宋体" w:hAnsi="宋体"/>
                <w:kern w:val="0"/>
                <w:szCs w:val="21"/>
              </w:rPr>
              <w:t>乌迳</w:t>
            </w:r>
          </w:p>
        </w:tc>
        <w:tc>
          <w:tcPr>
            <w:tcW w:w="714" w:type="pct"/>
            <w:shd w:val="clear" w:color="auto" w:fill="auto"/>
            <w:noWrap/>
            <w:vAlign w:val="center"/>
          </w:tcPr>
          <w:p w14:paraId="31C6D7DC">
            <w:pPr>
              <w:pStyle w:val="23"/>
              <w:jc w:val="center"/>
              <w:rPr>
                <w:rFonts w:ascii="宋体" w:hAnsi="宋体"/>
                <w:kern w:val="0"/>
                <w:szCs w:val="21"/>
              </w:rPr>
            </w:pPr>
            <w:r>
              <w:rPr>
                <w:rFonts w:ascii="宋体" w:hAnsi="宋体"/>
                <w:kern w:val="0"/>
                <w:szCs w:val="21"/>
              </w:rPr>
              <w:t>14304</w:t>
            </w:r>
          </w:p>
        </w:tc>
        <w:tc>
          <w:tcPr>
            <w:tcW w:w="714" w:type="pct"/>
            <w:shd w:val="clear" w:color="auto" w:fill="auto"/>
            <w:noWrap/>
            <w:vAlign w:val="center"/>
          </w:tcPr>
          <w:p w14:paraId="51FCA491">
            <w:pPr>
              <w:pStyle w:val="23"/>
              <w:jc w:val="center"/>
              <w:rPr>
                <w:rFonts w:ascii="宋体" w:hAnsi="宋体"/>
                <w:kern w:val="0"/>
                <w:szCs w:val="21"/>
              </w:rPr>
            </w:pPr>
            <w:r>
              <w:rPr>
                <w:rFonts w:ascii="宋体" w:hAnsi="宋体"/>
                <w:kern w:val="0"/>
                <w:szCs w:val="21"/>
              </w:rPr>
              <w:t>218</w:t>
            </w:r>
          </w:p>
        </w:tc>
        <w:tc>
          <w:tcPr>
            <w:tcW w:w="714" w:type="pct"/>
            <w:shd w:val="clear" w:color="auto" w:fill="auto"/>
            <w:noWrap/>
            <w:vAlign w:val="center"/>
          </w:tcPr>
          <w:p w14:paraId="54F483D3">
            <w:pPr>
              <w:pStyle w:val="23"/>
              <w:jc w:val="center"/>
              <w:rPr>
                <w:rFonts w:ascii="宋体" w:hAnsi="宋体"/>
                <w:kern w:val="0"/>
                <w:szCs w:val="21"/>
              </w:rPr>
            </w:pPr>
            <w:r>
              <w:rPr>
                <w:rFonts w:ascii="宋体" w:hAnsi="宋体"/>
                <w:kern w:val="0"/>
                <w:szCs w:val="21"/>
              </w:rPr>
              <w:t>3113</w:t>
            </w:r>
          </w:p>
        </w:tc>
        <w:tc>
          <w:tcPr>
            <w:tcW w:w="714" w:type="pct"/>
            <w:shd w:val="clear" w:color="auto" w:fill="auto"/>
            <w:noWrap/>
            <w:vAlign w:val="center"/>
          </w:tcPr>
          <w:p w14:paraId="699FD33A">
            <w:pPr>
              <w:pStyle w:val="23"/>
              <w:jc w:val="center"/>
              <w:rPr>
                <w:rFonts w:ascii="宋体" w:hAnsi="宋体"/>
                <w:kern w:val="0"/>
                <w:szCs w:val="21"/>
              </w:rPr>
            </w:pPr>
            <w:r>
              <w:rPr>
                <w:rFonts w:ascii="宋体" w:hAnsi="宋体"/>
                <w:kern w:val="0"/>
                <w:szCs w:val="21"/>
              </w:rPr>
              <w:t>珠玑</w:t>
            </w:r>
          </w:p>
        </w:tc>
        <w:tc>
          <w:tcPr>
            <w:tcW w:w="714" w:type="pct"/>
            <w:shd w:val="clear" w:color="auto" w:fill="auto"/>
            <w:noWrap/>
            <w:vAlign w:val="center"/>
          </w:tcPr>
          <w:p w14:paraId="63CC26DB">
            <w:pPr>
              <w:pStyle w:val="23"/>
              <w:jc w:val="center"/>
              <w:rPr>
                <w:rFonts w:ascii="宋体" w:hAnsi="宋体"/>
                <w:kern w:val="0"/>
                <w:szCs w:val="21"/>
              </w:rPr>
            </w:pPr>
            <w:r>
              <w:rPr>
                <w:rFonts w:ascii="宋体" w:hAnsi="宋体"/>
                <w:kern w:val="0"/>
                <w:szCs w:val="21"/>
              </w:rPr>
              <w:t>8602</w:t>
            </w:r>
          </w:p>
        </w:tc>
        <w:tc>
          <w:tcPr>
            <w:tcW w:w="714" w:type="pct"/>
            <w:shd w:val="clear" w:color="auto" w:fill="auto"/>
            <w:noWrap/>
            <w:vAlign w:val="center"/>
          </w:tcPr>
          <w:p w14:paraId="3ED13AEA">
            <w:pPr>
              <w:pStyle w:val="23"/>
              <w:jc w:val="center"/>
              <w:rPr>
                <w:rFonts w:ascii="宋体" w:hAnsi="宋体"/>
                <w:kern w:val="0"/>
                <w:szCs w:val="21"/>
              </w:rPr>
            </w:pPr>
            <w:r>
              <w:rPr>
                <w:rFonts w:ascii="宋体" w:hAnsi="宋体"/>
                <w:kern w:val="0"/>
                <w:szCs w:val="21"/>
              </w:rPr>
              <w:t>219</w:t>
            </w:r>
          </w:p>
        </w:tc>
      </w:tr>
      <w:tr w14:paraId="208AF4D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714" w:type="pct"/>
            <w:shd w:val="clear" w:color="auto" w:fill="auto"/>
            <w:noWrap/>
            <w:vAlign w:val="center"/>
          </w:tcPr>
          <w:p w14:paraId="0E5161EA">
            <w:pPr>
              <w:pStyle w:val="23"/>
              <w:jc w:val="center"/>
              <w:rPr>
                <w:rFonts w:ascii="宋体" w:hAnsi="宋体"/>
                <w:kern w:val="0"/>
                <w:szCs w:val="21"/>
              </w:rPr>
            </w:pPr>
            <w:r>
              <w:rPr>
                <w:rFonts w:ascii="宋体" w:hAnsi="宋体"/>
                <w:kern w:val="0"/>
                <w:szCs w:val="21"/>
              </w:rPr>
              <w:t>界址</w:t>
            </w:r>
          </w:p>
        </w:tc>
        <w:tc>
          <w:tcPr>
            <w:tcW w:w="714" w:type="pct"/>
            <w:shd w:val="clear" w:color="auto" w:fill="auto"/>
            <w:noWrap/>
            <w:vAlign w:val="center"/>
          </w:tcPr>
          <w:p w14:paraId="5E5BD225">
            <w:pPr>
              <w:pStyle w:val="23"/>
              <w:jc w:val="center"/>
              <w:rPr>
                <w:rFonts w:ascii="宋体" w:hAnsi="宋体"/>
                <w:kern w:val="0"/>
                <w:szCs w:val="21"/>
              </w:rPr>
            </w:pPr>
            <w:r>
              <w:rPr>
                <w:rFonts w:ascii="宋体" w:hAnsi="宋体"/>
                <w:kern w:val="0"/>
                <w:szCs w:val="21"/>
              </w:rPr>
              <w:t>2712</w:t>
            </w:r>
          </w:p>
        </w:tc>
        <w:tc>
          <w:tcPr>
            <w:tcW w:w="714" w:type="pct"/>
            <w:shd w:val="clear" w:color="auto" w:fill="auto"/>
            <w:noWrap/>
            <w:vAlign w:val="center"/>
          </w:tcPr>
          <w:p w14:paraId="0AE70E7E">
            <w:pPr>
              <w:pStyle w:val="23"/>
              <w:jc w:val="center"/>
              <w:rPr>
                <w:rFonts w:ascii="宋体" w:hAnsi="宋体"/>
                <w:kern w:val="0"/>
                <w:szCs w:val="21"/>
              </w:rPr>
            </w:pPr>
            <w:r>
              <w:rPr>
                <w:rFonts w:ascii="宋体" w:hAnsi="宋体"/>
                <w:kern w:val="0"/>
                <w:szCs w:val="21"/>
              </w:rPr>
              <w:t>215</w:t>
            </w:r>
          </w:p>
        </w:tc>
        <w:tc>
          <w:tcPr>
            <w:tcW w:w="714" w:type="pct"/>
            <w:shd w:val="clear" w:color="auto" w:fill="auto"/>
            <w:noWrap/>
            <w:vAlign w:val="center"/>
          </w:tcPr>
          <w:p w14:paraId="0A8A82E9">
            <w:pPr>
              <w:pStyle w:val="23"/>
              <w:jc w:val="center"/>
              <w:rPr>
                <w:rFonts w:ascii="宋体" w:hAnsi="宋体"/>
                <w:kern w:val="0"/>
                <w:szCs w:val="21"/>
              </w:rPr>
            </w:pPr>
            <w:r>
              <w:rPr>
                <w:rFonts w:ascii="宋体" w:hAnsi="宋体"/>
                <w:kern w:val="0"/>
                <w:szCs w:val="21"/>
              </w:rPr>
              <w:t>584</w:t>
            </w:r>
          </w:p>
        </w:tc>
        <w:tc>
          <w:tcPr>
            <w:tcW w:w="714" w:type="pct"/>
            <w:shd w:val="clear" w:color="auto" w:fill="auto"/>
            <w:noWrap/>
            <w:vAlign w:val="center"/>
          </w:tcPr>
          <w:p w14:paraId="6193AAB3">
            <w:pPr>
              <w:pStyle w:val="23"/>
              <w:jc w:val="center"/>
              <w:rPr>
                <w:rFonts w:ascii="宋体" w:hAnsi="宋体"/>
                <w:kern w:val="0"/>
                <w:szCs w:val="21"/>
              </w:rPr>
            </w:pPr>
            <w:r>
              <w:rPr>
                <w:rFonts w:ascii="宋体" w:hAnsi="宋体"/>
                <w:kern w:val="0"/>
                <w:szCs w:val="21"/>
              </w:rPr>
              <w:t>主田</w:t>
            </w:r>
          </w:p>
        </w:tc>
        <w:tc>
          <w:tcPr>
            <w:tcW w:w="714" w:type="pct"/>
            <w:shd w:val="clear" w:color="auto" w:fill="auto"/>
            <w:noWrap/>
            <w:vAlign w:val="center"/>
          </w:tcPr>
          <w:p w14:paraId="321318EB">
            <w:pPr>
              <w:pStyle w:val="23"/>
              <w:jc w:val="center"/>
              <w:rPr>
                <w:rFonts w:ascii="宋体" w:hAnsi="宋体"/>
                <w:kern w:val="0"/>
                <w:szCs w:val="21"/>
              </w:rPr>
            </w:pPr>
            <w:r>
              <w:rPr>
                <w:rFonts w:ascii="宋体" w:hAnsi="宋体"/>
                <w:kern w:val="0"/>
                <w:szCs w:val="21"/>
              </w:rPr>
              <w:t>3653</w:t>
            </w:r>
          </w:p>
        </w:tc>
        <w:tc>
          <w:tcPr>
            <w:tcW w:w="714" w:type="pct"/>
            <w:shd w:val="clear" w:color="auto" w:fill="auto"/>
            <w:noWrap/>
            <w:vAlign w:val="center"/>
          </w:tcPr>
          <w:p w14:paraId="3F29156B">
            <w:pPr>
              <w:pStyle w:val="23"/>
              <w:jc w:val="center"/>
              <w:rPr>
                <w:rFonts w:ascii="宋体" w:hAnsi="宋体"/>
                <w:kern w:val="0"/>
                <w:szCs w:val="21"/>
              </w:rPr>
            </w:pPr>
            <w:r>
              <w:rPr>
                <w:rFonts w:ascii="宋体" w:hAnsi="宋体"/>
                <w:kern w:val="0"/>
                <w:szCs w:val="21"/>
              </w:rPr>
              <w:t>214</w:t>
            </w:r>
          </w:p>
        </w:tc>
      </w:tr>
      <w:tr w14:paraId="4CA8A32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714" w:type="pct"/>
            <w:shd w:val="clear" w:color="auto" w:fill="auto"/>
            <w:noWrap/>
            <w:vAlign w:val="center"/>
          </w:tcPr>
          <w:p w14:paraId="6AA38DDA">
            <w:pPr>
              <w:pStyle w:val="23"/>
              <w:jc w:val="center"/>
              <w:rPr>
                <w:rFonts w:ascii="宋体" w:hAnsi="宋体"/>
                <w:kern w:val="0"/>
                <w:szCs w:val="21"/>
              </w:rPr>
            </w:pPr>
            <w:r>
              <w:rPr>
                <w:rFonts w:ascii="宋体" w:hAnsi="宋体"/>
                <w:kern w:val="0"/>
                <w:szCs w:val="21"/>
              </w:rPr>
              <w:t>坪田</w:t>
            </w:r>
          </w:p>
        </w:tc>
        <w:tc>
          <w:tcPr>
            <w:tcW w:w="714" w:type="pct"/>
            <w:shd w:val="clear" w:color="auto" w:fill="auto"/>
            <w:noWrap/>
            <w:vAlign w:val="center"/>
          </w:tcPr>
          <w:p w14:paraId="320D7883">
            <w:pPr>
              <w:pStyle w:val="23"/>
              <w:jc w:val="center"/>
              <w:rPr>
                <w:rFonts w:ascii="宋体" w:hAnsi="宋体"/>
                <w:kern w:val="0"/>
                <w:szCs w:val="21"/>
              </w:rPr>
            </w:pPr>
            <w:r>
              <w:rPr>
                <w:rFonts w:ascii="宋体" w:hAnsi="宋体"/>
                <w:kern w:val="0"/>
                <w:szCs w:val="21"/>
              </w:rPr>
              <w:t>4171</w:t>
            </w:r>
          </w:p>
        </w:tc>
        <w:tc>
          <w:tcPr>
            <w:tcW w:w="714" w:type="pct"/>
            <w:shd w:val="clear" w:color="auto" w:fill="auto"/>
            <w:noWrap/>
            <w:vAlign w:val="center"/>
          </w:tcPr>
          <w:p w14:paraId="253E115D">
            <w:pPr>
              <w:pStyle w:val="23"/>
              <w:jc w:val="center"/>
              <w:rPr>
                <w:rFonts w:ascii="宋体" w:hAnsi="宋体"/>
                <w:kern w:val="0"/>
                <w:szCs w:val="21"/>
              </w:rPr>
            </w:pPr>
            <w:r>
              <w:rPr>
                <w:rFonts w:ascii="宋体" w:hAnsi="宋体"/>
                <w:kern w:val="0"/>
                <w:szCs w:val="21"/>
              </w:rPr>
              <w:t>214</w:t>
            </w:r>
          </w:p>
        </w:tc>
        <w:tc>
          <w:tcPr>
            <w:tcW w:w="714" w:type="pct"/>
            <w:shd w:val="clear" w:color="auto" w:fill="auto"/>
            <w:noWrap/>
            <w:vAlign w:val="center"/>
          </w:tcPr>
          <w:p w14:paraId="764AD1DD">
            <w:pPr>
              <w:pStyle w:val="23"/>
              <w:jc w:val="center"/>
              <w:rPr>
                <w:rFonts w:ascii="宋体" w:hAnsi="宋体"/>
                <w:kern w:val="0"/>
                <w:szCs w:val="21"/>
              </w:rPr>
            </w:pPr>
            <w:r>
              <w:rPr>
                <w:rFonts w:ascii="宋体" w:hAnsi="宋体"/>
                <w:kern w:val="0"/>
                <w:szCs w:val="21"/>
              </w:rPr>
              <w:t>892</w:t>
            </w:r>
          </w:p>
        </w:tc>
        <w:tc>
          <w:tcPr>
            <w:tcW w:w="714" w:type="pct"/>
            <w:shd w:val="clear" w:color="auto" w:fill="auto"/>
            <w:noWrap/>
            <w:vAlign w:val="center"/>
          </w:tcPr>
          <w:p w14:paraId="72C203DA">
            <w:pPr>
              <w:pStyle w:val="23"/>
              <w:jc w:val="center"/>
              <w:rPr>
                <w:rFonts w:ascii="宋体" w:hAnsi="宋体"/>
                <w:kern w:val="0"/>
                <w:szCs w:val="21"/>
              </w:rPr>
            </w:pPr>
            <w:r>
              <w:rPr>
                <w:rFonts w:ascii="宋体" w:hAnsi="宋体"/>
                <w:kern w:val="0"/>
                <w:szCs w:val="21"/>
              </w:rPr>
              <w:t>古市</w:t>
            </w:r>
          </w:p>
        </w:tc>
        <w:tc>
          <w:tcPr>
            <w:tcW w:w="714" w:type="pct"/>
            <w:shd w:val="clear" w:color="auto" w:fill="auto"/>
            <w:noWrap/>
            <w:vAlign w:val="center"/>
          </w:tcPr>
          <w:p w14:paraId="683CF498">
            <w:pPr>
              <w:pStyle w:val="23"/>
              <w:jc w:val="center"/>
              <w:rPr>
                <w:rFonts w:ascii="宋体" w:hAnsi="宋体"/>
                <w:kern w:val="0"/>
                <w:szCs w:val="21"/>
              </w:rPr>
            </w:pPr>
            <w:r>
              <w:rPr>
                <w:rFonts w:ascii="宋体" w:hAnsi="宋体"/>
                <w:kern w:val="0"/>
                <w:szCs w:val="21"/>
              </w:rPr>
              <w:t>3500</w:t>
            </w:r>
          </w:p>
        </w:tc>
        <w:tc>
          <w:tcPr>
            <w:tcW w:w="714" w:type="pct"/>
            <w:shd w:val="clear" w:color="auto" w:fill="auto"/>
            <w:noWrap/>
            <w:vAlign w:val="center"/>
          </w:tcPr>
          <w:p w14:paraId="1286052C">
            <w:pPr>
              <w:pStyle w:val="23"/>
              <w:jc w:val="center"/>
              <w:rPr>
                <w:rFonts w:ascii="宋体" w:hAnsi="宋体"/>
                <w:kern w:val="0"/>
                <w:szCs w:val="21"/>
              </w:rPr>
            </w:pPr>
            <w:r>
              <w:rPr>
                <w:rFonts w:ascii="宋体" w:hAnsi="宋体"/>
                <w:kern w:val="0"/>
                <w:szCs w:val="21"/>
              </w:rPr>
              <w:t>214</w:t>
            </w:r>
          </w:p>
        </w:tc>
      </w:tr>
      <w:tr w14:paraId="1089E51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714" w:type="pct"/>
            <w:shd w:val="clear" w:color="auto" w:fill="auto"/>
            <w:noWrap/>
            <w:vAlign w:val="center"/>
          </w:tcPr>
          <w:p w14:paraId="487FE0A0">
            <w:pPr>
              <w:pStyle w:val="23"/>
              <w:jc w:val="center"/>
              <w:rPr>
                <w:rFonts w:ascii="宋体" w:hAnsi="宋体"/>
                <w:kern w:val="0"/>
                <w:szCs w:val="21"/>
              </w:rPr>
            </w:pPr>
            <w:r>
              <w:rPr>
                <w:rFonts w:ascii="宋体" w:hAnsi="宋体"/>
                <w:kern w:val="0"/>
                <w:szCs w:val="21"/>
              </w:rPr>
              <w:t>黄坑</w:t>
            </w:r>
          </w:p>
        </w:tc>
        <w:tc>
          <w:tcPr>
            <w:tcW w:w="714" w:type="pct"/>
            <w:shd w:val="clear" w:color="auto" w:fill="auto"/>
            <w:noWrap/>
            <w:vAlign w:val="center"/>
          </w:tcPr>
          <w:p w14:paraId="104AD8D7">
            <w:pPr>
              <w:pStyle w:val="23"/>
              <w:jc w:val="center"/>
              <w:rPr>
                <w:rFonts w:ascii="宋体" w:hAnsi="宋体"/>
                <w:kern w:val="0"/>
                <w:szCs w:val="21"/>
              </w:rPr>
            </w:pPr>
            <w:r>
              <w:rPr>
                <w:rFonts w:ascii="宋体" w:hAnsi="宋体"/>
                <w:kern w:val="0"/>
                <w:szCs w:val="21"/>
              </w:rPr>
              <w:t>7400</w:t>
            </w:r>
          </w:p>
        </w:tc>
        <w:tc>
          <w:tcPr>
            <w:tcW w:w="714" w:type="pct"/>
            <w:shd w:val="clear" w:color="auto" w:fill="auto"/>
            <w:noWrap/>
            <w:vAlign w:val="center"/>
          </w:tcPr>
          <w:p w14:paraId="6D9E9C5E">
            <w:pPr>
              <w:pStyle w:val="23"/>
              <w:jc w:val="center"/>
              <w:rPr>
                <w:rFonts w:ascii="宋体" w:hAnsi="宋体"/>
                <w:kern w:val="0"/>
                <w:szCs w:val="21"/>
              </w:rPr>
            </w:pPr>
            <w:r>
              <w:rPr>
                <w:rFonts w:ascii="宋体" w:hAnsi="宋体"/>
                <w:kern w:val="0"/>
                <w:szCs w:val="21"/>
              </w:rPr>
              <w:t>212</w:t>
            </w:r>
          </w:p>
        </w:tc>
        <w:tc>
          <w:tcPr>
            <w:tcW w:w="714" w:type="pct"/>
            <w:shd w:val="clear" w:color="auto" w:fill="auto"/>
            <w:noWrap/>
            <w:vAlign w:val="center"/>
          </w:tcPr>
          <w:p w14:paraId="1C5E946C">
            <w:pPr>
              <w:pStyle w:val="23"/>
              <w:jc w:val="center"/>
              <w:rPr>
                <w:rFonts w:ascii="宋体" w:hAnsi="宋体"/>
                <w:kern w:val="0"/>
                <w:szCs w:val="21"/>
              </w:rPr>
            </w:pPr>
            <w:r>
              <w:rPr>
                <w:rFonts w:ascii="宋体" w:hAnsi="宋体"/>
                <w:kern w:val="0"/>
                <w:szCs w:val="21"/>
              </w:rPr>
              <w:t>1572</w:t>
            </w:r>
          </w:p>
        </w:tc>
        <w:tc>
          <w:tcPr>
            <w:tcW w:w="714" w:type="pct"/>
            <w:shd w:val="clear" w:color="auto" w:fill="auto"/>
            <w:noWrap/>
            <w:vAlign w:val="center"/>
          </w:tcPr>
          <w:p w14:paraId="440A4EC7">
            <w:pPr>
              <w:pStyle w:val="23"/>
              <w:jc w:val="center"/>
              <w:rPr>
                <w:rFonts w:ascii="宋体" w:hAnsi="宋体"/>
                <w:kern w:val="0"/>
                <w:szCs w:val="21"/>
              </w:rPr>
            </w:pPr>
            <w:r>
              <w:rPr>
                <w:rFonts w:ascii="宋体" w:hAnsi="宋体"/>
                <w:kern w:val="0"/>
                <w:szCs w:val="21"/>
              </w:rPr>
              <w:t>全安</w:t>
            </w:r>
          </w:p>
        </w:tc>
        <w:tc>
          <w:tcPr>
            <w:tcW w:w="714" w:type="pct"/>
            <w:shd w:val="clear" w:color="auto" w:fill="auto"/>
            <w:noWrap/>
            <w:vAlign w:val="center"/>
          </w:tcPr>
          <w:p w14:paraId="2858469C">
            <w:pPr>
              <w:pStyle w:val="23"/>
              <w:jc w:val="center"/>
              <w:rPr>
                <w:rFonts w:ascii="宋体" w:hAnsi="宋体"/>
                <w:kern w:val="0"/>
                <w:szCs w:val="21"/>
              </w:rPr>
            </w:pPr>
            <w:r>
              <w:rPr>
                <w:rFonts w:ascii="宋体" w:hAnsi="宋体"/>
                <w:kern w:val="0"/>
                <w:szCs w:val="21"/>
              </w:rPr>
              <w:t>10500</w:t>
            </w:r>
          </w:p>
        </w:tc>
        <w:tc>
          <w:tcPr>
            <w:tcW w:w="714" w:type="pct"/>
            <w:shd w:val="clear" w:color="auto" w:fill="auto"/>
            <w:noWrap/>
            <w:vAlign w:val="center"/>
          </w:tcPr>
          <w:p w14:paraId="75F0AD45">
            <w:pPr>
              <w:pStyle w:val="23"/>
              <w:jc w:val="center"/>
              <w:rPr>
                <w:rFonts w:ascii="宋体" w:hAnsi="宋体"/>
                <w:kern w:val="0"/>
                <w:szCs w:val="21"/>
              </w:rPr>
            </w:pPr>
            <w:r>
              <w:rPr>
                <w:rFonts w:ascii="宋体" w:hAnsi="宋体"/>
                <w:kern w:val="0"/>
                <w:szCs w:val="21"/>
              </w:rPr>
              <w:t>209</w:t>
            </w:r>
          </w:p>
        </w:tc>
      </w:tr>
      <w:tr w14:paraId="2B97B94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714" w:type="pct"/>
            <w:shd w:val="clear" w:color="auto" w:fill="auto"/>
            <w:noWrap/>
            <w:vAlign w:val="center"/>
          </w:tcPr>
          <w:p w14:paraId="3A49760C">
            <w:pPr>
              <w:pStyle w:val="23"/>
              <w:jc w:val="center"/>
              <w:rPr>
                <w:rFonts w:ascii="宋体" w:hAnsi="宋体"/>
                <w:kern w:val="0"/>
                <w:szCs w:val="21"/>
              </w:rPr>
            </w:pPr>
            <w:r>
              <w:rPr>
                <w:rFonts w:ascii="宋体" w:hAnsi="宋体"/>
                <w:kern w:val="0"/>
                <w:szCs w:val="21"/>
              </w:rPr>
              <w:t>邓坊</w:t>
            </w:r>
          </w:p>
        </w:tc>
        <w:tc>
          <w:tcPr>
            <w:tcW w:w="714" w:type="pct"/>
            <w:shd w:val="clear" w:color="auto" w:fill="auto"/>
            <w:noWrap/>
            <w:vAlign w:val="center"/>
          </w:tcPr>
          <w:p w14:paraId="5EAB1186">
            <w:pPr>
              <w:pStyle w:val="23"/>
              <w:jc w:val="center"/>
              <w:rPr>
                <w:rFonts w:ascii="宋体" w:hAnsi="宋体"/>
                <w:kern w:val="0"/>
                <w:szCs w:val="21"/>
              </w:rPr>
            </w:pPr>
            <w:r>
              <w:rPr>
                <w:rFonts w:ascii="宋体" w:hAnsi="宋体"/>
                <w:kern w:val="0"/>
                <w:szCs w:val="21"/>
              </w:rPr>
              <w:t>4066</w:t>
            </w:r>
          </w:p>
        </w:tc>
        <w:tc>
          <w:tcPr>
            <w:tcW w:w="714" w:type="pct"/>
            <w:shd w:val="clear" w:color="auto" w:fill="auto"/>
            <w:noWrap/>
            <w:vAlign w:val="center"/>
          </w:tcPr>
          <w:p w14:paraId="4E4F91C2">
            <w:pPr>
              <w:pStyle w:val="23"/>
              <w:jc w:val="center"/>
              <w:rPr>
                <w:rFonts w:ascii="宋体" w:hAnsi="宋体"/>
                <w:kern w:val="0"/>
                <w:szCs w:val="21"/>
              </w:rPr>
            </w:pPr>
            <w:r>
              <w:rPr>
                <w:rFonts w:ascii="宋体" w:hAnsi="宋体"/>
                <w:kern w:val="0"/>
                <w:szCs w:val="21"/>
              </w:rPr>
              <w:t>212</w:t>
            </w:r>
          </w:p>
        </w:tc>
        <w:tc>
          <w:tcPr>
            <w:tcW w:w="714" w:type="pct"/>
            <w:shd w:val="clear" w:color="auto" w:fill="auto"/>
            <w:noWrap/>
            <w:vAlign w:val="center"/>
          </w:tcPr>
          <w:p w14:paraId="0C430391">
            <w:pPr>
              <w:pStyle w:val="23"/>
              <w:jc w:val="center"/>
              <w:rPr>
                <w:rFonts w:ascii="宋体" w:hAnsi="宋体"/>
                <w:kern w:val="0"/>
                <w:szCs w:val="21"/>
              </w:rPr>
            </w:pPr>
            <w:r>
              <w:rPr>
                <w:rFonts w:ascii="宋体" w:hAnsi="宋体"/>
                <w:kern w:val="0"/>
                <w:szCs w:val="21"/>
              </w:rPr>
              <w:t>864</w:t>
            </w:r>
          </w:p>
        </w:tc>
        <w:tc>
          <w:tcPr>
            <w:tcW w:w="714" w:type="pct"/>
            <w:shd w:val="clear" w:color="auto" w:fill="auto"/>
            <w:noWrap/>
            <w:vAlign w:val="center"/>
          </w:tcPr>
          <w:p w14:paraId="2BA5FF0C">
            <w:pPr>
              <w:pStyle w:val="23"/>
              <w:jc w:val="center"/>
              <w:rPr>
                <w:rFonts w:ascii="宋体" w:hAnsi="宋体"/>
                <w:kern w:val="0"/>
                <w:szCs w:val="21"/>
              </w:rPr>
            </w:pPr>
            <w:r>
              <w:rPr>
                <w:rFonts w:ascii="宋体" w:hAnsi="宋体"/>
                <w:kern w:val="0"/>
                <w:szCs w:val="21"/>
              </w:rPr>
              <w:t>百顺</w:t>
            </w:r>
          </w:p>
        </w:tc>
        <w:tc>
          <w:tcPr>
            <w:tcW w:w="714" w:type="pct"/>
            <w:shd w:val="clear" w:color="auto" w:fill="auto"/>
            <w:noWrap/>
            <w:vAlign w:val="center"/>
          </w:tcPr>
          <w:p w14:paraId="6E46C14F">
            <w:pPr>
              <w:pStyle w:val="23"/>
              <w:jc w:val="center"/>
              <w:rPr>
                <w:rFonts w:ascii="宋体" w:hAnsi="宋体"/>
                <w:kern w:val="0"/>
                <w:szCs w:val="21"/>
              </w:rPr>
            </w:pPr>
            <w:r>
              <w:rPr>
                <w:rFonts w:ascii="宋体" w:hAnsi="宋体"/>
                <w:kern w:val="0"/>
                <w:szCs w:val="21"/>
              </w:rPr>
              <w:t>2725</w:t>
            </w:r>
          </w:p>
        </w:tc>
        <w:tc>
          <w:tcPr>
            <w:tcW w:w="714" w:type="pct"/>
            <w:shd w:val="clear" w:color="auto" w:fill="auto"/>
            <w:noWrap/>
            <w:vAlign w:val="center"/>
          </w:tcPr>
          <w:p w14:paraId="6CD1D1EF">
            <w:pPr>
              <w:pStyle w:val="23"/>
              <w:jc w:val="center"/>
              <w:rPr>
                <w:rFonts w:ascii="宋体" w:hAnsi="宋体"/>
                <w:kern w:val="0"/>
                <w:szCs w:val="21"/>
              </w:rPr>
            </w:pPr>
            <w:r>
              <w:rPr>
                <w:rFonts w:ascii="宋体" w:hAnsi="宋体"/>
                <w:kern w:val="0"/>
                <w:szCs w:val="21"/>
              </w:rPr>
              <w:t>208</w:t>
            </w:r>
          </w:p>
        </w:tc>
      </w:tr>
      <w:tr w14:paraId="48C54CD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714" w:type="pct"/>
            <w:shd w:val="clear" w:color="auto" w:fill="auto"/>
            <w:noWrap/>
            <w:vAlign w:val="center"/>
          </w:tcPr>
          <w:p w14:paraId="65829E77">
            <w:pPr>
              <w:pStyle w:val="23"/>
              <w:jc w:val="center"/>
              <w:rPr>
                <w:rFonts w:ascii="宋体" w:hAnsi="宋体"/>
                <w:kern w:val="0"/>
                <w:szCs w:val="21"/>
              </w:rPr>
            </w:pPr>
            <w:r>
              <w:rPr>
                <w:rFonts w:ascii="宋体" w:hAnsi="宋体"/>
                <w:kern w:val="0"/>
                <w:szCs w:val="21"/>
              </w:rPr>
              <w:t>油山</w:t>
            </w:r>
          </w:p>
        </w:tc>
        <w:tc>
          <w:tcPr>
            <w:tcW w:w="714" w:type="pct"/>
            <w:shd w:val="clear" w:color="auto" w:fill="auto"/>
            <w:noWrap/>
            <w:vAlign w:val="center"/>
          </w:tcPr>
          <w:p w14:paraId="7C71E608">
            <w:pPr>
              <w:pStyle w:val="23"/>
              <w:jc w:val="center"/>
              <w:rPr>
                <w:rFonts w:ascii="宋体" w:hAnsi="宋体"/>
                <w:kern w:val="0"/>
                <w:szCs w:val="21"/>
              </w:rPr>
            </w:pPr>
            <w:r>
              <w:rPr>
                <w:rFonts w:ascii="宋体" w:hAnsi="宋体"/>
                <w:kern w:val="0"/>
                <w:szCs w:val="21"/>
              </w:rPr>
              <w:t>7796</w:t>
            </w:r>
          </w:p>
        </w:tc>
        <w:tc>
          <w:tcPr>
            <w:tcW w:w="714" w:type="pct"/>
            <w:shd w:val="clear" w:color="auto" w:fill="auto"/>
            <w:noWrap/>
            <w:vAlign w:val="center"/>
          </w:tcPr>
          <w:p w14:paraId="79ADB89C">
            <w:pPr>
              <w:pStyle w:val="23"/>
              <w:jc w:val="center"/>
              <w:rPr>
                <w:rFonts w:ascii="宋体" w:hAnsi="宋体"/>
                <w:kern w:val="0"/>
                <w:szCs w:val="21"/>
              </w:rPr>
            </w:pPr>
            <w:r>
              <w:rPr>
                <w:rFonts w:ascii="宋体" w:hAnsi="宋体"/>
                <w:kern w:val="0"/>
                <w:szCs w:val="21"/>
              </w:rPr>
              <w:t>213</w:t>
            </w:r>
          </w:p>
        </w:tc>
        <w:tc>
          <w:tcPr>
            <w:tcW w:w="714" w:type="pct"/>
            <w:shd w:val="clear" w:color="auto" w:fill="auto"/>
            <w:noWrap/>
            <w:vAlign w:val="center"/>
          </w:tcPr>
          <w:p w14:paraId="6E7A0454">
            <w:pPr>
              <w:pStyle w:val="23"/>
              <w:jc w:val="center"/>
              <w:rPr>
                <w:rFonts w:ascii="宋体" w:hAnsi="宋体"/>
                <w:kern w:val="0"/>
                <w:szCs w:val="21"/>
              </w:rPr>
            </w:pPr>
            <w:r>
              <w:rPr>
                <w:rFonts w:ascii="宋体" w:hAnsi="宋体"/>
                <w:kern w:val="0"/>
                <w:szCs w:val="21"/>
              </w:rPr>
              <w:t>1658</w:t>
            </w:r>
          </w:p>
        </w:tc>
        <w:tc>
          <w:tcPr>
            <w:tcW w:w="714" w:type="pct"/>
            <w:shd w:val="clear" w:color="auto" w:fill="auto"/>
            <w:noWrap/>
            <w:vAlign w:val="center"/>
          </w:tcPr>
          <w:p w14:paraId="3C77977D">
            <w:pPr>
              <w:pStyle w:val="23"/>
              <w:jc w:val="center"/>
              <w:rPr>
                <w:rFonts w:ascii="宋体" w:hAnsi="宋体"/>
                <w:kern w:val="0"/>
                <w:szCs w:val="21"/>
              </w:rPr>
            </w:pPr>
            <w:r>
              <w:rPr>
                <w:rFonts w:ascii="宋体" w:hAnsi="宋体"/>
                <w:kern w:val="0"/>
                <w:szCs w:val="21"/>
              </w:rPr>
              <w:t>澜河</w:t>
            </w:r>
          </w:p>
        </w:tc>
        <w:tc>
          <w:tcPr>
            <w:tcW w:w="714" w:type="pct"/>
            <w:shd w:val="clear" w:color="auto" w:fill="auto"/>
            <w:noWrap/>
            <w:vAlign w:val="center"/>
          </w:tcPr>
          <w:p w14:paraId="2CDD4C5A">
            <w:pPr>
              <w:pStyle w:val="23"/>
              <w:jc w:val="center"/>
              <w:rPr>
                <w:rFonts w:ascii="宋体" w:hAnsi="宋体"/>
                <w:kern w:val="0"/>
                <w:szCs w:val="21"/>
              </w:rPr>
            </w:pPr>
            <w:r>
              <w:rPr>
                <w:rFonts w:ascii="宋体" w:hAnsi="宋体"/>
                <w:kern w:val="0"/>
                <w:szCs w:val="21"/>
              </w:rPr>
              <w:t>2206</w:t>
            </w:r>
          </w:p>
        </w:tc>
        <w:tc>
          <w:tcPr>
            <w:tcW w:w="714" w:type="pct"/>
            <w:shd w:val="clear" w:color="auto" w:fill="auto"/>
            <w:noWrap/>
            <w:vAlign w:val="center"/>
          </w:tcPr>
          <w:p w14:paraId="7A42B0C6">
            <w:pPr>
              <w:pStyle w:val="23"/>
              <w:jc w:val="center"/>
              <w:rPr>
                <w:rFonts w:ascii="宋体" w:hAnsi="宋体"/>
                <w:kern w:val="0"/>
                <w:szCs w:val="21"/>
              </w:rPr>
            </w:pPr>
            <w:r>
              <w:rPr>
                <w:rFonts w:ascii="宋体" w:hAnsi="宋体"/>
                <w:kern w:val="0"/>
                <w:szCs w:val="21"/>
              </w:rPr>
              <w:t>212</w:t>
            </w:r>
          </w:p>
        </w:tc>
      </w:tr>
      <w:tr w14:paraId="3093906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714" w:type="pct"/>
            <w:shd w:val="clear" w:color="auto" w:fill="auto"/>
            <w:noWrap/>
            <w:vAlign w:val="center"/>
          </w:tcPr>
          <w:p w14:paraId="04636FEF">
            <w:pPr>
              <w:pStyle w:val="23"/>
              <w:jc w:val="center"/>
              <w:rPr>
                <w:rFonts w:ascii="宋体" w:hAnsi="宋体"/>
                <w:kern w:val="0"/>
                <w:szCs w:val="21"/>
              </w:rPr>
            </w:pPr>
            <w:r>
              <w:rPr>
                <w:rFonts w:ascii="宋体" w:hAnsi="宋体"/>
                <w:kern w:val="0"/>
                <w:szCs w:val="21"/>
              </w:rPr>
              <w:t>南亩</w:t>
            </w:r>
          </w:p>
        </w:tc>
        <w:tc>
          <w:tcPr>
            <w:tcW w:w="714" w:type="pct"/>
            <w:shd w:val="clear" w:color="auto" w:fill="auto"/>
            <w:noWrap/>
            <w:vAlign w:val="center"/>
          </w:tcPr>
          <w:p w14:paraId="24829BA2">
            <w:pPr>
              <w:pStyle w:val="23"/>
              <w:jc w:val="center"/>
              <w:rPr>
                <w:rFonts w:ascii="宋体" w:hAnsi="宋体"/>
                <w:kern w:val="0"/>
                <w:szCs w:val="21"/>
              </w:rPr>
            </w:pPr>
            <w:r>
              <w:rPr>
                <w:rFonts w:ascii="宋体" w:hAnsi="宋体"/>
                <w:kern w:val="0"/>
                <w:szCs w:val="21"/>
              </w:rPr>
              <w:t>6981</w:t>
            </w:r>
          </w:p>
        </w:tc>
        <w:tc>
          <w:tcPr>
            <w:tcW w:w="714" w:type="pct"/>
            <w:shd w:val="clear" w:color="auto" w:fill="auto"/>
            <w:noWrap/>
            <w:vAlign w:val="center"/>
          </w:tcPr>
          <w:p w14:paraId="25EECFF3">
            <w:pPr>
              <w:pStyle w:val="23"/>
              <w:jc w:val="center"/>
              <w:rPr>
                <w:rFonts w:ascii="宋体" w:hAnsi="宋体"/>
                <w:kern w:val="0"/>
                <w:szCs w:val="21"/>
              </w:rPr>
            </w:pPr>
            <w:r>
              <w:rPr>
                <w:rFonts w:ascii="宋体" w:hAnsi="宋体"/>
                <w:kern w:val="0"/>
                <w:szCs w:val="21"/>
              </w:rPr>
              <w:t>213</w:t>
            </w:r>
          </w:p>
        </w:tc>
        <w:tc>
          <w:tcPr>
            <w:tcW w:w="714" w:type="pct"/>
            <w:shd w:val="clear" w:color="auto" w:fill="auto"/>
            <w:noWrap/>
            <w:vAlign w:val="center"/>
          </w:tcPr>
          <w:p w14:paraId="45E7A666">
            <w:pPr>
              <w:pStyle w:val="23"/>
              <w:jc w:val="center"/>
              <w:rPr>
                <w:rFonts w:ascii="宋体" w:hAnsi="宋体"/>
                <w:kern w:val="0"/>
                <w:szCs w:val="21"/>
              </w:rPr>
            </w:pPr>
            <w:r>
              <w:rPr>
                <w:rFonts w:ascii="宋体" w:hAnsi="宋体"/>
                <w:kern w:val="0"/>
                <w:szCs w:val="21"/>
              </w:rPr>
              <w:t>1488</w:t>
            </w:r>
          </w:p>
        </w:tc>
        <w:tc>
          <w:tcPr>
            <w:tcW w:w="714" w:type="pct"/>
            <w:shd w:val="clear" w:color="auto" w:fill="auto"/>
            <w:noWrap/>
            <w:vAlign w:val="center"/>
          </w:tcPr>
          <w:p w14:paraId="1143CB5B">
            <w:pPr>
              <w:pStyle w:val="23"/>
              <w:jc w:val="center"/>
              <w:rPr>
                <w:rFonts w:ascii="宋体" w:hAnsi="宋体"/>
                <w:kern w:val="0"/>
                <w:szCs w:val="21"/>
              </w:rPr>
            </w:pPr>
            <w:r>
              <w:rPr>
                <w:rFonts w:ascii="宋体" w:hAnsi="宋体"/>
                <w:kern w:val="0"/>
                <w:szCs w:val="21"/>
              </w:rPr>
              <w:t>帽子峰</w:t>
            </w:r>
          </w:p>
        </w:tc>
        <w:tc>
          <w:tcPr>
            <w:tcW w:w="714" w:type="pct"/>
            <w:shd w:val="clear" w:color="auto" w:fill="auto"/>
            <w:noWrap/>
            <w:vAlign w:val="center"/>
          </w:tcPr>
          <w:p w14:paraId="1CF4BC37">
            <w:pPr>
              <w:pStyle w:val="23"/>
              <w:jc w:val="center"/>
              <w:rPr>
                <w:rFonts w:ascii="宋体" w:hAnsi="宋体"/>
                <w:kern w:val="0"/>
                <w:szCs w:val="21"/>
              </w:rPr>
            </w:pPr>
            <w:r>
              <w:rPr>
                <w:rFonts w:ascii="宋体" w:hAnsi="宋体"/>
                <w:kern w:val="0"/>
                <w:szCs w:val="21"/>
              </w:rPr>
              <w:t>2438</w:t>
            </w:r>
          </w:p>
        </w:tc>
        <w:tc>
          <w:tcPr>
            <w:tcW w:w="714" w:type="pct"/>
            <w:shd w:val="clear" w:color="auto" w:fill="auto"/>
            <w:noWrap/>
            <w:vAlign w:val="center"/>
          </w:tcPr>
          <w:p w14:paraId="7FD2901E">
            <w:pPr>
              <w:pStyle w:val="23"/>
              <w:jc w:val="center"/>
              <w:rPr>
                <w:rFonts w:ascii="宋体" w:hAnsi="宋体"/>
                <w:kern w:val="0"/>
                <w:szCs w:val="21"/>
              </w:rPr>
            </w:pPr>
            <w:r>
              <w:rPr>
                <w:rFonts w:ascii="宋体" w:hAnsi="宋体"/>
                <w:kern w:val="0"/>
                <w:szCs w:val="21"/>
              </w:rPr>
              <w:t>207</w:t>
            </w:r>
          </w:p>
        </w:tc>
      </w:tr>
      <w:tr w14:paraId="13CA44A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714" w:type="pct"/>
            <w:shd w:val="clear" w:color="auto" w:fill="auto"/>
            <w:noWrap/>
            <w:vAlign w:val="center"/>
          </w:tcPr>
          <w:p w14:paraId="465A722A">
            <w:pPr>
              <w:pStyle w:val="23"/>
              <w:jc w:val="center"/>
              <w:rPr>
                <w:rFonts w:ascii="宋体" w:hAnsi="宋体"/>
                <w:kern w:val="0"/>
                <w:szCs w:val="21"/>
              </w:rPr>
            </w:pPr>
            <w:r>
              <w:rPr>
                <w:rFonts w:ascii="宋体" w:hAnsi="宋体"/>
                <w:kern w:val="0"/>
                <w:szCs w:val="21"/>
              </w:rPr>
              <w:t>水口</w:t>
            </w:r>
          </w:p>
        </w:tc>
        <w:tc>
          <w:tcPr>
            <w:tcW w:w="714" w:type="pct"/>
            <w:shd w:val="clear" w:color="auto" w:fill="auto"/>
            <w:noWrap/>
            <w:vAlign w:val="center"/>
          </w:tcPr>
          <w:p w14:paraId="308A676C">
            <w:pPr>
              <w:pStyle w:val="23"/>
              <w:jc w:val="center"/>
              <w:rPr>
                <w:rFonts w:ascii="宋体" w:hAnsi="宋体"/>
                <w:kern w:val="0"/>
                <w:szCs w:val="21"/>
              </w:rPr>
            </w:pPr>
            <w:r>
              <w:rPr>
                <w:rFonts w:ascii="宋体" w:hAnsi="宋体"/>
                <w:kern w:val="0"/>
                <w:szCs w:val="21"/>
              </w:rPr>
              <w:t>5025</w:t>
            </w:r>
          </w:p>
        </w:tc>
        <w:tc>
          <w:tcPr>
            <w:tcW w:w="714" w:type="pct"/>
            <w:shd w:val="clear" w:color="auto" w:fill="auto"/>
            <w:noWrap/>
            <w:vAlign w:val="center"/>
          </w:tcPr>
          <w:p w14:paraId="76BBC30D">
            <w:pPr>
              <w:pStyle w:val="23"/>
              <w:jc w:val="center"/>
              <w:rPr>
                <w:rFonts w:ascii="宋体" w:hAnsi="宋体"/>
                <w:kern w:val="0"/>
                <w:szCs w:val="21"/>
              </w:rPr>
            </w:pPr>
            <w:r>
              <w:rPr>
                <w:rFonts w:ascii="宋体" w:hAnsi="宋体"/>
                <w:kern w:val="0"/>
                <w:szCs w:val="21"/>
              </w:rPr>
              <w:t>212</w:t>
            </w:r>
          </w:p>
        </w:tc>
        <w:tc>
          <w:tcPr>
            <w:tcW w:w="714" w:type="pct"/>
            <w:shd w:val="clear" w:color="auto" w:fill="auto"/>
            <w:noWrap/>
            <w:vAlign w:val="center"/>
          </w:tcPr>
          <w:p w14:paraId="5A36DBA9">
            <w:pPr>
              <w:pStyle w:val="23"/>
              <w:jc w:val="center"/>
              <w:rPr>
                <w:rFonts w:ascii="宋体" w:hAnsi="宋体"/>
                <w:kern w:val="0"/>
                <w:szCs w:val="21"/>
              </w:rPr>
            </w:pPr>
            <w:r>
              <w:rPr>
                <w:rFonts w:ascii="宋体" w:hAnsi="宋体"/>
                <w:kern w:val="0"/>
                <w:szCs w:val="21"/>
              </w:rPr>
              <w:t>1067</w:t>
            </w:r>
          </w:p>
        </w:tc>
        <w:tc>
          <w:tcPr>
            <w:tcW w:w="714" w:type="pct"/>
            <w:shd w:val="clear" w:color="auto" w:fill="auto"/>
            <w:noWrap/>
            <w:vAlign w:val="center"/>
          </w:tcPr>
          <w:p w14:paraId="24037E26">
            <w:pPr>
              <w:pStyle w:val="23"/>
              <w:jc w:val="center"/>
              <w:rPr>
                <w:rFonts w:ascii="宋体" w:hAnsi="宋体"/>
                <w:kern w:val="0"/>
                <w:szCs w:val="21"/>
              </w:rPr>
            </w:pPr>
            <w:r>
              <w:rPr>
                <w:rFonts w:ascii="宋体" w:hAnsi="宋体"/>
                <w:kern w:val="0"/>
                <w:szCs w:val="21"/>
              </w:rPr>
              <w:t>雄州街道</w:t>
            </w:r>
          </w:p>
        </w:tc>
        <w:tc>
          <w:tcPr>
            <w:tcW w:w="714" w:type="pct"/>
            <w:shd w:val="clear" w:color="auto" w:fill="auto"/>
            <w:noWrap/>
            <w:vAlign w:val="center"/>
          </w:tcPr>
          <w:p w14:paraId="0A72A858">
            <w:pPr>
              <w:pStyle w:val="23"/>
              <w:jc w:val="center"/>
              <w:rPr>
                <w:rFonts w:ascii="宋体" w:hAnsi="宋体"/>
                <w:kern w:val="0"/>
                <w:szCs w:val="21"/>
              </w:rPr>
            </w:pPr>
            <w:r>
              <w:rPr>
                <w:rFonts w:ascii="宋体" w:hAnsi="宋体"/>
                <w:kern w:val="0"/>
                <w:szCs w:val="21"/>
              </w:rPr>
              <w:t>6228</w:t>
            </w:r>
          </w:p>
        </w:tc>
        <w:tc>
          <w:tcPr>
            <w:tcW w:w="714" w:type="pct"/>
            <w:shd w:val="clear" w:color="auto" w:fill="auto"/>
            <w:noWrap/>
            <w:vAlign w:val="center"/>
          </w:tcPr>
          <w:p w14:paraId="38B2F5D2">
            <w:pPr>
              <w:pStyle w:val="23"/>
              <w:jc w:val="center"/>
              <w:rPr>
                <w:rFonts w:ascii="宋体" w:hAnsi="宋体"/>
                <w:kern w:val="0"/>
                <w:szCs w:val="21"/>
              </w:rPr>
            </w:pPr>
            <w:r>
              <w:rPr>
                <w:rFonts w:ascii="宋体" w:hAnsi="宋体"/>
                <w:kern w:val="0"/>
                <w:szCs w:val="21"/>
              </w:rPr>
              <w:t>210</w:t>
            </w:r>
          </w:p>
        </w:tc>
      </w:tr>
      <w:tr w14:paraId="22629B9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714" w:type="pct"/>
            <w:shd w:val="clear" w:color="auto" w:fill="auto"/>
            <w:noWrap/>
            <w:vAlign w:val="center"/>
          </w:tcPr>
          <w:p w14:paraId="263D45AA">
            <w:pPr>
              <w:pStyle w:val="23"/>
              <w:jc w:val="center"/>
              <w:rPr>
                <w:rFonts w:ascii="宋体" w:hAnsi="宋体"/>
                <w:kern w:val="0"/>
                <w:szCs w:val="21"/>
              </w:rPr>
            </w:pPr>
            <w:r>
              <w:rPr>
                <w:rFonts w:ascii="宋体" w:hAnsi="宋体"/>
                <w:kern w:val="0"/>
                <w:szCs w:val="21"/>
              </w:rPr>
              <w:t>江头</w:t>
            </w:r>
          </w:p>
        </w:tc>
        <w:tc>
          <w:tcPr>
            <w:tcW w:w="714" w:type="pct"/>
            <w:shd w:val="clear" w:color="auto" w:fill="auto"/>
            <w:noWrap/>
            <w:vAlign w:val="center"/>
          </w:tcPr>
          <w:p w14:paraId="1D04DBDB">
            <w:pPr>
              <w:pStyle w:val="23"/>
              <w:jc w:val="center"/>
              <w:rPr>
                <w:rFonts w:ascii="宋体" w:hAnsi="宋体"/>
                <w:kern w:val="0"/>
                <w:szCs w:val="21"/>
              </w:rPr>
            </w:pPr>
            <w:r>
              <w:rPr>
                <w:rFonts w:ascii="宋体" w:hAnsi="宋体"/>
                <w:kern w:val="0"/>
                <w:szCs w:val="21"/>
              </w:rPr>
              <w:t>3160</w:t>
            </w:r>
          </w:p>
        </w:tc>
        <w:tc>
          <w:tcPr>
            <w:tcW w:w="714" w:type="pct"/>
            <w:shd w:val="clear" w:color="auto" w:fill="auto"/>
            <w:noWrap/>
            <w:vAlign w:val="center"/>
          </w:tcPr>
          <w:p w14:paraId="547BA2BE">
            <w:pPr>
              <w:pStyle w:val="23"/>
              <w:jc w:val="center"/>
              <w:rPr>
                <w:rFonts w:ascii="宋体" w:hAnsi="宋体"/>
                <w:kern w:val="0"/>
                <w:szCs w:val="21"/>
              </w:rPr>
            </w:pPr>
            <w:r>
              <w:rPr>
                <w:rFonts w:ascii="宋体" w:hAnsi="宋体"/>
                <w:kern w:val="0"/>
                <w:szCs w:val="21"/>
              </w:rPr>
              <w:t>214</w:t>
            </w:r>
          </w:p>
        </w:tc>
        <w:tc>
          <w:tcPr>
            <w:tcW w:w="714" w:type="pct"/>
            <w:shd w:val="clear" w:color="auto" w:fill="auto"/>
            <w:noWrap/>
            <w:vAlign w:val="center"/>
          </w:tcPr>
          <w:p w14:paraId="703FBC45">
            <w:pPr>
              <w:pStyle w:val="23"/>
              <w:jc w:val="center"/>
              <w:rPr>
                <w:rFonts w:ascii="宋体" w:hAnsi="宋体"/>
                <w:kern w:val="0"/>
                <w:szCs w:val="21"/>
              </w:rPr>
            </w:pPr>
            <w:r>
              <w:rPr>
                <w:rFonts w:ascii="宋体" w:hAnsi="宋体"/>
                <w:kern w:val="0"/>
                <w:szCs w:val="21"/>
              </w:rPr>
              <w:t>676</w:t>
            </w:r>
          </w:p>
        </w:tc>
        <w:tc>
          <w:tcPr>
            <w:tcW w:w="714" w:type="pct"/>
            <w:shd w:val="clear" w:color="auto" w:fill="auto"/>
            <w:noWrap/>
            <w:vAlign w:val="center"/>
          </w:tcPr>
          <w:p w14:paraId="0998497E">
            <w:pPr>
              <w:pStyle w:val="23"/>
              <w:jc w:val="center"/>
              <w:rPr>
                <w:rFonts w:ascii="宋体" w:hAnsi="宋体"/>
                <w:kern w:val="0"/>
                <w:szCs w:val="21"/>
              </w:rPr>
            </w:pPr>
          </w:p>
        </w:tc>
        <w:tc>
          <w:tcPr>
            <w:tcW w:w="714" w:type="pct"/>
            <w:shd w:val="clear" w:color="auto" w:fill="auto"/>
            <w:noWrap/>
            <w:vAlign w:val="center"/>
          </w:tcPr>
          <w:p w14:paraId="79D3F0DF">
            <w:pPr>
              <w:pStyle w:val="23"/>
              <w:jc w:val="center"/>
              <w:rPr>
                <w:rFonts w:ascii="宋体" w:hAnsi="宋体"/>
                <w:kern w:val="0"/>
                <w:szCs w:val="21"/>
              </w:rPr>
            </w:pPr>
          </w:p>
        </w:tc>
        <w:tc>
          <w:tcPr>
            <w:tcW w:w="714" w:type="pct"/>
            <w:shd w:val="clear" w:color="auto" w:fill="auto"/>
            <w:noWrap/>
            <w:vAlign w:val="center"/>
          </w:tcPr>
          <w:p w14:paraId="55A754FB">
            <w:pPr>
              <w:pStyle w:val="23"/>
              <w:jc w:val="center"/>
              <w:rPr>
                <w:rFonts w:ascii="宋体" w:hAnsi="宋体"/>
                <w:kern w:val="0"/>
                <w:szCs w:val="21"/>
              </w:rPr>
            </w:pPr>
          </w:p>
        </w:tc>
      </w:tr>
    </w:tbl>
    <w:p w14:paraId="690623CF">
      <w:pPr>
        <w:ind w:firstLine="0" w:firstLineChars="0"/>
        <w:jc w:val="center"/>
        <w:rPr>
          <w:rFonts w:ascii="宋体" w:hAnsi="宋体"/>
          <w:b/>
          <w:szCs w:val="21"/>
        </w:rPr>
      </w:pPr>
      <w:r>
        <w:rPr>
          <w:rFonts w:hint="eastAsia" w:ascii="宋体" w:hAnsi="宋体"/>
          <w:b/>
          <w:szCs w:val="21"/>
        </w:rPr>
        <w:t>表57 分镇畜牧业生产情况</w:t>
      </w:r>
    </w:p>
    <w:tbl>
      <w:tblPr>
        <w:tblStyle w:val="14"/>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30" w:type="dxa"/>
          <w:bottom w:w="0" w:type="dxa"/>
          <w:right w:w="30" w:type="dxa"/>
        </w:tblCellMar>
      </w:tblPr>
      <w:tblGrid>
        <w:gridCol w:w="1961"/>
        <w:gridCol w:w="1963"/>
        <w:gridCol w:w="1961"/>
        <w:gridCol w:w="1963"/>
        <w:gridCol w:w="1958"/>
      </w:tblGrid>
      <w:tr w14:paraId="341453A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000" w:type="pct"/>
            <w:vAlign w:val="center"/>
          </w:tcPr>
          <w:p w14:paraId="78E7738B">
            <w:pPr>
              <w:pStyle w:val="23"/>
              <w:jc w:val="center"/>
              <w:rPr>
                <w:rFonts w:ascii="宋体" w:hAnsi="宋体"/>
                <w:b/>
                <w:kern w:val="0"/>
                <w:szCs w:val="21"/>
              </w:rPr>
            </w:pPr>
            <w:r>
              <w:rPr>
                <w:rFonts w:ascii="宋体" w:hAnsi="宋体"/>
                <w:b/>
                <w:kern w:val="0"/>
                <w:szCs w:val="21"/>
              </w:rPr>
              <w:t>单位名称</w:t>
            </w:r>
          </w:p>
        </w:tc>
        <w:tc>
          <w:tcPr>
            <w:tcW w:w="1001" w:type="pct"/>
            <w:vAlign w:val="center"/>
          </w:tcPr>
          <w:p w14:paraId="3851F4D0">
            <w:pPr>
              <w:pStyle w:val="23"/>
              <w:jc w:val="center"/>
              <w:rPr>
                <w:rFonts w:ascii="宋体" w:hAnsi="宋体"/>
                <w:b/>
                <w:kern w:val="0"/>
                <w:szCs w:val="21"/>
              </w:rPr>
            </w:pPr>
            <w:r>
              <w:rPr>
                <w:rFonts w:ascii="宋体" w:hAnsi="宋体"/>
                <w:b/>
                <w:kern w:val="0"/>
                <w:szCs w:val="21"/>
              </w:rPr>
              <w:t>生猪存栏量(头)</w:t>
            </w:r>
          </w:p>
        </w:tc>
        <w:tc>
          <w:tcPr>
            <w:tcW w:w="1000" w:type="pct"/>
            <w:vAlign w:val="center"/>
          </w:tcPr>
          <w:p w14:paraId="2851A37F">
            <w:pPr>
              <w:pStyle w:val="23"/>
              <w:jc w:val="center"/>
              <w:rPr>
                <w:rFonts w:ascii="宋体" w:hAnsi="宋体"/>
                <w:b/>
                <w:kern w:val="0"/>
                <w:szCs w:val="21"/>
              </w:rPr>
            </w:pPr>
            <w:r>
              <w:rPr>
                <w:rFonts w:ascii="宋体" w:hAnsi="宋体"/>
                <w:b/>
                <w:kern w:val="0"/>
                <w:szCs w:val="21"/>
              </w:rPr>
              <w:t>生猪出栏量(头)</w:t>
            </w:r>
          </w:p>
        </w:tc>
        <w:tc>
          <w:tcPr>
            <w:tcW w:w="1001" w:type="pct"/>
            <w:vAlign w:val="center"/>
          </w:tcPr>
          <w:p w14:paraId="568DABD4">
            <w:pPr>
              <w:pStyle w:val="23"/>
              <w:jc w:val="center"/>
              <w:rPr>
                <w:rFonts w:ascii="宋体" w:hAnsi="宋体"/>
                <w:b/>
                <w:kern w:val="0"/>
                <w:szCs w:val="21"/>
              </w:rPr>
            </w:pPr>
            <w:r>
              <w:rPr>
                <w:rFonts w:ascii="宋体" w:hAnsi="宋体"/>
                <w:b/>
                <w:kern w:val="0"/>
                <w:szCs w:val="21"/>
              </w:rPr>
              <w:t>牛存栏量(头)</w:t>
            </w:r>
          </w:p>
        </w:tc>
        <w:tc>
          <w:tcPr>
            <w:tcW w:w="1000" w:type="pct"/>
            <w:vAlign w:val="center"/>
          </w:tcPr>
          <w:p w14:paraId="7F25F8D6">
            <w:pPr>
              <w:pStyle w:val="23"/>
              <w:jc w:val="center"/>
              <w:rPr>
                <w:rFonts w:ascii="宋体" w:hAnsi="宋体"/>
                <w:b/>
                <w:kern w:val="0"/>
                <w:szCs w:val="21"/>
              </w:rPr>
            </w:pPr>
            <w:r>
              <w:rPr>
                <w:rFonts w:ascii="宋体" w:hAnsi="宋体"/>
                <w:b/>
                <w:kern w:val="0"/>
                <w:szCs w:val="21"/>
              </w:rPr>
              <w:t>家禽出栏量(只)</w:t>
            </w:r>
          </w:p>
        </w:tc>
      </w:tr>
      <w:tr w14:paraId="2FE4445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000" w:type="pct"/>
            <w:vAlign w:val="center"/>
          </w:tcPr>
          <w:p w14:paraId="7F588A90">
            <w:pPr>
              <w:pStyle w:val="23"/>
              <w:jc w:val="center"/>
              <w:rPr>
                <w:rFonts w:ascii="宋体" w:hAnsi="宋体"/>
                <w:kern w:val="0"/>
                <w:szCs w:val="21"/>
              </w:rPr>
            </w:pPr>
            <w:r>
              <w:rPr>
                <w:rFonts w:ascii="宋体" w:hAnsi="宋体"/>
                <w:kern w:val="0"/>
                <w:szCs w:val="21"/>
              </w:rPr>
              <w:t>合计</w:t>
            </w:r>
          </w:p>
        </w:tc>
        <w:tc>
          <w:tcPr>
            <w:tcW w:w="1001" w:type="pct"/>
            <w:vAlign w:val="center"/>
          </w:tcPr>
          <w:p w14:paraId="5727CDFE">
            <w:pPr>
              <w:pStyle w:val="23"/>
              <w:jc w:val="center"/>
              <w:rPr>
                <w:rFonts w:ascii="宋体" w:hAnsi="宋体"/>
                <w:kern w:val="0"/>
                <w:szCs w:val="21"/>
              </w:rPr>
            </w:pPr>
            <w:r>
              <w:rPr>
                <w:rFonts w:ascii="宋体" w:hAnsi="宋体"/>
                <w:kern w:val="0"/>
                <w:szCs w:val="21"/>
              </w:rPr>
              <w:t>228764</w:t>
            </w:r>
          </w:p>
        </w:tc>
        <w:tc>
          <w:tcPr>
            <w:tcW w:w="1000" w:type="pct"/>
            <w:vAlign w:val="center"/>
          </w:tcPr>
          <w:p w14:paraId="4CCA8D50">
            <w:pPr>
              <w:pStyle w:val="23"/>
              <w:jc w:val="center"/>
              <w:rPr>
                <w:rFonts w:ascii="宋体" w:hAnsi="宋体"/>
                <w:kern w:val="0"/>
                <w:szCs w:val="21"/>
              </w:rPr>
            </w:pPr>
            <w:r>
              <w:rPr>
                <w:rFonts w:ascii="宋体" w:hAnsi="宋体"/>
                <w:kern w:val="0"/>
                <w:szCs w:val="21"/>
              </w:rPr>
              <w:t>352670</w:t>
            </w:r>
          </w:p>
        </w:tc>
        <w:tc>
          <w:tcPr>
            <w:tcW w:w="1001" w:type="pct"/>
            <w:vAlign w:val="center"/>
          </w:tcPr>
          <w:p w14:paraId="67D7C817">
            <w:pPr>
              <w:pStyle w:val="23"/>
              <w:jc w:val="center"/>
              <w:rPr>
                <w:rFonts w:ascii="宋体" w:hAnsi="宋体"/>
                <w:kern w:val="0"/>
                <w:szCs w:val="21"/>
              </w:rPr>
            </w:pPr>
            <w:r>
              <w:rPr>
                <w:rFonts w:ascii="宋体" w:hAnsi="宋体"/>
                <w:kern w:val="0"/>
                <w:szCs w:val="21"/>
              </w:rPr>
              <w:t>26132</w:t>
            </w:r>
          </w:p>
        </w:tc>
        <w:tc>
          <w:tcPr>
            <w:tcW w:w="1000" w:type="pct"/>
            <w:vAlign w:val="center"/>
          </w:tcPr>
          <w:p w14:paraId="3601BC55">
            <w:pPr>
              <w:pStyle w:val="23"/>
              <w:jc w:val="center"/>
              <w:rPr>
                <w:rFonts w:ascii="宋体" w:hAnsi="宋体"/>
                <w:kern w:val="0"/>
                <w:szCs w:val="21"/>
              </w:rPr>
            </w:pPr>
            <w:r>
              <w:rPr>
                <w:rFonts w:ascii="宋体" w:hAnsi="宋体"/>
                <w:kern w:val="0"/>
                <w:szCs w:val="21"/>
              </w:rPr>
              <w:t>5438853</w:t>
            </w:r>
          </w:p>
        </w:tc>
      </w:tr>
      <w:tr w14:paraId="7F4C4CF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000" w:type="pct"/>
            <w:vAlign w:val="center"/>
          </w:tcPr>
          <w:p w14:paraId="3161953E">
            <w:pPr>
              <w:pStyle w:val="23"/>
              <w:jc w:val="center"/>
              <w:rPr>
                <w:rFonts w:ascii="宋体" w:hAnsi="宋体"/>
                <w:kern w:val="0"/>
                <w:szCs w:val="21"/>
              </w:rPr>
            </w:pPr>
            <w:r>
              <w:rPr>
                <w:rFonts w:ascii="宋体" w:hAnsi="宋体"/>
                <w:kern w:val="0"/>
                <w:szCs w:val="21"/>
              </w:rPr>
              <w:t>乌迳</w:t>
            </w:r>
          </w:p>
        </w:tc>
        <w:tc>
          <w:tcPr>
            <w:tcW w:w="1001" w:type="pct"/>
            <w:vAlign w:val="center"/>
          </w:tcPr>
          <w:p w14:paraId="067EA65C">
            <w:pPr>
              <w:pStyle w:val="23"/>
              <w:jc w:val="center"/>
              <w:rPr>
                <w:rFonts w:ascii="宋体" w:hAnsi="宋体"/>
                <w:kern w:val="0"/>
                <w:szCs w:val="21"/>
              </w:rPr>
            </w:pPr>
            <w:r>
              <w:rPr>
                <w:rFonts w:ascii="宋体" w:hAnsi="宋体"/>
                <w:kern w:val="0"/>
                <w:szCs w:val="21"/>
              </w:rPr>
              <w:t>16058</w:t>
            </w:r>
          </w:p>
        </w:tc>
        <w:tc>
          <w:tcPr>
            <w:tcW w:w="1000" w:type="pct"/>
            <w:vAlign w:val="center"/>
          </w:tcPr>
          <w:p w14:paraId="637B7DD2">
            <w:pPr>
              <w:pStyle w:val="23"/>
              <w:jc w:val="center"/>
              <w:rPr>
                <w:rFonts w:ascii="宋体" w:hAnsi="宋体"/>
                <w:kern w:val="0"/>
                <w:szCs w:val="21"/>
              </w:rPr>
            </w:pPr>
            <w:r>
              <w:rPr>
                <w:rFonts w:ascii="宋体" w:hAnsi="宋体"/>
                <w:kern w:val="0"/>
                <w:szCs w:val="21"/>
              </w:rPr>
              <w:t>23356</w:t>
            </w:r>
          </w:p>
        </w:tc>
        <w:tc>
          <w:tcPr>
            <w:tcW w:w="1001" w:type="pct"/>
            <w:vAlign w:val="center"/>
          </w:tcPr>
          <w:p w14:paraId="0FB69158">
            <w:pPr>
              <w:pStyle w:val="23"/>
              <w:jc w:val="center"/>
              <w:rPr>
                <w:rFonts w:ascii="宋体" w:hAnsi="宋体"/>
                <w:kern w:val="0"/>
                <w:szCs w:val="21"/>
              </w:rPr>
            </w:pPr>
            <w:r>
              <w:rPr>
                <w:rFonts w:ascii="宋体" w:hAnsi="宋体"/>
                <w:kern w:val="0"/>
                <w:szCs w:val="21"/>
              </w:rPr>
              <w:t>3036</w:t>
            </w:r>
          </w:p>
        </w:tc>
        <w:tc>
          <w:tcPr>
            <w:tcW w:w="1000" w:type="pct"/>
            <w:vAlign w:val="center"/>
          </w:tcPr>
          <w:p w14:paraId="56FAB8F7">
            <w:pPr>
              <w:pStyle w:val="23"/>
              <w:jc w:val="center"/>
              <w:rPr>
                <w:rFonts w:ascii="宋体" w:hAnsi="宋体"/>
                <w:kern w:val="0"/>
                <w:szCs w:val="21"/>
              </w:rPr>
            </w:pPr>
            <w:r>
              <w:rPr>
                <w:rFonts w:ascii="宋体" w:hAnsi="宋体"/>
                <w:kern w:val="0"/>
                <w:szCs w:val="21"/>
              </w:rPr>
              <w:t>350117</w:t>
            </w:r>
          </w:p>
        </w:tc>
      </w:tr>
      <w:tr w14:paraId="4FC33E0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000" w:type="pct"/>
            <w:vAlign w:val="center"/>
          </w:tcPr>
          <w:p w14:paraId="335E4CB9">
            <w:pPr>
              <w:pStyle w:val="23"/>
              <w:jc w:val="center"/>
              <w:rPr>
                <w:rFonts w:ascii="宋体" w:hAnsi="宋体"/>
                <w:kern w:val="0"/>
                <w:szCs w:val="21"/>
              </w:rPr>
            </w:pPr>
            <w:r>
              <w:rPr>
                <w:rFonts w:ascii="宋体" w:hAnsi="宋体"/>
                <w:kern w:val="0"/>
                <w:szCs w:val="21"/>
              </w:rPr>
              <w:t>界址</w:t>
            </w:r>
          </w:p>
        </w:tc>
        <w:tc>
          <w:tcPr>
            <w:tcW w:w="1001" w:type="pct"/>
            <w:vAlign w:val="center"/>
          </w:tcPr>
          <w:p w14:paraId="015F19F2">
            <w:pPr>
              <w:pStyle w:val="23"/>
              <w:jc w:val="center"/>
              <w:rPr>
                <w:rFonts w:ascii="宋体" w:hAnsi="宋体"/>
                <w:kern w:val="0"/>
                <w:szCs w:val="21"/>
              </w:rPr>
            </w:pPr>
            <w:r>
              <w:rPr>
                <w:rFonts w:ascii="宋体" w:hAnsi="宋体"/>
                <w:kern w:val="0"/>
                <w:szCs w:val="21"/>
              </w:rPr>
              <w:t>7188</w:t>
            </w:r>
          </w:p>
        </w:tc>
        <w:tc>
          <w:tcPr>
            <w:tcW w:w="1000" w:type="pct"/>
            <w:vAlign w:val="center"/>
          </w:tcPr>
          <w:p w14:paraId="1B0379AE">
            <w:pPr>
              <w:pStyle w:val="23"/>
              <w:jc w:val="center"/>
              <w:rPr>
                <w:rFonts w:ascii="宋体" w:hAnsi="宋体"/>
                <w:kern w:val="0"/>
                <w:szCs w:val="21"/>
              </w:rPr>
            </w:pPr>
            <w:r>
              <w:rPr>
                <w:rFonts w:ascii="宋体" w:hAnsi="宋体"/>
                <w:kern w:val="0"/>
                <w:szCs w:val="21"/>
              </w:rPr>
              <w:t>14789</w:t>
            </w:r>
          </w:p>
        </w:tc>
        <w:tc>
          <w:tcPr>
            <w:tcW w:w="1001" w:type="pct"/>
            <w:vAlign w:val="center"/>
          </w:tcPr>
          <w:p w14:paraId="21E810E8">
            <w:pPr>
              <w:pStyle w:val="23"/>
              <w:jc w:val="center"/>
              <w:rPr>
                <w:rFonts w:ascii="宋体" w:hAnsi="宋体"/>
                <w:kern w:val="0"/>
                <w:szCs w:val="21"/>
              </w:rPr>
            </w:pPr>
            <w:r>
              <w:rPr>
                <w:rFonts w:ascii="宋体" w:hAnsi="宋体"/>
                <w:kern w:val="0"/>
                <w:szCs w:val="21"/>
              </w:rPr>
              <w:t>1289</w:t>
            </w:r>
          </w:p>
        </w:tc>
        <w:tc>
          <w:tcPr>
            <w:tcW w:w="1000" w:type="pct"/>
            <w:vAlign w:val="center"/>
          </w:tcPr>
          <w:p w14:paraId="0A712BB2">
            <w:pPr>
              <w:pStyle w:val="23"/>
              <w:jc w:val="center"/>
              <w:rPr>
                <w:rFonts w:ascii="宋体" w:hAnsi="宋体"/>
                <w:kern w:val="0"/>
                <w:szCs w:val="21"/>
              </w:rPr>
            </w:pPr>
            <w:r>
              <w:rPr>
                <w:rFonts w:ascii="宋体" w:hAnsi="宋体"/>
                <w:kern w:val="0"/>
                <w:szCs w:val="21"/>
              </w:rPr>
              <w:t>265617</w:t>
            </w:r>
          </w:p>
        </w:tc>
      </w:tr>
      <w:tr w14:paraId="75562B8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000" w:type="pct"/>
            <w:vAlign w:val="center"/>
          </w:tcPr>
          <w:p w14:paraId="32CB4035">
            <w:pPr>
              <w:pStyle w:val="23"/>
              <w:jc w:val="center"/>
              <w:rPr>
                <w:rFonts w:ascii="宋体" w:hAnsi="宋体"/>
                <w:kern w:val="0"/>
                <w:szCs w:val="21"/>
              </w:rPr>
            </w:pPr>
            <w:r>
              <w:rPr>
                <w:rFonts w:ascii="宋体" w:hAnsi="宋体"/>
                <w:kern w:val="0"/>
                <w:szCs w:val="21"/>
              </w:rPr>
              <w:t>坪田</w:t>
            </w:r>
          </w:p>
        </w:tc>
        <w:tc>
          <w:tcPr>
            <w:tcW w:w="1001" w:type="pct"/>
            <w:vAlign w:val="center"/>
          </w:tcPr>
          <w:p w14:paraId="3CA57490">
            <w:pPr>
              <w:pStyle w:val="23"/>
              <w:jc w:val="center"/>
              <w:rPr>
                <w:rFonts w:ascii="宋体" w:hAnsi="宋体"/>
                <w:kern w:val="0"/>
                <w:szCs w:val="21"/>
              </w:rPr>
            </w:pPr>
            <w:r>
              <w:rPr>
                <w:rFonts w:ascii="宋体" w:hAnsi="宋体"/>
                <w:kern w:val="0"/>
                <w:szCs w:val="21"/>
              </w:rPr>
              <w:t>9517</w:t>
            </w:r>
          </w:p>
        </w:tc>
        <w:tc>
          <w:tcPr>
            <w:tcW w:w="1000" w:type="pct"/>
            <w:vAlign w:val="center"/>
          </w:tcPr>
          <w:p w14:paraId="38F5BD14">
            <w:pPr>
              <w:pStyle w:val="23"/>
              <w:jc w:val="center"/>
              <w:rPr>
                <w:rFonts w:ascii="宋体" w:hAnsi="宋体"/>
                <w:kern w:val="0"/>
                <w:szCs w:val="21"/>
              </w:rPr>
            </w:pPr>
            <w:r>
              <w:rPr>
                <w:rFonts w:ascii="宋体" w:hAnsi="宋体"/>
                <w:kern w:val="0"/>
                <w:szCs w:val="21"/>
              </w:rPr>
              <w:t>16826</w:t>
            </w:r>
          </w:p>
        </w:tc>
        <w:tc>
          <w:tcPr>
            <w:tcW w:w="1001" w:type="pct"/>
            <w:vAlign w:val="center"/>
          </w:tcPr>
          <w:p w14:paraId="2D312373">
            <w:pPr>
              <w:pStyle w:val="23"/>
              <w:jc w:val="center"/>
              <w:rPr>
                <w:rFonts w:ascii="宋体" w:hAnsi="宋体"/>
                <w:kern w:val="0"/>
                <w:szCs w:val="21"/>
              </w:rPr>
            </w:pPr>
            <w:r>
              <w:rPr>
                <w:rFonts w:ascii="宋体" w:hAnsi="宋体"/>
                <w:kern w:val="0"/>
                <w:szCs w:val="21"/>
              </w:rPr>
              <w:t>1259</w:t>
            </w:r>
          </w:p>
        </w:tc>
        <w:tc>
          <w:tcPr>
            <w:tcW w:w="1000" w:type="pct"/>
            <w:vAlign w:val="center"/>
          </w:tcPr>
          <w:p w14:paraId="75F9202B">
            <w:pPr>
              <w:pStyle w:val="23"/>
              <w:jc w:val="center"/>
              <w:rPr>
                <w:rFonts w:ascii="宋体" w:hAnsi="宋体"/>
                <w:kern w:val="0"/>
                <w:szCs w:val="21"/>
              </w:rPr>
            </w:pPr>
            <w:r>
              <w:rPr>
                <w:rFonts w:ascii="宋体" w:hAnsi="宋体"/>
                <w:kern w:val="0"/>
                <w:szCs w:val="21"/>
              </w:rPr>
              <w:t>288532</w:t>
            </w:r>
          </w:p>
        </w:tc>
      </w:tr>
      <w:tr w14:paraId="0ABF1A5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000" w:type="pct"/>
            <w:vAlign w:val="center"/>
          </w:tcPr>
          <w:p w14:paraId="3CFB78FA">
            <w:pPr>
              <w:pStyle w:val="23"/>
              <w:jc w:val="center"/>
              <w:rPr>
                <w:rFonts w:ascii="宋体" w:hAnsi="宋体"/>
                <w:kern w:val="0"/>
                <w:szCs w:val="21"/>
              </w:rPr>
            </w:pPr>
            <w:r>
              <w:rPr>
                <w:rFonts w:ascii="宋体" w:hAnsi="宋体"/>
                <w:kern w:val="0"/>
                <w:szCs w:val="21"/>
              </w:rPr>
              <w:t>黄坑</w:t>
            </w:r>
          </w:p>
        </w:tc>
        <w:tc>
          <w:tcPr>
            <w:tcW w:w="1001" w:type="pct"/>
            <w:vAlign w:val="center"/>
          </w:tcPr>
          <w:p w14:paraId="56984A1B">
            <w:pPr>
              <w:pStyle w:val="23"/>
              <w:jc w:val="center"/>
              <w:rPr>
                <w:rFonts w:ascii="宋体" w:hAnsi="宋体"/>
                <w:kern w:val="0"/>
                <w:szCs w:val="21"/>
              </w:rPr>
            </w:pPr>
            <w:r>
              <w:rPr>
                <w:rFonts w:ascii="宋体" w:hAnsi="宋体"/>
                <w:kern w:val="0"/>
                <w:szCs w:val="21"/>
              </w:rPr>
              <w:t>17639</w:t>
            </w:r>
          </w:p>
        </w:tc>
        <w:tc>
          <w:tcPr>
            <w:tcW w:w="1000" w:type="pct"/>
            <w:vAlign w:val="center"/>
          </w:tcPr>
          <w:p w14:paraId="0076B528">
            <w:pPr>
              <w:pStyle w:val="23"/>
              <w:jc w:val="center"/>
              <w:rPr>
                <w:rFonts w:ascii="宋体" w:hAnsi="宋体"/>
                <w:kern w:val="0"/>
                <w:szCs w:val="21"/>
              </w:rPr>
            </w:pPr>
            <w:r>
              <w:rPr>
                <w:rFonts w:ascii="宋体" w:hAnsi="宋体"/>
                <w:kern w:val="0"/>
                <w:szCs w:val="21"/>
              </w:rPr>
              <w:t>21585</w:t>
            </w:r>
          </w:p>
        </w:tc>
        <w:tc>
          <w:tcPr>
            <w:tcW w:w="1001" w:type="pct"/>
            <w:vAlign w:val="center"/>
          </w:tcPr>
          <w:p w14:paraId="70096EAF">
            <w:pPr>
              <w:pStyle w:val="23"/>
              <w:jc w:val="center"/>
              <w:rPr>
                <w:rFonts w:ascii="宋体" w:hAnsi="宋体"/>
                <w:kern w:val="0"/>
                <w:szCs w:val="21"/>
              </w:rPr>
            </w:pPr>
            <w:r>
              <w:rPr>
                <w:rFonts w:ascii="宋体" w:hAnsi="宋体"/>
                <w:kern w:val="0"/>
                <w:szCs w:val="21"/>
              </w:rPr>
              <w:t>1365</w:t>
            </w:r>
          </w:p>
        </w:tc>
        <w:tc>
          <w:tcPr>
            <w:tcW w:w="1000" w:type="pct"/>
            <w:vAlign w:val="center"/>
          </w:tcPr>
          <w:p w14:paraId="4498F96D">
            <w:pPr>
              <w:pStyle w:val="23"/>
              <w:jc w:val="center"/>
              <w:rPr>
                <w:rFonts w:ascii="宋体" w:hAnsi="宋体"/>
                <w:kern w:val="0"/>
                <w:szCs w:val="21"/>
              </w:rPr>
            </w:pPr>
            <w:r>
              <w:rPr>
                <w:rFonts w:ascii="宋体" w:hAnsi="宋体"/>
                <w:kern w:val="0"/>
                <w:szCs w:val="21"/>
              </w:rPr>
              <w:t>276572</w:t>
            </w:r>
          </w:p>
        </w:tc>
      </w:tr>
      <w:tr w14:paraId="6A4C4DC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000" w:type="pct"/>
            <w:vAlign w:val="center"/>
          </w:tcPr>
          <w:p w14:paraId="75697ADD">
            <w:pPr>
              <w:pStyle w:val="23"/>
              <w:jc w:val="center"/>
              <w:rPr>
                <w:rFonts w:ascii="宋体" w:hAnsi="宋体"/>
                <w:kern w:val="0"/>
                <w:szCs w:val="21"/>
              </w:rPr>
            </w:pPr>
            <w:r>
              <w:rPr>
                <w:rFonts w:ascii="宋体" w:hAnsi="宋体"/>
                <w:kern w:val="0"/>
                <w:szCs w:val="21"/>
              </w:rPr>
              <w:t>邓坊</w:t>
            </w:r>
          </w:p>
        </w:tc>
        <w:tc>
          <w:tcPr>
            <w:tcW w:w="1001" w:type="pct"/>
            <w:vAlign w:val="center"/>
          </w:tcPr>
          <w:p w14:paraId="5ADD7233">
            <w:pPr>
              <w:pStyle w:val="23"/>
              <w:jc w:val="center"/>
              <w:rPr>
                <w:rFonts w:ascii="宋体" w:hAnsi="宋体"/>
                <w:kern w:val="0"/>
                <w:szCs w:val="21"/>
              </w:rPr>
            </w:pPr>
            <w:r>
              <w:rPr>
                <w:rFonts w:ascii="宋体" w:hAnsi="宋体"/>
                <w:kern w:val="0"/>
                <w:szCs w:val="21"/>
              </w:rPr>
              <w:t>14071</w:t>
            </w:r>
          </w:p>
        </w:tc>
        <w:tc>
          <w:tcPr>
            <w:tcW w:w="1000" w:type="pct"/>
            <w:vAlign w:val="center"/>
          </w:tcPr>
          <w:p w14:paraId="34AF3CCD">
            <w:pPr>
              <w:pStyle w:val="23"/>
              <w:jc w:val="center"/>
              <w:rPr>
                <w:rFonts w:ascii="宋体" w:hAnsi="宋体"/>
                <w:kern w:val="0"/>
                <w:szCs w:val="21"/>
              </w:rPr>
            </w:pPr>
            <w:r>
              <w:rPr>
                <w:rFonts w:ascii="宋体" w:hAnsi="宋体"/>
                <w:kern w:val="0"/>
                <w:szCs w:val="21"/>
              </w:rPr>
              <w:t>17019</w:t>
            </w:r>
          </w:p>
        </w:tc>
        <w:tc>
          <w:tcPr>
            <w:tcW w:w="1001" w:type="pct"/>
            <w:vAlign w:val="center"/>
          </w:tcPr>
          <w:p w14:paraId="3922C8C8">
            <w:pPr>
              <w:pStyle w:val="23"/>
              <w:jc w:val="center"/>
              <w:rPr>
                <w:rFonts w:ascii="宋体" w:hAnsi="宋体"/>
                <w:kern w:val="0"/>
                <w:szCs w:val="21"/>
              </w:rPr>
            </w:pPr>
            <w:r>
              <w:rPr>
                <w:rFonts w:ascii="宋体" w:hAnsi="宋体"/>
                <w:kern w:val="0"/>
                <w:szCs w:val="21"/>
              </w:rPr>
              <w:t>1547</w:t>
            </w:r>
          </w:p>
        </w:tc>
        <w:tc>
          <w:tcPr>
            <w:tcW w:w="1000" w:type="pct"/>
            <w:vAlign w:val="center"/>
          </w:tcPr>
          <w:p w14:paraId="1429A91E">
            <w:pPr>
              <w:pStyle w:val="23"/>
              <w:jc w:val="center"/>
              <w:rPr>
                <w:rFonts w:ascii="宋体" w:hAnsi="宋体"/>
                <w:kern w:val="0"/>
                <w:szCs w:val="21"/>
              </w:rPr>
            </w:pPr>
            <w:r>
              <w:rPr>
                <w:rFonts w:ascii="宋体" w:hAnsi="宋体"/>
                <w:kern w:val="0"/>
                <w:szCs w:val="21"/>
              </w:rPr>
              <w:t>279423</w:t>
            </w:r>
          </w:p>
        </w:tc>
      </w:tr>
      <w:tr w14:paraId="3EF3F1F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000" w:type="pct"/>
            <w:vAlign w:val="center"/>
          </w:tcPr>
          <w:p w14:paraId="09D43CB2">
            <w:pPr>
              <w:pStyle w:val="23"/>
              <w:jc w:val="center"/>
              <w:rPr>
                <w:rFonts w:ascii="宋体" w:hAnsi="宋体"/>
                <w:kern w:val="0"/>
                <w:szCs w:val="21"/>
              </w:rPr>
            </w:pPr>
            <w:r>
              <w:rPr>
                <w:rFonts w:ascii="宋体" w:hAnsi="宋体"/>
                <w:kern w:val="0"/>
                <w:szCs w:val="21"/>
              </w:rPr>
              <w:t>油山</w:t>
            </w:r>
          </w:p>
        </w:tc>
        <w:tc>
          <w:tcPr>
            <w:tcW w:w="1001" w:type="pct"/>
            <w:vAlign w:val="center"/>
          </w:tcPr>
          <w:p w14:paraId="29754055">
            <w:pPr>
              <w:pStyle w:val="23"/>
              <w:jc w:val="center"/>
              <w:rPr>
                <w:rFonts w:ascii="宋体" w:hAnsi="宋体"/>
                <w:kern w:val="0"/>
                <w:szCs w:val="21"/>
              </w:rPr>
            </w:pPr>
            <w:r>
              <w:rPr>
                <w:rFonts w:ascii="宋体" w:hAnsi="宋体"/>
                <w:kern w:val="0"/>
                <w:szCs w:val="21"/>
              </w:rPr>
              <w:t>8090</w:t>
            </w:r>
          </w:p>
        </w:tc>
        <w:tc>
          <w:tcPr>
            <w:tcW w:w="1000" w:type="pct"/>
            <w:vAlign w:val="center"/>
          </w:tcPr>
          <w:p w14:paraId="04F7F3F2">
            <w:pPr>
              <w:pStyle w:val="23"/>
              <w:jc w:val="center"/>
              <w:rPr>
                <w:rFonts w:ascii="宋体" w:hAnsi="宋体"/>
                <w:kern w:val="0"/>
                <w:szCs w:val="21"/>
              </w:rPr>
            </w:pPr>
            <w:r>
              <w:rPr>
                <w:rFonts w:ascii="宋体" w:hAnsi="宋体"/>
                <w:kern w:val="0"/>
                <w:szCs w:val="21"/>
              </w:rPr>
              <w:t>17880</w:t>
            </w:r>
          </w:p>
        </w:tc>
        <w:tc>
          <w:tcPr>
            <w:tcW w:w="1001" w:type="pct"/>
            <w:vAlign w:val="center"/>
          </w:tcPr>
          <w:p w14:paraId="4E30850B">
            <w:pPr>
              <w:pStyle w:val="23"/>
              <w:jc w:val="center"/>
              <w:rPr>
                <w:rFonts w:ascii="宋体" w:hAnsi="宋体"/>
                <w:kern w:val="0"/>
                <w:szCs w:val="21"/>
              </w:rPr>
            </w:pPr>
            <w:r>
              <w:rPr>
                <w:rFonts w:ascii="宋体" w:hAnsi="宋体"/>
                <w:kern w:val="0"/>
                <w:szCs w:val="21"/>
              </w:rPr>
              <w:t>1492</w:t>
            </w:r>
          </w:p>
        </w:tc>
        <w:tc>
          <w:tcPr>
            <w:tcW w:w="1000" w:type="pct"/>
            <w:vAlign w:val="center"/>
          </w:tcPr>
          <w:p w14:paraId="63A76672">
            <w:pPr>
              <w:pStyle w:val="23"/>
              <w:jc w:val="center"/>
              <w:rPr>
                <w:rFonts w:ascii="宋体" w:hAnsi="宋体"/>
                <w:kern w:val="0"/>
                <w:szCs w:val="21"/>
              </w:rPr>
            </w:pPr>
            <w:r>
              <w:rPr>
                <w:rFonts w:ascii="宋体" w:hAnsi="宋体"/>
                <w:kern w:val="0"/>
                <w:szCs w:val="21"/>
              </w:rPr>
              <w:t>311680</w:t>
            </w:r>
          </w:p>
        </w:tc>
      </w:tr>
      <w:tr w14:paraId="3AEEB43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000" w:type="pct"/>
            <w:vAlign w:val="center"/>
          </w:tcPr>
          <w:p w14:paraId="5EB996F3">
            <w:pPr>
              <w:pStyle w:val="23"/>
              <w:jc w:val="center"/>
              <w:rPr>
                <w:rFonts w:ascii="宋体" w:hAnsi="宋体"/>
                <w:kern w:val="0"/>
                <w:szCs w:val="21"/>
              </w:rPr>
            </w:pPr>
            <w:r>
              <w:rPr>
                <w:rFonts w:ascii="宋体" w:hAnsi="宋体"/>
                <w:kern w:val="0"/>
                <w:szCs w:val="21"/>
              </w:rPr>
              <w:t>南亩</w:t>
            </w:r>
          </w:p>
        </w:tc>
        <w:tc>
          <w:tcPr>
            <w:tcW w:w="1001" w:type="pct"/>
            <w:vAlign w:val="center"/>
          </w:tcPr>
          <w:p w14:paraId="0B6B2D3A">
            <w:pPr>
              <w:pStyle w:val="23"/>
              <w:jc w:val="center"/>
              <w:rPr>
                <w:rFonts w:ascii="宋体" w:hAnsi="宋体"/>
                <w:kern w:val="0"/>
                <w:szCs w:val="21"/>
              </w:rPr>
            </w:pPr>
            <w:r>
              <w:rPr>
                <w:rFonts w:ascii="宋体" w:hAnsi="宋体"/>
                <w:kern w:val="0"/>
                <w:szCs w:val="21"/>
              </w:rPr>
              <w:t>26729</w:t>
            </w:r>
          </w:p>
        </w:tc>
        <w:tc>
          <w:tcPr>
            <w:tcW w:w="1000" w:type="pct"/>
            <w:vAlign w:val="center"/>
          </w:tcPr>
          <w:p w14:paraId="52AAD0DF">
            <w:pPr>
              <w:pStyle w:val="23"/>
              <w:jc w:val="center"/>
              <w:rPr>
                <w:rFonts w:ascii="宋体" w:hAnsi="宋体"/>
                <w:kern w:val="0"/>
                <w:szCs w:val="21"/>
              </w:rPr>
            </w:pPr>
            <w:r>
              <w:rPr>
                <w:rFonts w:ascii="宋体" w:hAnsi="宋体"/>
                <w:kern w:val="0"/>
                <w:szCs w:val="21"/>
              </w:rPr>
              <w:t>40427</w:t>
            </w:r>
          </w:p>
        </w:tc>
        <w:tc>
          <w:tcPr>
            <w:tcW w:w="1001" w:type="pct"/>
            <w:vAlign w:val="center"/>
          </w:tcPr>
          <w:p w14:paraId="5BB3588E">
            <w:pPr>
              <w:pStyle w:val="23"/>
              <w:jc w:val="center"/>
              <w:rPr>
                <w:rFonts w:ascii="宋体" w:hAnsi="宋体"/>
                <w:kern w:val="0"/>
                <w:szCs w:val="21"/>
              </w:rPr>
            </w:pPr>
            <w:r>
              <w:rPr>
                <w:rFonts w:ascii="宋体" w:hAnsi="宋体"/>
                <w:kern w:val="0"/>
                <w:szCs w:val="21"/>
              </w:rPr>
              <w:t>1256</w:t>
            </w:r>
          </w:p>
        </w:tc>
        <w:tc>
          <w:tcPr>
            <w:tcW w:w="1000" w:type="pct"/>
            <w:vAlign w:val="center"/>
          </w:tcPr>
          <w:p w14:paraId="3621634D">
            <w:pPr>
              <w:pStyle w:val="23"/>
              <w:jc w:val="center"/>
              <w:rPr>
                <w:rFonts w:ascii="宋体" w:hAnsi="宋体"/>
                <w:kern w:val="0"/>
                <w:szCs w:val="21"/>
              </w:rPr>
            </w:pPr>
            <w:r>
              <w:rPr>
                <w:rFonts w:ascii="宋体" w:hAnsi="宋体"/>
                <w:kern w:val="0"/>
                <w:szCs w:val="21"/>
              </w:rPr>
              <w:t>374047</w:t>
            </w:r>
          </w:p>
        </w:tc>
      </w:tr>
      <w:tr w14:paraId="36B70FD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000" w:type="pct"/>
            <w:vAlign w:val="center"/>
          </w:tcPr>
          <w:p w14:paraId="2B6F2943">
            <w:pPr>
              <w:pStyle w:val="23"/>
              <w:jc w:val="center"/>
              <w:rPr>
                <w:rFonts w:ascii="宋体" w:hAnsi="宋体"/>
                <w:kern w:val="0"/>
                <w:szCs w:val="21"/>
              </w:rPr>
            </w:pPr>
            <w:r>
              <w:rPr>
                <w:rFonts w:ascii="宋体" w:hAnsi="宋体"/>
                <w:kern w:val="0"/>
                <w:szCs w:val="21"/>
              </w:rPr>
              <w:t>水口</w:t>
            </w:r>
          </w:p>
        </w:tc>
        <w:tc>
          <w:tcPr>
            <w:tcW w:w="1001" w:type="pct"/>
            <w:vAlign w:val="center"/>
          </w:tcPr>
          <w:p w14:paraId="50D81B46">
            <w:pPr>
              <w:pStyle w:val="23"/>
              <w:jc w:val="center"/>
              <w:rPr>
                <w:rFonts w:ascii="宋体" w:hAnsi="宋体"/>
                <w:kern w:val="0"/>
                <w:szCs w:val="21"/>
              </w:rPr>
            </w:pPr>
            <w:r>
              <w:rPr>
                <w:rFonts w:ascii="宋体" w:hAnsi="宋体"/>
                <w:kern w:val="0"/>
                <w:szCs w:val="21"/>
              </w:rPr>
              <w:t>20933</w:t>
            </w:r>
          </w:p>
        </w:tc>
        <w:tc>
          <w:tcPr>
            <w:tcW w:w="1000" w:type="pct"/>
            <w:vAlign w:val="center"/>
          </w:tcPr>
          <w:p w14:paraId="7DEB3039">
            <w:pPr>
              <w:pStyle w:val="23"/>
              <w:jc w:val="center"/>
              <w:rPr>
                <w:rFonts w:ascii="宋体" w:hAnsi="宋体"/>
                <w:kern w:val="0"/>
                <w:szCs w:val="21"/>
              </w:rPr>
            </w:pPr>
            <w:r>
              <w:rPr>
                <w:rFonts w:ascii="宋体" w:hAnsi="宋体"/>
                <w:kern w:val="0"/>
                <w:szCs w:val="21"/>
              </w:rPr>
              <w:t>16336</w:t>
            </w:r>
          </w:p>
        </w:tc>
        <w:tc>
          <w:tcPr>
            <w:tcW w:w="1001" w:type="pct"/>
            <w:vAlign w:val="center"/>
          </w:tcPr>
          <w:p w14:paraId="05923DBE">
            <w:pPr>
              <w:pStyle w:val="23"/>
              <w:jc w:val="center"/>
              <w:rPr>
                <w:rFonts w:ascii="宋体" w:hAnsi="宋体"/>
                <w:kern w:val="0"/>
                <w:szCs w:val="21"/>
              </w:rPr>
            </w:pPr>
            <w:r>
              <w:rPr>
                <w:rFonts w:ascii="宋体" w:hAnsi="宋体"/>
                <w:kern w:val="0"/>
                <w:szCs w:val="21"/>
              </w:rPr>
              <w:t>1403</w:t>
            </w:r>
          </w:p>
        </w:tc>
        <w:tc>
          <w:tcPr>
            <w:tcW w:w="1000" w:type="pct"/>
            <w:vAlign w:val="center"/>
          </w:tcPr>
          <w:p w14:paraId="2D5D46AB">
            <w:pPr>
              <w:pStyle w:val="23"/>
              <w:jc w:val="center"/>
              <w:rPr>
                <w:rFonts w:ascii="宋体" w:hAnsi="宋体"/>
                <w:kern w:val="0"/>
                <w:szCs w:val="21"/>
              </w:rPr>
            </w:pPr>
            <w:r>
              <w:rPr>
                <w:rFonts w:ascii="宋体" w:hAnsi="宋体"/>
                <w:kern w:val="0"/>
                <w:szCs w:val="21"/>
              </w:rPr>
              <w:t>296988</w:t>
            </w:r>
          </w:p>
        </w:tc>
      </w:tr>
      <w:tr w14:paraId="1FE528C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000" w:type="pct"/>
            <w:vAlign w:val="center"/>
          </w:tcPr>
          <w:p w14:paraId="653416CF">
            <w:pPr>
              <w:pStyle w:val="23"/>
              <w:jc w:val="center"/>
              <w:rPr>
                <w:rFonts w:ascii="宋体" w:hAnsi="宋体"/>
                <w:kern w:val="0"/>
                <w:szCs w:val="21"/>
              </w:rPr>
            </w:pPr>
            <w:r>
              <w:rPr>
                <w:rFonts w:ascii="宋体" w:hAnsi="宋体"/>
                <w:kern w:val="0"/>
                <w:szCs w:val="21"/>
              </w:rPr>
              <w:t>江头</w:t>
            </w:r>
          </w:p>
        </w:tc>
        <w:tc>
          <w:tcPr>
            <w:tcW w:w="1001" w:type="pct"/>
            <w:vAlign w:val="center"/>
          </w:tcPr>
          <w:p w14:paraId="196C4A76">
            <w:pPr>
              <w:pStyle w:val="23"/>
              <w:jc w:val="center"/>
              <w:rPr>
                <w:rFonts w:ascii="宋体" w:hAnsi="宋体"/>
                <w:kern w:val="0"/>
                <w:szCs w:val="21"/>
              </w:rPr>
            </w:pPr>
            <w:r>
              <w:rPr>
                <w:rFonts w:ascii="宋体" w:hAnsi="宋体"/>
                <w:kern w:val="0"/>
                <w:szCs w:val="21"/>
              </w:rPr>
              <w:t>6147</w:t>
            </w:r>
          </w:p>
        </w:tc>
        <w:tc>
          <w:tcPr>
            <w:tcW w:w="1000" w:type="pct"/>
            <w:vAlign w:val="center"/>
          </w:tcPr>
          <w:p w14:paraId="0A662DCF">
            <w:pPr>
              <w:pStyle w:val="23"/>
              <w:jc w:val="center"/>
              <w:rPr>
                <w:rFonts w:ascii="宋体" w:hAnsi="宋体"/>
                <w:kern w:val="0"/>
                <w:szCs w:val="21"/>
              </w:rPr>
            </w:pPr>
            <w:r>
              <w:rPr>
                <w:rFonts w:ascii="宋体" w:hAnsi="宋体"/>
                <w:kern w:val="0"/>
                <w:szCs w:val="21"/>
              </w:rPr>
              <w:t>11813</w:t>
            </w:r>
          </w:p>
        </w:tc>
        <w:tc>
          <w:tcPr>
            <w:tcW w:w="1001" w:type="pct"/>
            <w:vAlign w:val="center"/>
          </w:tcPr>
          <w:p w14:paraId="55099882">
            <w:pPr>
              <w:pStyle w:val="23"/>
              <w:jc w:val="center"/>
              <w:rPr>
                <w:rFonts w:ascii="宋体" w:hAnsi="宋体"/>
                <w:kern w:val="0"/>
                <w:szCs w:val="21"/>
              </w:rPr>
            </w:pPr>
            <w:r>
              <w:rPr>
                <w:rFonts w:ascii="宋体" w:hAnsi="宋体"/>
                <w:kern w:val="0"/>
                <w:szCs w:val="21"/>
              </w:rPr>
              <w:t>1181</w:t>
            </w:r>
          </w:p>
        </w:tc>
        <w:tc>
          <w:tcPr>
            <w:tcW w:w="1000" w:type="pct"/>
            <w:vAlign w:val="center"/>
          </w:tcPr>
          <w:p w14:paraId="440DB24C">
            <w:pPr>
              <w:pStyle w:val="23"/>
              <w:jc w:val="center"/>
              <w:rPr>
                <w:rFonts w:ascii="宋体" w:hAnsi="宋体"/>
                <w:kern w:val="0"/>
                <w:szCs w:val="21"/>
              </w:rPr>
            </w:pPr>
            <w:r>
              <w:rPr>
                <w:rFonts w:ascii="宋体" w:hAnsi="宋体"/>
                <w:kern w:val="0"/>
                <w:szCs w:val="21"/>
              </w:rPr>
              <w:t>239854</w:t>
            </w:r>
          </w:p>
        </w:tc>
      </w:tr>
      <w:tr w14:paraId="73FC9E2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000" w:type="pct"/>
            <w:vAlign w:val="center"/>
          </w:tcPr>
          <w:p w14:paraId="3598343B">
            <w:pPr>
              <w:pStyle w:val="23"/>
              <w:jc w:val="center"/>
              <w:rPr>
                <w:rFonts w:ascii="宋体" w:hAnsi="宋体"/>
                <w:kern w:val="0"/>
                <w:szCs w:val="21"/>
              </w:rPr>
            </w:pPr>
            <w:r>
              <w:rPr>
                <w:rFonts w:ascii="宋体" w:hAnsi="宋体"/>
                <w:kern w:val="0"/>
                <w:szCs w:val="21"/>
              </w:rPr>
              <w:t>湖口</w:t>
            </w:r>
          </w:p>
        </w:tc>
        <w:tc>
          <w:tcPr>
            <w:tcW w:w="1001" w:type="pct"/>
            <w:vAlign w:val="center"/>
          </w:tcPr>
          <w:p w14:paraId="096F7305">
            <w:pPr>
              <w:pStyle w:val="23"/>
              <w:jc w:val="center"/>
              <w:rPr>
                <w:rFonts w:ascii="宋体" w:hAnsi="宋体"/>
                <w:kern w:val="0"/>
                <w:szCs w:val="21"/>
              </w:rPr>
            </w:pPr>
            <w:r>
              <w:rPr>
                <w:rFonts w:ascii="宋体" w:hAnsi="宋体"/>
                <w:kern w:val="0"/>
                <w:szCs w:val="21"/>
              </w:rPr>
              <w:t>11834</w:t>
            </w:r>
          </w:p>
        </w:tc>
        <w:tc>
          <w:tcPr>
            <w:tcW w:w="1000" w:type="pct"/>
            <w:vAlign w:val="center"/>
          </w:tcPr>
          <w:p w14:paraId="710D3307">
            <w:pPr>
              <w:pStyle w:val="23"/>
              <w:jc w:val="center"/>
              <w:rPr>
                <w:rFonts w:ascii="宋体" w:hAnsi="宋体"/>
                <w:kern w:val="0"/>
                <w:szCs w:val="21"/>
              </w:rPr>
            </w:pPr>
            <w:r>
              <w:rPr>
                <w:rFonts w:ascii="宋体" w:hAnsi="宋体"/>
                <w:kern w:val="0"/>
                <w:szCs w:val="21"/>
              </w:rPr>
              <w:t>19490</w:t>
            </w:r>
          </w:p>
        </w:tc>
        <w:tc>
          <w:tcPr>
            <w:tcW w:w="1001" w:type="pct"/>
            <w:vAlign w:val="center"/>
          </w:tcPr>
          <w:p w14:paraId="008539DD">
            <w:pPr>
              <w:pStyle w:val="23"/>
              <w:jc w:val="center"/>
              <w:rPr>
                <w:rFonts w:ascii="宋体" w:hAnsi="宋体"/>
                <w:kern w:val="0"/>
                <w:szCs w:val="21"/>
              </w:rPr>
            </w:pPr>
            <w:r>
              <w:rPr>
                <w:rFonts w:ascii="宋体" w:hAnsi="宋体"/>
                <w:kern w:val="0"/>
                <w:szCs w:val="21"/>
              </w:rPr>
              <w:t>1513</w:t>
            </w:r>
          </w:p>
        </w:tc>
        <w:tc>
          <w:tcPr>
            <w:tcW w:w="1000" w:type="pct"/>
            <w:vAlign w:val="center"/>
          </w:tcPr>
          <w:p w14:paraId="6EF30A9C">
            <w:pPr>
              <w:pStyle w:val="23"/>
              <w:jc w:val="center"/>
              <w:rPr>
                <w:rFonts w:ascii="宋体" w:hAnsi="宋体"/>
                <w:kern w:val="0"/>
                <w:szCs w:val="21"/>
              </w:rPr>
            </w:pPr>
            <w:r>
              <w:rPr>
                <w:rFonts w:ascii="宋体" w:hAnsi="宋体"/>
                <w:kern w:val="0"/>
                <w:szCs w:val="21"/>
              </w:rPr>
              <w:t>324395</w:t>
            </w:r>
          </w:p>
        </w:tc>
      </w:tr>
      <w:tr w14:paraId="512E788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000" w:type="pct"/>
            <w:vAlign w:val="center"/>
          </w:tcPr>
          <w:p w14:paraId="62A3EDF7">
            <w:pPr>
              <w:pStyle w:val="23"/>
              <w:jc w:val="center"/>
              <w:rPr>
                <w:rFonts w:ascii="宋体" w:hAnsi="宋体"/>
                <w:kern w:val="0"/>
                <w:szCs w:val="21"/>
              </w:rPr>
            </w:pPr>
            <w:r>
              <w:rPr>
                <w:rFonts w:ascii="宋体" w:hAnsi="宋体"/>
                <w:kern w:val="0"/>
                <w:szCs w:val="21"/>
              </w:rPr>
              <w:t>珠玑</w:t>
            </w:r>
          </w:p>
        </w:tc>
        <w:tc>
          <w:tcPr>
            <w:tcW w:w="1001" w:type="pct"/>
            <w:vAlign w:val="center"/>
          </w:tcPr>
          <w:p w14:paraId="64191795">
            <w:pPr>
              <w:pStyle w:val="23"/>
              <w:jc w:val="center"/>
              <w:rPr>
                <w:rFonts w:ascii="宋体" w:hAnsi="宋体"/>
                <w:kern w:val="0"/>
                <w:szCs w:val="21"/>
              </w:rPr>
            </w:pPr>
            <w:r>
              <w:rPr>
                <w:rFonts w:ascii="宋体" w:hAnsi="宋体"/>
                <w:kern w:val="0"/>
                <w:szCs w:val="21"/>
              </w:rPr>
              <w:t>22315</w:t>
            </w:r>
          </w:p>
        </w:tc>
        <w:tc>
          <w:tcPr>
            <w:tcW w:w="1000" w:type="pct"/>
            <w:vAlign w:val="center"/>
          </w:tcPr>
          <w:p w14:paraId="20CB8A15">
            <w:pPr>
              <w:pStyle w:val="23"/>
              <w:jc w:val="center"/>
              <w:rPr>
                <w:rFonts w:ascii="宋体" w:hAnsi="宋体"/>
                <w:kern w:val="0"/>
                <w:szCs w:val="21"/>
              </w:rPr>
            </w:pPr>
            <w:r>
              <w:rPr>
                <w:rFonts w:ascii="宋体" w:hAnsi="宋体"/>
                <w:kern w:val="0"/>
                <w:szCs w:val="21"/>
              </w:rPr>
              <w:t>21508</w:t>
            </w:r>
          </w:p>
        </w:tc>
        <w:tc>
          <w:tcPr>
            <w:tcW w:w="1001" w:type="pct"/>
            <w:vAlign w:val="center"/>
          </w:tcPr>
          <w:p w14:paraId="376A7332">
            <w:pPr>
              <w:pStyle w:val="23"/>
              <w:jc w:val="center"/>
              <w:rPr>
                <w:rFonts w:ascii="宋体" w:hAnsi="宋体"/>
                <w:kern w:val="0"/>
                <w:szCs w:val="21"/>
              </w:rPr>
            </w:pPr>
            <w:r>
              <w:rPr>
                <w:rFonts w:ascii="宋体" w:hAnsi="宋体"/>
                <w:kern w:val="0"/>
                <w:szCs w:val="21"/>
              </w:rPr>
              <w:t>1549</w:t>
            </w:r>
          </w:p>
        </w:tc>
        <w:tc>
          <w:tcPr>
            <w:tcW w:w="1000" w:type="pct"/>
            <w:vAlign w:val="center"/>
          </w:tcPr>
          <w:p w14:paraId="122CBCFE">
            <w:pPr>
              <w:pStyle w:val="23"/>
              <w:jc w:val="center"/>
              <w:rPr>
                <w:rFonts w:ascii="宋体" w:hAnsi="宋体"/>
                <w:kern w:val="0"/>
                <w:szCs w:val="21"/>
              </w:rPr>
            </w:pPr>
            <w:r>
              <w:rPr>
                <w:rFonts w:ascii="宋体" w:hAnsi="宋体"/>
                <w:kern w:val="0"/>
                <w:szCs w:val="21"/>
              </w:rPr>
              <w:t>334151</w:t>
            </w:r>
          </w:p>
        </w:tc>
      </w:tr>
      <w:tr w14:paraId="50E01CA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000" w:type="pct"/>
            <w:vAlign w:val="center"/>
          </w:tcPr>
          <w:p w14:paraId="4468E8BE">
            <w:pPr>
              <w:pStyle w:val="23"/>
              <w:jc w:val="center"/>
              <w:rPr>
                <w:rFonts w:ascii="宋体" w:hAnsi="宋体"/>
                <w:kern w:val="0"/>
                <w:szCs w:val="21"/>
              </w:rPr>
            </w:pPr>
            <w:r>
              <w:rPr>
                <w:rFonts w:ascii="宋体" w:hAnsi="宋体"/>
                <w:kern w:val="0"/>
                <w:szCs w:val="21"/>
              </w:rPr>
              <w:t>主田</w:t>
            </w:r>
          </w:p>
        </w:tc>
        <w:tc>
          <w:tcPr>
            <w:tcW w:w="1001" w:type="pct"/>
            <w:vAlign w:val="center"/>
          </w:tcPr>
          <w:p w14:paraId="4EDBC236">
            <w:pPr>
              <w:pStyle w:val="23"/>
              <w:jc w:val="center"/>
              <w:rPr>
                <w:rFonts w:ascii="宋体" w:hAnsi="宋体"/>
                <w:kern w:val="0"/>
                <w:szCs w:val="21"/>
              </w:rPr>
            </w:pPr>
            <w:r>
              <w:rPr>
                <w:rFonts w:ascii="宋体" w:hAnsi="宋体"/>
                <w:kern w:val="0"/>
                <w:szCs w:val="21"/>
              </w:rPr>
              <w:t>14900</w:t>
            </w:r>
          </w:p>
        </w:tc>
        <w:tc>
          <w:tcPr>
            <w:tcW w:w="1000" w:type="pct"/>
            <w:vAlign w:val="center"/>
          </w:tcPr>
          <w:p w14:paraId="5BB60386">
            <w:pPr>
              <w:pStyle w:val="23"/>
              <w:jc w:val="center"/>
              <w:rPr>
                <w:rFonts w:ascii="宋体" w:hAnsi="宋体"/>
                <w:kern w:val="0"/>
                <w:szCs w:val="21"/>
              </w:rPr>
            </w:pPr>
            <w:r>
              <w:rPr>
                <w:rFonts w:ascii="宋体" w:hAnsi="宋体"/>
                <w:kern w:val="0"/>
                <w:szCs w:val="21"/>
              </w:rPr>
              <w:t>20035</w:t>
            </w:r>
          </w:p>
        </w:tc>
        <w:tc>
          <w:tcPr>
            <w:tcW w:w="1001" w:type="pct"/>
            <w:vAlign w:val="center"/>
          </w:tcPr>
          <w:p w14:paraId="118DD91E">
            <w:pPr>
              <w:pStyle w:val="23"/>
              <w:jc w:val="center"/>
              <w:rPr>
                <w:rFonts w:ascii="宋体" w:hAnsi="宋体"/>
                <w:kern w:val="0"/>
                <w:szCs w:val="21"/>
              </w:rPr>
            </w:pPr>
            <w:r>
              <w:rPr>
                <w:rFonts w:ascii="宋体" w:hAnsi="宋体"/>
                <w:kern w:val="0"/>
                <w:szCs w:val="21"/>
              </w:rPr>
              <w:t>1371</w:t>
            </w:r>
          </w:p>
        </w:tc>
        <w:tc>
          <w:tcPr>
            <w:tcW w:w="1000" w:type="pct"/>
            <w:vAlign w:val="center"/>
          </w:tcPr>
          <w:p w14:paraId="63B24DCC">
            <w:pPr>
              <w:pStyle w:val="23"/>
              <w:jc w:val="center"/>
              <w:rPr>
                <w:rFonts w:ascii="宋体" w:hAnsi="宋体"/>
                <w:kern w:val="0"/>
                <w:szCs w:val="21"/>
              </w:rPr>
            </w:pPr>
            <w:r>
              <w:rPr>
                <w:rFonts w:ascii="宋体" w:hAnsi="宋体"/>
                <w:kern w:val="0"/>
                <w:szCs w:val="21"/>
              </w:rPr>
              <w:t>322562</w:t>
            </w:r>
          </w:p>
        </w:tc>
      </w:tr>
      <w:tr w14:paraId="6478ED2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000" w:type="pct"/>
            <w:vAlign w:val="center"/>
          </w:tcPr>
          <w:p w14:paraId="0DFBE1FB">
            <w:pPr>
              <w:pStyle w:val="23"/>
              <w:jc w:val="center"/>
              <w:rPr>
                <w:rFonts w:ascii="宋体" w:hAnsi="宋体"/>
                <w:kern w:val="0"/>
                <w:szCs w:val="21"/>
              </w:rPr>
            </w:pPr>
            <w:r>
              <w:rPr>
                <w:rFonts w:ascii="宋体" w:hAnsi="宋体"/>
                <w:kern w:val="0"/>
                <w:szCs w:val="21"/>
              </w:rPr>
              <w:t>古市</w:t>
            </w:r>
          </w:p>
        </w:tc>
        <w:tc>
          <w:tcPr>
            <w:tcW w:w="1001" w:type="pct"/>
            <w:vAlign w:val="center"/>
          </w:tcPr>
          <w:p w14:paraId="3170DDC7">
            <w:pPr>
              <w:pStyle w:val="23"/>
              <w:jc w:val="center"/>
              <w:rPr>
                <w:rFonts w:ascii="宋体" w:hAnsi="宋体"/>
                <w:kern w:val="0"/>
                <w:szCs w:val="21"/>
              </w:rPr>
            </w:pPr>
            <w:r>
              <w:rPr>
                <w:rFonts w:ascii="宋体" w:hAnsi="宋体"/>
                <w:kern w:val="0"/>
                <w:szCs w:val="21"/>
              </w:rPr>
              <w:t>7109</w:t>
            </w:r>
          </w:p>
        </w:tc>
        <w:tc>
          <w:tcPr>
            <w:tcW w:w="1000" w:type="pct"/>
            <w:vAlign w:val="center"/>
          </w:tcPr>
          <w:p w14:paraId="51F7D98A">
            <w:pPr>
              <w:pStyle w:val="23"/>
              <w:jc w:val="center"/>
              <w:rPr>
                <w:rFonts w:ascii="宋体" w:hAnsi="宋体"/>
                <w:kern w:val="0"/>
                <w:szCs w:val="21"/>
              </w:rPr>
            </w:pPr>
            <w:r>
              <w:rPr>
                <w:rFonts w:ascii="宋体" w:hAnsi="宋体"/>
                <w:kern w:val="0"/>
                <w:szCs w:val="21"/>
              </w:rPr>
              <w:t>18728</w:t>
            </w:r>
          </w:p>
        </w:tc>
        <w:tc>
          <w:tcPr>
            <w:tcW w:w="1001" w:type="pct"/>
            <w:vAlign w:val="center"/>
          </w:tcPr>
          <w:p w14:paraId="404A921D">
            <w:pPr>
              <w:pStyle w:val="23"/>
              <w:jc w:val="center"/>
              <w:rPr>
                <w:rFonts w:ascii="宋体" w:hAnsi="宋体"/>
                <w:kern w:val="0"/>
                <w:szCs w:val="21"/>
              </w:rPr>
            </w:pPr>
            <w:r>
              <w:rPr>
                <w:rFonts w:ascii="宋体" w:hAnsi="宋体"/>
                <w:kern w:val="0"/>
                <w:szCs w:val="21"/>
              </w:rPr>
              <w:t>1524</w:t>
            </w:r>
          </w:p>
        </w:tc>
        <w:tc>
          <w:tcPr>
            <w:tcW w:w="1000" w:type="pct"/>
            <w:vAlign w:val="center"/>
          </w:tcPr>
          <w:p w14:paraId="0760B9C2">
            <w:pPr>
              <w:pStyle w:val="23"/>
              <w:jc w:val="center"/>
              <w:rPr>
                <w:rFonts w:ascii="宋体" w:hAnsi="宋体"/>
                <w:kern w:val="0"/>
                <w:szCs w:val="21"/>
              </w:rPr>
            </w:pPr>
            <w:r>
              <w:rPr>
                <w:rFonts w:ascii="宋体" w:hAnsi="宋体"/>
                <w:kern w:val="0"/>
                <w:szCs w:val="21"/>
              </w:rPr>
              <w:t>349641</w:t>
            </w:r>
          </w:p>
        </w:tc>
      </w:tr>
      <w:tr w14:paraId="3D75A5E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000" w:type="pct"/>
            <w:vAlign w:val="center"/>
          </w:tcPr>
          <w:p w14:paraId="102DE11A">
            <w:pPr>
              <w:pStyle w:val="23"/>
              <w:jc w:val="center"/>
              <w:rPr>
                <w:rFonts w:ascii="宋体" w:hAnsi="宋体"/>
                <w:kern w:val="0"/>
                <w:szCs w:val="21"/>
              </w:rPr>
            </w:pPr>
            <w:r>
              <w:rPr>
                <w:rFonts w:ascii="宋体" w:hAnsi="宋体"/>
                <w:kern w:val="0"/>
                <w:szCs w:val="21"/>
              </w:rPr>
              <w:t>全安</w:t>
            </w:r>
          </w:p>
        </w:tc>
        <w:tc>
          <w:tcPr>
            <w:tcW w:w="1001" w:type="pct"/>
            <w:vAlign w:val="center"/>
          </w:tcPr>
          <w:p w14:paraId="304D15F3">
            <w:pPr>
              <w:pStyle w:val="23"/>
              <w:jc w:val="center"/>
              <w:rPr>
                <w:rFonts w:ascii="宋体" w:hAnsi="宋体"/>
                <w:kern w:val="0"/>
                <w:szCs w:val="21"/>
              </w:rPr>
            </w:pPr>
            <w:r>
              <w:rPr>
                <w:rFonts w:ascii="宋体" w:hAnsi="宋体"/>
                <w:kern w:val="0"/>
                <w:szCs w:val="21"/>
              </w:rPr>
              <w:t>10596</w:t>
            </w:r>
          </w:p>
        </w:tc>
        <w:tc>
          <w:tcPr>
            <w:tcW w:w="1000" w:type="pct"/>
            <w:vAlign w:val="center"/>
          </w:tcPr>
          <w:p w14:paraId="3C0EF3C3">
            <w:pPr>
              <w:pStyle w:val="23"/>
              <w:jc w:val="center"/>
              <w:rPr>
                <w:rFonts w:ascii="宋体" w:hAnsi="宋体"/>
                <w:kern w:val="0"/>
                <w:szCs w:val="21"/>
              </w:rPr>
            </w:pPr>
            <w:r>
              <w:rPr>
                <w:rFonts w:ascii="宋体" w:hAnsi="宋体"/>
                <w:kern w:val="0"/>
                <w:szCs w:val="21"/>
              </w:rPr>
              <w:t>17806</w:t>
            </w:r>
          </w:p>
        </w:tc>
        <w:tc>
          <w:tcPr>
            <w:tcW w:w="1001" w:type="pct"/>
            <w:vAlign w:val="center"/>
          </w:tcPr>
          <w:p w14:paraId="42E3AF6E">
            <w:pPr>
              <w:pStyle w:val="23"/>
              <w:jc w:val="center"/>
              <w:rPr>
                <w:rFonts w:ascii="宋体" w:hAnsi="宋体"/>
                <w:kern w:val="0"/>
                <w:szCs w:val="21"/>
              </w:rPr>
            </w:pPr>
            <w:r>
              <w:rPr>
                <w:rFonts w:ascii="宋体" w:hAnsi="宋体"/>
                <w:kern w:val="0"/>
                <w:szCs w:val="21"/>
              </w:rPr>
              <w:t>1488</w:t>
            </w:r>
          </w:p>
        </w:tc>
        <w:tc>
          <w:tcPr>
            <w:tcW w:w="1000" w:type="pct"/>
            <w:vAlign w:val="center"/>
          </w:tcPr>
          <w:p w14:paraId="799BD260">
            <w:pPr>
              <w:pStyle w:val="23"/>
              <w:jc w:val="center"/>
              <w:rPr>
                <w:rFonts w:ascii="宋体" w:hAnsi="宋体"/>
                <w:kern w:val="0"/>
                <w:szCs w:val="21"/>
              </w:rPr>
            </w:pPr>
            <w:r>
              <w:rPr>
                <w:rFonts w:ascii="宋体" w:hAnsi="宋体"/>
                <w:kern w:val="0"/>
                <w:szCs w:val="21"/>
              </w:rPr>
              <w:t>311853</w:t>
            </w:r>
          </w:p>
        </w:tc>
      </w:tr>
      <w:tr w14:paraId="384A91C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000" w:type="pct"/>
            <w:vAlign w:val="center"/>
          </w:tcPr>
          <w:p w14:paraId="73929C62">
            <w:pPr>
              <w:pStyle w:val="23"/>
              <w:jc w:val="center"/>
              <w:rPr>
                <w:rFonts w:ascii="宋体" w:hAnsi="宋体"/>
                <w:kern w:val="0"/>
                <w:szCs w:val="21"/>
              </w:rPr>
            </w:pPr>
            <w:r>
              <w:rPr>
                <w:rFonts w:ascii="宋体" w:hAnsi="宋体"/>
                <w:kern w:val="0"/>
                <w:szCs w:val="21"/>
              </w:rPr>
              <w:t>百顺</w:t>
            </w:r>
          </w:p>
        </w:tc>
        <w:tc>
          <w:tcPr>
            <w:tcW w:w="1001" w:type="pct"/>
            <w:vAlign w:val="center"/>
          </w:tcPr>
          <w:p w14:paraId="5E6B0DB0">
            <w:pPr>
              <w:pStyle w:val="23"/>
              <w:jc w:val="center"/>
              <w:rPr>
                <w:rFonts w:ascii="宋体" w:hAnsi="宋体"/>
                <w:kern w:val="0"/>
                <w:szCs w:val="21"/>
              </w:rPr>
            </w:pPr>
            <w:r>
              <w:rPr>
                <w:rFonts w:ascii="宋体" w:hAnsi="宋体"/>
                <w:kern w:val="0"/>
                <w:szCs w:val="21"/>
              </w:rPr>
              <w:t>7127</w:t>
            </w:r>
          </w:p>
        </w:tc>
        <w:tc>
          <w:tcPr>
            <w:tcW w:w="1000" w:type="pct"/>
            <w:vAlign w:val="center"/>
          </w:tcPr>
          <w:p w14:paraId="6A5B59A0">
            <w:pPr>
              <w:pStyle w:val="23"/>
              <w:jc w:val="center"/>
              <w:rPr>
                <w:rFonts w:ascii="宋体" w:hAnsi="宋体"/>
                <w:kern w:val="0"/>
                <w:szCs w:val="21"/>
              </w:rPr>
            </w:pPr>
            <w:r>
              <w:rPr>
                <w:rFonts w:ascii="宋体" w:hAnsi="宋体"/>
                <w:kern w:val="0"/>
                <w:szCs w:val="21"/>
              </w:rPr>
              <w:t>17838</w:t>
            </w:r>
          </w:p>
        </w:tc>
        <w:tc>
          <w:tcPr>
            <w:tcW w:w="1001" w:type="pct"/>
            <w:vAlign w:val="center"/>
          </w:tcPr>
          <w:p w14:paraId="580C489D">
            <w:pPr>
              <w:pStyle w:val="23"/>
              <w:jc w:val="center"/>
              <w:rPr>
                <w:rFonts w:ascii="宋体" w:hAnsi="宋体"/>
                <w:kern w:val="0"/>
                <w:szCs w:val="21"/>
              </w:rPr>
            </w:pPr>
            <w:r>
              <w:rPr>
                <w:rFonts w:ascii="宋体" w:hAnsi="宋体"/>
                <w:kern w:val="0"/>
                <w:szCs w:val="21"/>
              </w:rPr>
              <w:t>1314</w:t>
            </w:r>
          </w:p>
        </w:tc>
        <w:tc>
          <w:tcPr>
            <w:tcW w:w="1000" w:type="pct"/>
            <w:vAlign w:val="center"/>
          </w:tcPr>
          <w:p w14:paraId="0B694DEB">
            <w:pPr>
              <w:pStyle w:val="23"/>
              <w:jc w:val="center"/>
              <w:rPr>
                <w:rFonts w:ascii="宋体" w:hAnsi="宋体"/>
                <w:kern w:val="0"/>
                <w:szCs w:val="21"/>
              </w:rPr>
            </w:pPr>
            <w:r>
              <w:rPr>
                <w:rFonts w:ascii="宋体" w:hAnsi="宋体"/>
                <w:kern w:val="0"/>
                <w:szCs w:val="21"/>
              </w:rPr>
              <w:t>273170</w:t>
            </w:r>
          </w:p>
        </w:tc>
      </w:tr>
      <w:tr w14:paraId="7F55686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000" w:type="pct"/>
            <w:vAlign w:val="center"/>
          </w:tcPr>
          <w:p w14:paraId="0FBA16FA">
            <w:pPr>
              <w:pStyle w:val="23"/>
              <w:jc w:val="center"/>
              <w:rPr>
                <w:rFonts w:ascii="宋体" w:hAnsi="宋体"/>
                <w:kern w:val="0"/>
                <w:szCs w:val="21"/>
              </w:rPr>
            </w:pPr>
            <w:r>
              <w:rPr>
                <w:rFonts w:ascii="宋体" w:hAnsi="宋体"/>
                <w:kern w:val="0"/>
                <w:szCs w:val="21"/>
              </w:rPr>
              <w:t>澜河</w:t>
            </w:r>
          </w:p>
        </w:tc>
        <w:tc>
          <w:tcPr>
            <w:tcW w:w="1001" w:type="pct"/>
            <w:vAlign w:val="center"/>
          </w:tcPr>
          <w:p w14:paraId="35E6D771">
            <w:pPr>
              <w:pStyle w:val="23"/>
              <w:jc w:val="center"/>
              <w:rPr>
                <w:rFonts w:ascii="宋体" w:hAnsi="宋体"/>
                <w:kern w:val="0"/>
                <w:szCs w:val="21"/>
              </w:rPr>
            </w:pPr>
            <w:r>
              <w:rPr>
                <w:rFonts w:ascii="宋体" w:hAnsi="宋体"/>
                <w:kern w:val="0"/>
                <w:szCs w:val="21"/>
              </w:rPr>
              <w:t>6102</w:t>
            </w:r>
          </w:p>
        </w:tc>
        <w:tc>
          <w:tcPr>
            <w:tcW w:w="1000" w:type="pct"/>
            <w:vAlign w:val="center"/>
          </w:tcPr>
          <w:p w14:paraId="409E56A0">
            <w:pPr>
              <w:pStyle w:val="23"/>
              <w:jc w:val="center"/>
              <w:rPr>
                <w:rFonts w:ascii="宋体" w:hAnsi="宋体"/>
                <w:kern w:val="0"/>
                <w:szCs w:val="21"/>
              </w:rPr>
            </w:pPr>
            <w:r>
              <w:rPr>
                <w:rFonts w:ascii="宋体" w:hAnsi="宋体"/>
                <w:kern w:val="0"/>
                <w:szCs w:val="21"/>
              </w:rPr>
              <w:t>15477</w:t>
            </w:r>
          </w:p>
        </w:tc>
        <w:tc>
          <w:tcPr>
            <w:tcW w:w="1001" w:type="pct"/>
            <w:vAlign w:val="center"/>
          </w:tcPr>
          <w:p w14:paraId="4B9B32FA">
            <w:pPr>
              <w:pStyle w:val="23"/>
              <w:jc w:val="center"/>
              <w:rPr>
                <w:rFonts w:ascii="宋体" w:hAnsi="宋体"/>
                <w:kern w:val="0"/>
                <w:szCs w:val="21"/>
              </w:rPr>
            </w:pPr>
            <w:r>
              <w:rPr>
                <w:rFonts w:ascii="宋体" w:hAnsi="宋体"/>
                <w:kern w:val="0"/>
                <w:szCs w:val="21"/>
              </w:rPr>
              <w:t>931</w:t>
            </w:r>
          </w:p>
        </w:tc>
        <w:tc>
          <w:tcPr>
            <w:tcW w:w="1000" w:type="pct"/>
            <w:vAlign w:val="center"/>
          </w:tcPr>
          <w:p w14:paraId="47A2DD9B">
            <w:pPr>
              <w:pStyle w:val="23"/>
              <w:jc w:val="center"/>
              <w:rPr>
                <w:rFonts w:ascii="宋体" w:hAnsi="宋体"/>
                <w:kern w:val="0"/>
                <w:szCs w:val="21"/>
              </w:rPr>
            </w:pPr>
            <w:r>
              <w:rPr>
                <w:rFonts w:ascii="宋体" w:hAnsi="宋体"/>
                <w:kern w:val="0"/>
                <w:szCs w:val="21"/>
              </w:rPr>
              <w:t>243018</w:t>
            </w:r>
          </w:p>
        </w:tc>
      </w:tr>
      <w:tr w14:paraId="2E95D32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000" w:type="pct"/>
            <w:vAlign w:val="center"/>
          </w:tcPr>
          <w:p w14:paraId="3C53BF68">
            <w:pPr>
              <w:pStyle w:val="23"/>
              <w:jc w:val="center"/>
              <w:rPr>
                <w:rFonts w:ascii="宋体" w:hAnsi="宋体"/>
                <w:kern w:val="0"/>
                <w:szCs w:val="21"/>
              </w:rPr>
            </w:pPr>
            <w:r>
              <w:rPr>
                <w:rFonts w:ascii="宋体" w:hAnsi="宋体"/>
                <w:kern w:val="0"/>
                <w:szCs w:val="21"/>
              </w:rPr>
              <w:t>帽子峰</w:t>
            </w:r>
          </w:p>
        </w:tc>
        <w:tc>
          <w:tcPr>
            <w:tcW w:w="1001" w:type="pct"/>
            <w:vAlign w:val="center"/>
          </w:tcPr>
          <w:p w14:paraId="275C673B">
            <w:pPr>
              <w:pStyle w:val="23"/>
              <w:jc w:val="center"/>
              <w:rPr>
                <w:rFonts w:ascii="宋体" w:hAnsi="宋体"/>
                <w:kern w:val="0"/>
                <w:szCs w:val="21"/>
              </w:rPr>
            </w:pPr>
            <w:r>
              <w:rPr>
                <w:rFonts w:ascii="宋体" w:hAnsi="宋体"/>
                <w:kern w:val="0"/>
                <w:szCs w:val="21"/>
              </w:rPr>
              <w:t>6902</w:t>
            </w:r>
          </w:p>
        </w:tc>
        <w:tc>
          <w:tcPr>
            <w:tcW w:w="1000" w:type="pct"/>
            <w:vAlign w:val="center"/>
          </w:tcPr>
          <w:p w14:paraId="6CE45734">
            <w:pPr>
              <w:pStyle w:val="23"/>
              <w:jc w:val="center"/>
              <w:rPr>
                <w:rFonts w:ascii="宋体" w:hAnsi="宋体"/>
                <w:kern w:val="0"/>
                <w:szCs w:val="21"/>
              </w:rPr>
            </w:pPr>
            <w:r>
              <w:rPr>
                <w:rFonts w:ascii="宋体" w:hAnsi="宋体"/>
                <w:kern w:val="0"/>
                <w:szCs w:val="21"/>
              </w:rPr>
              <w:t>13768</w:t>
            </w:r>
          </w:p>
        </w:tc>
        <w:tc>
          <w:tcPr>
            <w:tcW w:w="1001" w:type="pct"/>
            <w:vAlign w:val="center"/>
          </w:tcPr>
          <w:p w14:paraId="09EF3C01">
            <w:pPr>
              <w:pStyle w:val="23"/>
              <w:jc w:val="center"/>
              <w:rPr>
                <w:rFonts w:ascii="宋体" w:hAnsi="宋体"/>
                <w:kern w:val="0"/>
                <w:szCs w:val="21"/>
              </w:rPr>
            </w:pPr>
            <w:r>
              <w:rPr>
                <w:rFonts w:ascii="宋体" w:hAnsi="宋体"/>
                <w:kern w:val="0"/>
                <w:szCs w:val="21"/>
              </w:rPr>
              <w:t>1142</w:t>
            </w:r>
          </w:p>
        </w:tc>
        <w:tc>
          <w:tcPr>
            <w:tcW w:w="1000" w:type="pct"/>
            <w:vAlign w:val="center"/>
          </w:tcPr>
          <w:p w14:paraId="54A7DF93">
            <w:pPr>
              <w:pStyle w:val="23"/>
              <w:jc w:val="center"/>
              <w:rPr>
                <w:rFonts w:ascii="宋体" w:hAnsi="宋体"/>
                <w:kern w:val="0"/>
                <w:szCs w:val="21"/>
              </w:rPr>
            </w:pPr>
            <w:r>
              <w:rPr>
                <w:rFonts w:ascii="宋体" w:hAnsi="宋体"/>
                <w:kern w:val="0"/>
                <w:szCs w:val="21"/>
              </w:rPr>
              <w:t>215828</w:t>
            </w:r>
          </w:p>
        </w:tc>
      </w:tr>
      <w:tr w14:paraId="02B38CE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000" w:type="pct"/>
            <w:vAlign w:val="center"/>
          </w:tcPr>
          <w:p w14:paraId="025E1849">
            <w:pPr>
              <w:pStyle w:val="23"/>
              <w:jc w:val="center"/>
              <w:rPr>
                <w:rFonts w:ascii="宋体" w:hAnsi="宋体"/>
                <w:kern w:val="0"/>
                <w:szCs w:val="21"/>
              </w:rPr>
            </w:pPr>
            <w:r>
              <w:rPr>
                <w:rFonts w:ascii="宋体" w:hAnsi="宋体"/>
                <w:kern w:val="0"/>
                <w:szCs w:val="21"/>
              </w:rPr>
              <w:t>雄州街道</w:t>
            </w:r>
          </w:p>
        </w:tc>
        <w:tc>
          <w:tcPr>
            <w:tcW w:w="1001" w:type="pct"/>
            <w:vAlign w:val="center"/>
          </w:tcPr>
          <w:p w14:paraId="3F96922A">
            <w:pPr>
              <w:pStyle w:val="23"/>
              <w:jc w:val="center"/>
              <w:rPr>
                <w:rFonts w:ascii="宋体" w:hAnsi="宋体"/>
                <w:kern w:val="0"/>
                <w:szCs w:val="21"/>
              </w:rPr>
            </w:pPr>
            <w:r>
              <w:rPr>
                <w:rFonts w:ascii="宋体" w:hAnsi="宋体"/>
                <w:kern w:val="0"/>
                <w:szCs w:val="21"/>
              </w:rPr>
              <w:t>15507</w:t>
            </w:r>
          </w:p>
        </w:tc>
        <w:tc>
          <w:tcPr>
            <w:tcW w:w="1000" w:type="pct"/>
            <w:vAlign w:val="center"/>
          </w:tcPr>
          <w:p w14:paraId="680F1B04">
            <w:pPr>
              <w:pStyle w:val="23"/>
              <w:jc w:val="center"/>
              <w:rPr>
                <w:rFonts w:ascii="宋体" w:hAnsi="宋体"/>
                <w:kern w:val="0"/>
                <w:szCs w:val="21"/>
              </w:rPr>
            </w:pPr>
            <w:r>
              <w:rPr>
                <w:rFonts w:ascii="宋体" w:hAnsi="宋体"/>
                <w:kern w:val="0"/>
                <w:szCs w:val="21"/>
              </w:rPr>
              <w:t>27989</w:t>
            </w:r>
          </w:p>
        </w:tc>
        <w:tc>
          <w:tcPr>
            <w:tcW w:w="1001" w:type="pct"/>
            <w:vAlign w:val="center"/>
          </w:tcPr>
          <w:p w14:paraId="289F37EF">
            <w:pPr>
              <w:pStyle w:val="23"/>
              <w:jc w:val="center"/>
              <w:rPr>
                <w:rFonts w:ascii="宋体" w:hAnsi="宋体"/>
                <w:kern w:val="0"/>
                <w:szCs w:val="21"/>
              </w:rPr>
            </w:pPr>
            <w:r>
              <w:rPr>
                <w:rFonts w:ascii="宋体" w:hAnsi="宋体"/>
                <w:kern w:val="0"/>
                <w:szCs w:val="21"/>
              </w:rPr>
              <w:t>1472</w:t>
            </w:r>
          </w:p>
        </w:tc>
        <w:tc>
          <w:tcPr>
            <w:tcW w:w="1000" w:type="pct"/>
            <w:vAlign w:val="center"/>
          </w:tcPr>
          <w:p w14:paraId="49ED74C6">
            <w:pPr>
              <w:pStyle w:val="23"/>
              <w:jc w:val="center"/>
              <w:rPr>
                <w:rFonts w:ascii="宋体" w:hAnsi="宋体"/>
                <w:kern w:val="0"/>
                <w:szCs w:val="21"/>
              </w:rPr>
            </w:pPr>
            <w:r>
              <w:rPr>
                <w:rFonts w:ascii="宋体" w:hAnsi="宋体"/>
                <w:kern w:val="0"/>
                <w:szCs w:val="21"/>
              </w:rPr>
              <w:t>381405</w:t>
            </w:r>
          </w:p>
        </w:tc>
      </w:tr>
    </w:tbl>
    <w:p w14:paraId="2250E0A2">
      <w:pPr>
        <w:ind w:firstLine="0" w:firstLineChars="0"/>
        <w:jc w:val="center"/>
        <w:rPr>
          <w:b/>
        </w:rPr>
      </w:pPr>
      <w:r>
        <w:rPr>
          <w:rFonts w:hint="eastAsia"/>
          <w:b/>
        </w:rPr>
        <w:t>表58 分镇渔业、小水电情况</w:t>
      </w:r>
    </w:p>
    <w:tbl>
      <w:tblPr>
        <w:tblStyle w:val="14"/>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30" w:type="dxa"/>
          <w:bottom w:w="0" w:type="dxa"/>
          <w:right w:w="30" w:type="dxa"/>
        </w:tblCellMar>
      </w:tblPr>
      <w:tblGrid>
        <w:gridCol w:w="2450"/>
        <w:gridCol w:w="2453"/>
        <w:gridCol w:w="2450"/>
        <w:gridCol w:w="2453"/>
      </w:tblGrid>
      <w:tr w14:paraId="7417552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249" w:type="pct"/>
            <w:vAlign w:val="center"/>
          </w:tcPr>
          <w:p w14:paraId="2DD93EE8">
            <w:pPr>
              <w:pStyle w:val="23"/>
              <w:jc w:val="center"/>
              <w:rPr>
                <w:b/>
                <w:kern w:val="0"/>
              </w:rPr>
            </w:pPr>
            <w:r>
              <w:rPr>
                <w:b/>
                <w:kern w:val="0"/>
              </w:rPr>
              <w:t>单位名称</w:t>
            </w:r>
          </w:p>
        </w:tc>
        <w:tc>
          <w:tcPr>
            <w:tcW w:w="1251" w:type="pct"/>
            <w:vAlign w:val="center"/>
          </w:tcPr>
          <w:p w14:paraId="3627E45A">
            <w:pPr>
              <w:pStyle w:val="23"/>
              <w:jc w:val="center"/>
              <w:rPr>
                <w:b/>
                <w:kern w:val="0"/>
              </w:rPr>
            </w:pPr>
            <w:r>
              <w:rPr>
                <w:b/>
                <w:kern w:val="0"/>
              </w:rPr>
              <w:t>水产品总产量(吨)</w:t>
            </w:r>
          </w:p>
        </w:tc>
        <w:tc>
          <w:tcPr>
            <w:tcW w:w="1249" w:type="pct"/>
            <w:vAlign w:val="center"/>
          </w:tcPr>
          <w:p w14:paraId="4B78C558">
            <w:pPr>
              <w:pStyle w:val="23"/>
              <w:jc w:val="center"/>
              <w:rPr>
                <w:b/>
                <w:kern w:val="0"/>
              </w:rPr>
            </w:pPr>
            <w:r>
              <w:rPr>
                <w:b/>
                <w:kern w:val="0"/>
              </w:rPr>
              <w:t>小水电站宗数(宗)</w:t>
            </w:r>
          </w:p>
        </w:tc>
        <w:tc>
          <w:tcPr>
            <w:tcW w:w="1251" w:type="pct"/>
            <w:vAlign w:val="center"/>
          </w:tcPr>
          <w:p w14:paraId="0397A532">
            <w:pPr>
              <w:pStyle w:val="23"/>
              <w:jc w:val="center"/>
              <w:rPr>
                <w:b/>
                <w:kern w:val="0"/>
              </w:rPr>
            </w:pPr>
            <w:r>
              <w:rPr>
                <w:b/>
                <w:kern w:val="0"/>
              </w:rPr>
              <w:t>装机容量(万千瓦)</w:t>
            </w:r>
          </w:p>
        </w:tc>
      </w:tr>
      <w:tr w14:paraId="408DE6F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249" w:type="pct"/>
            <w:vAlign w:val="center"/>
          </w:tcPr>
          <w:p w14:paraId="57C425AB">
            <w:pPr>
              <w:pStyle w:val="23"/>
              <w:jc w:val="center"/>
              <w:rPr>
                <w:rFonts w:ascii="宋体" w:hAnsi="宋体"/>
                <w:kern w:val="0"/>
                <w:szCs w:val="21"/>
              </w:rPr>
            </w:pPr>
            <w:r>
              <w:rPr>
                <w:rFonts w:ascii="宋体" w:hAnsi="宋体"/>
                <w:kern w:val="0"/>
                <w:szCs w:val="21"/>
              </w:rPr>
              <w:t>合计</w:t>
            </w:r>
          </w:p>
        </w:tc>
        <w:tc>
          <w:tcPr>
            <w:tcW w:w="1251" w:type="pct"/>
            <w:vAlign w:val="center"/>
          </w:tcPr>
          <w:p w14:paraId="2C0E9F18">
            <w:pPr>
              <w:pStyle w:val="23"/>
              <w:jc w:val="center"/>
              <w:rPr>
                <w:rFonts w:ascii="宋体" w:hAnsi="宋体"/>
                <w:kern w:val="0"/>
                <w:szCs w:val="21"/>
              </w:rPr>
            </w:pPr>
            <w:r>
              <w:rPr>
                <w:rFonts w:ascii="宋体" w:hAnsi="宋体"/>
                <w:kern w:val="0"/>
                <w:szCs w:val="21"/>
              </w:rPr>
              <w:t>14320</w:t>
            </w:r>
          </w:p>
        </w:tc>
        <w:tc>
          <w:tcPr>
            <w:tcW w:w="1249" w:type="pct"/>
            <w:vAlign w:val="center"/>
          </w:tcPr>
          <w:p w14:paraId="5D18DF54">
            <w:pPr>
              <w:pStyle w:val="23"/>
              <w:jc w:val="center"/>
              <w:rPr>
                <w:rFonts w:ascii="宋体" w:hAnsi="宋体"/>
                <w:kern w:val="0"/>
                <w:szCs w:val="21"/>
              </w:rPr>
            </w:pPr>
            <w:r>
              <w:rPr>
                <w:rFonts w:ascii="宋体" w:hAnsi="宋体"/>
                <w:kern w:val="0"/>
                <w:szCs w:val="21"/>
              </w:rPr>
              <w:t>141</w:t>
            </w:r>
          </w:p>
        </w:tc>
        <w:tc>
          <w:tcPr>
            <w:tcW w:w="1251" w:type="pct"/>
            <w:vAlign w:val="center"/>
          </w:tcPr>
          <w:p w14:paraId="40401FAA">
            <w:pPr>
              <w:pStyle w:val="23"/>
              <w:jc w:val="center"/>
              <w:rPr>
                <w:rFonts w:ascii="宋体" w:hAnsi="宋体"/>
                <w:kern w:val="0"/>
                <w:szCs w:val="21"/>
              </w:rPr>
            </w:pPr>
            <w:r>
              <w:rPr>
                <w:rFonts w:ascii="宋体" w:hAnsi="宋体"/>
                <w:kern w:val="0"/>
                <w:szCs w:val="21"/>
              </w:rPr>
              <w:t>5.44</w:t>
            </w:r>
          </w:p>
        </w:tc>
      </w:tr>
      <w:tr w14:paraId="57B07A4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249" w:type="pct"/>
            <w:vAlign w:val="center"/>
          </w:tcPr>
          <w:p w14:paraId="757E5C16">
            <w:pPr>
              <w:pStyle w:val="23"/>
              <w:jc w:val="center"/>
              <w:rPr>
                <w:rFonts w:ascii="宋体" w:hAnsi="宋体"/>
                <w:kern w:val="0"/>
                <w:szCs w:val="21"/>
              </w:rPr>
            </w:pPr>
            <w:r>
              <w:rPr>
                <w:rFonts w:ascii="宋体" w:hAnsi="宋体"/>
                <w:kern w:val="0"/>
                <w:szCs w:val="21"/>
              </w:rPr>
              <w:t>乌迳</w:t>
            </w:r>
          </w:p>
        </w:tc>
        <w:tc>
          <w:tcPr>
            <w:tcW w:w="1251" w:type="pct"/>
            <w:vAlign w:val="center"/>
          </w:tcPr>
          <w:p w14:paraId="37F2DB15">
            <w:pPr>
              <w:pStyle w:val="23"/>
              <w:jc w:val="center"/>
              <w:rPr>
                <w:rFonts w:ascii="宋体" w:hAnsi="宋体"/>
                <w:kern w:val="0"/>
                <w:szCs w:val="21"/>
              </w:rPr>
            </w:pPr>
            <w:r>
              <w:rPr>
                <w:rFonts w:ascii="宋体" w:hAnsi="宋体"/>
                <w:kern w:val="0"/>
                <w:szCs w:val="21"/>
              </w:rPr>
              <w:t>1045</w:t>
            </w:r>
          </w:p>
        </w:tc>
        <w:tc>
          <w:tcPr>
            <w:tcW w:w="1249" w:type="pct"/>
            <w:vAlign w:val="center"/>
          </w:tcPr>
          <w:p w14:paraId="3AE781A6">
            <w:pPr>
              <w:pStyle w:val="23"/>
              <w:jc w:val="center"/>
              <w:rPr>
                <w:rFonts w:ascii="宋体" w:hAnsi="宋体"/>
                <w:kern w:val="0"/>
                <w:szCs w:val="21"/>
              </w:rPr>
            </w:pPr>
            <w:r>
              <w:rPr>
                <w:rFonts w:ascii="宋体" w:hAnsi="宋体"/>
                <w:kern w:val="0"/>
                <w:szCs w:val="21"/>
              </w:rPr>
              <w:t>6</w:t>
            </w:r>
          </w:p>
        </w:tc>
        <w:tc>
          <w:tcPr>
            <w:tcW w:w="1251" w:type="pct"/>
            <w:vAlign w:val="center"/>
          </w:tcPr>
          <w:p w14:paraId="114FC775">
            <w:pPr>
              <w:pStyle w:val="23"/>
              <w:jc w:val="center"/>
              <w:rPr>
                <w:rFonts w:ascii="宋体" w:hAnsi="宋体"/>
                <w:kern w:val="0"/>
                <w:szCs w:val="21"/>
              </w:rPr>
            </w:pPr>
            <w:r>
              <w:rPr>
                <w:rFonts w:ascii="宋体" w:hAnsi="宋体"/>
                <w:kern w:val="0"/>
                <w:szCs w:val="21"/>
              </w:rPr>
              <w:t>0.21</w:t>
            </w:r>
          </w:p>
        </w:tc>
      </w:tr>
      <w:tr w14:paraId="6C1A9AE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249" w:type="pct"/>
            <w:vAlign w:val="center"/>
          </w:tcPr>
          <w:p w14:paraId="26E37D78">
            <w:pPr>
              <w:pStyle w:val="23"/>
              <w:jc w:val="center"/>
              <w:rPr>
                <w:rFonts w:ascii="宋体" w:hAnsi="宋体"/>
                <w:kern w:val="0"/>
                <w:szCs w:val="21"/>
              </w:rPr>
            </w:pPr>
            <w:r>
              <w:rPr>
                <w:rFonts w:ascii="宋体" w:hAnsi="宋体"/>
                <w:kern w:val="0"/>
                <w:szCs w:val="21"/>
              </w:rPr>
              <w:t>界址</w:t>
            </w:r>
          </w:p>
        </w:tc>
        <w:tc>
          <w:tcPr>
            <w:tcW w:w="1251" w:type="pct"/>
            <w:vAlign w:val="center"/>
          </w:tcPr>
          <w:p w14:paraId="6706AE7F">
            <w:pPr>
              <w:pStyle w:val="23"/>
              <w:jc w:val="center"/>
              <w:rPr>
                <w:rFonts w:ascii="宋体" w:hAnsi="宋体"/>
                <w:kern w:val="0"/>
                <w:szCs w:val="21"/>
              </w:rPr>
            </w:pPr>
            <w:r>
              <w:rPr>
                <w:rFonts w:ascii="宋体" w:hAnsi="宋体"/>
                <w:kern w:val="0"/>
                <w:szCs w:val="21"/>
              </w:rPr>
              <w:t>632</w:t>
            </w:r>
          </w:p>
        </w:tc>
        <w:tc>
          <w:tcPr>
            <w:tcW w:w="1249" w:type="pct"/>
            <w:vAlign w:val="center"/>
          </w:tcPr>
          <w:p w14:paraId="7417BBAD">
            <w:pPr>
              <w:pStyle w:val="23"/>
              <w:jc w:val="center"/>
              <w:rPr>
                <w:rFonts w:ascii="宋体" w:hAnsi="宋体"/>
                <w:kern w:val="0"/>
                <w:szCs w:val="21"/>
              </w:rPr>
            </w:pPr>
          </w:p>
        </w:tc>
        <w:tc>
          <w:tcPr>
            <w:tcW w:w="1251" w:type="pct"/>
            <w:vAlign w:val="center"/>
          </w:tcPr>
          <w:p w14:paraId="3A50FB78">
            <w:pPr>
              <w:pStyle w:val="23"/>
              <w:jc w:val="center"/>
              <w:rPr>
                <w:rFonts w:ascii="宋体" w:hAnsi="宋体"/>
                <w:kern w:val="0"/>
                <w:szCs w:val="21"/>
              </w:rPr>
            </w:pPr>
            <w:r>
              <w:rPr>
                <w:rFonts w:ascii="宋体" w:hAnsi="宋体"/>
                <w:kern w:val="0"/>
                <w:szCs w:val="21"/>
              </w:rPr>
              <w:t>0.00</w:t>
            </w:r>
          </w:p>
        </w:tc>
      </w:tr>
      <w:tr w14:paraId="26D3731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249" w:type="pct"/>
            <w:vAlign w:val="center"/>
          </w:tcPr>
          <w:p w14:paraId="2E1ABE2B">
            <w:pPr>
              <w:pStyle w:val="23"/>
              <w:jc w:val="center"/>
              <w:rPr>
                <w:rFonts w:ascii="宋体" w:hAnsi="宋体"/>
                <w:kern w:val="0"/>
                <w:szCs w:val="21"/>
              </w:rPr>
            </w:pPr>
            <w:r>
              <w:rPr>
                <w:rFonts w:ascii="宋体" w:hAnsi="宋体"/>
                <w:kern w:val="0"/>
                <w:szCs w:val="21"/>
              </w:rPr>
              <w:t>坪田</w:t>
            </w:r>
          </w:p>
        </w:tc>
        <w:tc>
          <w:tcPr>
            <w:tcW w:w="1251" w:type="pct"/>
            <w:vAlign w:val="center"/>
          </w:tcPr>
          <w:p w14:paraId="505B6108">
            <w:pPr>
              <w:pStyle w:val="23"/>
              <w:jc w:val="center"/>
              <w:rPr>
                <w:rFonts w:ascii="宋体" w:hAnsi="宋体"/>
                <w:kern w:val="0"/>
                <w:szCs w:val="21"/>
              </w:rPr>
            </w:pPr>
            <w:r>
              <w:rPr>
                <w:rFonts w:ascii="宋体" w:hAnsi="宋体"/>
                <w:kern w:val="0"/>
                <w:szCs w:val="21"/>
              </w:rPr>
              <w:t>710</w:t>
            </w:r>
          </w:p>
        </w:tc>
        <w:tc>
          <w:tcPr>
            <w:tcW w:w="1249" w:type="pct"/>
            <w:vAlign w:val="center"/>
          </w:tcPr>
          <w:p w14:paraId="241D5220">
            <w:pPr>
              <w:pStyle w:val="23"/>
              <w:jc w:val="center"/>
              <w:rPr>
                <w:rFonts w:ascii="宋体" w:hAnsi="宋体"/>
                <w:kern w:val="0"/>
                <w:szCs w:val="21"/>
              </w:rPr>
            </w:pPr>
            <w:r>
              <w:rPr>
                <w:rFonts w:ascii="宋体" w:hAnsi="宋体"/>
                <w:kern w:val="0"/>
                <w:szCs w:val="21"/>
              </w:rPr>
              <w:t>3</w:t>
            </w:r>
          </w:p>
        </w:tc>
        <w:tc>
          <w:tcPr>
            <w:tcW w:w="1251" w:type="pct"/>
            <w:vAlign w:val="center"/>
          </w:tcPr>
          <w:p w14:paraId="1B602399">
            <w:pPr>
              <w:pStyle w:val="23"/>
              <w:jc w:val="center"/>
              <w:rPr>
                <w:rFonts w:ascii="宋体" w:hAnsi="宋体"/>
                <w:kern w:val="0"/>
                <w:szCs w:val="21"/>
              </w:rPr>
            </w:pPr>
            <w:r>
              <w:rPr>
                <w:rFonts w:ascii="宋体" w:hAnsi="宋体"/>
                <w:kern w:val="0"/>
                <w:szCs w:val="21"/>
              </w:rPr>
              <w:t>0.06</w:t>
            </w:r>
          </w:p>
        </w:tc>
      </w:tr>
      <w:tr w14:paraId="1167A49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249" w:type="pct"/>
            <w:vAlign w:val="center"/>
          </w:tcPr>
          <w:p w14:paraId="57FD9CC6">
            <w:pPr>
              <w:pStyle w:val="23"/>
              <w:jc w:val="center"/>
              <w:rPr>
                <w:rFonts w:ascii="宋体" w:hAnsi="宋体"/>
                <w:kern w:val="0"/>
                <w:szCs w:val="21"/>
              </w:rPr>
            </w:pPr>
            <w:r>
              <w:rPr>
                <w:rFonts w:ascii="宋体" w:hAnsi="宋体"/>
                <w:kern w:val="0"/>
                <w:szCs w:val="21"/>
              </w:rPr>
              <w:t>黄坑</w:t>
            </w:r>
          </w:p>
        </w:tc>
        <w:tc>
          <w:tcPr>
            <w:tcW w:w="1251" w:type="pct"/>
            <w:vAlign w:val="center"/>
          </w:tcPr>
          <w:p w14:paraId="3BF7356F">
            <w:pPr>
              <w:pStyle w:val="23"/>
              <w:jc w:val="center"/>
              <w:rPr>
                <w:rFonts w:ascii="宋体" w:hAnsi="宋体"/>
                <w:kern w:val="0"/>
                <w:szCs w:val="21"/>
              </w:rPr>
            </w:pPr>
            <w:r>
              <w:rPr>
                <w:rFonts w:ascii="宋体" w:hAnsi="宋体"/>
                <w:kern w:val="0"/>
                <w:szCs w:val="21"/>
              </w:rPr>
              <w:t>895</w:t>
            </w:r>
          </w:p>
        </w:tc>
        <w:tc>
          <w:tcPr>
            <w:tcW w:w="1249" w:type="pct"/>
            <w:vAlign w:val="center"/>
          </w:tcPr>
          <w:p w14:paraId="7A7838F8">
            <w:pPr>
              <w:pStyle w:val="23"/>
              <w:jc w:val="center"/>
              <w:rPr>
                <w:rFonts w:ascii="宋体" w:hAnsi="宋体"/>
                <w:kern w:val="0"/>
                <w:szCs w:val="21"/>
              </w:rPr>
            </w:pPr>
          </w:p>
        </w:tc>
        <w:tc>
          <w:tcPr>
            <w:tcW w:w="1251" w:type="pct"/>
            <w:vAlign w:val="center"/>
          </w:tcPr>
          <w:p w14:paraId="71F1C89E">
            <w:pPr>
              <w:pStyle w:val="23"/>
              <w:jc w:val="center"/>
              <w:rPr>
                <w:rFonts w:ascii="宋体" w:hAnsi="宋体"/>
                <w:kern w:val="0"/>
                <w:szCs w:val="21"/>
              </w:rPr>
            </w:pPr>
            <w:r>
              <w:rPr>
                <w:rFonts w:ascii="宋体" w:hAnsi="宋体"/>
                <w:kern w:val="0"/>
                <w:szCs w:val="21"/>
              </w:rPr>
              <w:t>0.00</w:t>
            </w:r>
          </w:p>
        </w:tc>
      </w:tr>
      <w:tr w14:paraId="159A34A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249" w:type="pct"/>
            <w:vAlign w:val="center"/>
          </w:tcPr>
          <w:p w14:paraId="55945991">
            <w:pPr>
              <w:pStyle w:val="23"/>
              <w:jc w:val="center"/>
              <w:rPr>
                <w:rFonts w:ascii="宋体" w:hAnsi="宋体"/>
                <w:kern w:val="0"/>
                <w:szCs w:val="21"/>
              </w:rPr>
            </w:pPr>
            <w:r>
              <w:rPr>
                <w:rFonts w:ascii="宋体" w:hAnsi="宋体"/>
                <w:kern w:val="0"/>
                <w:szCs w:val="21"/>
              </w:rPr>
              <w:t>邓坊</w:t>
            </w:r>
          </w:p>
        </w:tc>
        <w:tc>
          <w:tcPr>
            <w:tcW w:w="1251" w:type="pct"/>
            <w:vAlign w:val="center"/>
          </w:tcPr>
          <w:p w14:paraId="4DB0DFE3">
            <w:pPr>
              <w:pStyle w:val="23"/>
              <w:jc w:val="center"/>
              <w:rPr>
                <w:rFonts w:ascii="宋体" w:hAnsi="宋体"/>
                <w:kern w:val="0"/>
                <w:szCs w:val="21"/>
              </w:rPr>
            </w:pPr>
            <w:r>
              <w:rPr>
                <w:rFonts w:ascii="宋体" w:hAnsi="宋体"/>
                <w:kern w:val="0"/>
                <w:szCs w:val="21"/>
              </w:rPr>
              <w:t>736</w:t>
            </w:r>
          </w:p>
        </w:tc>
        <w:tc>
          <w:tcPr>
            <w:tcW w:w="1249" w:type="pct"/>
            <w:vAlign w:val="center"/>
          </w:tcPr>
          <w:p w14:paraId="64D043F6">
            <w:pPr>
              <w:pStyle w:val="23"/>
              <w:jc w:val="center"/>
              <w:rPr>
                <w:rFonts w:ascii="宋体" w:hAnsi="宋体"/>
                <w:kern w:val="0"/>
                <w:szCs w:val="21"/>
              </w:rPr>
            </w:pPr>
            <w:r>
              <w:rPr>
                <w:rFonts w:ascii="宋体" w:hAnsi="宋体"/>
                <w:kern w:val="0"/>
                <w:szCs w:val="21"/>
              </w:rPr>
              <w:t>7</w:t>
            </w:r>
          </w:p>
        </w:tc>
        <w:tc>
          <w:tcPr>
            <w:tcW w:w="1251" w:type="pct"/>
            <w:vAlign w:val="center"/>
          </w:tcPr>
          <w:p w14:paraId="4A969017">
            <w:pPr>
              <w:pStyle w:val="23"/>
              <w:jc w:val="center"/>
              <w:rPr>
                <w:rFonts w:ascii="宋体" w:hAnsi="宋体"/>
                <w:kern w:val="0"/>
                <w:szCs w:val="21"/>
              </w:rPr>
            </w:pPr>
            <w:r>
              <w:rPr>
                <w:rFonts w:ascii="宋体" w:hAnsi="宋体"/>
                <w:kern w:val="0"/>
                <w:szCs w:val="21"/>
              </w:rPr>
              <w:t>0.11</w:t>
            </w:r>
          </w:p>
        </w:tc>
      </w:tr>
      <w:tr w14:paraId="6661BA0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249" w:type="pct"/>
            <w:vAlign w:val="center"/>
          </w:tcPr>
          <w:p w14:paraId="4887A9F4">
            <w:pPr>
              <w:pStyle w:val="23"/>
              <w:jc w:val="center"/>
              <w:rPr>
                <w:rFonts w:ascii="宋体" w:hAnsi="宋体"/>
                <w:kern w:val="0"/>
                <w:szCs w:val="21"/>
              </w:rPr>
            </w:pPr>
            <w:r>
              <w:rPr>
                <w:rFonts w:ascii="宋体" w:hAnsi="宋体"/>
                <w:kern w:val="0"/>
                <w:szCs w:val="21"/>
              </w:rPr>
              <w:t>油山</w:t>
            </w:r>
          </w:p>
        </w:tc>
        <w:tc>
          <w:tcPr>
            <w:tcW w:w="1251" w:type="pct"/>
            <w:vAlign w:val="center"/>
          </w:tcPr>
          <w:p w14:paraId="5DA60351">
            <w:pPr>
              <w:pStyle w:val="23"/>
              <w:jc w:val="center"/>
              <w:rPr>
                <w:rFonts w:ascii="宋体" w:hAnsi="宋体"/>
                <w:kern w:val="0"/>
                <w:szCs w:val="21"/>
              </w:rPr>
            </w:pPr>
            <w:r>
              <w:rPr>
                <w:rFonts w:ascii="宋体" w:hAnsi="宋体"/>
                <w:kern w:val="0"/>
                <w:szCs w:val="21"/>
              </w:rPr>
              <w:t>702</w:t>
            </w:r>
          </w:p>
        </w:tc>
        <w:tc>
          <w:tcPr>
            <w:tcW w:w="1249" w:type="pct"/>
            <w:vAlign w:val="center"/>
          </w:tcPr>
          <w:p w14:paraId="67018361">
            <w:pPr>
              <w:pStyle w:val="23"/>
              <w:jc w:val="center"/>
              <w:rPr>
                <w:rFonts w:ascii="宋体" w:hAnsi="宋体"/>
                <w:kern w:val="0"/>
                <w:szCs w:val="21"/>
              </w:rPr>
            </w:pPr>
            <w:r>
              <w:rPr>
                <w:rFonts w:ascii="宋体" w:hAnsi="宋体"/>
                <w:kern w:val="0"/>
                <w:szCs w:val="21"/>
              </w:rPr>
              <w:t>10</w:t>
            </w:r>
          </w:p>
        </w:tc>
        <w:tc>
          <w:tcPr>
            <w:tcW w:w="1251" w:type="pct"/>
            <w:vAlign w:val="center"/>
          </w:tcPr>
          <w:p w14:paraId="3CAF57F4">
            <w:pPr>
              <w:pStyle w:val="23"/>
              <w:jc w:val="center"/>
              <w:rPr>
                <w:rFonts w:ascii="宋体" w:hAnsi="宋体"/>
                <w:kern w:val="0"/>
                <w:szCs w:val="21"/>
              </w:rPr>
            </w:pPr>
            <w:r>
              <w:rPr>
                <w:rFonts w:ascii="宋体" w:hAnsi="宋体"/>
                <w:kern w:val="0"/>
                <w:szCs w:val="21"/>
              </w:rPr>
              <w:t>0.27</w:t>
            </w:r>
          </w:p>
        </w:tc>
      </w:tr>
      <w:tr w14:paraId="5A17C75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249" w:type="pct"/>
            <w:vAlign w:val="center"/>
          </w:tcPr>
          <w:p w14:paraId="3DD3DCFB">
            <w:pPr>
              <w:pStyle w:val="23"/>
              <w:jc w:val="center"/>
              <w:rPr>
                <w:rFonts w:ascii="宋体" w:hAnsi="宋体"/>
                <w:kern w:val="0"/>
                <w:szCs w:val="21"/>
              </w:rPr>
            </w:pPr>
            <w:r>
              <w:rPr>
                <w:rFonts w:ascii="宋体" w:hAnsi="宋体"/>
                <w:kern w:val="0"/>
                <w:szCs w:val="21"/>
              </w:rPr>
              <w:t>南亩</w:t>
            </w:r>
          </w:p>
        </w:tc>
        <w:tc>
          <w:tcPr>
            <w:tcW w:w="1251" w:type="pct"/>
            <w:vAlign w:val="center"/>
          </w:tcPr>
          <w:p w14:paraId="6D012097">
            <w:pPr>
              <w:pStyle w:val="23"/>
              <w:jc w:val="center"/>
              <w:rPr>
                <w:rFonts w:ascii="宋体" w:hAnsi="宋体"/>
                <w:kern w:val="0"/>
                <w:szCs w:val="21"/>
              </w:rPr>
            </w:pPr>
            <w:r>
              <w:rPr>
                <w:rFonts w:ascii="宋体" w:hAnsi="宋体"/>
                <w:kern w:val="0"/>
                <w:szCs w:val="21"/>
              </w:rPr>
              <w:t>641</w:t>
            </w:r>
          </w:p>
        </w:tc>
        <w:tc>
          <w:tcPr>
            <w:tcW w:w="1249" w:type="pct"/>
            <w:vAlign w:val="center"/>
          </w:tcPr>
          <w:p w14:paraId="224CA158">
            <w:pPr>
              <w:pStyle w:val="23"/>
              <w:jc w:val="center"/>
              <w:rPr>
                <w:rFonts w:ascii="宋体" w:hAnsi="宋体"/>
                <w:kern w:val="0"/>
                <w:szCs w:val="21"/>
              </w:rPr>
            </w:pPr>
            <w:r>
              <w:rPr>
                <w:rFonts w:ascii="宋体" w:hAnsi="宋体"/>
                <w:kern w:val="0"/>
                <w:szCs w:val="21"/>
              </w:rPr>
              <w:t>1</w:t>
            </w:r>
          </w:p>
        </w:tc>
        <w:tc>
          <w:tcPr>
            <w:tcW w:w="1251" w:type="pct"/>
            <w:vAlign w:val="center"/>
          </w:tcPr>
          <w:p w14:paraId="32736AF4">
            <w:pPr>
              <w:pStyle w:val="23"/>
              <w:jc w:val="center"/>
              <w:rPr>
                <w:rFonts w:ascii="宋体" w:hAnsi="宋体"/>
                <w:kern w:val="0"/>
                <w:szCs w:val="21"/>
              </w:rPr>
            </w:pPr>
            <w:r>
              <w:rPr>
                <w:rFonts w:ascii="宋体" w:hAnsi="宋体"/>
                <w:kern w:val="0"/>
                <w:szCs w:val="21"/>
              </w:rPr>
              <w:t>0.02</w:t>
            </w:r>
          </w:p>
        </w:tc>
      </w:tr>
      <w:tr w14:paraId="04C404F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249" w:type="pct"/>
            <w:vAlign w:val="center"/>
          </w:tcPr>
          <w:p w14:paraId="1C910641">
            <w:pPr>
              <w:pStyle w:val="23"/>
              <w:jc w:val="center"/>
              <w:rPr>
                <w:rFonts w:ascii="宋体" w:hAnsi="宋体"/>
                <w:kern w:val="0"/>
                <w:szCs w:val="21"/>
              </w:rPr>
            </w:pPr>
            <w:r>
              <w:rPr>
                <w:rFonts w:ascii="宋体" w:hAnsi="宋体"/>
                <w:kern w:val="0"/>
                <w:szCs w:val="21"/>
              </w:rPr>
              <w:t>水口</w:t>
            </w:r>
          </w:p>
        </w:tc>
        <w:tc>
          <w:tcPr>
            <w:tcW w:w="1251" w:type="pct"/>
            <w:vAlign w:val="center"/>
          </w:tcPr>
          <w:p w14:paraId="45246663">
            <w:pPr>
              <w:pStyle w:val="23"/>
              <w:jc w:val="center"/>
              <w:rPr>
                <w:rFonts w:ascii="宋体" w:hAnsi="宋体"/>
                <w:kern w:val="0"/>
                <w:szCs w:val="21"/>
              </w:rPr>
            </w:pPr>
            <w:r>
              <w:rPr>
                <w:rFonts w:ascii="宋体" w:hAnsi="宋体"/>
                <w:kern w:val="0"/>
                <w:szCs w:val="21"/>
              </w:rPr>
              <w:t>866</w:t>
            </w:r>
          </w:p>
        </w:tc>
        <w:tc>
          <w:tcPr>
            <w:tcW w:w="1249" w:type="pct"/>
            <w:vAlign w:val="center"/>
          </w:tcPr>
          <w:p w14:paraId="500FCC5D">
            <w:pPr>
              <w:pStyle w:val="23"/>
              <w:jc w:val="center"/>
              <w:rPr>
                <w:rFonts w:ascii="宋体" w:hAnsi="宋体"/>
                <w:kern w:val="0"/>
                <w:szCs w:val="21"/>
              </w:rPr>
            </w:pPr>
            <w:r>
              <w:rPr>
                <w:rFonts w:ascii="宋体" w:hAnsi="宋体"/>
                <w:kern w:val="0"/>
                <w:szCs w:val="21"/>
              </w:rPr>
              <w:t>5</w:t>
            </w:r>
          </w:p>
        </w:tc>
        <w:tc>
          <w:tcPr>
            <w:tcW w:w="1251" w:type="pct"/>
            <w:vAlign w:val="center"/>
          </w:tcPr>
          <w:p w14:paraId="04120508">
            <w:pPr>
              <w:pStyle w:val="23"/>
              <w:jc w:val="center"/>
              <w:rPr>
                <w:rFonts w:ascii="宋体" w:hAnsi="宋体"/>
                <w:kern w:val="0"/>
                <w:szCs w:val="21"/>
              </w:rPr>
            </w:pPr>
            <w:r>
              <w:rPr>
                <w:rFonts w:ascii="宋体" w:hAnsi="宋体"/>
                <w:kern w:val="0"/>
                <w:szCs w:val="21"/>
              </w:rPr>
              <w:t>0.27</w:t>
            </w:r>
          </w:p>
        </w:tc>
      </w:tr>
      <w:tr w14:paraId="58252C2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249" w:type="pct"/>
            <w:vAlign w:val="center"/>
          </w:tcPr>
          <w:p w14:paraId="1035F66D">
            <w:pPr>
              <w:pStyle w:val="23"/>
              <w:jc w:val="center"/>
              <w:rPr>
                <w:rFonts w:ascii="宋体" w:hAnsi="宋体"/>
                <w:kern w:val="0"/>
                <w:szCs w:val="21"/>
              </w:rPr>
            </w:pPr>
            <w:r>
              <w:rPr>
                <w:rFonts w:ascii="宋体" w:hAnsi="宋体"/>
                <w:kern w:val="0"/>
                <w:szCs w:val="21"/>
              </w:rPr>
              <w:t>江头</w:t>
            </w:r>
          </w:p>
        </w:tc>
        <w:tc>
          <w:tcPr>
            <w:tcW w:w="1251" w:type="pct"/>
            <w:vAlign w:val="center"/>
          </w:tcPr>
          <w:p w14:paraId="38C1D5B8">
            <w:pPr>
              <w:pStyle w:val="23"/>
              <w:jc w:val="center"/>
              <w:rPr>
                <w:rFonts w:ascii="宋体" w:hAnsi="宋体"/>
                <w:kern w:val="0"/>
                <w:szCs w:val="21"/>
              </w:rPr>
            </w:pPr>
            <w:r>
              <w:rPr>
                <w:rFonts w:ascii="宋体" w:hAnsi="宋体"/>
                <w:kern w:val="0"/>
                <w:szCs w:val="21"/>
              </w:rPr>
              <w:t>622</w:t>
            </w:r>
          </w:p>
        </w:tc>
        <w:tc>
          <w:tcPr>
            <w:tcW w:w="1249" w:type="pct"/>
            <w:vAlign w:val="center"/>
          </w:tcPr>
          <w:p w14:paraId="6C8ECBFB">
            <w:pPr>
              <w:pStyle w:val="23"/>
              <w:jc w:val="center"/>
              <w:rPr>
                <w:rFonts w:ascii="宋体" w:hAnsi="宋体"/>
                <w:kern w:val="0"/>
                <w:szCs w:val="21"/>
              </w:rPr>
            </w:pPr>
            <w:r>
              <w:rPr>
                <w:rFonts w:ascii="宋体" w:hAnsi="宋体"/>
                <w:kern w:val="0"/>
                <w:szCs w:val="21"/>
              </w:rPr>
              <w:t>16</w:t>
            </w:r>
          </w:p>
        </w:tc>
        <w:tc>
          <w:tcPr>
            <w:tcW w:w="1251" w:type="pct"/>
            <w:vAlign w:val="center"/>
          </w:tcPr>
          <w:p w14:paraId="16B320DF">
            <w:pPr>
              <w:pStyle w:val="23"/>
              <w:jc w:val="center"/>
              <w:rPr>
                <w:rFonts w:ascii="宋体" w:hAnsi="宋体"/>
                <w:kern w:val="0"/>
                <w:szCs w:val="21"/>
              </w:rPr>
            </w:pPr>
            <w:r>
              <w:rPr>
                <w:rFonts w:ascii="宋体" w:hAnsi="宋体"/>
                <w:kern w:val="0"/>
                <w:szCs w:val="21"/>
              </w:rPr>
              <w:t>0.55</w:t>
            </w:r>
          </w:p>
        </w:tc>
      </w:tr>
      <w:tr w14:paraId="45D9544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249" w:type="pct"/>
            <w:vAlign w:val="center"/>
          </w:tcPr>
          <w:p w14:paraId="14CDA9B3">
            <w:pPr>
              <w:pStyle w:val="23"/>
              <w:jc w:val="center"/>
              <w:rPr>
                <w:rFonts w:ascii="宋体" w:hAnsi="宋体"/>
                <w:kern w:val="0"/>
                <w:szCs w:val="21"/>
              </w:rPr>
            </w:pPr>
            <w:r>
              <w:rPr>
                <w:rFonts w:ascii="宋体" w:hAnsi="宋体"/>
                <w:kern w:val="0"/>
                <w:szCs w:val="21"/>
              </w:rPr>
              <w:t>湖口</w:t>
            </w:r>
          </w:p>
        </w:tc>
        <w:tc>
          <w:tcPr>
            <w:tcW w:w="1251" w:type="pct"/>
            <w:vAlign w:val="center"/>
          </w:tcPr>
          <w:p w14:paraId="34442AFD">
            <w:pPr>
              <w:pStyle w:val="23"/>
              <w:jc w:val="center"/>
              <w:rPr>
                <w:rFonts w:ascii="宋体" w:hAnsi="宋体"/>
                <w:kern w:val="0"/>
                <w:szCs w:val="21"/>
              </w:rPr>
            </w:pPr>
            <w:r>
              <w:rPr>
                <w:rFonts w:ascii="宋体" w:hAnsi="宋体"/>
                <w:kern w:val="0"/>
                <w:szCs w:val="21"/>
              </w:rPr>
              <w:t>1012</w:t>
            </w:r>
          </w:p>
        </w:tc>
        <w:tc>
          <w:tcPr>
            <w:tcW w:w="1249" w:type="pct"/>
            <w:vAlign w:val="center"/>
          </w:tcPr>
          <w:p w14:paraId="4ACDFD4F">
            <w:pPr>
              <w:pStyle w:val="23"/>
              <w:jc w:val="center"/>
              <w:rPr>
                <w:rFonts w:ascii="宋体" w:hAnsi="宋体"/>
                <w:kern w:val="0"/>
                <w:szCs w:val="21"/>
              </w:rPr>
            </w:pPr>
            <w:r>
              <w:rPr>
                <w:rFonts w:ascii="宋体" w:hAnsi="宋体"/>
                <w:kern w:val="0"/>
                <w:szCs w:val="21"/>
              </w:rPr>
              <w:t>1</w:t>
            </w:r>
          </w:p>
        </w:tc>
        <w:tc>
          <w:tcPr>
            <w:tcW w:w="1251" w:type="pct"/>
            <w:vAlign w:val="center"/>
          </w:tcPr>
          <w:p w14:paraId="6D3581E2">
            <w:pPr>
              <w:pStyle w:val="23"/>
              <w:jc w:val="center"/>
              <w:rPr>
                <w:rFonts w:ascii="宋体" w:hAnsi="宋体"/>
                <w:kern w:val="0"/>
                <w:szCs w:val="21"/>
              </w:rPr>
            </w:pPr>
            <w:r>
              <w:rPr>
                <w:rFonts w:ascii="宋体" w:hAnsi="宋体"/>
                <w:kern w:val="0"/>
                <w:szCs w:val="21"/>
              </w:rPr>
              <w:t>0.03</w:t>
            </w:r>
          </w:p>
        </w:tc>
      </w:tr>
      <w:tr w14:paraId="5D4F399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249" w:type="pct"/>
            <w:vAlign w:val="center"/>
          </w:tcPr>
          <w:p w14:paraId="4F2C1870">
            <w:pPr>
              <w:pStyle w:val="23"/>
              <w:jc w:val="center"/>
              <w:rPr>
                <w:rFonts w:ascii="宋体" w:hAnsi="宋体"/>
                <w:kern w:val="0"/>
                <w:szCs w:val="21"/>
              </w:rPr>
            </w:pPr>
            <w:r>
              <w:rPr>
                <w:rFonts w:ascii="宋体" w:hAnsi="宋体"/>
                <w:kern w:val="0"/>
                <w:szCs w:val="21"/>
              </w:rPr>
              <w:t>珠玑</w:t>
            </w:r>
          </w:p>
        </w:tc>
        <w:tc>
          <w:tcPr>
            <w:tcW w:w="1251" w:type="pct"/>
            <w:vAlign w:val="center"/>
          </w:tcPr>
          <w:p w14:paraId="6FB25BA1">
            <w:pPr>
              <w:pStyle w:val="23"/>
              <w:jc w:val="center"/>
              <w:rPr>
                <w:rFonts w:ascii="宋体" w:hAnsi="宋体"/>
                <w:kern w:val="0"/>
                <w:szCs w:val="21"/>
              </w:rPr>
            </w:pPr>
            <w:r>
              <w:rPr>
                <w:rFonts w:ascii="宋体" w:hAnsi="宋体"/>
                <w:kern w:val="0"/>
                <w:szCs w:val="21"/>
              </w:rPr>
              <w:t>1047</w:t>
            </w:r>
          </w:p>
        </w:tc>
        <w:tc>
          <w:tcPr>
            <w:tcW w:w="1249" w:type="pct"/>
            <w:vAlign w:val="center"/>
          </w:tcPr>
          <w:p w14:paraId="26D147A5">
            <w:pPr>
              <w:pStyle w:val="23"/>
              <w:jc w:val="center"/>
              <w:rPr>
                <w:rFonts w:ascii="宋体" w:hAnsi="宋体"/>
                <w:kern w:val="0"/>
                <w:szCs w:val="21"/>
              </w:rPr>
            </w:pPr>
            <w:r>
              <w:rPr>
                <w:rFonts w:ascii="宋体" w:hAnsi="宋体"/>
                <w:kern w:val="0"/>
                <w:szCs w:val="21"/>
              </w:rPr>
              <w:t>6</w:t>
            </w:r>
          </w:p>
        </w:tc>
        <w:tc>
          <w:tcPr>
            <w:tcW w:w="1251" w:type="pct"/>
            <w:vAlign w:val="center"/>
          </w:tcPr>
          <w:p w14:paraId="500EA214">
            <w:pPr>
              <w:pStyle w:val="23"/>
              <w:jc w:val="center"/>
              <w:rPr>
                <w:rFonts w:ascii="宋体" w:hAnsi="宋体"/>
                <w:kern w:val="0"/>
                <w:szCs w:val="21"/>
              </w:rPr>
            </w:pPr>
            <w:r>
              <w:rPr>
                <w:rFonts w:ascii="宋体" w:hAnsi="宋体"/>
                <w:kern w:val="0"/>
                <w:szCs w:val="21"/>
              </w:rPr>
              <w:t>0.17</w:t>
            </w:r>
          </w:p>
        </w:tc>
      </w:tr>
      <w:tr w14:paraId="0D649FC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249" w:type="pct"/>
            <w:vAlign w:val="center"/>
          </w:tcPr>
          <w:p w14:paraId="4CA64793">
            <w:pPr>
              <w:pStyle w:val="23"/>
              <w:jc w:val="center"/>
              <w:rPr>
                <w:rFonts w:ascii="宋体" w:hAnsi="宋体"/>
                <w:kern w:val="0"/>
                <w:szCs w:val="21"/>
              </w:rPr>
            </w:pPr>
            <w:r>
              <w:rPr>
                <w:rFonts w:ascii="宋体" w:hAnsi="宋体"/>
                <w:kern w:val="0"/>
                <w:szCs w:val="21"/>
              </w:rPr>
              <w:t>主田</w:t>
            </w:r>
          </w:p>
        </w:tc>
        <w:tc>
          <w:tcPr>
            <w:tcW w:w="1251" w:type="pct"/>
            <w:vAlign w:val="center"/>
          </w:tcPr>
          <w:p w14:paraId="319D4C40">
            <w:pPr>
              <w:pStyle w:val="23"/>
              <w:jc w:val="center"/>
              <w:rPr>
                <w:rFonts w:ascii="宋体" w:hAnsi="宋体"/>
                <w:kern w:val="0"/>
                <w:szCs w:val="21"/>
              </w:rPr>
            </w:pPr>
            <w:r>
              <w:rPr>
                <w:rFonts w:ascii="宋体" w:hAnsi="宋体"/>
                <w:kern w:val="0"/>
                <w:szCs w:val="21"/>
              </w:rPr>
              <w:t>746</w:t>
            </w:r>
          </w:p>
        </w:tc>
        <w:tc>
          <w:tcPr>
            <w:tcW w:w="1249" w:type="pct"/>
            <w:vAlign w:val="center"/>
          </w:tcPr>
          <w:p w14:paraId="7C39136E">
            <w:pPr>
              <w:pStyle w:val="23"/>
              <w:jc w:val="center"/>
              <w:rPr>
                <w:rFonts w:ascii="宋体" w:hAnsi="宋体"/>
                <w:kern w:val="0"/>
                <w:szCs w:val="21"/>
              </w:rPr>
            </w:pPr>
            <w:r>
              <w:rPr>
                <w:rFonts w:ascii="宋体" w:hAnsi="宋体"/>
                <w:kern w:val="0"/>
                <w:szCs w:val="21"/>
              </w:rPr>
              <w:t>10</w:t>
            </w:r>
          </w:p>
        </w:tc>
        <w:tc>
          <w:tcPr>
            <w:tcW w:w="1251" w:type="pct"/>
            <w:vAlign w:val="center"/>
          </w:tcPr>
          <w:p w14:paraId="567654A1">
            <w:pPr>
              <w:pStyle w:val="23"/>
              <w:jc w:val="center"/>
              <w:rPr>
                <w:rFonts w:ascii="宋体" w:hAnsi="宋体"/>
                <w:kern w:val="0"/>
                <w:szCs w:val="21"/>
              </w:rPr>
            </w:pPr>
            <w:r>
              <w:rPr>
                <w:rFonts w:ascii="宋体" w:hAnsi="宋体"/>
                <w:kern w:val="0"/>
                <w:szCs w:val="21"/>
              </w:rPr>
              <w:t>0.24</w:t>
            </w:r>
          </w:p>
        </w:tc>
      </w:tr>
      <w:tr w14:paraId="5F51D44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249" w:type="pct"/>
            <w:vAlign w:val="center"/>
          </w:tcPr>
          <w:p w14:paraId="22F22B39">
            <w:pPr>
              <w:pStyle w:val="23"/>
              <w:jc w:val="center"/>
              <w:rPr>
                <w:rFonts w:ascii="宋体" w:hAnsi="宋体"/>
                <w:kern w:val="0"/>
                <w:szCs w:val="21"/>
              </w:rPr>
            </w:pPr>
            <w:r>
              <w:rPr>
                <w:rFonts w:ascii="宋体" w:hAnsi="宋体"/>
                <w:kern w:val="0"/>
                <w:szCs w:val="21"/>
              </w:rPr>
              <w:t>古市</w:t>
            </w:r>
          </w:p>
        </w:tc>
        <w:tc>
          <w:tcPr>
            <w:tcW w:w="1251" w:type="pct"/>
            <w:vAlign w:val="center"/>
          </w:tcPr>
          <w:p w14:paraId="72C46E79">
            <w:pPr>
              <w:pStyle w:val="23"/>
              <w:jc w:val="center"/>
              <w:rPr>
                <w:rFonts w:ascii="宋体" w:hAnsi="宋体"/>
                <w:kern w:val="0"/>
                <w:szCs w:val="21"/>
              </w:rPr>
            </w:pPr>
            <w:r>
              <w:rPr>
                <w:rFonts w:ascii="宋体" w:hAnsi="宋体"/>
                <w:kern w:val="0"/>
                <w:szCs w:val="21"/>
              </w:rPr>
              <w:t>768</w:t>
            </w:r>
          </w:p>
        </w:tc>
        <w:tc>
          <w:tcPr>
            <w:tcW w:w="1249" w:type="pct"/>
            <w:vAlign w:val="center"/>
          </w:tcPr>
          <w:p w14:paraId="105B7E04">
            <w:pPr>
              <w:pStyle w:val="23"/>
              <w:jc w:val="center"/>
              <w:rPr>
                <w:rFonts w:ascii="宋体" w:hAnsi="宋体"/>
                <w:kern w:val="0"/>
                <w:szCs w:val="21"/>
              </w:rPr>
            </w:pPr>
            <w:r>
              <w:rPr>
                <w:rFonts w:ascii="宋体" w:hAnsi="宋体"/>
                <w:kern w:val="0"/>
                <w:szCs w:val="21"/>
              </w:rPr>
              <w:t>9</w:t>
            </w:r>
          </w:p>
        </w:tc>
        <w:tc>
          <w:tcPr>
            <w:tcW w:w="1251" w:type="pct"/>
            <w:vAlign w:val="center"/>
          </w:tcPr>
          <w:p w14:paraId="7347473E">
            <w:pPr>
              <w:pStyle w:val="23"/>
              <w:jc w:val="center"/>
              <w:rPr>
                <w:rFonts w:ascii="宋体" w:hAnsi="宋体"/>
                <w:kern w:val="0"/>
                <w:szCs w:val="21"/>
              </w:rPr>
            </w:pPr>
            <w:r>
              <w:rPr>
                <w:rFonts w:ascii="宋体" w:hAnsi="宋体"/>
                <w:kern w:val="0"/>
                <w:szCs w:val="21"/>
              </w:rPr>
              <w:t>0.44</w:t>
            </w:r>
          </w:p>
        </w:tc>
      </w:tr>
      <w:tr w14:paraId="0571442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249" w:type="pct"/>
            <w:vAlign w:val="center"/>
          </w:tcPr>
          <w:p w14:paraId="3F1177C4">
            <w:pPr>
              <w:pStyle w:val="23"/>
              <w:jc w:val="center"/>
              <w:rPr>
                <w:rFonts w:ascii="宋体" w:hAnsi="宋体"/>
                <w:kern w:val="0"/>
                <w:szCs w:val="21"/>
              </w:rPr>
            </w:pPr>
            <w:r>
              <w:rPr>
                <w:rFonts w:ascii="宋体" w:hAnsi="宋体"/>
                <w:kern w:val="0"/>
                <w:szCs w:val="21"/>
              </w:rPr>
              <w:t>全安</w:t>
            </w:r>
          </w:p>
        </w:tc>
        <w:tc>
          <w:tcPr>
            <w:tcW w:w="1251" w:type="pct"/>
            <w:vAlign w:val="center"/>
          </w:tcPr>
          <w:p w14:paraId="6EE682F8">
            <w:pPr>
              <w:pStyle w:val="23"/>
              <w:jc w:val="center"/>
              <w:rPr>
                <w:rFonts w:ascii="宋体" w:hAnsi="宋体"/>
                <w:kern w:val="0"/>
                <w:szCs w:val="21"/>
              </w:rPr>
            </w:pPr>
            <w:r>
              <w:rPr>
                <w:rFonts w:ascii="宋体" w:hAnsi="宋体"/>
                <w:kern w:val="0"/>
                <w:szCs w:val="21"/>
              </w:rPr>
              <w:t>786</w:t>
            </w:r>
          </w:p>
        </w:tc>
        <w:tc>
          <w:tcPr>
            <w:tcW w:w="1249" w:type="pct"/>
            <w:vAlign w:val="center"/>
          </w:tcPr>
          <w:p w14:paraId="441CC91C">
            <w:pPr>
              <w:pStyle w:val="23"/>
              <w:jc w:val="center"/>
              <w:rPr>
                <w:rFonts w:ascii="宋体" w:hAnsi="宋体"/>
                <w:kern w:val="0"/>
                <w:szCs w:val="21"/>
              </w:rPr>
            </w:pPr>
            <w:r>
              <w:rPr>
                <w:rFonts w:ascii="宋体" w:hAnsi="宋体"/>
                <w:kern w:val="0"/>
                <w:szCs w:val="21"/>
              </w:rPr>
              <w:t>17</w:t>
            </w:r>
          </w:p>
        </w:tc>
        <w:tc>
          <w:tcPr>
            <w:tcW w:w="1251" w:type="pct"/>
            <w:vAlign w:val="center"/>
          </w:tcPr>
          <w:p w14:paraId="52D18D92">
            <w:pPr>
              <w:pStyle w:val="23"/>
              <w:jc w:val="center"/>
              <w:rPr>
                <w:rFonts w:ascii="宋体" w:hAnsi="宋体"/>
                <w:kern w:val="0"/>
                <w:szCs w:val="21"/>
              </w:rPr>
            </w:pPr>
            <w:r>
              <w:rPr>
                <w:rFonts w:ascii="宋体" w:hAnsi="宋体"/>
                <w:kern w:val="0"/>
                <w:szCs w:val="21"/>
              </w:rPr>
              <w:t>0.77</w:t>
            </w:r>
          </w:p>
        </w:tc>
      </w:tr>
      <w:tr w14:paraId="121E39F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249" w:type="pct"/>
            <w:vAlign w:val="center"/>
          </w:tcPr>
          <w:p w14:paraId="72237CA9">
            <w:pPr>
              <w:pStyle w:val="23"/>
              <w:jc w:val="center"/>
              <w:rPr>
                <w:rFonts w:ascii="宋体" w:hAnsi="宋体"/>
                <w:kern w:val="0"/>
                <w:szCs w:val="21"/>
              </w:rPr>
            </w:pPr>
            <w:r>
              <w:rPr>
                <w:rFonts w:ascii="宋体" w:hAnsi="宋体"/>
                <w:kern w:val="0"/>
                <w:szCs w:val="21"/>
              </w:rPr>
              <w:t>百顺</w:t>
            </w:r>
          </w:p>
        </w:tc>
        <w:tc>
          <w:tcPr>
            <w:tcW w:w="1251" w:type="pct"/>
            <w:vAlign w:val="center"/>
          </w:tcPr>
          <w:p w14:paraId="503736D1">
            <w:pPr>
              <w:pStyle w:val="23"/>
              <w:jc w:val="center"/>
              <w:rPr>
                <w:rFonts w:ascii="宋体" w:hAnsi="宋体"/>
                <w:kern w:val="0"/>
                <w:szCs w:val="21"/>
              </w:rPr>
            </w:pPr>
            <w:r>
              <w:rPr>
                <w:rFonts w:ascii="宋体" w:hAnsi="宋体"/>
                <w:kern w:val="0"/>
                <w:szCs w:val="21"/>
              </w:rPr>
              <w:t>560</w:t>
            </w:r>
          </w:p>
        </w:tc>
        <w:tc>
          <w:tcPr>
            <w:tcW w:w="1249" w:type="pct"/>
            <w:vAlign w:val="center"/>
          </w:tcPr>
          <w:p w14:paraId="26EA80F2">
            <w:pPr>
              <w:pStyle w:val="23"/>
              <w:jc w:val="center"/>
              <w:rPr>
                <w:rFonts w:ascii="宋体" w:hAnsi="宋体"/>
                <w:kern w:val="0"/>
                <w:szCs w:val="21"/>
              </w:rPr>
            </w:pPr>
            <w:r>
              <w:rPr>
                <w:rFonts w:ascii="宋体" w:hAnsi="宋体"/>
                <w:kern w:val="0"/>
                <w:szCs w:val="21"/>
              </w:rPr>
              <w:t>25</w:t>
            </w:r>
          </w:p>
        </w:tc>
        <w:tc>
          <w:tcPr>
            <w:tcW w:w="1251" w:type="pct"/>
            <w:vAlign w:val="center"/>
          </w:tcPr>
          <w:p w14:paraId="15211367">
            <w:pPr>
              <w:pStyle w:val="23"/>
              <w:jc w:val="center"/>
              <w:rPr>
                <w:rFonts w:ascii="宋体" w:hAnsi="宋体"/>
                <w:kern w:val="0"/>
                <w:szCs w:val="21"/>
              </w:rPr>
            </w:pPr>
            <w:r>
              <w:rPr>
                <w:rFonts w:ascii="宋体" w:hAnsi="宋体"/>
                <w:kern w:val="0"/>
                <w:szCs w:val="21"/>
              </w:rPr>
              <w:t>1.23</w:t>
            </w:r>
          </w:p>
        </w:tc>
      </w:tr>
      <w:tr w14:paraId="3E608EF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249" w:type="pct"/>
            <w:vAlign w:val="center"/>
          </w:tcPr>
          <w:p w14:paraId="6EF91AC7">
            <w:pPr>
              <w:pStyle w:val="23"/>
              <w:jc w:val="center"/>
              <w:rPr>
                <w:rFonts w:ascii="宋体" w:hAnsi="宋体"/>
                <w:kern w:val="0"/>
                <w:szCs w:val="21"/>
              </w:rPr>
            </w:pPr>
            <w:r>
              <w:rPr>
                <w:rFonts w:ascii="宋体" w:hAnsi="宋体"/>
                <w:kern w:val="0"/>
                <w:szCs w:val="21"/>
              </w:rPr>
              <w:t>澜河</w:t>
            </w:r>
          </w:p>
        </w:tc>
        <w:tc>
          <w:tcPr>
            <w:tcW w:w="1251" w:type="pct"/>
            <w:vAlign w:val="center"/>
          </w:tcPr>
          <w:p w14:paraId="43BDF6DE">
            <w:pPr>
              <w:pStyle w:val="23"/>
              <w:jc w:val="center"/>
              <w:rPr>
                <w:rFonts w:ascii="宋体" w:hAnsi="宋体"/>
                <w:kern w:val="0"/>
                <w:szCs w:val="21"/>
              </w:rPr>
            </w:pPr>
            <w:r>
              <w:rPr>
                <w:rFonts w:ascii="宋体" w:hAnsi="宋体"/>
                <w:kern w:val="0"/>
                <w:szCs w:val="21"/>
              </w:rPr>
              <w:t>473</w:t>
            </w:r>
          </w:p>
        </w:tc>
        <w:tc>
          <w:tcPr>
            <w:tcW w:w="1249" w:type="pct"/>
            <w:vAlign w:val="center"/>
          </w:tcPr>
          <w:p w14:paraId="52B52D27">
            <w:pPr>
              <w:pStyle w:val="23"/>
              <w:jc w:val="center"/>
              <w:rPr>
                <w:rFonts w:ascii="宋体" w:hAnsi="宋体"/>
                <w:kern w:val="0"/>
                <w:szCs w:val="21"/>
              </w:rPr>
            </w:pPr>
            <w:r>
              <w:rPr>
                <w:rFonts w:ascii="宋体" w:hAnsi="宋体"/>
                <w:kern w:val="0"/>
                <w:szCs w:val="21"/>
              </w:rPr>
              <w:t>15</w:t>
            </w:r>
          </w:p>
        </w:tc>
        <w:tc>
          <w:tcPr>
            <w:tcW w:w="1251" w:type="pct"/>
            <w:vAlign w:val="center"/>
          </w:tcPr>
          <w:p w14:paraId="427F3465">
            <w:pPr>
              <w:pStyle w:val="23"/>
              <w:jc w:val="center"/>
              <w:rPr>
                <w:rFonts w:ascii="宋体" w:hAnsi="宋体"/>
                <w:kern w:val="0"/>
                <w:szCs w:val="21"/>
              </w:rPr>
            </w:pPr>
            <w:r>
              <w:rPr>
                <w:rFonts w:ascii="宋体" w:hAnsi="宋体"/>
                <w:kern w:val="0"/>
                <w:szCs w:val="21"/>
              </w:rPr>
              <w:t>0.45</w:t>
            </w:r>
          </w:p>
        </w:tc>
      </w:tr>
      <w:tr w14:paraId="49AC5A9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249" w:type="pct"/>
            <w:vAlign w:val="center"/>
          </w:tcPr>
          <w:p w14:paraId="17EDC815">
            <w:pPr>
              <w:pStyle w:val="23"/>
              <w:jc w:val="center"/>
              <w:rPr>
                <w:rFonts w:ascii="宋体" w:hAnsi="宋体"/>
                <w:kern w:val="0"/>
                <w:szCs w:val="21"/>
              </w:rPr>
            </w:pPr>
            <w:r>
              <w:rPr>
                <w:rFonts w:ascii="宋体" w:hAnsi="宋体"/>
                <w:kern w:val="0"/>
                <w:szCs w:val="21"/>
              </w:rPr>
              <w:t>帽子峰</w:t>
            </w:r>
          </w:p>
        </w:tc>
        <w:tc>
          <w:tcPr>
            <w:tcW w:w="1251" w:type="pct"/>
            <w:vAlign w:val="center"/>
          </w:tcPr>
          <w:p w14:paraId="1A2031C7">
            <w:pPr>
              <w:pStyle w:val="23"/>
              <w:jc w:val="center"/>
              <w:rPr>
                <w:rFonts w:ascii="宋体" w:hAnsi="宋体"/>
                <w:kern w:val="0"/>
                <w:szCs w:val="21"/>
              </w:rPr>
            </w:pPr>
            <w:r>
              <w:rPr>
                <w:rFonts w:ascii="宋体" w:hAnsi="宋体"/>
                <w:kern w:val="0"/>
                <w:szCs w:val="21"/>
              </w:rPr>
              <w:t>598</w:t>
            </w:r>
          </w:p>
        </w:tc>
        <w:tc>
          <w:tcPr>
            <w:tcW w:w="1249" w:type="pct"/>
            <w:vAlign w:val="center"/>
          </w:tcPr>
          <w:p w14:paraId="3ACBC2AF">
            <w:pPr>
              <w:pStyle w:val="23"/>
              <w:jc w:val="center"/>
              <w:rPr>
                <w:rFonts w:ascii="宋体" w:hAnsi="宋体"/>
                <w:kern w:val="0"/>
                <w:szCs w:val="21"/>
              </w:rPr>
            </w:pPr>
            <w:r>
              <w:rPr>
                <w:rFonts w:ascii="宋体" w:hAnsi="宋体"/>
                <w:kern w:val="0"/>
                <w:szCs w:val="21"/>
              </w:rPr>
              <w:t>6</w:t>
            </w:r>
          </w:p>
        </w:tc>
        <w:tc>
          <w:tcPr>
            <w:tcW w:w="1251" w:type="pct"/>
            <w:vAlign w:val="center"/>
          </w:tcPr>
          <w:p w14:paraId="6BEC2DE7">
            <w:pPr>
              <w:pStyle w:val="23"/>
              <w:jc w:val="center"/>
              <w:rPr>
                <w:rFonts w:ascii="宋体" w:hAnsi="宋体"/>
                <w:kern w:val="0"/>
                <w:szCs w:val="21"/>
              </w:rPr>
            </w:pPr>
            <w:r>
              <w:rPr>
                <w:rFonts w:ascii="宋体" w:hAnsi="宋体"/>
                <w:kern w:val="0"/>
                <w:szCs w:val="21"/>
              </w:rPr>
              <w:t>0.40</w:t>
            </w:r>
          </w:p>
        </w:tc>
      </w:tr>
      <w:tr w14:paraId="0701548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249" w:type="pct"/>
            <w:vAlign w:val="center"/>
          </w:tcPr>
          <w:p w14:paraId="7D1FF8CF">
            <w:pPr>
              <w:pStyle w:val="23"/>
              <w:jc w:val="center"/>
              <w:rPr>
                <w:rFonts w:ascii="宋体" w:hAnsi="宋体"/>
                <w:kern w:val="0"/>
                <w:szCs w:val="21"/>
              </w:rPr>
            </w:pPr>
            <w:r>
              <w:rPr>
                <w:rFonts w:ascii="宋体" w:hAnsi="宋体"/>
                <w:kern w:val="0"/>
                <w:szCs w:val="21"/>
              </w:rPr>
              <w:t>雄州街道</w:t>
            </w:r>
          </w:p>
        </w:tc>
        <w:tc>
          <w:tcPr>
            <w:tcW w:w="1251" w:type="pct"/>
            <w:vAlign w:val="center"/>
          </w:tcPr>
          <w:p w14:paraId="6D947344">
            <w:pPr>
              <w:pStyle w:val="23"/>
              <w:jc w:val="center"/>
              <w:rPr>
                <w:rFonts w:ascii="宋体" w:hAnsi="宋体"/>
                <w:kern w:val="0"/>
                <w:szCs w:val="21"/>
              </w:rPr>
            </w:pPr>
            <w:r>
              <w:rPr>
                <w:rFonts w:ascii="宋体" w:hAnsi="宋体"/>
                <w:kern w:val="0"/>
                <w:szCs w:val="21"/>
              </w:rPr>
              <w:t>1481</w:t>
            </w:r>
          </w:p>
        </w:tc>
        <w:tc>
          <w:tcPr>
            <w:tcW w:w="1249" w:type="pct"/>
            <w:vAlign w:val="center"/>
          </w:tcPr>
          <w:p w14:paraId="06B36908">
            <w:pPr>
              <w:pStyle w:val="23"/>
              <w:jc w:val="center"/>
              <w:rPr>
                <w:rFonts w:ascii="宋体" w:hAnsi="宋体"/>
                <w:kern w:val="0"/>
                <w:szCs w:val="21"/>
              </w:rPr>
            </w:pPr>
            <w:r>
              <w:rPr>
                <w:rFonts w:ascii="宋体" w:hAnsi="宋体"/>
                <w:kern w:val="0"/>
                <w:szCs w:val="21"/>
              </w:rPr>
              <w:t>4</w:t>
            </w:r>
          </w:p>
        </w:tc>
        <w:tc>
          <w:tcPr>
            <w:tcW w:w="1251" w:type="pct"/>
            <w:vAlign w:val="center"/>
          </w:tcPr>
          <w:p w14:paraId="71EB6AF4">
            <w:pPr>
              <w:pStyle w:val="23"/>
              <w:jc w:val="center"/>
              <w:rPr>
                <w:rFonts w:ascii="宋体" w:hAnsi="宋体"/>
                <w:kern w:val="0"/>
                <w:szCs w:val="21"/>
              </w:rPr>
            </w:pPr>
            <w:r>
              <w:rPr>
                <w:rFonts w:ascii="宋体" w:hAnsi="宋体"/>
                <w:kern w:val="0"/>
                <w:szCs w:val="21"/>
              </w:rPr>
              <w:t>0.22</w:t>
            </w:r>
          </w:p>
        </w:tc>
      </w:tr>
    </w:tbl>
    <w:p w14:paraId="614F675C">
      <w:pPr>
        <w:ind w:firstLine="0" w:firstLineChars="0"/>
        <w:jc w:val="center"/>
        <w:rPr>
          <w:b/>
        </w:rPr>
      </w:pPr>
      <w:r>
        <w:rPr>
          <w:rFonts w:hint="eastAsia"/>
          <w:b/>
        </w:rPr>
        <w:t>表</w:t>
      </w:r>
      <w:r>
        <w:rPr>
          <w:rFonts w:hint="eastAsia" w:ascii="宋体" w:hAnsi="宋体"/>
          <w:b/>
        </w:rPr>
        <w:t>59</w:t>
      </w:r>
      <w:r>
        <w:rPr>
          <w:rFonts w:hint="eastAsia"/>
          <w:b/>
        </w:rPr>
        <w:t xml:space="preserve"> 农村住户调查人均总收入、总支出</w:t>
      </w:r>
    </w:p>
    <w:tbl>
      <w:tblPr>
        <w:tblStyle w:val="14"/>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30" w:type="dxa"/>
          <w:bottom w:w="0" w:type="dxa"/>
          <w:right w:w="30" w:type="dxa"/>
        </w:tblCellMar>
      </w:tblPr>
      <w:tblGrid>
        <w:gridCol w:w="3858"/>
        <w:gridCol w:w="2681"/>
        <w:gridCol w:w="3267"/>
      </w:tblGrid>
      <w:tr w14:paraId="0D8F1FE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967" w:type="pct"/>
            <w:vAlign w:val="center"/>
          </w:tcPr>
          <w:p w14:paraId="656D3910">
            <w:pPr>
              <w:pStyle w:val="23"/>
              <w:jc w:val="center"/>
              <w:rPr>
                <w:b/>
                <w:kern w:val="0"/>
              </w:rPr>
            </w:pPr>
            <w:r>
              <w:rPr>
                <w:b/>
                <w:kern w:val="0"/>
              </w:rPr>
              <w:t>指标名称</w:t>
            </w:r>
          </w:p>
        </w:tc>
        <w:tc>
          <w:tcPr>
            <w:tcW w:w="1367" w:type="pct"/>
            <w:vAlign w:val="center"/>
          </w:tcPr>
          <w:p w14:paraId="7D000CDF">
            <w:pPr>
              <w:pStyle w:val="23"/>
              <w:jc w:val="center"/>
              <w:rPr>
                <w:b/>
                <w:kern w:val="0"/>
              </w:rPr>
            </w:pPr>
            <w:r>
              <w:rPr>
                <w:b/>
                <w:kern w:val="0"/>
              </w:rPr>
              <w:t>计算单位</w:t>
            </w:r>
          </w:p>
        </w:tc>
        <w:tc>
          <w:tcPr>
            <w:tcW w:w="1666" w:type="pct"/>
            <w:vAlign w:val="center"/>
          </w:tcPr>
          <w:p w14:paraId="2A57742C">
            <w:pPr>
              <w:pStyle w:val="23"/>
              <w:jc w:val="center"/>
              <w:rPr>
                <w:b/>
                <w:kern w:val="0"/>
              </w:rPr>
            </w:pPr>
            <w:r>
              <w:rPr>
                <w:b/>
                <w:kern w:val="0"/>
              </w:rPr>
              <w:t>2011年</w:t>
            </w:r>
          </w:p>
        </w:tc>
      </w:tr>
      <w:tr w14:paraId="5E252F4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967" w:type="pct"/>
            <w:vAlign w:val="center"/>
          </w:tcPr>
          <w:p w14:paraId="1703DFE2">
            <w:pPr>
              <w:pStyle w:val="23"/>
              <w:rPr>
                <w:rFonts w:ascii="宋体" w:hAnsi="宋体"/>
                <w:kern w:val="0"/>
                <w:szCs w:val="21"/>
              </w:rPr>
            </w:pPr>
            <w:r>
              <w:rPr>
                <w:rFonts w:ascii="宋体" w:hAnsi="宋体"/>
                <w:kern w:val="0"/>
                <w:szCs w:val="21"/>
              </w:rPr>
              <w:t>一、全年总收入</w:t>
            </w:r>
          </w:p>
        </w:tc>
        <w:tc>
          <w:tcPr>
            <w:tcW w:w="1367" w:type="pct"/>
            <w:vAlign w:val="center"/>
          </w:tcPr>
          <w:p w14:paraId="7DCA72FC">
            <w:pPr>
              <w:pStyle w:val="23"/>
              <w:jc w:val="center"/>
              <w:rPr>
                <w:rFonts w:ascii="宋体" w:hAnsi="宋体"/>
                <w:kern w:val="0"/>
                <w:szCs w:val="21"/>
              </w:rPr>
            </w:pPr>
            <w:r>
              <w:rPr>
                <w:rFonts w:ascii="宋体" w:hAnsi="宋体"/>
                <w:kern w:val="0"/>
                <w:szCs w:val="21"/>
              </w:rPr>
              <w:t>元</w:t>
            </w:r>
          </w:p>
        </w:tc>
        <w:tc>
          <w:tcPr>
            <w:tcW w:w="1666" w:type="pct"/>
            <w:vAlign w:val="center"/>
          </w:tcPr>
          <w:p w14:paraId="4AB28C68">
            <w:pPr>
              <w:pStyle w:val="23"/>
              <w:jc w:val="center"/>
              <w:rPr>
                <w:rFonts w:ascii="宋体" w:hAnsi="宋体"/>
                <w:kern w:val="0"/>
                <w:szCs w:val="21"/>
              </w:rPr>
            </w:pPr>
            <w:r>
              <w:rPr>
                <w:rFonts w:ascii="宋体" w:hAnsi="宋体"/>
                <w:kern w:val="0"/>
                <w:szCs w:val="21"/>
              </w:rPr>
              <w:t>13960.73</w:t>
            </w:r>
          </w:p>
        </w:tc>
      </w:tr>
      <w:tr w14:paraId="33EF18E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967" w:type="pct"/>
            <w:vAlign w:val="center"/>
          </w:tcPr>
          <w:p w14:paraId="7A5CACE3">
            <w:pPr>
              <w:pStyle w:val="23"/>
              <w:ind w:firstLine="420" w:firstLineChars="200"/>
              <w:rPr>
                <w:rFonts w:ascii="宋体" w:hAnsi="宋体"/>
                <w:kern w:val="0"/>
                <w:szCs w:val="21"/>
              </w:rPr>
            </w:pPr>
            <w:r>
              <w:rPr>
                <w:rFonts w:ascii="宋体" w:hAnsi="宋体"/>
                <w:kern w:val="0"/>
                <w:szCs w:val="21"/>
              </w:rPr>
              <w:t>1、工资性收入</w:t>
            </w:r>
          </w:p>
        </w:tc>
        <w:tc>
          <w:tcPr>
            <w:tcW w:w="1367" w:type="pct"/>
            <w:vAlign w:val="center"/>
          </w:tcPr>
          <w:p w14:paraId="46C21CC8">
            <w:pPr>
              <w:pStyle w:val="23"/>
              <w:jc w:val="center"/>
              <w:rPr>
                <w:rFonts w:ascii="宋体" w:hAnsi="宋体"/>
                <w:kern w:val="0"/>
                <w:szCs w:val="21"/>
              </w:rPr>
            </w:pPr>
            <w:r>
              <w:rPr>
                <w:rFonts w:ascii="宋体" w:hAnsi="宋体"/>
                <w:kern w:val="0"/>
                <w:szCs w:val="21"/>
              </w:rPr>
              <w:t>元</w:t>
            </w:r>
          </w:p>
        </w:tc>
        <w:tc>
          <w:tcPr>
            <w:tcW w:w="1666" w:type="pct"/>
            <w:vAlign w:val="center"/>
          </w:tcPr>
          <w:p w14:paraId="436807CC">
            <w:pPr>
              <w:pStyle w:val="23"/>
              <w:jc w:val="center"/>
              <w:rPr>
                <w:rFonts w:ascii="宋体" w:hAnsi="宋体"/>
                <w:kern w:val="0"/>
                <w:szCs w:val="21"/>
              </w:rPr>
            </w:pPr>
            <w:r>
              <w:rPr>
                <w:rFonts w:ascii="宋体" w:hAnsi="宋体"/>
                <w:kern w:val="0"/>
                <w:szCs w:val="21"/>
              </w:rPr>
              <w:t>6146.99</w:t>
            </w:r>
          </w:p>
        </w:tc>
      </w:tr>
      <w:tr w14:paraId="4A0F3C9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967" w:type="pct"/>
            <w:vAlign w:val="center"/>
          </w:tcPr>
          <w:p w14:paraId="0FE02116">
            <w:pPr>
              <w:pStyle w:val="23"/>
              <w:ind w:firstLine="630" w:firstLineChars="300"/>
              <w:rPr>
                <w:rFonts w:ascii="宋体" w:hAnsi="宋体"/>
                <w:kern w:val="0"/>
                <w:szCs w:val="21"/>
              </w:rPr>
            </w:pPr>
            <w:r>
              <w:rPr>
                <w:rFonts w:hint="eastAsia" w:ascii="宋体" w:hAnsi="宋体"/>
                <w:kern w:val="0"/>
                <w:szCs w:val="21"/>
              </w:rPr>
              <w:t>（1）</w:t>
            </w:r>
            <w:r>
              <w:rPr>
                <w:rFonts w:ascii="宋体" w:hAnsi="宋体"/>
                <w:kern w:val="0"/>
                <w:szCs w:val="21"/>
              </w:rPr>
              <w:t>在非企业组织中劳动得到收入</w:t>
            </w:r>
          </w:p>
        </w:tc>
        <w:tc>
          <w:tcPr>
            <w:tcW w:w="1367" w:type="pct"/>
            <w:vAlign w:val="center"/>
          </w:tcPr>
          <w:p w14:paraId="3DB1C5E6">
            <w:pPr>
              <w:pStyle w:val="23"/>
              <w:jc w:val="center"/>
              <w:rPr>
                <w:rFonts w:ascii="宋体" w:hAnsi="宋体"/>
                <w:kern w:val="0"/>
                <w:szCs w:val="21"/>
              </w:rPr>
            </w:pPr>
            <w:r>
              <w:rPr>
                <w:rFonts w:ascii="宋体" w:hAnsi="宋体"/>
                <w:kern w:val="0"/>
                <w:szCs w:val="21"/>
              </w:rPr>
              <w:t>元</w:t>
            </w:r>
          </w:p>
        </w:tc>
        <w:tc>
          <w:tcPr>
            <w:tcW w:w="1666" w:type="pct"/>
            <w:vAlign w:val="center"/>
          </w:tcPr>
          <w:p w14:paraId="1087C9BB">
            <w:pPr>
              <w:pStyle w:val="23"/>
              <w:jc w:val="center"/>
              <w:rPr>
                <w:rFonts w:ascii="宋体" w:hAnsi="宋体"/>
                <w:kern w:val="0"/>
                <w:szCs w:val="21"/>
              </w:rPr>
            </w:pPr>
            <w:r>
              <w:rPr>
                <w:rFonts w:ascii="宋体" w:hAnsi="宋体"/>
                <w:kern w:val="0"/>
                <w:szCs w:val="21"/>
              </w:rPr>
              <w:t>166.63</w:t>
            </w:r>
          </w:p>
        </w:tc>
      </w:tr>
      <w:tr w14:paraId="6D4199E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967" w:type="pct"/>
            <w:vAlign w:val="center"/>
          </w:tcPr>
          <w:p w14:paraId="0A7D4D5E">
            <w:pPr>
              <w:pStyle w:val="23"/>
              <w:ind w:firstLine="630" w:firstLineChars="300"/>
              <w:rPr>
                <w:rFonts w:ascii="宋体" w:hAnsi="宋体"/>
                <w:kern w:val="0"/>
                <w:szCs w:val="21"/>
              </w:rPr>
            </w:pPr>
            <w:r>
              <w:rPr>
                <w:rFonts w:hint="eastAsia" w:ascii="宋体" w:hAnsi="宋体"/>
                <w:kern w:val="0"/>
                <w:szCs w:val="21"/>
              </w:rPr>
              <w:t>（2）</w:t>
            </w:r>
            <w:r>
              <w:rPr>
                <w:rFonts w:ascii="宋体" w:hAnsi="宋体"/>
                <w:kern w:val="0"/>
                <w:szCs w:val="21"/>
              </w:rPr>
              <w:t>在本地域内劳动得到收入</w:t>
            </w:r>
          </w:p>
        </w:tc>
        <w:tc>
          <w:tcPr>
            <w:tcW w:w="1367" w:type="pct"/>
            <w:vAlign w:val="center"/>
          </w:tcPr>
          <w:p w14:paraId="4BB0C6BD">
            <w:pPr>
              <w:pStyle w:val="23"/>
              <w:jc w:val="center"/>
              <w:rPr>
                <w:rFonts w:ascii="宋体" w:hAnsi="宋体"/>
                <w:kern w:val="0"/>
                <w:szCs w:val="21"/>
              </w:rPr>
            </w:pPr>
            <w:r>
              <w:rPr>
                <w:rFonts w:ascii="宋体" w:hAnsi="宋体"/>
                <w:kern w:val="0"/>
                <w:szCs w:val="21"/>
              </w:rPr>
              <w:t>元</w:t>
            </w:r>
          </w:p>
        </w:tc>
        <w:tc>
          <w:tcPr>
            <w:tcW w:w="1666" w:type="pct"/>
            <w:vAlign w:val="center"/>
          </w:tcPr>
          <w:p w14:paraId="5F5A9AA9">
            <w:pPr>
              <w:pStyle w:val="23"/>
              <w:jc w:val="center"/>
              <w:rPr>
                <w:rFonts w:ascii="宋体" w:hAnsi="宋体"/>
                <w:kern w:val="0"/>
                <w:szCs w:val="21"/>
              </w:rPr>
            </w:pPr>
            <w:r>
              <w:rPr>
                <w:rFonts w:ascii="宋体" w:hAnsi="宋体"/>
                <w:kern w:val="0"/>
                <w:szCs w:val="21"/>
              </w:rPr>
              <w:t>758.39</w:t>
            </w:r>
          </w:p>
        </w:tc>
      </w:tr>
      <w:tr w14:paraId="0B8AD39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967" w:type="pct"/>
            <w:vAlign w:val="center"/>
          </w:tcPr>
          <w:p w14:paraId="1F9122AB">
            <w:pPr>
              <w:pStyle w:val="23"/>
              <w:ind w:firstLine="630" w:firstLineChars="300"/>
              <w:rPr>
                <w:rFonts w:ascii="宋体" w:hAnsi="宋体"/>
                <w:kern w:val="0"/>
                <w:szCs w:val="21"/>
              </w:rPr>
            </w:pPr>
            <w:r>
              <w:rPr>
                <w:rFonts w:hint="eastAsia" w:ascii="宋体" w:hAnsi="宋体"/>
                <w:kern w:val="0"/>
                <w:szCs w:val="21"/>
              </w:rPr>
              <w:t>（3）</w:t>
            </w:r>
            <w:r>
              <w:rPr>
                <w:rFonts w:ascii="宋体" w:hAnsi="宋体"/>
                <w:kern w:val="0"/>
                <w:szCs w:val="21"/>
              </w:rPr>
              <w:t>外出从业得到收入</w:t>
            </w:r>
          </w:p>
        </w:tc>
        <w:tc>
          <w:tcPr>
            <w:tcW w:w="1367" w:type="pct"/>
            <w:vAlign w:val="center"/>
          </w:tcPr>
          <w:p w14:paraId="5F80B988">
            <w:pPr>
              <w:pStyle w:val="23"/>
              <w:jc w:val="center"/>
              <w:rPr>
                <w:rFonts w:ascii="宋体" w:hAnsi="宋体"/>
                <w:kern w:val="0"/>
                <w:szCs w:val="21"/>
              </w:rPr>
            </w:pPr>
            <w:r>
              <w:rPr>
                <w:rFonts w:ascii="宋体" w:hAnsi="宋体"/>
                <w:kern w:val="0"/>
                <w:szCs w:val="21"/>
              </w:rPr>
              <w:t>元</w:t>
            </w:r>
          </w:p>
        </w:tc>
        <w:tc>
          <w:tcPr>
            <w:tcW w:w="1666" w:type="pct"/>
            <w:vAlign w:val="center"/>
          </w:tcPr>
          <w:p w14:paraId="744FE3ED">
            <w:pPr>
              <w:pStyle w:val="23"/>
              <w:jc w:val="center"/>
              <w:rPr>
                <w:rFonts w:ascii="宋体" w:hAnsi="宋体"/>
                <w:kern w:val="0"/>
                <w:szCs w:val="21"/>
              </w:rPr>
            </w:pPr>
            <w:r>
              <w:rPr>
                <w:rFonts w:ascii="宋体" w:hAnsi="宋体"/>
                <w:kern w:val="0"/>
                <w:szCs w:val="21"/>
              </w:rPr>
              <w:t>5221.97</w:t>
            </w:r>
          </w:p>
        </w:tc>
      </w:tr>
      <w:tr w14:paraId="2BC7B0D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967" w:type="pct"/>
            <w:vAlign w:val="center"/>
          </w:tcPr>
          <w:p w14:paraId="2C9C8821">
            <w:pPr>
              <w:pStyle w:val="23"/>
              <w:ind w:firstLine="420" w:firstLineChars="200"/>
              <w:rPr>
                <w:rFonts w:ascii="宋体" w:hAnsi="宋体"/>
                <w:kern w:val="0"/>
                <w:szCs w:val="21"/>
              </w:rPr>
            </w:pPr>
            <w:r>
              <w:rPr>
                <w:rFonts w:ascii="宋体" w:hAnsi="宋体"/>
                <w:kern w:val="0"/>
                <w:szCs w:val="21"/>
              </w:rPr>
              <w:t>2、家庭经营收入</w:t>
            </w:r>
          </w:p>
        </w:tc>
        <w:tc>
          <w:tcPr>
            <w:tcW w:w="1367" w:type="pct"/>
            <w:vAlign w:val="center"/>
          </w:tcPr>
          <w:p w14:paraId="6FBB811B">
            <w:pPr>
              <w:pStyle w:val="23"/>
              <w:jc w:val="center"/>
              <w:rPr>
                <w:rFonts w:ascii="宋体" w:hAnsi="宋体"/>
                <w:kern w:val="0"/>
                <w:szCs w:val="21"/>
              </w:rPr>
            </w:pPr>
            <w:r>
              <w:rPr>
                <w:rFonts w:ascii="宋体" w:hAnsi="宋体"/>
                <w:kern w:val="0"/>
                <w:szCs w:val="21"/>
              </w:rPr>
              <w:t>元</w:t>
            </w:r>
          </w:p>
        </w:tc>
        <w:tc>
          <w:tcPr>
            <w:tcW w:w="1666" w:type="pct"/>
            <w:vAlign w:val="center"/>
          </w:tcPr>
          <w:p w14:paraId="1C300069">
            <w:pPr>
              <w:pStyle w:val="23"/>
              <w:jc w:val="center"/>
              <w:rPr>
                <w:rFonts w:ascii="宋体" w:hAnsi="宋体"/>
                <w:kern w:val="0"/>
                <w:szCs w:val="21"/>
              </w:rPr>
            </w:pPr>
            <w:r>
              <w:rPr>
                <w:rFonts w:ascii="宋体" w:hAnsi="宋体"/>
                <w:kern w:val="0"/>
                <w:szCs w:val="21"/>
              </w:rPr>
              <w:t>7025.98</w:t>
            </w:r>
          </w:p>
        </w:tc>
      </w:tr>
      <w:tr w14:paraId="16C39FB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967" w:type="pct"/>
            <w:vAlign w:val="center"/>
          </w:tcPr>
          <w:p w14:paraId="7EE765FA">
            <w:pPr>
              <w:pStyle w:val="23"/>
              <w:ind w:firstLine="630" w:firstLineChars="300"/>
              <w:rPr>
                <w:rFonts w:ascii="宋体" w:hAnsi="宋体"/>
                <w:kern w:val="0"/>
                <w:szCs w:val="21"/>
              </w:rPr>
            </w:pPr>
            <w:r>
              <w:rPr>
                <w:rFonts w:hint="eastAsia" w:ascii="宋体" w:hAnsi="宋体"/>
                <w:kern w:val="0"/>
                <w:szCs w:val="21"/>
              </w:rPr>
              <w:t>（1）</w:t>
            </w:r>
            <w:r>
              <w:rPr>
                <w:rFonts w:ascii="宋体" w:hAnsi="宋体"/>
                <w:kern w:val="0"/>
                <w:szCs w:val="21"/>
              </w:rPr>
              <w:t>农业收入</w:t>
            </w:r>
          </w:p>
        </w:tc>
        <w:tc>
          <w:tcPr>
            <w:tcW w:w="1367" w:type="pct"/>
            <w:vAlign w:val="center"/>
          </w:tcPr>
          <w:p w14:paraId="0952EC35">
            <w:pPr>
              <w:pStyle w:val="23"/>
              <w:jc w:val="center"/>
              <w:rPr>
                <w:rFonts w:ascii="宋体" w:hAnsi="宋体"/>
                <w:kern w:val="0"/>
                <w:szCs w:val="21"/>
              </w:rPr>
            </w:pPr>
            <w:r>
              <w:rPr>
                <w:rFonts w:ascii="宋体" w:hAnsi="宋体"/>
                <w:kern w:val="0"/>
                <w:szCs w:val="21"/>
              </w:rPr>
              <w:t>元</w:t>
            </w:r>
          </w:p>
        </w:tc>
        <w:tc>
          <w:tcPr>
            <w:tcW w:w="1666" w:type="pct"/>
            <w:vAlign w:val="center"/>
          </w:tcPr>
          <w:p w14:paraId="43EEE1FB">
            <w:pPr>
              <w:pStyle w:val="23"/>
              <w:jc w:val="center"/>
              <w:rPr>
                <w:rFonts w:ascii="宋体" w:hAnsi="宋体"/>
                <w:kern w:val="0"/>
                <w:szCs w:val="21"/>
              </w:rPr>
            </w:pPr>
            <w:r>
              <w:rPr>
                <w:rFonts w:ascii="宋体" w:hAnsi="宋体"/>
                <w:kern w:val="0"/>
                <w:szCs w:val="21"/>
              </w:rPr>
              <w:t>5054.69</w:t>
            </w:r>
          </w:p>
        </w:tc>
      </w:tr>
      <w:tr w14:paraId="54C3D19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967" w:type="pct"/>
            <w:vAlign w:val="center"/>
          </w:tcPr>
          <w:p w14:paraId="6D03AEA6">
            <w:pPr>
              <w:pStyle w:val="23"/>
              <w:ind w:firstLine="630" w:firstLineChars="300"/>
              <w:rPr>
                <w:rFonts w:ascii="宋体" w:hAnsi="宋体"/>
                <w:kern w:val="0"/>
                <w:szCs w:val="21"/>
              </w:rPr>
            </w:pPr>
            <w:r>
              <w:rPr>
                <w:rFonts w:hint="eastAsia" w:ascii="宋体" w:hAnsi="宋体"/>
                <w:kern w:val="0"/>
                <w:szCs w:val="21"/>
              </w:rPr>
              <w:t>（2）</w:t>
            </w:r>
            <w:r>
              <w:rPr>
                <w:rFonts w:ascii="宋体" w:hAnsi="宋体"/>
                <w:kern w:val="0"/>
                <w:szCs w:val="21"/>
              </w:rPr>
              <w:t>林业收入</w:t>
            </w:r>
          </w:p>
        </w:tc>
        <w:tc>
          <w:tcPr>
            <w:tcW w:w="1367" w:type="pct"/>
            <w:vAlign w:val="center"/>
          </w:tcPr>
          <w:p w14:paraId="59B8A43C">
            <w:pPr>
              <w:pStyle w:val="23"/>
              <w:jc w:val="center"/>
              <w:rPr>
                <w:rFonts w:ascii="宋体" w:hAnsi="宋体"/>
                <w:kern w:val="0"/>
                <w:szCs w:val="21"/>
              </w:rPr>
            </w:pPr>
            <w:r>
              <w:rPr>
                <w:rFonts w:ascii="宋体" w:hAnsi="宋体"/>
                <w:kern w:val="0"/>
                <w:szCs w:val="21"/>
              </w:rPr>
              <w:t>元</w:t>
            </w:r>
          </w:p>
        </w:tc>
        <w:tc>
          <w:tcPr>
            <w:tcW w:w="1666" w:type="pct"/>
            <w:vAlign w:val="center"/>
          </w:tcPr>
          <w:p w14:paraId="63CE1516">
            <w:pPr>
              <w:pStyle w:val="23"/>
              <w:jc w:val="center"/>
              <w:rPr>
                <w:rFonts w:ascii="宋体" w:hAnsi="宋体"/>
                <w:kern w:val="0"/>
                <w:szCs w:val="21"/>
              </w:rPr>
            </w:pPr>
            <w:r>
              <w:rPr>
                <w:rFonts w:ascii="宋体" w:hAnsi="宋体"/>
                <w:kern w:val="0"/>
                <w:szCs w:val="21"/>
              </w:rPr>
              <w:t>173.13</w:t>
            </w:r>
          </w:p>
        </w:tc>
      </w:tr>
      <w:tr w14:paraId="05E4044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967" w:type="pct"/>
            <w:vAlign w:val="center"/>
          </w:tcPr>
          <w:p w14:paraId="4B2BD743">
            <w:pPr>
              <w:pStyle w:val="23"/>
              <w:ind w:firstLine="630" w:firstLineChars="300"/>
              <w:rPr>
                <w:rFonts w:ascii="宋体" w:hAnsi="宋体"/>
                <w:kern w:val="0"/>
                <w:szCs w:val="21"/>
              </w:rPr>
            </w:pPr>
            <w:r>
              <w:rPr>
                <w:rFonts w:hint="eastAsia" w:ascii="宋体" w:hAnsi="宋体"/>
                <w:kern w:val="0"/>
                <w:szCs w:val="21"/>
              </w:rPr>
              <w:t>（3）</w:t>
            </w:r>
            <w:r>
              <w:rPr>
                <w:rFonts w:ascii="宋体" w:hAnsi="宋体"/>
                <w:kern w:val="0"/>
                <w:szCs w:val="21"/>
              </w:rPr>
              <w:t>牧业收入</w:t>
            </w:r>
          </w:p>
        </w:tc>
        <w:tc>
          <w:tcPr>
            <w:tcW w:w="1367" w:type="pct"/>
            <w:vAlign w:val="center"/>
          </w:tcPr>
          <w:p w14:paraId="6F4489EB">
            <w:pPr>
              <w:pStyle w:val="23"/>
              <w:jc w:val="center"/>
              <w:rPr>
                <w:rFonts w:ascii="宋体" w:hAnsi="宋体"/>
                <w:kern w:val="0"/>
                <w:szCs w:val="21"/>
              </w:rPr>
            </w:pPr>
            <w:r>
              <w:rPr>
                <w:rFonts w:ascii="宋体" w:hAnsi="宋体"/>
                <w:kern w:val="0"/>
                <w:szCs w:val="21"/>
              </w:rPr>
              <w:t>元</w:t>
            </w:r>
          </w:p>
        </w:tc>
        <w:tc>
          <w:tcPr>
            <w:tcW w:w="1666" w:type="pct"/>
            <w:vAlign w:val="center"/>
          </w:tcPr>
          <w:p w14:paraId="5CEEDB06">
            <w:pPr>
              <w:pStyle w:val="23"/>
              <w:jc w:val="center"/>
              <w:rPr>
                <w:rFonts w:ascii="宋体" w:hAnsi="宋体"/>
                <w:kern w:val="0"/>
                <w:szCs w:val="21"/>
              </w:rPr>
            </w:pPr>
            <w:r>
              <w:rPr>
                <w:rFonts w:ascii="宋体" w:hAnsi="宋体"/>
                <w:kern w:val="0"/>
                <w:szCs w:val="21"/>
              </w:rPr>
              <w:t>759.26</w:t>
            </w:r>
          </w:p>
        </w:tc>
      </w:tr>
      <w:tr w14:paraId="14AD4AC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967" w:type="pct"/>
            <w:vAlign w:val="center"/>
          </w:tcPr>
          <w:p w14:paraId="7FB0CCBD">
            <w:pPr>
              <w:pStyle w:val="23"/>
              <w:ind w:firstLine="630" w:firstLineChars="300"/>
              <w:rPr>
                <w:rFonts w:ascii="宋体" w:hAnsi="宋体"/>
                <w:kern w:val="0"/>
                <w:szCs w:val="21"/>
              </w:rPr>
            </w:pPr>
            <w:r>
              <w:rPr>
                <w:rFonts w:hint="eastAsia" w:ascii="宋体" w:hAnsi="宋体"/>
                <w:kern w:val="0"/>
                <w:szCs w:val="21"/>
              </w:rPr>
              <w:t>（4）</w:t>
            </w:r>
            <w:r>
              <w:rPr>
                <w:rFonts w:ascii="宋体" w:hAnsi="宋体"/>
                <w:kern w:val="0"/>
                <w:szCs w:val="21"/>
              </w:rPr>
              <w:t>渔业收入</w:t>
            </w:r>
          </w:p>
        </w:tc>
        <w:tc>
          <w:tcPr>
            <w:tcW w:w="1367" w:type="pct"/>
            <w:vAlign w:val="center"/>
          </w:tcPr>
          <w:p w14:paraId="65AED028">
            <w:pPr>
              <w:pStyle w:val="23"/>
              <w:jc w:val="center"/>
              <w:rPr>
                <w:rFonts w:ascii="宋体" w:hAnsi="宋体"/>
                <w:kern w:val="0"/>
                <w:szCs w:val="21"/>
              </w:rPr>
            </w:pPr>
            <w:r>
              <w:rPr>
                <w:rFonts w:ascii="宋体" w:hAnsi="宋体"/>
                <w:kern w:val="0"/>
                <w:szCs w:val="21"/>
              </w:rPr>
              <w:t>元</w:t>
            </w:r>
          </w:p>
        </w:tc>
        <w:tc>
          <w:tcPr>
            <w:tcW w:w="1666" w:type="pct"/>
            <w:vAlign w:val="center"/>
          </w:tcPr>
          <w:p w14:paraId="6FB53BA9">
            <w:pPr>
              <w:pStyle w:val="23"/>
              <w:jc w:val="center"/>
              <w:rPr>
                <w:rFonts w:ascii="宋体" w:hAnsi="宋体"/>
                <w:kern w:val="0"/>
                <w:szCs w:val="21"/>
              </w:rPr>
            </w:pPr>
            <w:r>
              <w:rPr>
                <w:rFonts w:ascii="宋体" w:hAnsi="宋体"/>
                <w:kern w:val="0"/>
                <w:szCs w:val="21"/>
              </w:rPr>
              <w:t>13.56</w:t>
            </w:r>
          </w:p>
        </w:tc>
      </w:tr>
      <w:tr w14:paraId="0AA1445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967" w:type="pct"/>
            <w:vAlign w:val="center"/>
          </w:tcPr>
          <w:p w14:paraId="4C249D83">
            <w:pPr>
              <w:pStyle w:val="23"/>
              <w:ind w:firstLine="420" w:firstLineChars="200"/>
              <w:rPr>
                <w:rFonts w:ascii="宋体" w:hAnsi="宋体"/>
                <w:kern w:val="0"/>
                <w:szCs w:val="21"/>
              </w:rPr>
            </w:pPr>
            <w:r>
              <w:rPr>
                <w:rFonts w:ascii="宋体" w:hAnsi="宋体"/>
                <w:kern w:val="0"/>
                <w:szCs w:val="21"/>
              </w:rPr>
              <w:t>3、财产性收入</w:t>
            </w:r>
          </w:p>
        </w:tc>
        <w:tc>
          <w:tcPr>
            <w:tcW w:w="1367" w:type="pct"/>
            <w:vAlign w:val="center"/>
          </w:tcPr>
          <w:p w14:paraId="3505E10D">
            <w:pPr>
              <w:pStyle w:val="23"/>
              <w:jc w:val="center"/>
              <w:rPr>
                <w:rFonts w:ascii="宋体" w:hAnsi="宋体"/>
                <w:kern w:val="0"/>
                <w:szCs w:val="21"/>
              </w:rPr>
            </w:pPr>
            <w:r>
              <w:rPr>
                <w:rFonts w:ascii="宋体" w:hAnsi="宋体"/>
                <w:kern w:val="0"/>
                <w:szCs w:val="21"/>
              </w:rPr>
              <w:t>元</w:t>
            </w:r>
          </w:p>
        </w:tc>
        <w:tc>
          <w:tcPr>
            <w:tcW w:w="1666" w:type="pct"/>
            <w:vAlign w:val="center"/>
          </w:tcPr>
          <w:p w14:paraId="7E9A7093">
            <w:pPr>
              <w:pStyle w:val="23"/>
              <w:jc w:val="center"/>
              <w:rPr>
                <w:rFonts w:ascii="宋体" w:hAnsi="宋体"/>
                <w:kern w:val="0"/>
                <w:szCs w:val="21"/>
              </w:rPr>
            </w:pPr>
            <w:r>
              <w:rPr>
                <w:rFonts w:ascii="宋体" w:hAnsi="宋体"/>
                <w:kern w:val="0"/>
                <w:szCs w:val="21"/>
              </w:rPr>
              <w:t>22.97</w:t>
            </w:r>
          </w:p>
        </w:tc>
      </w:tr>
      <w:tr w14:paraId="7661D7F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967" w:type="pct"/>
            <w:vAlign w:val="center"/>
          </w:tcPr>
          <w:p w14:paraId="18D7C3E3">
            <w:pPr>
              <w:pStyle w:val="23"/>
              <w:ind w:firstLine="420" w:firstLineChars="200"/>
              <w:rPr>
                <w:rFonts w:ascii="宋体" w:hAnsi="宋体"/>
                <w:kern w:val="0"/>
                <w:szCs w:val="21"/>
              </w:rPr>
            </w:pPr>
            <w:r>
              <w:rPr>
                <w:rFonts w:ascii="宋体" w:hAnsi="宋体"/>
                <w:kern w:val="0"/>
                <w:szCs w:val="21"/>
              </w:rPr>
              <w:t>4、转移性收入</w:t>
            </w:r>
          </w:p>
        </w:tc>
        <w:tc>
          <w:tcPr>
            <w:tcW w:w="1367" w:type="pct"/>
            <w:vAlign w:val="center"/>
          </w:tcPr>
          <w:p w14:paraId="18918BCB">
            <w:pPr>
              <w:pStyle w:val="23"/>
              <w:jc w:val="center"/>
              <w:rPr>
                <w:rFonts w:ascii="宋体" w:hAnsi="宋体"/>
                <w:kern w:val="0"/>
                <w:szCs w:val="21"/>
              </w:rPr>
            </w:pPr>
            <w:r>
              <w:rPr>
                <w:rFonts w:ascii="宋体" w:hAnsi="宋体"/>
                <w:kern w:val="0"/>
                <w:szCs w:val="21"/>
              </w:rPr>
              <w:t>元</w:t>
            </w:r>
          </w:p>
        </w:tc>
        <w:tc>
          <w:tcPr>
            <w:tcW w:w="1666" w:type="pct"/>
            <w:vAlign w:val="center"/>
          </w:tcPr>
          <w:p w14:paraId="019451A7">
            <w:pPr>
              <w:pStyle w:val="23"/>
              <w:jc w:val="center"/>
              <w:rPr>
                <w:rFonts w:ascii="宋体" w:hAnsi="宋体"/>
                <w:kern w:val="0"/>
                <w:szCs w:val="21"/>
              </w:rPr>
            </w:pPr>
            <w:r>
              <w:rPr>
                <w:rFonts w:ascii="宋体" w:hAnsi="宋体"/>
                <w:kern w:val="0"/>
                <w:szCs w:val="21"/>
              </w:rPr>
              <w:t>764.80</w:t>
            </w:r>
          </w:p>
        </w:tc>
      </w:tr>
      <w:tr w14:paraId="155B57C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967" w:type="pct"/>
            <w:vAlign w:val="center"/>
          </w:tcPr>
          <w:p w14:paraId="2DBA8A4F">
            <w:pPr>
              <w:pStyle w:val="23"/>
              <w:rPr>
                <w:rFonts w:ascii="宋体" w:hAnsi="宋体"/>
                <w:kern w:val="0"/>
                <w:szCs w:val="21"/>
              </w:rPr>
            </w:pPr>
            <w:r>
              <w:rPr>
                <w:rFonts w:ascii="宋体" w:hAnsi="宋体"/>
                <w:kern w:val="0"/>
                <w:szCs w:val="21"/>
              </w:rPr>
              <w:t>二、全年总支出</w:t>
            </w:r>
          </w:p>
        </w:tc>
        <w:tc>
          <w:tcPr>
            <w:tcW w:w="1367" w:type="pct"/>
            <w:vAlign w:val="center"/>
          </w:tcPr>
          <w:p w14:paraId="6F5C1434">
            <w:pPr>
              <w:pStyle w:val="23"/>
              <w:jc w:val="center"/>
              <w:rPr>
                <w:rFonts w:ascii="宋体" w:hAnsi="宋体"/>
                <w:kern w:val="0"/>
                <w:szCs w:val="21"/>
              </w:rPr>
            </w:pPr>
            <w:r>
              <w:rPr>
                <w:rFonts w:ascii="宋体" w:hAnsi="宋体"/>
                <w:kern w:val="0"/>
                <w:szCs w:val="21"/>
              </w:rPr>
              <w:t>元</w:t>
            </w:r>
          </w:p>
        </w:tc>
        <w:tc>
          <w:tcPr>
            <w:tcW w:w="1666" w:type="pct"/>
            <w:vAlign w:val="center"/>
          </w:tcPr>
          <w:p w14:paraId="66BBC7FB">
            <w:pPr>
              <w:pStyle w:val="23"/>
              <w:jc w:val="center"/>
              <w:rPr>
                <w:rFonts w:ascii="宋体" w:hAnsi="宋体"/>
                <w:kern w:val="0"/>
                <w:szCs w:val="21"/>
              </w:rPr>
            </w:pPr>
            <w:r>
              <w:rPr>
                <w:rFonts w:ascii="宋体" w:hAnsi="宋体"/>
                <w:kern w:val="0"/>
                <w:szCs w:val="21"/>
              </w:rPr>
              <w:t>10940.33</w:t>
            </w:r>
          </w:p>
        </w:tc>
      </w:tr>
      <w:tr w14:paraId="1699889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967" w:type="pct"/>
            <w:vAlign w:val="center"/>
          </w:tcPr>
          <w:p w14:paraId="6E07251C">
            <w:pPr>
              <w:pStyle w:val="23"/>
              <w:ind w:firstLine="420" w:firstLineChars="200"/>
              <w:rPr>
                <w:rFonts w:ascii="宋体" w:hAnsi="宋体"/>
                <w:kern w:val="0"/>
                <w:szCs w:val="21"/>
              </w:rPr>
            </w:pPr>
            <w:r>
              <w:rPr>
                <w:rFonts w:ascii="宋体" w:hAnsi="宋体"/>
                <w:kern w:val="0"/>
                <w:szCs w:val="21"/>
              </w:rPr>
              <w:t>1、家庭经营费用支出</w:t>
            </w:r>
          </w:p>
        </w:tc>
        <w:tc>
          <w:tcPr>
            <w:tcW w:w="1367" w:type="pct"/>
            <w:vAlign w:val="center"/>
          </w:tcPr>
          <w:p w14:paraId="492B9211">
            <w:pPr>
              <w:pStyle w:val="23"/>
              <w:jc w:val="center"/>
              <w:rPr>
                <w:rFonts w:ascii="宋体" w:hAnsi="宋体"/>
                <w:kern w:val="0"/>
                <w:szCs w:val="21"/>
              </w:rPr>
            </w:pPr>
            <w:r>
              <w:rPr>
                <w:rFonts w:ascii="宋体" w:hAnsi="宋体"/>
                <w:kern w:val="0"/>
                <w:szCs w:val="21"/>
              </w:rPr>
              <w:t>元</w:t>
            </w:r>
          </w:p>
        </w:tc>
        <w:tc>
          <w:tcPr>
            <w:tcW w:w="1666" w:type="pct"/>
            <w:vAlign w:val="center"/>
          </w:tcPr>
          <w:p w14:paraId="38B45934">
            <w:pPr>
              <w:pStyle w:val="23"/>
              <w:jc w:val="center"/>
              <w:rPr>
                <w:rFonts w:ascii="宋体" w:hAnsi="宋体"/>
                <w:kern w:val="0"/>
                <w:szCs w:val="21"/>
              </w:rPr>
            </w:pPr>
            <w:r>
              <w:rPr>
                <w:rFonts w:ascii="宋体" w:hAnsi="宋体"/>
                <w:kern w:val="0"/>
                <w:szCs w:val="21"/>
              </w:rPr>
              <w:t>1752.23</w:t>
            </w:r>
          </w:p>
        </w:tc>
      </w:tr>
      <w:tr w14:paraId="1986734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967" w:type="pct"/>
            <w:vAlign w:val="center"/>
          </w:tcPr>
          <w:p w14:paraId="51D97C42">
            <w:pPr>
              <w:pStyle w:val="23"/>
              <w:ind w:firstLine="630" w:firstLineChars="300"/>
              <w:rPr>
                <w:rFonts w:ascii="宋体" w:hAnsi="宋体"/>
                <w:kern w:val="0"/>
                <w:szCs w:val="21"/>
              </w:rPr>
            </w:pPr>
            <w:r>
              <w:rPr>
                <w:rFonts w:hint="eastAsia" w:ascii="宋体" w:hAnsi="宋体"/>
                <w:kern w:val="0"/>
                <w:szCs w:val="21"/>
              </w:rPr>
              <w:t>（1）</w:t>
            </w:r>
            <w:r>
              <w:rPr>
                <w:rFonts w:ascii="宋体" w:hAnsi="宋体"/>
                <w:kern w:val="0"/>
                <w:szCs w:val="21"/>
              </w:rPr>
              <w:t>农业生产支出</w:t>
            </w:r>
          </w:p>
        </w:tc>
        <w:tc>
          <w:tcPr>
            <w:tcW w:w="1367" w:type="pct"/>
            <w:vAlign w:val="center"/>
          </w:tcPr>
          <w:p w14:paraId="111A87E4">
            <w:pPr>
              <w:pStyle w:val="23"/>
              <w:jc w:val="center"/>
              <w:rPr>
                <w:rFonts w:ascii="宋体" w:hAnsi="宋体"/>
                <w:kern w:val="0"/>
                <w:szCs w:val="21"/>
              </w:rPr>
            </w:pPr>
            <w:r>
              <w:rPr>
                <w:rFonts w:ascii="宋体" w:hAnsi="宋体"/>
                <w:kern w:val="0"/>
                <w:szCs w:val="21"/>
              </w:rPr>
              <w:t>元</w:t>
            </w:r>
          </w:p>
        </w:tc>
        <w:tc>
          <w:tcPr>
            <w:tcW w:w="1666" w:type="pct"/>
            <w:vAlign w:val="center"/>
          </w:tcPr>
          <w:p w14:paraId="66DEF9FE">
            <w:pPr>
              <w:pStyle w:val="23"/>
              <w:jc w:val="center"/>
              <w:rPr>
                <w:rFonts w:ascii="宋体" w:hAnsi="宋体"/>
                <w:kern w:val="0"/>
                <w:szCs w:val="21"/>
              </w:rPr>
            </w:pPr>
            <w:r>
              <w:rPr>
                <w:rFonts w:ascii="宋体" w:hAnsi="宋体"/>
                <w:kern w:val="0"/>
                <w:szCs w:val="21"/>
              </w:rPr>
              <w:t>1147.34</w:t>
            </w:r>
          </w:p>
        </w:tc>
      </w:tr>
      <w:tr w14:paraId="2EE5776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967" w:type="pct"/>
            <w:vAlign w:val="center"/>
          </w:tcPr>
          <w:p w14:paraId="1DA48C94">
            <w:pPr>
              <w:pStyle w:val="23"/>
              <w:ind w:firstLine="630" w:firstLineChars="300"/>
              <w:rPr>
                <w:rFonts w:ascii="宋体" w:hAnsi="宋体"/>
                <w:kern w:val="0"/>
                <w:szCs w:val="21"/>
              </w:rPr>
            </w:pPr>
            <w:r>
              <w:rPr>
                <w:rFonts w:hint="eastAsia" w:ascii="宋体" w:hAnsi="宋体"/>
                <w:kern w:val="0"/>
                <w:szCs w:val="21"/>
              </w:rPr>
              <w:t>（2）林</w:t>
            </w:r>
            <w:r>
              <w:rPr>
                <w:rFonts w:ascii="宋体" w:hAnsi="宋体"/>
                <w:kern w:val="0"/>
                <w:szCs w:val="21"/>
              </w:rPr>
              <w:t>业生产支出</w:t>
            </w:r>
          </w:p>
        </w:tc>
        <w:tc>
          <w:tcPr>
            <w:tcW w:w="1367" w:type="pct"/>
            <w:vAlign w:val="center"/>
          </w:tcPr>
          <w:p w14:paraId="01EE2E32">
            <w:pPr>
              <w:pStyle w:val="23"/>
              <w:jc w:val="center"/>
              <w:rPr>
                <w:rFonts w:ascii="宋体" w:hAnsi="宋体"/>
                <w:kern w:val="0"/>
                <w:szCs w:val="21"/>
              </w:rPr>
            </w:pPr>
            <w:r>
              <w:rPr>
                <w:rFonts w:ascii="宋体" w:hAnsi="宋体"/>
                <w:kern w:val="0"/>
                <w:szCs w:val="21"/>
              </w:rPr>
              <w:t>元</w:t>
            </w:r>
          </w:p>
        </w:tc>
        <w:tc>
          <w:tcPr>
            <w:tcW w:w="1666" w:type="pct"/>
            <w:vAlign w:val="center"/>
          </w:tcPr>
          <w:p w14:paraId="46F3A236">
            <w:pPr>
              <w:pStyle w:val="23"/>
              <w:jc w:val="center"/>
              <w:rPr>
                <w:rFonts w:ascii="宋体" w:hAnsi="宋体"/>
                <w:kern w:val="0"/>
                <w:szCs w:val="21"/>
              </w:rPr>
            </w:pPr>
            <w:r>
              <w:rPr>
                <w:rFonts w:ascii="宋体" w:hAnsi="宋体"/>
                <w:kern w:val="0"/>
                <w:szCs w:val="21"/>
              </w:rPr>
              <w:t>13.98</w:t>
            </w:r>
          </w:p>
        </w:tc>
      </w:tr>
      <w:tr w14:paraId="5E0E0B1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967" w:type="pct"/>
            <w:vAlign w:val="center"/>
          </w:tcPr>
          <w:p w14:paraId="624502CF">
            <w:pPr>
              <w:pStyle w:val="23"/>
              <w:ind w:firstLine="630" w:firstLineChars="300"/>
              <w:rPr>
                <w:rFonts w:ascii="宋体" w:hAnsi="宋体"/>
                <w:kern w:val="0"/>
                <w:szCs w:val="21"/>
              </w:rPr>
            </w:pPr>
            <w:r>
              <w:rPr>
                <w:rFonts w:hint="eastAsia" w:ascii="宋体" w:hAnsi="宋体"/>
                <w:kern w:val="0"/>
                <w:szCs w:val="21"/>
              </w:rPr>
              <w:t>（3）</w:t>
            </w:r>
            <w:r>
              <w:rPr>
                <w:rFonts w:ascii="宋体" w:hAnsi="宋体"/>
                <w:kern w:val="0"/>
                <w:szCs w:val="21"/>
              </w:rPr>
              <w:t>牧业生产支出</w:t>
            </w:r>
          </w:p>
        </w:tc>
        <w:tc>
          <w:tcPr>
            <w:tcW w:w="1367" w:type="pct"/>
            <w:vAlign w:val="center"/>
          </w:tcPr>
          <w:p w14:paraId="3D22C559">
            <w:pPr>
              <w:pStyle w:val="23"/>
              <w:jc w:val="center"/>
              <w:rPr>
                <w:rFonts w:ascii="宋体" w:hAnsi="宋体"/>
                <w:kern w:val="0"/>
                <w:szCs w:val="21"/>
              </w:rPr>
            </w:pPr>
            <w:r>
              <w:rPr>
                <w:rFonts w:ascii="宋体" w:hAnsi="宋体"/>
                <w:kern w:val="0"/>
                <w:szCs w:val="21"/>
              </w:rPr>
              <w:t>元</w:t>
            </w:r>
          </w:p>
        </w:tc>
        <w:tc>
          <w:tcPr>
            <w:tcW w:w="1666" w:type="pct"/>
            <w:vAlign w:val="center"/>
          </w:tcPr>
          <w:p w14:paraId="3532E1AB">
            <w:pPr>
              <w:pStyle w:val="23"/>
              <w:jc w:val="center"/>
              <w:rPr>
                <w:rFonts w:ascii="宋体" w:hAnsi="宋体"/>
                <w:kern w:val="0"/>
                <w:szCs w:val="21"/>
              </w:rPr>
            </w:pPr>
            <w:r>
              <w:rPr>
                <w:rFonts w:ascii="宋体" w:hAnsi="宋体"/>
                <w:kern w:val="0"/>
                <w:szCs w:val="21"/>
              </w:rPr>
              <w:t>414.76</w:t>
            </w:r>
          </w:p>
        </w:tc>
      </w:tr>
      <w:tr w14:paraId="46D6C57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967" w:type="pct"/>
            <w:vAlign w:val="center"/>
          </w:tcPr>
          <w:p w14:paraId="10235A2A">
            <w:pPr>
              <w:pStyle w:val="23"/>
              <w:ind w:firstLine="630" w:firstLineChars="300"/>
              <w:rPr>
                <w:rFonts w:ascii="宋体" w:hAnsi="宋体"/>
                <w:kern w:val="0"/>
                <w:szCs w:val="21"/>
              </w:rPr>
            </w:pPr>
            <w:r>
              <w:rPr>
                <w:rFonts w:hint="eastAsia" w:ascii="宋体" w:hAnsi="宋体"/>
                <w:kern w:val="0"/>
                <w:szCs w:val="21"/>
              </w:rPr>
              <w:t>（4）</w:t>
            </w:r>
            <w:r>
              <w:rPr>
                <w:rFonts w:ascii="宋体" w:hAnsi="宋体"/>
                <w:kern w:val="0"/>
                <w:szCs w:val="21"/>
              </w:rPr>
              <w:t>渔业生产支出</w:t>
            </w:r>
          </w:p>
        </w:tc>
        <w:tc>
          <w:tcPr>
            <w:tcW w:w="1367" w:type="pct"/>
            <w:vAlign w:val="center"/>
          </w:tcPr>
          <w:p w14:paraId="657ADCE1">
            <w:pPr>
              <w:pStyle w:val="23"/>
              <w:jc w:val="center"/>
              <w:rPr>
                <w:rFonts w:ascii="宋体" w:hAnsi="宋体"/>
                <w:kern w:val="0"/>
                <w:szCs w:val="21"/>
              </w:rPr>
            </w:pPr>
            <w:r>
              <w:rPr>
                <w:rFonts w:ascii="宋体" w:hAnsi="宋体"/>
                <w:kern w:val="0"/>
                <w:szCs w:val="21"/>
              </w:rPr>
              <w:t>元</w:t>
            </w:r>
          </w:p>
        </w:tc>
        <w:tc>
          <w:tcPr>
            <w:tcW w:w="1666" w:type="pct"/>
            <w:vAlign w:val="center"/>
          </w:tcPr>
          <w:p w14:paraId="2A4B9CAC">
            <w:pPr>
              <w:pStyle w:val="23"/>
              <w:jc w:val="center"/>
              <w:rPr>
                <w:rFonts w:ascii="宋体" w:hAnsi="宋体"/>
                <w:kern w:val="0"/>
                <w:szCs w:val="21"/>
              </w:rPr>
            </w:pPr>
            <w:r>
              <w:rPr>
                <w:rFonts w:ascii="宋体" w:hAnsi="宋体"/>
                <w:kern w:val="0"/>
                <w:szCs w:val="21"/>
              </w:rPr>
              <w:t>19.08</w:t>
            </w:r>
          </w:p>
        </w:tc>
      </w:tr>
      <w:tr w14:paraId="4589939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967" w:type="pct"/>
            <w:vAlign w:val="center"/>
          </w:tcPr>
          <w:p w14:paraId="16F94E78">
            <w:pPr>
              <w:pStyle w:val="23"/>
              <w:ind w:firstLine="420" w:firstLineChars="200"/>
              <w:rPr>
                <w:rFonts w:ascii="宋体" w:hAnsi="宋体"/>
                <w:kern w:val="0"/>
                <w:szCs w:val="21"/>
              </w:rPr>
            </w:pPr>
            <w:r>
              <w:rPr>
                <w:rFonts w:ascii="宋体" w:hAnsi="宋体"/>
                <w:kern w:val="0"/>
                <w:szCs w:val="21"/>
              </w:rPr>
              <w:t>2、购置生产用固定资产支出</w:t>
            </w:r>
          </w:p>
        </w:tc>
        <w:tc>
          <w:tcPr>
            <w:tcW w:w="1367" w:type="pct"/>
            <w:vAlign w:val="center"/>
          </w:tcPr>
          <w:p w14:paraId="0E5996E8">
            <w:pPr>
              <w:pStyle w:val="23"/>
              <w:jc w:val="center"/>
              <w:rPr>
                <w:rFonts w:ascii="宋体" w:hAnsi="宋体"/>
                <w:kern w:val="0"/>
                <w:szCs w:val="21"/>
              </w:rPr>
            </w:pPr>
            <w:r>
              <w:rPr>
                <w:rFonts w:ascii="宋体" w:hAnsi="宋体"/>
                <w:kern w:val="0"/>
                <w:szCs w:val="21"/>
              </w:rPr>
              <w:t>元</w:t>
            </w:r>
          </w:p>
        </w:tc>
        <w:tc>
          <w:tcPr>
            <w:tcW w:w="1666" w:type="pct"/>
            <w:vAlign w:val="center"/>
          </w:tcPr>
          <w:p w14:paraId="32914921">
            <w:pPr>
              <w:pStyle w:val="23"/>
              <w:jc w:val="center"/>
              <w:rPr>
                <w:rFonts w:ascii="宋体" w:hAnsi="宋体"/>
                <w:kern w:val="0"/>
                <w:szCs w:val="21"/>
              </w:rPr>
            </w:pPr>
            <w:r>
              <w:rPr>
                <w:rFonts w:ascii="宋体" w:hAnsi="宋体"/>
                <w:kern w:val="0"/>
                <w:szCs w:val="21"/>
              </w:rPr>
              <w:t>188.13</w:t>
            </w:r>
          </w:p>
        </w:tc>
      </w:tr>
      <w:tr w14:paraId="5464BA2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967" w:type="pct"/>
            <w:vAlign w:val="center"/>
          </w:tcPr>
          <w:p w14:paraId="26557C19">
            <w:pPr>
              <w:pStyle w:val="23"/>
              <w:ind w:firstLine="420" w:firstLineChars="200"/>
              <w:rPr>
                <w:rFonts w:ascii="宋体" w:hAnsi="宋体"/>
                <w:kern w:val="0"/>
                <w:szCs w:val="21"/>
              </w:rPr>
            </w:pPr>
            <w:r>
              <w:rPr>
                <w:rFonts w:ascii="宋体" w:hAnsi="宋体"/>
                <w:kern w:val="0"/>
                <w:szCs w:val="21"/>
              </w:rPr>
              <w:t>3、生活费用支出</w:t>
            </w:r>
          </w:p>
        </w:tc>
        <w:tc>
          <w:tcPr>
            <w:tcW w:w="1367" w:type="pct"/>
            <w:vAlign w:val="center"/>
          </w:tcPr>
          <w:p w14:paraId="512A1047">
            <w:pPr>
              <w:pStyle w:val="23"/>
              <w:jc w:val="center"/>
              <w:rPr>
                <w:rFonts w:ascii="宋体" w:hAnsi="宋体"/>
                <w:kern w:val="0"/>
                <w:szCs w:val="21"/>
              </w:rPr>
            </w:pPr>
            <w:r>
              <w:rPr>
                <w:rFonts w:ascii="宋体" w:hAnsi="宋体"/>
                <w:kern w:val="0"/>
                <w:szCs w:val="21"/>
              </w:rPr>
              <w:t>元</w:t>
            </w:r>
          </w:p>
        </w:tc>
        <w:tc>
          <w:tcPr>
            <w:tcW w:w="1666" w:type="pct"/>
            <w:vAlign w:val="center"/>
          </w:tcPr>
          <w:p w14:paraId="7DF842FD">
            <w:pPr>
              <w:pStyle w:val="23"/>
              <w:jc w:val="center"/>
              <w:rPr>
                <w:rFonts w:ascii="宋体" w:hAnsi="宋体"/>
                <w:kern w:val="0"/>
                <w:szCs w:val="21"/>
              </w:rPr>
            </w:pPr>
            <w:r>
              <w:rPr>
                <w:rFonts w:ascii="宋体" w:hAnsi="宋体"/>
                <w:kern w:val="0"/>
                <w:szCs w:val="21"/>
              </w:rPr>
              <w:t>7993.50</w:t>
            </w:r>
          </w:p>
        </w:tc>
      </w:tr>
      <w:tr w14:paraId="40F8171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967" w:type="pct"/>
            <w:vAlign w:val="center"/>
          </w:tcPr>
          <w:p w14:paraId="059342D3">
            <w:pPr>
              <w:pStyle w:val="23"/>
              <w:ind w:firstLine="420" w:firstLineChars="200"/>
              <w:rPr>
                <w:rFonts w:ascii="宋体" w:hAnsi="宋体"/>
                <w:kern w:val="0"/>
                <w:szCs w:val="21"/>
              </w:rPr>
            </w:pPr>
            <w:r>
              <w:rPr>
                <w:rFonts w:ascii="宋体" w:hAnsi="宋体"/>
                <w:kern w:val="0"/>
                <w:szCs w:val="21"/>
              </w:rPr>
              <w:t>4、财产性支出</w:t>
            </w:r>
          </w:p>
        </w:tc>
        <w:tc>
          <w:tcPr>
            <w:tcW w:w="1367" w:type="pct"/>
            <w:vAlign w:val="center"/>
          </w:tcPr>
          <w:p w14:paraId="599CDE35">
            <w:pPr>
              <w:pStyle w:val="23"/>
              <w:jc w:val="center"/>
              <w:rPr>
                <w:rFonts w:ascii="宋体" w:hAnsi="宋体"/>
                <w:kern w:val="0"/>
                <w:szCs w:val="21"/>
              </w:rPr>
            </w:pPr>
            <w:r>
              <w:rPr>
                <w:rFonts w:ascii="宋体" w:hAnsi="宋体"/>
                <w:kern w:val="0"/>
                <w:szCs w:val="21"/>
              </w:rPr>
              <w:t>元</w:t>
            </w:r>
          </w:p>
        </w:tc>
        <w:tc>
          <w:tcPr>
            <w:tcW w:w="1666" w:type="pct"/>
            <w:vAlign w:val="center"/>
          </w:tcPr>
          <w:p w14:paraId="72B771AA">
            <w:pPr>
              <w:pStyle w:val="23"/>
              <w:jc w:val="center"/>
              <w:rPr>
                <w:rFonts w:ascii="宋体" w:hAnsi="宋体"/>
                <w:kern w:val="0"/>
                <w:szCs w:val="21"/>
              </w:rPr>
            </w:pPr>
            <w:r>
              <w:rPr>
                <w:rFonts w:ascii="宋体" w:hAnsi="宋体"/>
                <w:kern w:val="0"/>
                <w:szCs w:val="21"/>
              </w:rPr>
              <w:t>7.95</w:t>
            </w:r>
          </w:p>
        </w:tc>
      </w:tr>
      <w:tr w14:paraId="1290BF6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967" w:type="pct"/>
            <w:vAlign w:val="center"/>
          </w:tcPr>
          <w:p w14:paraId="174E9262">
            <w:pPr>
              <w:pStyle w:val="23"/>
              <w:ind w:firstLine="420" w:firstLineChars="200"/>
              <w:rPr>
                <w:rFonts w:ascii="宋体" w:hAnsi="宋体"/>
                <w:kern w:val="0"/>
                <w:szCs w:val="21"/>
              </w:rPr>
            </w:pPr>
            <w:r>
              <w:rPr>
                <w:rFonts w:ascii="宋体" w:hAnsi="宋体"/>
                <w:kern w:val="0"/>
                <w:szCs w:val="21"/>
              </w:rPr>
              <w:t>5、转移性支出</w:t>
            </w:r>
          </w:p>
        </w:tc>
        <w:tc>
          <w:tcPr>
            <w:tcW w:w="1367" w:type="pct"/>
            <w:vAlign w:val="center"/>
          </w:tcPr>
          <w:p w14:paraId="71CC28E9">
            <w:pPr>
              <w:pStyle w:val="23"/>
              <w:jc w:val="center"/>
              <w:rPr>
                <w:rFonts w:ascii="宋体" w:hAnsi="宋体"/>
                <w:kern w:val="0"/>
                <w:szCs w:val="21"/>
              </w:rPr>
            </w:pPr>
            <w:r>
              <w:rPr>
                <w:rFonts w:ascii="宋体" w:hAnsi="宋体"/>
                <w:kern w:val="0"/>
                <w:szCs w:val="21"/>
              </w:rPr>
              <w:t>元</w:t>
            </w:r>
          </w:p>
        </w:tc>
        <w:tc>
          <w:tcPr>
            <w:tcW w:w="1666" w:type="pct"/>
            <w:vAlign w:val="center"/>
          </w:tcPr>
          <w:p w14:paraId="4307C876">
            <w:pPr>
              <w:pStyle w:val="23"/>
              <w:jc w:val="center"/>
              <w:rPr>
                <w:rFonts w:ascii="宋体" w:hAnsi="宋体"/>
                <w:kern w:val="0"/>
                <w:szCs w:val="21"/>
              </w:rPr>
            </w:pPr>
            <w:r>
              <w:rPr>
                <w:rFonts w:ascii="宋体" w:hAnsi="宋体"/>
                <w:kern w:val="0"/>
                <w:szCs w:val="21"/>
              </w:rPr>
              <w:t>992.70</w:t>
            </w:r>
          </w:p>
        </w:tc>
      </w:tr>
      <w:tr w14:paraId="7EE1048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967" w:type="pct"/>
            <w:vAlign w:val="center"/>
          </w:tcPr>
          <w:p w14:paraId="6EC95F10">
            <w:pPr>
              <w:pStyle w:val="23"/>
              <w:rPr>
                <w:rFonts w:ascii="宋体" w:hAnsi="宋体"/>
                <w:kern w:val="0"/>
                <w:szCs w:val="21"/>
              </w:rPr>
            </w:pPr>
            <w:r>
              <w:rPr>
                <w:rFonts w:ascii="宋体" w:hAnsi="宋体"/>
                <w:kern w:val="0"/>
                <w:szCs w:val="21"/>
              </w:rPr>
              <w:t>三、纯收入</w:t>
            </w:r>
          </w:p>
        </w:tc>
        <w:tc>
          <w:tcPr>
            <w:tcW w:w="1367" w:type="pct"/>
            <w:vAlign w:val="center"/>
          </w:tcPr>
          <w:p w14:paraId="06438EAD">
            <w:pPr>
              <w:pStyle w:val="23"/>
              <w:jc w:val="center"/>
              <w:rPr>
                <w:rFonts w:ascii="宋体" w:hAnsi="宋体"/>
                <w:kern w:val="0"/>
                <w:szCs w:val="21"/>
              </w:rPr>
            </w:pPr>
            <w:r>
              <w:rPr>
                <w:rFonts w:ascii="宋体" w:hAnsi="宋体"/>
                <w:kern w:val="0"/>
                <w:szCs w:val="21"/>
              </w:rPr>
              <w:t>元</w:t>
            </w:r>
          </w:p>
        </w:tc>
        <w:tc>
          <w:tcPr>
            <w:tcW w:w="1666" w:type="pct"/>
            <w:vAlign w:val="center"/>
          </w:tcPr>
          <w:p w14:paraId="21BC1C11">
            <w:pPr>
              <w:pStyle w:val="23"/>
              <w:jc w:val="center"/>
              <w:rPr>
                <w:rFonts w:ascii="宋体" w:hAnsi="宋体"/>
                <w:kern w:val="0"/>
                <w:szCs w:val="21"/>
              </w:rPr>
            </w:pPr>
            <w:r>
              <w:rPr>
                <w:rFonts w:ascii="宋体" w:hAnsi="宋体"/>
                <w:kern w:val="0"/>
                <w:szCs w:val="21"/>
              </w:rPr>
              <w:t>11836.60</w:t>
            </w:r>
          </w:p>
        </w:tc>
      </w:tr>
      <w:tr w14:paraId="6CDAA4F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967" w:type="pct"/>
            <w:vAlign w:val="center"/>
          </w:tcPr>
          <w:p w14:paraId="16EBE366">
            <w:pPr>
              <w:pStyle w:val="23"/>
              <w:ind w:firstLine="420" w:firstLineChars="200"/>
              <w:rPr>
                <w:rFonts w:ascii="宋体" w:hAnsi="宋体"/>
                <w:kern w:val="0"/>
                <w:szCs w:val="21"/>
              </w:rPr>
            </w:pPr>
            <w:r>
              <w:rPr>
                <w:rFonts w:ascii="宋体" w:hAnsi="宋体"/>
                <w:kern w:val="0"/>
                <w:szCs w:val="21"/>
              </w:rPr>
              <w:t>其中</w:t>
            </w:r>
            <w:r>
              <w:rPr>
                <w:rFonts w:hint="eastAsia" w:ascii="宋体" w:hAnsi="宋体"/>
                <w:kern w:val="0"/>
                <w:szCs w:val="21"/>
              </w:rPr>
              <w:t>：</w:t>
            </w:r>
            <w:r>
              <w:rPr>
                <w:rFonts w:ascii="宋体" w:hAnsi="宋体"/>
                <w:kern w:val="0"/>
                <w:szCs w:val="21"/>
              </w:rPr>
              <w:t>可支配收入</w:t>
            </w:r>
          </w:p>
        </w:tc>
        <w:tc>
          <w:tcPr>
            <w:tcW w:w="1367" w:type="pct"/>
            <w:vAlign w:val="center"/>
          </w:tcPr>
          <w:p w14:paraId="1E531104">
            <w:pPr>
              <w:pStyle w:val="23"/>
              <w:jc w:val="center"/>
              <w:rPr>
                <w:rFonts w:ascii="宋体" w:hAnsi="宋体"/>
                <w:kern w:val="0"/>
                <w:szCs w:val="21"/>
              </w:rPr>
            </w:pPr>
            <w:r>
              <w:rPr>
                <w:rFonts w:ascii="宋体" w:hAnsi="宋体"/>
                <w:kern w:val="0"/>
                <w:szCs w:val="21"/>
              </w:rPr>
              <w:t>元</w:t>
            </w:r>
          </w:p>
        </w:tc>
        <w:tc>
          <w:tcPr>
            <w:tcW w:w="1666" w:type="pct"/>
            <w:vAlign w:val="center"/>
          </w:tcPr>
          <w:p w14:paraId="1C9264BA">
            <w:pPr>
              <w:pStyle w:val="23"/>
              <w:jc w:val="center"/>
              <w:rPr>
                <w:rFonts w:ascii="宋体" w:hAnsi="宋体"/>
                <w:kern w:val="0"/>
                <w:szCs w:val="21"/>
              </w:rPr>
            </w:pPr>
            <w:r>
              <w:rPr>
                <w:rFonts w:hint="eastAsia" w:ascii="宋体" w:hAnsi="宋体"/>
                <w:kern w:val="0"/>
                <w:szCs w:val="21"/>
              </w:rPr>
              <w:t>—</w:t>
            </w:r>
          </w:p>
        </w:tc>
      </w:tr>
    </w:tbl>
    <w:p w14:paraId="59689304">
      <w:pPr>
        <w:ind w:firstLine="0" w:firstLineChars="0"/>
        <w:jc w:val="center"/>
        <w:rPr>
          <w:b/>
        </w:rPr>
      </w:pPr>
      <w:r>
        <w:rPr>
          <w:rFonts w:hint="eastAsia"/>
          <w:b/>
        </w:rPr>
        <w:t>表60 农村住户调查人均生活消费情况</w:t>
      </w:r>
    </w:p>
    <w:tbl>
      <w:tblPr>
        <w:tblStyle w:val="14"/>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30" w:type="dxa"/>
          <w:bottom w:w="0" w:type="dxa"/>
          <w:right w:w="30" w:type="dxa"/>
        </w:tblCellMar>
      </w:tblPr>
      <w:tblGrid>
        <w:gridCol w:w="3716"/>
        <w:gridCol w:w="2822"/>
        <w:gridCol w:w="3268"/>
      </w:tblGrid>
      <w:tr w14:paraId="0A31395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895" w:type="pct"/>
            <w:vAlign w:val="center"/>
          </w:tcPr>
          <w:p w14:paraId="22B8DB03">
            <w:pPr>
              <w:pStyle w:val="23"/>
              <w:jc w:val="center"/>
              <w:rPr>
                <w:rFonts w:ascii="宋体" w:hAnsi="宋体"/>
                <w:b/>
                <w:kern w:val="0"/>
                <w:szCs w:val="21"/>
              </w:rPr>
            </w:pPr>
            <w:r>
              <w:rPr>
                <w:rFonts w:ascii="宋体" w:hAnsi="宋体"/>
                <w:b/>
                <w:kern w:val="0"/>
                <w:szCs w:val="21"/>
              </w:rPr>
              <w:t>指标名称</w:t>
            </w:r>
          </w:p>
        </w:tc>
        <w:tc>
          <w:tcPr>
            <w:tcW w:w="1439" w:type="pct"/>
            <w:vAlign w:val="center"/>
          </w:tcPr>
          <w:p w14:paraId="3A25C0EE">
            <w:pPr>
              <w:pStyle w:val="23"/>
              <w:jc w:val="center"/>
              <w:rPr>
                <w:rFonts w:ascii="宋体" w:hAnsi="宋体"/>
                <w:b/>
                <w:kern w:val="0"/>
                <w:szCs w:val="21"/>
              </w:rPr>
            </w:pPr>
            <w:r>
              <w:rPr>
                <w:rFonts w:ascii="宋体" w:hAnsi="宋体"/>
                <w:b/>
                <w:kern w:val="0"/>
                <w:szCs w:val="21"/>
              </w:rPr>
              <w:t>计算单位</w:t>
            </w:r>
          </w:p>
        </w:tc>
        <w:tc>
          <w:tcPr>
            <w:tcW w:w="1666" w:type="pct"/>
            <w:vAlign w:val="center"/>
          </w:tcPr>
          <w:p w14:paraId="2E5EBA41">
            <w:pPr>
              <w:pStyle w:val="23"/>
              <w:jc w:val="center"/>
              <w:rPr>
                <w:rFonts w:ascii="宋体" w:hAnsi="宋体"/>
                <w:b/>
                <w:kern w:val="0"/>
                <w:szCs w:val="21"/>
              </w:rPr>
            </w:pPr>
            <w:r>
              <w:rPr>
                <w:rFonts w:ascii="宋体" w:hAnsi="宋体"/>
                <w:b/>
                <w:kern w:val="0"/>
                <w:szCs w:val="21"/>
              </w:rPr>
              <w:t>2011年</w:t>
            </w:r>
          </w:p>
        </w:tc>
      </w:tr>
      <w:tr w14:paraId="5E347C4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895" w:type="pct"/>
            <w:vAlign w:val="center"/>
          </w:tcPr>
          <w:p w14:paraId="6F1A4BB8">
            <w:pPr>
              <w:pStyle w:val="23"/>
              <w:rPr>
                <w:rFonts w:ascii="宋体" w:hAnsi="宋体"/>
                <w:kern w:val="0"/>
                <w:szCs w:val="21"/>
              </w:rPr>
            </w:pPr>
            <w:r>
              <w:rPr>
                <w:rFonts w:ascii="宋体" w:hAnsi="宋体"/>
                <w:kern w:val="0"/>
                <w:szCs w:val="21"/>
              </w:rPr>
              <w:t>生活消费支出</w:t>
            </w:r>
          </w:p>
        </w:tc>
        <w:tc>
          <w:tcPr>
            <w:tcW w:w="1439" w:type="pct"/>
            <w:vAlign w:val="center"/>
          </w:tcPr>
          <w:p w14:paraId="666574B1">
            <w:pPr>
              <w:pStyle w:val="23"/>
              <w:jc w:val="center"/>
              <w:rPr>
                <w:rFonts w:ascii="宋体" w:hAnsi="宋体"/>
                <w:kern w:val="0"/>
                <w:szCs w:val="21"/>
              </w:rPr>
            </w:pPr>
            <w:r>
              <w:rPr>
                <w:rFonts w:ascii="宋体" w:hAnsi="宋体"/>
                <w:kern w:val="0"/>
                <w:szCs w:val="21"/>
              </w:rPr>
              <w:t>元</w:t>
            </w:r>
          </w:p>
        </w:tc>
        <w:tc>
          <w:tcPr>
            <w:tcW w:w="1666" w:type="pct"/>
            <w:vAlign w:val="center"/>
          </w:tcPr>
          <w:p w14:paraId="3FA2C5E4">
            <w:pPr>
              <w:pStyle w:val="23"/>
              <w:jc w:val="center"/>
              <w:rPr>
                <w:rFonts w:ascii="宋体" w:hAnsi="宋体"/>
                <w:kern w:val="0"/>
                <w:szCs w:val="21"/>
              </w:rPr>
            </w:pPr>
            <w:r>
              <w:rPr>
                <w:rFonts w:ascii="宋体" w:hAnsi="宋体"/>
                <w:kern w:val="0"/>
                <w:szCs w:val="21"/>
              </w:rPr>
              <w:t>7993.50</w:t>
            </w:r>
          </w:p>
        </w:tc>
      </w:tr>
      <w:tr w14:paraId="19D6A55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895" w:type="pct"/>
            <w:vAlign w:val="center"/>
          </w:tcPr>
          <w:p w14:paraId="61218E1C">
            <w:pPr>
              <w:pStyle w:val="23"/>
              <w:rPr>
                <w:rFonts w:ascii="宋体" w:hAnsi="宋体"/>
                <w:kern w:val="0"/>
                <w:szCs w:val="21"/>
              </w:rPr>
            </w:pPr>
            <w:r>
              <w:rPr>
                <w:rFonts w:ascii="宋体" w:hAnsi="宋体"/>
                <w:kern w:val="0"/>
                <w:szCs w:val="21"/>
              </w:rPr>
              <w:t>（一）食品</w:t>
            </w:r>
          </w:p>
        </w:tc>
        <w:tc>
          <w:tcPr>
            <w:tcW w:w="1439" w:type="pct"/>
            <w:vAlign w:val="center"/>
          </w:tcPr>
          <w:p w14:paraId="24637FB9">
            <w:pPr>
              <w:pStyle w:val="23"/>
              <w:jc w:val="center"/>
              <w:rPr>
                <w:rFonts w:ascii="宋体" w:hAnsi="宋体"/>
                <w:kern w:val="0"/>
                <w:szCs w:val="21"/>
              </w:rPr>
            </w:pPr>
            <w:r>
              <w:rPr>
                <w:rFonts w:ascii="宋体" w:hAnsi="宋体"/>
                <w:kern w:val="0"/>
                <w:szCs w:val="21"/>
              </w:rPr>
              <w:t>元</w:t>
            </w:r>
          </w:p>
        </w:tc>
        <w:tc>
          <w:tcPr>
            <w:tcW w:w="1666" w:type="pct"/>
            <w:vAlign w:val="center"/>
          </w:tcPr>
          <w:p w14:paraId="7116FCC9">
            <w:pPr>
              <w:pStyle w:val="23"/>
              <w:jc w:val="center"/>
              <w:rPr>
                <w:rFonts w:ascii="宋体" w:hAnsi="宋体"/>
                <w:kern w:val="0"/>
                <w:szCs w:val="21"/>
              </w:rPr>
            </w:pPr>
            <w:r>
              <w:rPr>
                <w:rFonts w:ascii="宋体" w:hAnsi="宋体"/>
                <w:kern w:val="0"/>
                <w:szCs w:val="21"/>
              </w:rPr>
              <w:t>3056.31</w:t>
            </w:r>
          </w:p>
        </w:tc>
      </w:tr>
      <w:tr w14:paraId="1EF7F7A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895" w:type="pct"/>
            <w:vAlign w:val="center"/>
          </w:tcPr>
          <w:p w14:paraId="3B574E19">
            <w:pPr>
              <w:pStyle w:val="23"/>
              <w:ind w:firstLine="420" w:firstLineChars="200"/>
              <w:rPr>
                <w:rFonts w:ascii="宋体" w:hAnsi="宋体"/>
                <w:kern w:val="0"/>
                <w:szCs w:val="21"/>
              </w:rPr>
            </w:pPr>
            <w:r>
              <w:rPr>
                <w:rFonts w:ascii="宋体" w:hAnsi="宋体"/>
                <w:kern w:val="0"/>
                <w:szCs w:val="21"/>
              </w:rPr>
              <w:t>（1）谷物</w:t>
            </w:r>
          </w:p>
        </w:tc>
        <w:tc>
          <w:tcPr>
            <w:tcW w:w="1439" w:type="pct"/>
            <w:vAlign w:val="center"/>
          </w:tcPr>
          <w:p w14:paraId="3F17084F">
            <w:pPr>
              <w:pStyle w:val="23"/>
              <w:jc w:val="center"/>
              <w:rPr>
                <w:rFonts w:ascii="宋体" w:hAnsi="宋体"/>
                <w:kern w:val="0"/>
                <w:szCs w:val="21"/>
              </w:rPr>
            </w:pPr>
            <w:r>
              <w:rPr>
                <w:rFonts w:ascii="宋体" w:hAnsi="宋体"/>
                <w:kern w:val="0"/>
                <w:szCs w:val="21"/>
              </w:rPr>
              <w:t>元</w:t>
            </w:r>
          </w:p>
        </w:tc>
        <w:tc>
          <w:tcPr>
            <w:tcW w:w="1666" w:type="pct"/>
            <w:vAlign w:val="center"/>
          </w:tcPr>
          <w:p w14:paraId="7F4A6154">
            <w:pPr>
              <w:pStyle w:val="23"/>
              <w:jc w:val="center"/>
              <w:rPr>
                <w:rFonts w:ascii="宋体" w:hAnsi="宋体"/>
                <w:kern w:val="0"/>
                <w:szCs w:val="21"/>
              </w:rPr>
            </w:pPr>
            <w:r>
              <w:rPr>
                <w:rFonts w:ascii="宋体" w:hAnsi="宋体"/>
                <w:kern w:val="0"/>
                <w:szCs w:val="21"/>
              </w:rPr>
              <w:t>665.26</w:t>
            </w:r>
          </w:p>
        </w:tc>
      </w:tr>
      <w:tr w14:paraId="1688307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895" w:type="pct"/>
            <w:vAlign w:val="center"/>
          </w:tcPr>
          <w:p w14:paraId="71AFDA96">
            <w:pPr>
              <w:pStyle w:val="23"/>
              <w:ind w:firstLine="420" w:firstLineChars="200"/>
              <w:rPr>
                <w:rFonts w:ascii="宋体" w:hAnsi="宋体"/>
                <w:kern w:val="0"/>
                <w:szCs w:val="21"/>
              </w:rPr>
            </w:pPr>
            <w:r>
              <w:rPr>
                <w:rFonts w:ascii="宋体" w:hAnsi="宋体"/>
                <w:kern w:val="0"/>
                <w:szCs w:val="21"/>
              </w:rPr>
              <w:t>（3）食用油</w:t>
            </w:r>
          </w:p>
        </w:tc>
        <w:tc>
          <w:tcPr>
            <w:tcW w:w="1439" w:type="pct"/>
            <w:vAlign w:val="center"/>
          </w:tcPr>
          <w:p w14:paraId="35B8A843">
            <w:pPr>
              <w:pStyle w:val="23"/>
              <w:jc w:val="center"/>
              <w:rPr>
                <w:rFonts w:ascii="宋体" w:hAnsi="宋体"/>
                <w:kern w:val="0"/>
                <w:szCs w:val="21"/>
              </w:rPr>
            </w:pPr>
            <w:r>
              <w:rPr>
                <w:rFonts w:ascii="宋体" w:hAnsi="宋体"/>
                <w:kern w:val="0"/>
                <w:szCs w:val="21"/>
              </w:rPr>
              <w:t>元</w:t>
            </w:r>
          </w:p>
        </w:tc>
        <w:tc>
          <w:tcPr>
            <w:tcW w:w="1666" w:type="pct"/>
            <w:vAlign w:val="center"/>
          </w:tcPr>
          <w:p w14:paraId="4BDF4133">
            <w:pPr>
              <w:pStyle w:val="23"/>
              <w:jc w:val="center"/>
              <w:rPr>
                <w:rFonts w:ascii="宋体" w:hAnsi="宋体"/>
                <w:kern w:val="0"/>
                <w:szCs w:val="21"/>
              </w:rPr>
            </w:pPr>
            <w:r>
              <w:rPr>
                <w:rFonts w:ascii="宋体" w:hAnsi="宋体"/>
                <w:kern w:val="0"/>
                <w:szCs w:val="21"/>
              </w:rPr>
              <w:t>289.44</w:t>
            </w:r>
          </w:p>
        </w:tc>
      </w:tr>
      <w:tr w14:paraId="7135C0B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895" w:type="pct"/>
            <w:vAlign w:val="center"/>
          </w:tcPr>
          <w:p w14:paraId="1B72D520">
            <w:pPr>
              <w:pStyle w:val="23"/>
              <w:ind w:firstLine="420" w:firstLineChars="200"/>
              <w:rPr>
                <w:rFonts w:ascii="宋体" w:hAnsi="宋体"/>
                <w:kern w:val="0"/>
                <w:szCs w:val="21"/>
              </w:rPr>
            </w:pPr>
            <w:r>
              <w:rPr>
                <w:rFonts w:ascii="宋体" w:hAnsi="宋体"/>
                <w:kern w:val="0"/>
                <w:szCs w:val="21"/>
              </w:rPr>
              <w:t>（2）肉、禽、蛋、奶及制品</w:t>
            </w:r>
          </w:p>
        </w:tc>
        <w:tc>
          <w:tcPr>
            <w:tcW w:w="1439" w:type="pct"/>
            <w:vAlign w:val="center"/>
          </w:tcPr>
          <w:p w14:paraId="35C34CC1">
            <w:pPr>
              <w:pStyle w:val="23"/>
              <w:jc w:val="center"/>
              <w:rPr>
                <w:rFonts w:ascii="宋体" w:hAnsi="宋体"/>
                <w:kern w:val="0"/>
                <w:szCs w:val="21"/>
              </w:rPr>
            </w:pPr>
            <w:r>
              <w:rPr>
                <w:rFonts w:ascii="宋体" w:hAnsi="宋体"/>
                <w:kern w:val="0"/>
                <w:szCs w:val="21"/>
              </w:rPr>
              <w:t>元</w:t>
            </w:r>
          </w:p>
        </w:tc>
        <w:tc>
          <w:tcPr>
            <w:tcW w:w="1666" w:type="pct"/>
            <w:vAlign w:val="center"/>
          </w:tcPr>
          <w:p w14:paraId="03F3EB15">
            <w:pPr>
              <w:pStyle w:val="23"/>
              <w:jc w:val="center"/>
              <w:rPr>
                <w:rFonts w:ascii="宋体" w:hAnsi="宋体"/>
                <w:kern w:val="0"/>
                <w:szCs w:val="21"/>
              </w:rPr>
            </w:pPr>
            <w:r>
              <w:rPr>
                <w:rFonts w:ascii="宋体" w:hAnsi="宋体"/>
                <w:kern w:val="0"/>
                <w:szCs w:val="21"/>
              </w:rPr>
              <w:t>850.83</w:t>
            </w:r>
          </w:p>
        </w:tc>
      </w:tr>
      <w:tr w14:paraId="4B22E72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895" w:type="pct"/>
            <w:vAlign w:val="center"/>
          </w:tcPr>
          <w:p w14:paraId="0356F6B9">
            <w:pPr>
              <w:pStyle w:val="23"/>
              <w:ind w:firstLine="420" w:firstLineChars="200"/>
              <w:rPr>
                <w:rFonts w:ascii="宋体" w:hAnsi="宋体"/>
                <w:kern w:val="0"/>
                <w:szCs w:val="21"/>
              </w:rPr>
            </w:pPr>
            <w:r>
              <w:rPr>
                <w:rFonts w:hint="eastAsia" w:ascii="宋体" w:hAnsi="宋体"/>
                <w:kern w:val="0"/>
                <w:szCs w:val="21"/>
              </w:rPr>
              <w:t>（4）</w:t>
            </w:r>
            <w:r>
              <w:rPr>
                <w:rFonts w:ascii="宋体" w:hAnsi="宋体"/>
                <w:kern w:val="0"/>
                <w:szCs w:val="21"/>
              </w:rPr>
              <w:t>在外饮食</w:t>
            </w:r>
          </w:p>
        </w:tc>
        <w:tc>
          <w:tcPr>
            <w:tcW w:w="1439" w:type="pct"/>
            <w:vAlign w:val="center"/>
          </w:tcPr>
          <w:p w14:paraId="58067EB3">
            <w:pPr>
              <w:pStyle w:val="23"/>
              <w:jc w:val="center"/>
              <w:rPr>
                <w:rFonts w:ascii="宋体" w:hAnsi="宋体"/>
                <w:kern w:val="0"/>
                <w:szCs w:val="21"/>
              </w:rPr>
            </w:pPr>
            <w:r>
              <w:rPr>
                <w:rFonts w:ascii="宋体" w:hAnsi="宋体"/>
                <w:kern w:val="0"/>
                <w:szCs w:val="21"/>
              </w:rPr>
              <w:t>元</w:t>
            </w:r>
          </w:p>
        </w:tc>
        <w:tc>
          <w:tcPr>
            <w:tcW w:w="1666" w:type="pct"/>
            <w:vAlign w:val="center"/>
          </w:tcPr>
          <w:p w14:paraId="771CCF10">
            <w:pPr>
              <w:pStyle w:val="23"/>
              <w:jc w:val="center"/>
              <w:rPr>
                <w:rFonts w:ascii="宋体" w:hAnsi="宋体"/>
                <w:kern w:val="0"/>
                <w:szCs w:val="21"/>
              </w:rPr>
            </w:pPr>
            <w:r>
              <w:rPr>
                <w:rFonts w:ascii="宋体" w:hAnsi="宋体"/>
                <w:kern w:val="0"/>
                <w:szCs w:val="21"/>
              </w:rPr>
              <w:t>285.31</w:t>
            </w:r>
          </w:p>
        </w:tc>
      </w:tr>
      <w:tr w14:paraId="185EFB8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895" w:type="pct"/>
            <w:vAlign w:val="center"/>
          </w:tcPr>
          <w:p w14:paraId="10B4B577">
            <w:pPr>
              <w:pStyle w:val="23"/>
              <w:ind w:firstLine="420" w:firstLineChars="200"/>
              <w:rPr>
                <w:rFonts w:ascii="宋体" w:hAnsi="宋体"/>
                <w:kern w:val="0"/>
                <w:szCs w:val="21"/>
              </w:rPr>
            </w:pPr>
            <w:r>
              <w:rPr>
                <w:rFonts w:hint="eastAsia" w:ascii="宋体" w:hAnsi="宋体"/>
                <w:kern w:val="0"/>
                <w:szCs w:val="21"/>
              </w:rPr>
              <w:t>（5）</w:t>
            </w:r>
            <w:r>
              <w:rPr>
                <w:rFonts w:ascii="宋体" w:hAnsi="宋体"/>
                <w:kern w:val="0"/>
                <w:szCs w:val="21"/>
              </w:rPr>
              <w:t>食品加工</w:t>
            </w:r>
          </w:p>
        </w:tc>
        <w:tc>
          <w:tcPr>
            <w:tcW w:w="1439" w:type="pct"/>
            <w:vAlign w:val="center"/>
          </w:tcPr>
          <w:p w14:paraId="04AFC5BD">
            <w:pPr>
              <w:pStyle w:val="23"/>
              <w:jc w:val="center"/>
              <w:rPr>
                <w:rFonts w:ascii="宋体" w:hAnsi="宋体"/>
                <w:kern w:val="0"/>
                <w:szCs w:val="21"/>
              </w:rPr>
            </w:pPr>
            <w:r>
              <w:rPr>
                <w:rFonts w:ascii="宋体" w:hAnsi="宋体"/>
                <w:kern w:val="0"/>
                <w:szCs w:val="21"/>
              </w:rPr>
              <w:t>元</w:t>
            </w:r>
          </w:p>
        </w:tc>
        <w:tc>
          <w:tcPr>
            <w:tcW w:w="1666" w:type="pct"/>
            <w:vAlign w:val="center"/>
          </w:tcPr>
          <w:p w14:paraId="69F0204A">
            <w:pPr>
              <w:pStyle w:val="23"/>
              <w:jc w:val="center"/>
              <w:rPr>
                <w:rFonts w:ascii="宋体" w:hAnsi="宋体"/>
                <w:kern w:val="0"/>
                <w:szCs w:val="21"/>
              </w:rPr>
            </w:pPr>
            <w:r>
              <w:rPr>
                <w:rFonts w:ascii="宋体" w:hAnsi="宋体"/>
                <w:kern w:val="0"/>
                <w:szCs w:val="21"/>
              </w:rPr>
              <w:t>32.31</w:t>
            </w:r>
          </w:p>
        </w:tc>
      </w:tr>
      <w:tr w14:paraId="22893F4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895" w:type="pct"/>
            <w:vAlign w:val="center"/>
          </w:tcPr>
          <w:p w14:paraId="2A7386AD">
            <w:pPr>
              <w:pStyle w:val="23"/>
              <w:rPr>
                <w:rFonts w:ascii="宋体" w:hAnsi="宋体"/>
                <w:kern w:val="0"/>
                <w:szCs w:val="21"/>
              </w:rPr>
            </w:pPr>
            <w:r>
              <w:rPr>
                <w:rFonts w:ascii="宋体" w:hAnsi="宋体"/>
                <w:kern w:val="0"/>
                <w:szCs w:val="21"/>
              </w:rPr>
              <w:t>（二）衣着</w:t>
            </w:r>
          </w:p>
        </w:tc>
        <w:tc>
          <w:tcPr>
            <w:tcW w:w="1439" w:type="pct"/>
            <w:vAlign w:val="center"/>
          </w:tcPr>
          <w:p w14:paraId="405C4C0A">
            <w:pPr>
              <w:pStyle w:val="23"/>
              <w:jc w:val="center"/>
              <w:rPr>
                <w:rFonts w:ascii="宋体" w:hAnsi="宋体"/>
                <w:kern w:val="0"/>
                <w:szCs w:val="21"/>
              </w:rPr>
            </w:pPr>
            <w:r>
              <w:rPr>
                <w:rFonts w:ascii="宋体" w:hAnsi="宋体"/>
                <w:kern w:val="0"/>
                <w:szCs w:val="21"/>
              </w:rPr>
              <w:t>元</w:t>
            </w:r>
          </w:p>
        </w:tc>
        <w:tc>
          <w:tcPr>
            <w:tcW w:w="1666" w:type="pct"/>
            <w:vAlign w:val="center"/>
          </w:tcPr>
          <w:p w14:paraId="28C9715E">
            <w:pPr>
              <w:pStyle w:val="23"/>
              <w:jc w:val="center"/>
              <w:rPr>
                <w:rFonts w:ascii="宋体" w:hAnsi="宋体"/>
                <w:kern w:val="0"/>
                <w:szCs w:val="21"/>
              </w:rPr>
            </w:pPr>
            <w:r>
              <w:rPr>
                <w:rFonts w:ascii="宋体" w:hAnsi="宋体"/>
                <w:kern w:val="0"/>
                <w:szCs w:val="21"/>
              </w:rPr>
              <w:t>256.25</w:t>
            </w:r>
          </w:p>
        </w:tc>
      </w:tr>
      <w:tr w14:paraId="03866A2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895" w:type="pct"/>
            <w:vAlign w:val="center"/>
          </w:tcPr>
          <w:p w14:paraId="6894DA6C">
            <w:pPr>
              <w:pStyle w:val="23"/>
              <w:rPr>
                <w:rFonts w:ascii="宋体" w:hAnsi="宋体"/>
                <w:kern w:val="0"/>
                <w:szCs w:val="21"/>
              </w:rPr>
            </w:pPr>
            <w:r>
              <w:rPr>
                <w:rFonts w:ascii="宋体" w:hAnsi="宋体"/>
                <w:kern w:val="0"/>
                <w:szCs w:val="21"/>
              </w:rPr>
              <w:t>（三）居住</w:t>
            </w:r>
          </w:p>
        </w:tc>
        <w:tc>
          <w:tcPr>
            <w:tcW w:w="1439" w:type="pct"/>
            <w:vAlign w:val="center"/>
          </w:tcPr>
          <w:p w14:paraId="66995176">
            <w:pPr>
              <w:pStyle w:val="23"/>
              <w:jc w:val="center"/>
              <w:rPr>
                <w:rFonts w:ascii="宋体" w:hAnsi="宋体"/>
                <w:kern w:val="0"/>
                <w:szCs w:val="21"/>
              </w:rPr>
            </w:pPr>
            <w:r>
              <w:rPr>
                <w:rFonts w:ascii="宋体" w:hAnsi="宋体"/>
                <w:kern w:val="0"/>
                <w:szCs w:val="21"/>
              </w:rPr>
              <w:t>元</w:t>
            </w:r>
          </w:p>
        </w:tc>
        <w:tc>
          <w:tcPr>
            <w:tcW w:w="1666" w:type="pct"/>
            <w:vAlign w:val="center"/>
          </w:tcPr>
          <w:p w14:paraId="5744B4C9">
            <w:pPr>
              <w:pStyle w:val="23"/>
              <w:jc w:val="center"/>
              <w:rPr>
                <w:rFonts w:ascii="宋体" w:hAnsi="宋体"/>
                <w:kern w:val="0"/>
                <w:szCs w:val="21"/>
              </w:rPr>
            </w:pPr>
            <w:r>
              <w:rPr>
                <w:rFonts w:ascii="宋体" w:hAnsi="宋体"/>
                <w:kern w:val="0"/>
                <w:szCs w:val="21"/>
              </w:rPr>
              <w:t>2665.43</w:t>
            </w:r>
          </w:p>
        </w:tc>
      </w:tr>
      <w:tr w14:paraId="798AD00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895" w:type="pct"/>
            <w:vAlign w:val="center"/>
          </w:tcPr>
          <w:p w14:paraId="357827F1">
            <w:pPr>
              <w:pStyle w:val="23"/>
              <w:ind w:firstLine="630" w:firstLineChars="300"/>
              <w:rPr>
                <w:rFonts w:ascii="宋体" w:hAnsi="宋体"/>
                <w:kern w:val="0"/>
                <w:szCs w:val="21"/>
              </w:rPr>
            </w:pPr>
            <w:r>
              <w:rPr>
                <w:rFonts w:ascii="宋体" w:hAnsi="宋体"/>
                <w:kern w:val="0"/>
                <w:szCs w:val="21"/>
              </w:rPr>
              <w:t>其中：（1）生活用燃料</w:t>
            </w:r>
          </w:p>
        </w:tc>
        <w:tc>
          <w:tcPr>
            <w:tcW w:w="1439" w:type="pct"/>
            <w:vAlign w:val="center"/>
          </w:tcPr>
          <w:p w14:paraId="201B4555">
            <w:pPr>
              <w:pStyle w:val="23"/>
              <w:jc w:val="center"/>
              <w:rPr>
                <w:rFonts w:ascii="宋体" w:hAnsi="宋体"/>
                <w:kern w:val="0"/>
                <w:szCs w:val="21"/>
              </w:rPr>
            </w:pPr>
            <w:r>
              <w:rPr>
                <w:rFonts w:ascii="宋体" w:hAnsi="宋体"/>
                <w:kern w:val="0"/>
                <w:szCs w:val="21"/>
              </w:rPr>
              <w:t>元</w:t>
            </w:r>
          </w:p>
        </w:tc>
        <w:tc>
          <w:tcPr>
            <w:tcW w:w="1666" w:type="pct"/>
            <w:vAlign w:val="center"/>
          </w:tcPr>
          <w:p w14:paraId="5361EB0E">
            <w:pPr>
              <w:pStyle w:val="23"/>
              <w:jc w:val="center"/>
              <w:rPr>
                <w:rFonts w:ascii="宋体" w:hAnsi="宋体"/>
                <w:kern w:val="0"/>
                <w:szCs w:val="21"/>
              </w:rPr>
            </w:pPr>
            <w:r>
              <w:rPr>
                <w:rFonts w:ascii="宋体" w:hAnsi="宋体"/>
                <w:kern w:val="0"/>
                <w:szCs w:val="21"/>
              </w:rPr>
              <w:t>145.25</w:t>
            </w:r>
          </w:p>
        </w:tc>
      </w:tr>
      <w:tr w14:paraId="3D0E716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895" w:type="pct"/>
            <w:vAlign w:val="center"/>
          </w:tcPr>
          <w:p w14:paraId="488BFC3D">
            <w:pPr>
              <w:pStyle w:val="23"/>
              <w:ind w:firstLine="1260" w:firstLineChars="600"/>
              <w:rPr>
                <w:rFonts w:ascii="宋体" w:hAnsi="宋体"/>
                <w:kern w:val="0"/>
                <w:szCs w:val="21"/>
              </w:rPr>
            </w:pPr>
            <w:r>
              <w:rPr>
                <w:rFonts w:ascii="宋体" w:hAnsi="宋体"/>
                <w:kern w:val="0"/>
                <w:szCs w:val="21"/>
              </w:rPr>
              <w:t>（2）电费</w:t>
            </w:r>
          </w:p>
        </w:tc>
        <w:tc>
          <w:tcPr>
            <w:tcW w:w="1439" w:type="pct"/>
            <w:vAlign w:val="center"/>
          </w:tcPr>
          <w:p w14:paraId="261473EE">
            <w:pPr>
              <w:pStyle w:val="23"/>
              <w:jc w:val="center"/>
              <w:rPr>
                <w:rFonts w:ascii="宋体" w:hAnsi="宋体"/>
                <w:kern w:val="0"/>
                <w:szCs w:val="21"/>
              </w:rPr>
            </w:pPr>
            <w:r>
              <w:rPr>
                <w:rFonts w:ascii="宋体" w:hAnsi="宋体"/>
                <w:kern w:val="0"/>
                <w:szCs w:val="21"/>
              </w:rPr>
              <w:t>元</w:t>
            </w:r>
          </w:p>
        </w:tc>
        <w:tc>
          <w:tcPr>
            <w:tcW w:w="1666" w:type="pct"/>
            <w:vAlign w:val="center"/>
          </w:tcPr>
          <w:p w14:paraId="5801650B">
            <w:pPr>
              <w:pStyle w:val="23"/>
              <w:jc w:val="center"/>
              <w:rPr>
                <w:rFonts w:ascii="宋体" w:hAnsi="宋体"/>
                <w:kern w:val="0"/>
                <w:szCs w:val="21"/>
              </w:rPr>
            </w:pPr>
            <w:r>
              <w:rPr>
                <w:rFonts w:ascii="宋体" w:hAnsi="宋体"/>
                <w:kern w:val="0"/>
                <w:szCs w:val="21"/>
              </w:rPr>
              <w:t>78.91</w:t>
            </w:r>
          </w:p>
        </w:tc>
      </w:tr>
      <w:tr w14:paraId="73AAF14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895" w:type="pct"/>
            <w:vAlign w:val="center"/>
          </w:tcPr>
          <w:p w14:paraId="5AC6D413">
            <w:pPr>
              <w:pStyle w:val="23"/>
              <w:rPr>
                <w:rFonts w:ascii="宋体" w:hAnsi="宋体"/>
                <w:kern w:val="0"/>
                <w:szCs w:val="21"/>
              </w:rPr>
            </w:pPr>
            <w:r>
              <w:rPr>
                <w:rFonts w:ascii="宋体" w:hAnsi="宋体"/>
                <w:kern w:val="0"/>
                <w:szCs w:val="21"/>
              </w:rPr>
              <w:t>（四）家庭设备用品及服务</w:t>
            </w:r>
          </w:p>
        </w:tc>
        <w:tc>
          <w:tcPr>
            <w:tcW w:w="1439" w:type="pct"/>
            <w:vAlign w:val="center"/>
          </w:tcPr>
          <w:p w14:paraId="1522DAEB">
            <w:pPr>
              <w:pStyle w:val="23"/>
              <w:jc w:val="center"/>
              <w:rPr>
                <w:rFonts w:ascii="宋体" w:hAnsi="宋体"/>
                <w:kern w:val="0"/>
                <w:szCs w:val="21"/>
              </w:rPr>
            </w:pPr>
            <w:r>
              <w:rPr>
                <w:rFonts w:ascii="宋体" w:hAnsi="宋体"/>
                <w:kern w:val="0"/>
                <w:szCs w:val="21"/>
              </w:rPr>
              <w:t>元</w:t>
            </w:r>
          </w:p>
        </w:tc>
        <w:tc>
          <w:tcPr>
            <w:tcW w:w="1666" w:type="pct"/>
            <w:vAlign w:val="center"/>
          </w:tcPr>
          <w:p w14:paraId="54C1D62E">
            <w:pPr>
              <w:pStyle w:val="23"/>
              <w:jc w:val="center"/>
              <w:rPr>
                <w:rFonts w:ascii="宋体" w:hAnsi="宋体"/>
                <w:kern w:val="0"/>
                <w:szCs w:val="21"/>
              </w:rPr>
            </w:pPr>
            <w:r>
              <w:rPr>
                <w:rFonts w:ascii="宋体" w:hAnsi="宋体"/>
                <w:kern w:val="0"/>
                <w:szCs w:val="21"/>
              </w:rPr>
              <w:t>451.91</w:t>
            </w:r>
          </w:p>
        </w:tc>
      </w:tr>
      <w:tr w14:paraId="17DFD9D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895" w:type="pct"/>
            <w:vAlign w:val="center"/>
          </w:tcPr>
          <w:p w14:paraId="7CBAF057">
            <w:pPr>
              <w:pStyle w:val="23"/>
              <w:ind w:firstLine="420" w:firstLineChars="200"/>
              <w:rPr>
                <w:rFonts w:ascii="宋体" w:hAnsi="宋体"/>
                <w:kern w:val="0"/>
                <w:szCs w:val="21"/>
              </w:rPr>
            </w:pPr>
            <w:r>
              <w:rPr>
                <w:rFonts w:ascii="宋体" w:hAnsi="宋体"/>
                <w:kern w:val="0"/>
                <w:szCs w:val="21"/>
              </w:rPr>
              <w:t>其中：（1）日用品</w:t>
            </w:r>
          </w:p>
        </w:tc>
        <w:tc>
          <w:tcPr>
            <w:tcW w:w="1439" w:type="pct"/>
            <w:vAlign w:val="center"/>
          </w:tcPr>
          <w:p w14:paraId="001ECA26">
            <w:pPr>
              <w:pStyle w:val="23"/>
              <w:jc w:val="center"/>
              <w:rPr>
                <w:rFonts w:ascii="宋体" w:hAnsi="宋体"/>
                <w:kern w:val="0"/>
                <w:szCs w:val="21"/>
              </w:rPr>
            </w:pPr>
            <w:r>
              <w:rPr>
                <w:rFonts w:ascii="宋体" w:hAnsi="宋体"/>
                <w:kern w:val="0"/>
                <w:szCs w:val="21"/>
              </w:rPr>
              <w:t>元</w:t>
            </w:r>
          </w:p>
        </w:tc>
        <w:tc>
          <w:tcPr>
            <w:tcW w:w="1666" w:type="pct"/>
            <w:vAlign w:val="center"/>
          </w:tcPr>
          <w:p w14:paraId="06ECEB59">
            <w:pPr>
              <w:pStyle w:val="23"/>
              <w:jc w:val="center"/>
              <w:rPr>
                <w:rFonts w:ascii="宋体" w:hAnsi="宋体"/>
                <w:kern w:val="0"/>
                <w:szCs w:val="21"/>
              </w:rPr>
            </w:pPr>
            <w:r>
              <w:rPr>
                <w:rFonts w:ascii="宋体" w:hAnsi="宋体"/>
                <w:kern w:val="0"/>
                <w:szCs w:val="21"/>
              </w:rPr>
              <w:t>153.46</w:t>
            </w:r>
          </w:p>
        </w:tc>
      </w:tr>
      <w:tr w14:paraId="2DCBA05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895" w:type="pct"/>
            <w:vAlign w:val="center"/>
          </w:tcPr>
          <w:p w14:paraId="7645FB92">
            <w:pPr>
              <w:pStyle w:val="23"/>
              <w:ind w:firstLine="1050" w:firstLineChars="500"/>
              <w:rPr>
                <w:rFonts w:ascii="宋体" w:hAnsi="宋体"/>
                <w:kern w:val="0"/>
                <w:szCs w:val="21"/>
              </w:rPr>
            </w:pPr>
            <w:r>
              <w:rPr>
                <w:rFonts w:ascii="宋体" w:hAnsi="宋体"/>
                <w:kern w:val="0"/>
                <w:szCs w:val="21"/>
              </w:rPr>
              <w:t>（2）床上用品</w:t>
            </w:r>
          </w:p>
        </w:tc>
        <w:tc>
          <w:tcPr>
            <w:tcW w:w="1439" w:type="pct"/>
            <w:vAlign w:val="center"/>
          </w:tcPr>
          <w:p w14:paraId="7547515B">
            <w:pPr>
              <w:pStyle w:val="23"/>
              <w:jc w:val="center"/>
              <w:rPr>
                <w:rFonts w:ascii="宋体" w:hAnsi="宋体"/>
                <w:kern w:val="0"/>
                <w:szCs w:val="21"/>
              </w:rPr>
            </w:pPr>
            <w:r>
              <w:rPr>
                <w:rFonts w:ascii="宋体" w:hAnsi="宋体"/>
                <w:kern w:val="0"/>
                <w:szCs w:val="21"/>
              </w:rPr>
              <w:t>元</w:t>
            </w:r>
          </w:p>
        </w:tc>
        <w:tc>
          <w:tcPr>
            <w:tcW w:w="1666" w:type="pct"/>
            <w:vAlign w:val="center"/>
          </w:tcPr>
          <w:p w14:paraId="43512B26">
            <w:pPr>
              <w:pStyle w:val="23"/>
              <w:jc w:val="center"/>
              <w:rPr>
                <w:rFonts w:ascii="宋体" w:hAnsi="宋体"/>
                <w:kern w:val="0"/>
                <w:szCs w:val="21"/>
              </w:rPr>
            </w:pPr>
            <w:r>
              <w:rPr>
                <w:rFonts w:ascii="宋体" w:hAnsi="宋体"/>
                <w:kern w:val="0"/>
                <w:szCs w:val="21"/>
              </w:rPr>
              <w:t>41.63</w:t>
            </w:r>
          </w:p>
        </w:tc>
      </w:tr>
      <w:tr w14:paraId="49B8F33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895" w:type="pct"/>
            <w:vAlign w:val="center"/>
          </w:tcPr>
          <w:p w14:paraId="0BB5ED54">
            <w:pPr>
              <w:pStyle w:val="23"/>
              <w:rPr>
                <w:rFonts w:ascii="宋体" w:hAnsi="宋体"/>
                <w:kern w:val="0"/>
                <w:szCs w:val="21"/>
              </w:rPr>
            </w:pPr>
            <w:r>
              <w:rPr>
                <w:rFonts w:ascii="宋体" w:hAnsi="宋体"/>
                <w:kern w:val="0"/>
                <w:szCs w:val="21"/>
              </w:rPr>
              <w:t>（五）交通和通讯</w:t>
            </w:r>
          </w:p>
        </w:tc>
        <w:tc>
          <w:tcPr>
            <w:tcW w:w="1439" w:type="pct"/>
            <w:vAlign w:val="center"/>
          </w:tcPr>
          <w:p w14:paraId="077281DF">
            <w:pPr>
              <w:pStyle w:val="23"/>
              <w:jc w:val="center"/>
              <w:rPr>
                <w:rFonts w:ascii="宋体" w:hAnsi="宋体"/>
                <w:kern w:val="0"/>
                <w:szCs w:val="21"/>
              </w:rPr>
            </w:pPr>
            <w:r>
              <w:rPr>
                <w:rFonts w:ascii="宋体" w:hAnsi="宋体"/>
                <w:kern w:val="0"/>
                <w:szCs w:val="21"/>
              </w:rPr>
              <w:t>元</w:t>
            </w:r>
          </w:p>
        </w:tc>
        <w:tc>
          <w:tcPr>
            <w:tcW w:w="1666" w:type="pct"/>
            <w:vAlign w:val="center"/>
          </w:tcPr>
          <w:p w14:paraId="2416055D">
            <w:pPr>
              <w:pStyle w:val="23"/>
              <w:jc w:val="center"/>
              <w:rPr>
                <w:rFonts w:ascii="宋体" w:hAnsi="宋体"/>
                <w:kern w:val="0"/>
                <w:szCs w:val="21"/>
              </w:rPr>
            </w:pPr>
            <w:r>
              <w:rPr>
                <w:rFonts w:ascii="宋体" w:hAnsi="宋体"/>
                <w:kern w:val="0"/>
                <w:szCs w:val="21"/>
              </w:rPr>
              <w:t>667.69</w:t>
            </w:r>
          </w:p>
        </w:tc>
      </w:tr>
      <w:tr w14:paraId="1041D41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895" w:type="pct"/>
            <w:vAlign w:val="center"/>
          </w:tcPr>
          <w:p w14:paraId="56D148AA">
            <w:pPr>
              <w:pStyle w:val="23"/>
              <w:rPr>
                <w:rFonts w:ascii="宋体" w:hAnsi="宋体"/>
                <w:kern w:val="0"/>
                <w:szCs w:val="21"/>
              </w:rPr>
            </w:pPr>
            <w:r>
              <w:rPr>
                <w:rFonts w:ascii="宋体" w:hAnsi="宋体"/>
                <w:kern w:val="0"/>
                <w:szCs w:val="21"/>
              </w:rPr>
              <w:t>（六）文化教育娱乐消费支出</w:t>
            </w:r>
          </w:p>
        </w:tc>
        <w:tc>
          <w:tcPr>
            <w:tcW w:w="1439" w:type="pct"/>
            <w:vAlign w:val="center"/>
          </w:tcPr>
          <w:p w14:paraId="550E9406">
            <w:pPr>
              <w:pStyle w:val="23"/>
              <w:jc w:val="center"/>
              <w:rPr>
                <w:rFonts w:ascii="宋体" w:hAnsi="宋体"/>
                <w:kern w:val="0"/>
                <w:szCs w:val="21"/>
              </w:rPr>
            </w:pPr>
            <w:r>
              <w:rPr>
                <w:rFonts w:ascii="宋体" w:hAnsi="宋体"/>
                <w:kern w:val="0"/>
                <w:szCs w:val="21"/>
              </w:rPr>
              <w:t>元</w:t>
            </w:r>
          </w:p>
        </w:tc>
        <w:tc>
          <w:tcPr>
            <w:tcW w:w="1666" w:type="pct"/>
            <w:vAlign w:val="center"/>
          </w:tcPr>
          <w:p w14:paraId="4ADE94E5">
            <w:pPr>
              <w:pStyle w:val="23"/>
              <w:jc w:val="center"/>
              <w:rPr>
                <w:rFonts w:ascii="宋体" w:hAnsi="宋体"/>
                <w:kern w:val="0"/>
                <w:szCs w:val="21"/>
              </w:rPr>
            </w:pPr>
            <w:r>
              <w:rPr>
                <w:rFonts w:ascii="宋体" w:hAnsi="宋体"/>
                <w:kern w:val="0"/>
                <w:szCs w:val="21"/>
              </w:rPr>
              <w:t>476.19</w:t>
            </w:r>
          </w:p>
        </w:tc>
      </w:tr>
      <w:tr w14:paraId="0148B82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895" w:type="pct"/>
            <w:vAlign w:val="center"/>
          </w:tcPr>
          <w:p w14:paraId="4BD7BD51">
            <w:pPr>
              <w:pStyle w:val="23"/>
              <w:ind w:firstLine="420" w:firstLineChars="200"/>
              <w:rPr>
                <w:rFonts w:ascii="宋体" w:hAnsi="宋体"/>
                <w:kern w:val="0"/>
                <w:szCs w:val="21"/>
              </w:rPr>
            </w:pPr>
            <w:r>
              <w:rPr>
                <w:rFonts w:ascii="宋体" w:hAnsi="宋体"/>
                <w:kern w:val="0"/>
                <w:szCs w:val="21"/>
              </w:rPr>
              <w:t>（1）文化教育娱乐用品消费支出</w:t>
            </w:r>
          </w:p>
        </w:tc>
        <w:tc>
          <w:tcPr>
            <w:tcW w:w="1439" w:type="pct"/>
            <w:vAlign w:val="center"/>
          </w:tcPr>
          <w:p w14:paraId="5DE2C411">
            <w:pPr>
              <w:pStyle w:val="23"/>
              <w:jc w:val="center"/>
              <w:rPr>
                <w:rFonts w:ascii="宋体" w:hAnsi="宋体"/>
                <w:kern w:val="0"/>
                <w:szCs w:val="21"/>
              </w:rPr>
            </w:pPr>
            <w:r>
              <w:rPr>
                <w:rFonts w:ascii="宋体" w:hAnsi="宋体"/>
                <w:kern w:val="0"/>
                <w:szCs w:val="21"/>
              </w:rPr>
              <w:t>元</w:t>
            </w:r>
          </w:p>
        </w:tc>
        <w:tc>
          <w:tcPr>
            <w:tcW w:w="1666" w:type="pct"/>
            <w:vAlign w:val="center"/>
          </w:tcPr>
          <w:p w14:paraId="4A33E4F8">
            <w:pPr>
              <w:pStyle w:val="23"/>
              <w:jc w:val="center"/>
              <w:rPr>
                <w:rFonts w:ascii="宋体" w:hAnsi="宋体"/>
                <w:kern w:val="0"/>
                <w:szCs w:val="21"/>
              </w:rPr>
            </w:pPr>
            <w:r>
              <w:rPr>
                <w:rFonts w:ascii="宋体" w:hAnsi="宋体"/>
                <w:kern w:val="0"/>
                <w:szCs w:val="21"/>
              </w:rPr>
              <w:t>136.39</w:t>
            </w:r>
          </w:p>
        </w:tc>
      </w:tr>
      <w:tr w14:paraId="6E83B79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895" w:type="pct"/>
            <w:vAlign w:val="center"/>
          </w:tcPr>
          <w:p w14:paraId="338D4201">
            <w:pPr>
              <w:pStyle w:val="23"/>
              <w:ind w:firstLine="420" w:firstLineChars="200"/>
              <w:rPr>
                <w:rFonts w:ascii="宋体" w:hAnsi="宋体"/>
                <w:kern w:val="0"/>
                <w:szCs w:val="21"/>
              </w:rPr>
            </w:pPr>
            <w:r>
              <w:rPr>
                <w:rFonts w:ascii="宋体" w:hAnsi="宋体"/>
                <w:kern w:val="0"/>
                <w:szCs w:val="21"/>
              </w:rPr>
              <w:t>（2）教育服务消费支出</w:t>
            </w:r>
          </w:p>
        </w:tc>
        <w:tc>
          <w:tcPr>
            <w:tcW w:w="1439" w:type="pct"/>
            <w:vAlign w:val="center"/>
          </w:tcPr>
          <w:p w14:paraId="1080908C">
            <w:pPr>
              <w:pStyle w:val="23"/>
              <w:jc w:val="center"/>
              <w:rPr>
                <w:rFonts w:ascii="宋体" w:hAnsi="宋体"/>
                <w:kern w:val="0"/>
                <w:szCs w:val="21"/>
              </w:rPr>
            </w:pPr>
            <w:r>
              <w:rPr>
                <w:rFonts w:ascii="宋体" w:hAnsi="宋体"/>
                <w:kern w:val="0"/>
                <w:szCs w:val="21"/>
              </w:rPr>
              <w:t>元</w:t>
            </w:r>
          </w:p>
        </w:tc>
        <w:tc>
          <w:tcPr>
            <w:tcW w:w="1666" w:type="pct"/>
            <w:vAlign w:val="center"/>
          </w:tcPr>
          <w:p w14:paraId="03A0F9D7">
            <w:pPr>
              <w:pStyle w:val="23"/>
              <w:jc w:val="center"/>
              <w:rPr>
                <w:rFonts w:ascii="宋体" w:hAnsi="宋体"/>
                <w:kern w:val="0"/>
                <w:szCs w:val="21"/>
              </w:rPr>
            </w:pPr>
            <w:r>
              <w:rPr>
                <w:rFonts w:ascii="宋体" w:hAnsi="宋体"/>
                <w:kern w:val="0"/>
                <w:szCs w:val="21"/>
              </w:rPr>
              <w:t>229.94</w:t>
            </w:r>
          </w:p>
        </w:tc>
      </w:tr>
      <w:tr w14:paraId="2DB27E2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895" w:type="pct"/>
            <w:vAlign w:val="center"/>
          </w:tcPr>
          <w:p w14:paraId="6A0AFC83">
            <w:pPr>
              <w:pStyle w:val="23"/>
              <w:rPr>
                <w:rFonts w:ascii="宋体" w:hAnsi="宋体"/>
                <w:kern w:val="0"/>
                <w:szCs w:val="21"/>
              </w:rPr>
            </w:pPr>
            <w:r>
              <w:rPr>
                <w:rFonts w:ascii="宋体" w:hAnsi="宋体"/>
                <w:kern w:val="0"/>
                <w:szCs w:val="21"/>
              </w:rPr>
              <w:t>其中：（1）学杂费</w:t>
            </w:r>
          </w:p>
        </w:tc>
        <w:tc>
          <w:tcPr>
            <w:tcW w:w="1439" w:type="pct"/>
            <w:vAlign w:val="center"/>
          </w:tcPr>
          <w:p w14:paraId="37F1BE73">
            <w:pPr>
              <w:pStyle w:val="23"/>
              <w:jc w:val="center"/>
              <w:rPr>
                <w:rFonts w:ascii="宋体" w:hAnsi="宋体"/>
                <w:kern w:val="0"/>
                <w:szCs w:val="21"/>
              </w:rPr>
            </w:pPr>
            <w:r>
              <w:rPr>
                <w:rFonts w:ascii="宋体" w:hAnsi="宋体"/>
                <w:kern w:val="0"/>
                <w:szCs w:val="21"/>
              </w:rPr>
              <w:t>元</w:t>
            </w:r>
          </w:p>
        </w:tc>
        <w:tc>
          <w:tcPr>
            <w:tcW w:w="1666" w:type="pct"/>
            <w:vAlign w:val="center"/>
          </w:tcPr>
          <w:p w14:paraId="2F198293">
            <w:pPr>
              <w:pStyle w:val="23"/>
              <w:jc w:val="center"/>
              <w:rPr>
                <w:rFonts w:ascii="宋体" w:hAnsi="宋体"/>
                <w:kern w:val="0"/>
                <w:szCs w:val="21"/>
              </w:rPr>
            </w:pPr>
            <w:r>
              <w:rPr>
                <w:rFonts w:ascii="宋体" w:hAnsi="宋体"/>
                <w:kern w:val="0"/>
                <w:szCs w:val="21"/>
              </w:rPr>
              <w:t>140.97</w:t>
            </w:r>
          </w:p>
        </w:tc>
      </w:tr>
      <w:tr w14:paraId="26845FE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895" w:type="pct"/>
            <w:vAlign w:val="center"/>
          </w:tcPr>
          <w:p w14:paraId="56467D16">
            <w:pPr>
              <w:pStyle w:val="23"/>
              <w:ind w:firstLine="630" w:firstLineChars="300"/>
              <w:rPr>
                <w:rFonts w:ascii="宋体" w:hAnsi="宋体"/>
                <w:kern w:val="0"/>
                <w:szCs w:val="21"/>
              </w:rPr>
            </w:pPr>
            <w:r>
              <w:rPr>
                <w:rFonts w:ascii="宋体" w:hAnsi="宋体"/>
                <w:kern w:val="0"/>
                <w:szCs w:val="21"/>
              </w:rPr>
              <w:t>（2）成人培训费</w:t>
            </w:r>
          </w:p>
        </w:tc>
        <w:tc>
          <w:tcPr>
            <w:tcW w:w="1439" w:type="pct"/>
            <w:vAlign w:val="center"/>
          </w:tcPr>
          <w:p w14:paraId="3767CFB4">
            <w:pPr>
              <w:pStyle w:val="23"/>
              <w:jc w:val="center"/>
              <w:rPr>
                <w:rFonts w:ascii="宋体" w:hAnsi="宋体"/>
                <w:kern w:val="0"/>
                <w:szCs w:val="21"/>
              </w:rPr>
            </w:pPr>
            <w:r>
              <w:rPr>
                <w:rFonts w:ascii="宋体" w:hAnsi="宋体"/>
                <w:kern w:val="0"/>
                <w:szCs w:val="21"/>
              </w:rPr>
              <w:t>元</w:t>
            </w:r>
          </w:p>
        </w:tc>
        <w:tc>
          <w:tcPr>
            <w:tcW w:w="1666" w:type="pct"/>
            <w:vAlign w:val="center"/>
          </w:tcPr>
          <w:p w14:paraId="77963586">
            <w:pPr>
              <w:pStyle w:val="23"/>
              <w:jc w:val="center"/>
              <w:rPr>
                <w:rFonts w:ascii="宋体" w:hAnsi="宋体"/>
                <w:kern w:val="0"/>
                <w:szCs w:val="21"/>
              </w:rPr>
            </w:pPr>
            <w:r>
              <w:rPr>
                <w:rFonts w:ascii="宋体" w:hAnsi="宋体"/>
                <w:kern w:val="0"/>
                <w:szCs w:val="21"/>
              </w:rPr>
              <w:t>10.54</w:t>
            </w:r>
          </w:p>
        </w:tc>
      </w:tr>
      <w:tr w14:paraId="596BAC6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895" w:type="pct"/>
            <w:vAlign w:val="center"/>
          </w:tcPr>
          <w:p w14:paraId="49552F62">
            <w:pPr>
              <w:pStyle w:val="23"/>
              <w:rPr>
                <w:rFonts w:ascii="宋体" w:hAnsi="宋体"/>
                <w:kern w:val="0"/>
                <w:szCs w:val="21"/>
              </w:rPr>
            </w:pPr>
            <w:r>
              <w:rPr>
                <w:rFonts w:ascii="宋体" w:hAnsi="宋体"/>
                <w:kern w:val="0"/>
                <w:szCs w:val="21"/>
              </w:rPr>
              <w:t>（七）医疗保健</w:t>
            </w:r>
          </w:p>
        </w:tc>
        <w:tc>
          <w:tcPr>
            <w:tcW w:w="1439" w:type="pct"/>
            <w:vAlign w:val="center"/>
          </w:tcPr>
          <w:p w14:paraId="6CD4094F">
            <w:pPr>
              <w:pStyle w:val="23"/>
              <w:jc w:val="center"/>
              <w:rPr>
                <w:rFonts w:ascii="宋体" w:hAnsi="宋体"/>
                <w:kern w:val="0"/>
                <w:szCs w:val="21"/>
              </w:rPr>
            </w:pPr>
            <w:r>
              <w:rPr>
                <w:rFonts w:ascii="宋体" w:hAnsi="宋体"/>
                <w:kern w:val="0"/>
                <w:szCs w:val="21"/>
              </w:rPr>
              <w:t>元</w:t>
            </w:r>
          </w:p>
        </w:tc>
        <w:tc>
          <w:tcPr>
            <w:tcW w:w="1666" w:type="pct"/>
            <w:vAlign w:val="center"/>
          </w:tcPr>
          <w:p w14:paraId="21A7DB80">
            <w:pPr>
              <w:pStyle w:val="23"/>
              <w:jc w:val="center"/>
              <w:rPr>
                <w:rFonts w:ascii="宋体" w:hAnsi="宋体"/>
                <w:kern w:val="0"/>
                <w:szCs w:val="21"/>
              </w:rPr>
            </w:pPr>
            <w:r>
              <w:rPr>
                <w:rFonts w:ascii="宋体" w:hAnsi="宋体"/>
                <w:kern w:val="0"/>
                <w:szCs w:val="21"/>
              </w:rPr>
              <w:t>297.71</w:t>
            </w:r>
          </w:p>
        </w:tc>
      </w:tr>
      <w:tr w14:paraId="04E54AC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895" w:type="pct"/>
            <w:vAlign w:val="center"/>
          </w:tcPr>
          <w:p w14:paraId="3E6AE9DE">
            <w:pPr>
              <w:pStyle w:val="23"/>
              <w:rPr>
                <w:rFonts w:ascii="宋体" w:hAnsi="宋体"/>
                <w:kern w:val="0"/>
                <w:szCs w:val="21"/>
              </w:rPr>
            </w:pPr>
            <w:r>
              <w:rPr>
                <w:rFonts w:ascii="宋体" w:hAnsi="宋体"/>
                <w:kern w:val="0"/>
                <w:szCs w:val="21"/>
              </w:rPr>
              <w:t>（八）其它商品和服务</w:t>
            </w:r>
          </w:p>
        </w:tc>
        <w:tc>
          <w:tcPr>
            <w:tcW w:w="1439" w:type="pct"/>
            <w:vAlign w:val="center"/>
          </w:tcPr>
          <w:p w14:paraId="30D00C50">
            <w:pPr>
              <w:pStyle w:val="23"/>
              <w:jc w:val="center"/>
              <w:rPr>
                <w:rFonts w:ascii="宋体" w:hAnsi="宋体"/>
                <w:kern w:val="0"/>
                <w:szCs w:val="21"/>
              </w:rPr>
            </w:pPr>
            <w:r>
              <w:rPr>
                <w:rFonts w:ascii="宋体" w:hAnsi="宋体"/>
                <w:kern w:val="0"/>
                <w:szCs w:val="21"/>
              </w:rPr>
              <w:t>元</w:t>
            </w:r>
          </w:p>
        </w:tc>
        <w:tc>
          <w:tcPr>
            <w:tcW w:w="1666" w:type="pct"/>
            <w:vAlign w:val="center"/>
          </w:tcPr>
          <w:p w14:paraId="66B2BD59">
            <w:pPr>
              <w:pStyle w:val="23"/>
              <w:jc w:val="center"/>
              <w:rPr>
                <w:rFonts w:ascii="宋体" w:hAnsi="宋体"/>
                <w:kern w:val="0"/>
                <w:szCs w:val="21"/>
              </w:rPr>
            </w:pPr>
            <w:r>
              <w:rPr>
                <w:rFonts w:ascii="宋体" w:hAnsi="宋体"/>
                <w:kern w:val="0"/>
                <w:szCs w:val="21"/>
              </w:rPr>
              <w:t>122.03</w:t>
            </w:r>
          </w:p>
        </w:tc>
      </w:tr>
    </w:tbl>
    <w:p w14:paraId="3D6FBF34">
      <w:pPr>
        <w:ind w:firstLine="0" w:firstLineChars="0"/>
        <w:jc w:val="center"/>
        <w:rPr>
          <w:b/>
        </w:rPr>
      </w:pPr>
      <w:r>
        <w:rPr>
          <w:rFonts w:hint="eastAsia"/>
          <w:b/>
        </w:rPr>
        <w:t>表61 农村住户调查每百户家庭年末商品拥有量</w:t>
      </w:r>
    </w:p>
    <w:tbl>
      <w:tblPr>
        <w:tblStyle w:val="14"/>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30" w:type="dxa"/>
          <w:bottom w:w="0" w:type="dxa"/>
          <w:right w:w="30" w:type="dxa"/>
        </w:tblCellMar>
      </w:tblPr>
      <w:tblGrid>
        <w:gridCol w:w="3267"/>
        <w:gridCol w:w="3271"/>
        <w:gridCol w:w="3268"/>
      </w:tblGrid>
      <w:tr w14:paraId="45BD40E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666" w:type="pct"/>
            <w:vAlign w:val="center"/>
          </w:tcPr>
          <w:p w14:paraId="3A72B043">
            <w:pPr>
              <w:pStyle w:val="23"/>
              <w:jc w:val="center"/>
              <w:rPr>
                <w:b/>
                <w:kern w:val="0"/>
              </w:rPr>
            </w:pPr>
            <w:r>
              <w:rPr>
                <w:b/>
                <w:kern w:val="0"/>
              </w:rPr>
              <w:t>指标名称</w:t>
            </w:r>
          </w:p>
        </w:tc>
        <w:tc>
          <w:tcPr>
            <w:tcW w:w="1668" w:type="pct"/>
            <w:vAlign w:val="center"/>
          </w:tcPr>
          <w:p w14:paraId="1F972138">
            <w:pPr>
              <w:pStyle w:val="23"/>
              <w:jc w:val="center"/>
              <w:rPr>
                <w:b/>
                <w:kern w:val="0"/>
              </w:rPr>
            </w:pPr>
            <w:r>
              <w:rPr>
                <w:b/>
                <w:kern w:val="0"/>
              </w:rPr>
              <w:t>计算单位</w:t>
            </w:r>
          </w:p>
        </w:tc>
        <w:tc>
          <w:tcPr>
            <w:tcW w:w="1666" w:type="pct"/>
            <w:vAlign w:val="center"/>
          </w:tcPr>
          <w:p w14:paraId="25F30D3E">
            <w:pPr>
              <w:pStyle w:val="23"/>
              <w:jc w:val="center"/>
              <w:rPr>
                <w:b/>
                <w:kern w:val="0"/>
              </w:rPr>
            </w:pPr>
            <w:r>
              <w:rPr>
                <w:b/>
                <w:kern w:val="0"/>
              </w:rPr>
              <w:t>2011年</w:t>
            </w:r>
          </w:p>
        </w:tc>
      </w:tr>
      <w:tr w14:paraId="7C14810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666" w:type="pct"/>
            <w:vAlign w:val="center"/>
          </w:tcPr>
          <w:p w14:paraId="0393E018">
            <w:pPr>
              <w:pStyle w:val="23"/>
              <w:rPr>
                <w:rFonts w:ascii="宋体" w:hAnsi="宋体"/>
                <w:kern w:val="0"/>
              </w:rPr>
            </w:pPr>
            <w:r>
              <w:rPr>
                <w:rFonts w:ascii="宋体" w:hAnsi="宋体"/>
                <w:kern w:val="0"/>
              </w:rPr>
              <w:t>洗衣机</w:t>
            </w:r>
          </w:p>
        </w:tc>
        <w:tc>
          <w:tcPr>
            <w:tcW w:w="1668" w:type="pct"/>
            <w:vAlign w:val="center"/>
          </w:tcPr>
          <w:p w14:paraId="2455C481">
            <w:pPr>
              <w:pStyle w:val="23"/>
              <w:jc w:val="center"/>
              <w:rPr>
                <w:rFonts w:ascii="宋体" w:hAnsi="宋体"/>
                <w:kern w:val="0"/>
              </w:rPr>
            </w:pPr>
            <w:r>
              <w:rPr>
                <w:rFonts w:ascii="宋体" w:hAnsi="宋体"/>
                <w:kern w:val="0"/>
              </w:rPr>
              <w:t>台</w:t>
            </w:r>
          </w:p>
        </w:tc>
        <w:tc>
          <w:tcPr>
            <w:tcW w:w="1666" w:type="pct"/>
            <w:vAlign w:val="center"/>
          </w:tcPr>
          <w:p w14:paraId="0598E0E2">
            <w:pPr>
              <w:pStyle w:val="23"/>
              <w:jc w:val="center"/>
              <w:rPr>
                <w:rFonts w:ascii="宋体" w:hAnsi="宋体"/>
                <w:kern w:val="0"/>
              </w:rPr>
            </w:pPr>
            <w:r>
              <w:rPr>
                <w:rFonts w:ascii="宋体" w:hAnsi="宋体"/>
                <w:kern w:val="0"/>
              </w:rPr>
              <w:t>24.00</w:t>
            </w:r>
          </w:p>
        </w:tc>
      </w:tr>
      <w:tr w14:paraId="3ACBEAC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666" w:type="pct"/>
            <w:vAlign w:val="center"/>
          </w:tcPr>
          <w:p w14:paraId="3D3012F7">
            <w:pPr>
              <w:pStyle w:val="23"/>
              <w:rPr>
                <w:rFonts w:ascii="宋体" w:hAnsi="宋体"/>
                <w:kern w:val="0"/>
              </w:rPr>
            </w:pPr>
            <w:r>
              <w:rPr>
                <w:rFonts w:ascii="宋体" w:hAnsi="宋体"/>
                <w:kern w:val="0"/>
              </w:rPr>
              <w:t>电冰箱</w:t>
            </w:r>
          </w:p>
        </w:tc>
        <w:tc>
          <w:tcPr>
            <w:tcW w:w="1668" w:type="pct"/>
            <w:vAlign w:val="center"/>
          </w:tcPr>
          <w:p w14:paraId="085F96B0">
            <w:pPr>
              <w:pStyle w:val="23"/>
              <w:jc w:val="center"/>
              <w:rPr>
                <w:rFonts w:ascii="宋体" w:hAnsi="宋体"/>
                <w:kern w:val="0"/>
              </w:rPr>
            </w:pPr>
            <w:r>
              <w:rPr>
                <w:rFonts w:ascii="宋体" w:hAnsi="宋体"/>
                <w:kern w:val="0"/>
              </w:rPr>
              <w:t>台</w:t>
            </w:r>
          </w:p>
        </w:tc>
        <w:tc>
          <w:tcPr>
            <w:tcW w:w="1666" w:type="pct"/>
            <w:vAlign w:val="center"/>
          </w:tcPr>
          <w:p w14:paraId="0AEA7325">
            <w:pPr>
              <w:pStyle w:val="23"/>
              <w:jc w:val="center"/>
              <w:rPr>
                <w:rFonts w:ascii="宋体" w:hAnsi="宋体"/>
                <w:kern w:val="0"/>
              </w:rPr>
            </w:pPr>
            <w:r>
              <w:rPr>
                <w:rFonts w:ascii="宋体" w:hAnsi="宋体"/>
                <w:kern w:val="0"/>
              </w:rPr>
              <w:t>77.00</w:t>
            </w:r>
          </w:p>
        </w:tc>
      </w:tr>
      <w:tr w14:paraId="48B1290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666" w:type="pct"/>
            <w:vAlign w:val="center"/>
          </w:tcPr>
          <w:p w14:paraId="01E66CB3">
            <w:pPr>
              <w:pStyle w:val="23"/>
              <w:rPr>
                <w:rFonts w:ascii="宋体" w:hAnsi="宋体"/>
                <w:kern w:val="0"/>
              </w:rPr>
            </w:pPr>
            <w:r>
              <w:rPr>
                <w:rFonts w:ascii="宋体" w:hAnsi="宋体"/>
                <w:kern w:val="0"/>
              </w:rPr>
              <w:t>空调</w:t>
            </w:r>
          </w:p>
        </w:tc>
        <w:tc>
          <w:tcPr>
            <w:tcW w:w="1668" w:type="pct"/>
            <w:vAlign w:val="center"/>
          </w:tcPr>
          <w:p w14:paraId="2BA149F7">
            <w:pPr>
              <w:pStyle w:val="23"/>
              <w:jc w:val="center"/>
              <w:rPr>
                <w:rFonts w:ascii="宋体" w:hAnsi="宋体"/>
                <w:kern w:val="0"/>
              </w:rPr>
            </w:pPr>
            <w:r>
              <w:rPr>
                <w:rFonts w:ascii="宋体" w:hAnsi="宋体"/>
                <w:kern w:val="0"/>
              </w:rPr>
              <w:t>台</w:t>
            </w:r>
          </w:p>
        </w:tc>
        <w:tc>
          <w:tcPr>
            <w:tcW w:w="1666" w:type="pct"/>
            <w:vAlign w:val="center"/>
          </w:tcPr>
          <w:p w14:paraId="730E971B">
            <w:pPr>
              <w:pStyle w:val="23"/>
              <w:jc w:val="center"/>
              <w:rPr>
                <w:rFonts w:ascii="宋体" w:hAnsi="宋体"/>
                <w:kern w:val="0"/>
              </w:rPr>
            </w:pPr>
            <w:r>
              <w:rPr>
                <w:rFonts w:ascii="宋体" w:hAnsi="宋体"/>
                <w:kern w:val="0"/>
              </w:rPr>
              <w:t>9.00</w:t>
            </w:r>
          </w:p>
        </w:tc>
      </w:tr>
      <w:tr w14:paraId="5949E98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666" w:type="pct"/>
            <w:vAlign w:val="center"/>
          </w:tcPr>
          <w:p w14:paraId="01D23E41">
            <w:pPr>
              <w:pStyle w:val="23"/>
              <w:rPr>
                <w:rFonts w:ascii="宋体" w:hAnsi="宋体"/>
                <w:kern w:val="0"/>
              </w:rPr>
            </w:pPr>
            <w:r>
              <w:rPr>
                <w:rFonts w:ascii="宋体" w:hAnsi="宋体"/>
                <w:kern w:val="0"/>
              </w:rPr>
              <w:t>热水器</w:t>
            </w:r>
          </w:p>
        </w:tc>
        <w:tc>
          <w:tcPr>
            <w:tcW w:w="1668" w:type="pct"/>
            <w:vAlign w:val="center"/>
          </w:tcPr>
          <w:p w14:paraId="3E1B072E">
            <w:pPr>
              <w:pStyle w:val="23"/>
              <w:jc w:val="center"/>
              <w:rPr>
                <w:rFonts w:ascii="宋体" w:hAnsi="宋体"/>
                <w:kern w:val="0"/>
              </w:rPr>
            </w:pPr>
            <w:r>
              <w:rPr>
                <w:rFonts w:ascii="宋体" w:hAnsi="宋体"/>
                <w:kern w:val="0"/>
              </w:rPr>
              <w:t>台</w:t>
            </w:r>
          </w:p>
        </w:tc>
        <w:tc>
          <w:tcPr>
            <w:tcW w:w="1666" w:type="pct"/>
            <w:vAlign w:val="center"/>
          </w:tcPr>
          <w:p w14:paraId="77A58B57">
            <w:pPr>
              <w:pStyle w:val="23"/>
              <w:jc w:val="center"/>
              <w:rPr>
                <w:rFonts w:ascii="宋体" w:hAnsi="宋体"/>
                <w:kern w:val="0"/>
              </w:rPr>
            </w:pPr>
            <w:r>
              <w:rPr>
                <w:rFonts w:ascii="宋体" w:hAnsi="宋体"/>
                <w:kern w:val="0"/>
              </w:rPr>
              <w:t>28.00</w:t>
            </w:r>
          </w:p>
        </w:tc>
      </w:tr>
      <w:tr w14:paraId="6EA05FD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666" w:type="pct"/>
            <w:vAlign w:val="center"/>
          </w:tcPr>
          <w:p w14:paraId="2EB38436">
            <w:pPr>
              <w:pStyle w:val="23"/>
              <w:rPr>
                <w:rFonts w:ascii="宋体" w:hAnsi="宋体"/>
                <w:kern w:val="0"/>
              </w:rPr>
            </w:pPr>
            <w:r>
              <w:rPr>
                <w:rFonts w:ascii="宋体" w:hAnsi="宋体"/>
                <w:kern w:val="0"/>
              </w:rPr>
              <w:t>自行车</w:t>
            </w:r>
          </w:p>
        </w:tc>
        <w:tc>
          <w:tcPr>
            <w:tcW w:w="1668" w:type="pct"/>
            <w:vAlign w:val="center"/>
          </w:tcPr>
          <w:p w14:paraId="2861E862">
            <w:pPr>
              <w:pStyle w:val="23"/>
              <w:jc w:val="center"/>
              <w:rPr>
                <w:rFonts w:ascii="宋体" w:hAnsi="宋体"/>
                <w:kern w:val="0"/>
              </w:rPr>
            </w:pPr>
            <w:r>
              <w:rPr>
                <w:rFonts w:ascii="宋体" w:hAnsi="宋体"/>
                <w:kern w:val="0"/>
              </w:rPr>
              <w:t>辆</w:t>
            </w:r>
          </w:p>
        </w:tc>
        <w:tc>
          <w:tcPr>
            <w:tcW w:w="1666" w:type="pct"/>
            <w:vAlign w:val="center"/>
          </w:tcPr>
          <w:p w14:paraId="77AFD034">
            <w:pPr>
              <w:pStyle w:val="23"/>
              <w:jc w:val="center"/>
              <w:rPr>
                <w:rFonts w:ascii="宋体" w:hAnsi="宋体"/>
                <w:kern w:val="0"/>
              </w:rPr>
            </w:pPr>
            <w:r>
              <w:rPr>
                <w:rFonts w:ascii="宋体" w:hAnsi="宋体"/>
                <w:kern w:val="0"/>
              </w:rPr>
              <w:t>80.00</w:t>
            </w:r>
          </w:p>
        </w:tc>
      </w:tr>
      <w:tr w14:paraId="4556C4B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666" w:type="pct"/>
            <w:vAlign w:val="center"/>
          </w:tcPr>
          <w:p w14:paraId="6F405B97">
            <w:pPr>
              <w:pStyle w:val="23"/>
              <w:rPr>
                <w:rFonts w:ascii="宋体" w:hAnsi="宋体"/>
                <w:kern w:val="0"/>
              </w:rPr>
            </w:pPr>
            <w:r>
              <w:rPr>
                <w:rFonts w:ascii="宋体" w:hAnsi="宋体"/>
                <w:kern w:val="0"/>
              </w:rPr>
              <w:t>摩托车</w:t>
            </w:r>
          </w:p>
        </w:tc>
        <w:tc>
          <w:tcPr>
            <w:tcW w:w="1668" w:type="pct"/>
            <w:vAlign w:val="center"/>
          </w:tcPr>
          <w:p w14:paraId="4D32DB2D">
            <w:pPr>
              <w:pStyle w:val="23"/>
              <w:jc w:val="center"/>
              <w:rPr>
                <w:rFonts w:ascii="宋体" w:hAnsi="宋体"/>
                <w:kern w:val="0"/>
              </w:rPr>
            </w:pPr>
            <w:r>
              <w:rPr>
                <w:rFonts w:ascii="宋体" w:hAnsi="宋体"/>
                <w:kern w:val="0"/>
              </w:rPr>
              <w:t>辆</w:t>
            </w:r>
          </w:p>
        </w:tc>
        <w:tc>
          <w:tcPr>
            <w:tcW w:w="1666" w:type="pct"/>
            <w:vAlign w:val="center"/>
          </w:tcPr>
          <w:p w14:paraId="527290CD">
            <w:pPr>
              <w:pStyle w:val="23"/>
              <w:jc w:val="center"/>
              <w:rPr>
                <w:rFonts w:ascii="宋体" w:hAnsi="宋体"/>
                <w:kern w:val="0"/>
              </w:rPr>
            </w:pPr>
            <w:r>
              <w:rPr>
                <w:rFonts w:ascii="宋体" w:hAnsi="宋体"/>
                <w:kern w:val="0"/>
              </w:rPr>
              <w:t>87.00</w:t>
            </w:r>
          </w:p>
        </w:tc>
      </w:tr>
      <w:tr w14:paraId="7CA2BC2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666" w:type="pct"/>
            <w:vAlign w:val="center"/>
          </w:tcPr>
          <w:p w14:paraId="0A5C5A34">
            <w:pPr>
              <w:pStyle w:val="23"/>
              <w:rPr>
                <w:rFonts w:ascii="宋体" w:hAnsi="宋体"/>
                <w:kern w:val="0"/>
              </w:rPr>
            </w:pPr>
            <w:r>
              <w:rPr>
                <w:rFonts w:ascii="宋体" w:hAnsi="宋体"/>
                <w:kern w:val="0"/>
              </w:rPr>
              <w:t>电话</w:t>
            </w:r>
          </w:p>
        </w:tc>
        <w:tc>
          <w:tcPr>
            <w:tcW w:w="1668" w:type="pct"/>
            <w:vAlign w:val="center"/>
          </w:tcPr>
          <w:p w14:paraId="7F5F5D69">
            <w:pPr>
              <w:pStyle w:val="23"/>
              <w:jc w:val="center"/>
              <w:rPr>
                <w:rFonts w:ascii="宋体" w:hAnsi="宋体"/>
                <w:kern w:val="0"/>
              </w:rPr>
            </w:pPr>
            <w:r>
              <w:rPr>
                <w:rFonts w:ascii="宋体" w:hAnsi="宋体"/>
                <w:kern w:val="0"/>
              </w:rPr>
              <w:t>部</w:t>
            </w:r>
          </w:p>
        </w:tc>
        <w:tc>
          <w:tcPr>
            <w:tcW w:w="1666" w:type="pct"/>
            <w:vAlign w:val="center"/>
          </w:tcPr>
          <w:p w14:paraId="0420C26B">
            <w:pPr>
              <w:pStyle w:val="23"/>
              <w:jc w:val="center"/>
              <w:rPr>
                <w:rFonts w:ascii="宋体" w:hAnsi="宋体"/>
                <w:kern w:val="0"/>
              </w:rPr>
            </w:pPr>
            <w:r>
              <w:rPr>
                <w:rFonts w:ascii="宋体" w:hAnsi="宋体"/>
                <w:kern w:val="0"/>
              </w:rPr>
              <w:t>60.00</w:t>
            </w:r>
          </w:p>
        </w:tc>
      </w:tr>
      <w:tr w14:paraId="17C668B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666" w:type="pct"/>
            <w:vAlign w:val="center"/>
          </w:tcPr>
          <w:p w14:paraId="0CFA23A6">
            <w:pPr>
              <w:pStyle w:val="23"/>
              <w:rPr>
                <w:rFonts w:ascii="宋体" w:hAnsi="宋体"/>
                <w:kern w:val="0"/>
              </w:rPr>
            </w:pPr>
            <w:r>
              <w:rPr>
                <w:rFonts w:ascii="宋体" w:hAnsi="宋体"/>
                <w:kern w:val="0"/>
              </w:rPr>
              <w:t>彩色电视机</w:t>
            </w:r>
          </w:p>
        </w:tc>
        <w:tc>
          <w:tcPr>
            <w:tcW w:w="1668" w:type="pct"/>
            <w:vAlign w:val="center"/>
          </w:tcPr>
          <w:p w14:paraId="5ED48EBB">
            <w:pPr>
              <w:pStyle w:val="23"/>
              <w:jc w:val="center"/>
              <w:rPr>
                <w:rFonts w:ascii="宋体" w:hAnsi="宋体"/>
                <w:kern w:val="0"/>
              </w:rPr>
            </w:pPr>
            <w:r>
              <w:rPr>
                <w:rFonts w:ascii="宋体" w:hAnsi="宋体"/>
                <w:kern w:val="0"/>
              </w:rPr>
              <w:t>台</w:t>
            </w:r>
          </w:p>
        </w:tc>
        <w:tc>
          <w:tcPr>
            <w:tcW w:w="1666" w:type="pct"/>
            <w:vAlign w:val="center"/>
          </w:tcPr>
          <w:p w14:paraId="5A60A1C1">
            <w:pPr>
              <w:pStyle w:val="23"/>
              <w:jc w:val="center"/>
              <w:rPr>
                <w:rFonts w:ascii="宋体" w:hAnsi="宋体"/>
                <w:kern w:val="0"/>
              </w:rPr>
            </w:pPr>
            <w:r>
              <w:rPr>
                <w:rFonts w:ascii="宋体" w:hAnsi="宋体"/>
                <w:kern w:val="0"/>
              </w:rPr>
              <w:t>124.00</w:t>
            </w:r>
          </w:p>
        </w:tc>
      </w:tr>
      <w:tr w14:paraId="75B9088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666" w:type="pct"/>
            <w:vAlign w:val="center"/>
          </w:tcPr>
          <w:p w14:paraId="2BA3F169">
            <w:pPr>
              <w:pStyle w:val="23"/>
              <w:rPr>
                <w:rFonts w:ascii="宋体" w:hAnsi="宋体"/>
                <w:kern w:val="0"/>
              </w:rPr>
            </w:pPr>
            <w:r>
              <w:rPr>
                <w:rFonts w:ascii="宋体" w:hAnsi="宋体"/>
                <w:kern w:val="0"/>
              </w:rPr>
              <w:t>影碟机</w:t>
            </w:r>
          </w:p>
        </w:tc>
        <w:tc>
          <w:tcPr>
            <w:tcW w:w="1668" w:type="pct"/>
            <w:vAlign w:val="center"/>
          </w:tcPr>
          <w:p w14:paraId="0A08544E">
            <w:pPr>
              <w:pStyle w:val="23"/>
              <w:jc w:val="center"/>
              <w:rPr>
                <w:rFonts w:ascii="宋体" w:hAnsi="宋体"/>
                <w:kern w:val="0"/>
              </w:rPr>
            </w:pPr>
            <w:r>
              <w:rPr>
                <w:rFonts w:ascii="宋体" w:hAnsi="宋体"/>
                <w:kern w:val="0"/>
              </w:rPr>
              <w:t>台</w:t>
            </w:r>
          </w:p>
        </w:tc>
        <w:tc>
          <w:tcPr>
            <w:tcW w:w="1666" w:type="pct"/>
            <w:vAlign w:val="center"/>
          </w:tcPr>
          <w:p w14:paraId="4F99B469">
            <w:pPr>
              <w:pStyle w:val="23"/>
              <w:jc w:val="center"/>
              <w:rPr>
                <w:rFonts w:ascii="宋体" w:hAnsi="宋体"/>
                <w:kern w:val="0"/>
              </w:rPr>
            </w:pPr>
            <w:r>
              <w:rPr>
                <w:rFonts w:ascii="宋体" w:hAnsi="宋体"/>
                <w:kern w:val="0"/>
              </w:rPr>
              <w:t>61.00</w:t>
            </w:r>
          </w:p>
        </w:tc>
      </w:tr>
      <w:tr w14:paraId="1546525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666" w:type="pct"/>
            <w:vAlign w:val="center"/>
          </w:tcPr>
          <w:p w14:paraId="17EB4307">
            <w:pPr>
              <w:pStyle w:val="23"/>
              <w:rPr>
                <w:rFonts w:ascii="宋体" w:hAnsi="宋体"/>
                <w:kern w:val="0"/>
              </w:rPr>
            </w:pPr>
            <w:r>
              <w:rPr>
                <w:rFonts w:ascii="宋体" w:hAnsi="宋体"/>
                <w:kern w:val="0"/>
              </w:rPr>
              <w:t>家用计算机</w:t>
            </w:r>
          </w:p>
        </w:tc>
        <w:tc>
          <w:tcPr>
            <w:tcW w:w="1668" w:type="pct"/>
            <w:vAlign w:val="center"/>
          </w:tcPr>
          <w:p w14:paraId="57DAA029">
            <w:pPr>
              <w:pStyle w:val="23"/>
              <w:jc w:val="center"/>
              <w:rPr>
                <w:rFonts w:ascii="宋体" w:hAnsi="宋体"/>
                <w:kern w:val="0"/>
              </w:rPr>
            </w:pPr>
            <w:r>
              <w:rPr>
                <w:rFonts w:ascii="宋体" w:hAnsi="宋体"/>
                <w:kern w:val="0"/>
              </w:rPr>
              <w:t>台</w:t>
            </w:r>
          </w:p>
        </w:tc>
        <w:tc>
          <w:tcPr>
            <w:tcW w:w="1666" w:type="pct"/>
            <w:vAlign w:val="center"/>
          </w:tcPr>
          <w:p w14:paraId="51A2C328">
            <w:pPr>
              <w:pStyle w:val="23"/>
              <w:jc w:val="center"/>
              <w:rPr>
                <w:rFonts w:ascii="宋体" w:hAnsi="宋体"/>
                <w:kern w:val="0"/>
              </w:rPr>
            </w:pPr>
            <w:r>
              <w:rPr>
                <w:rFonts w:ascii="宋体" w:hAnsi="宋体"/>
                <w:kern w:val="0"/>
              </w:rPr>
              <w:t>26.00</w:t>
            </w:r>
          </w:p>
        </w:tc>
      </w:tr>
      <w:tr w14:paraId="47A32D0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666" w:type="pct"/>
            <w:vAlign w:val="center"/>
          </w:tcPr>
          <w:p w14:paraId="5FFA7BFF">
            <w:pPr>
              <w:pStyle w:val="23"/>
              <w:rPr>
                <w:rFonts w:ascii="宋体" w:hAnsi="宋体"/>
                <w:kern w:val="0"/>
              </w:rPr>
            </w:pPr>
            <w:r>
              <w:rPr>
                <w:rFonts w:ascii="宋体" w:hAnsi="宋体"/>
                <w:kern w:val="0"/>
              </w:rPr>
              <w:t>人均钢筋砖木结构住房面积</w:t>
            </w:r>
          </w:p>
        </w:tc>
        <w:tc>
          <w:tcPr>
            <w:tcW w:w="1668" w:type="pct"/>
            <w:vAlign w:val="center"/>
          </w:tcPr>
          <w:p w14:paraId="4946E972">
            <w:pPr>
              <w:pStyle w:val="23"/>
              <w:jc w:val="center"/>
              <w:rPr>
                <w:rFonts w:ascii="宋体" w:hAnsi="宋体"/>
                <w:kern w:val="0"/>
              </w:rPr>
            </w:pPr>
            <w:r>
              <w:rPr>
                <w:rFonts w:ascii="宋体" w:hAnsi="宋体"/>
                <w:kern w:val="0"/>
              </w:rPr>
              <w:t>平方米</w:t>
            </w:r>
          </w:p>
        </w:tc>
        <w:tc>
          <w:tcPr>
            <w:tcW w:w="1666" w:type="pct"/>
            <w:vAlign w:val="center"/>
          </w:tcPr>
          <w:p w14:paraId="4D935469">
            <w:pPr>
              <w:pStyle w:val="23"/>
              <w:jc w:val="center"/>
              <w:rPr>
                <w:rFonts w:ascii="宋体" w:hAnsi="宋体"/>
                <w:kern w:val="0"/>
              </w:rPr>
            </w:pPr>
            <w:r>
              <w:rPr>
                <w:rFonts w:ascii="宋体" w:hAnsi="宋体"/>
                <w:kern w:val="0"/>
              </w:rPr>
              <w:t>25.06</w:t>
            </w:r>
          </w:p>
        </w:tc>
      </w:tr>
    </w:tbl>
    <w:p w14:paraId="4C99E308">
      <w:pPr>
        <w:ind w:firstLine="0" w:firstLineChars="0"/>
        <w:jc w:val="center"/>
        <w:rPr>
          <w:b/>
        </w:rPr>
      </w:pPr>
      <w:r>
        <w:rPr>
          <w:rFonts w:hint="eastAsia"/>
          <w:b/>
        </w:rPr>
        <w:t>表62 城镇住户调查人均收入情况</w:t>
      </w:r>
    </w:p>
    <w:tbl>
      <w:tblPr>
        <w:tblStyle w:val="14"/>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30" w:type="dxa"/>
          <w:bottom w:w="0" w:type="dxa"/>
          <w:right w:w="30" w:type="dxa"/>
        </w:tblCellMar>
      </w:tblPr>
      <w:tblGrid>
        <w:gridCol w:w="3267"/>
        <w:gridCol w:w="3271"/>
        <w:gridCol w:w="3268"/>
      </w:tblGrid>
      <w:tr w14:paraId="7E30E65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666" w:type="pct"/>
            <w:vAlign w:val="center"/>
          </w:tcPr>
          <w:p w14:paraId="5D872C2B">
            <w:pPr>
              <w:pStyle w:val="23"/>
              <w:jc w:val="center"/>
              <w:rPr>
                <w:b/>
                <w:kern w:val="0"/>
              </w:rPr>
            </w:pPr>
            <w:r>
              <w:rPr>
                <w:b/>
                <w:kern w:val="0"/>
              </w:rPr>
              <w:t>指标名称</w:t>
            </w:r>
          </w:p>
        </w:tc>
        <w:tc>
          <w:tcPr>
            <w:tcW w:w="1668" w:type="pct"/>
            <w:vAlign w:val="center"/>
          </w:tcPr>
          <w:p w14:paraId="3F4E5AB2">
            <w:pPr>
              <w:pStyle w:val="23"/>
              <w:jc w:val="center"/>
              <w:rPr>
                <w:b/>
                <w:kern w:val="0"/>
              </w:rPr>
            </w:pPr>
            <w:r>
              <w:rPr>
                <w:b/>
                <w:kern w:val="0"/>
              </w:rPr>
              <w:t>计算单位</w:t>
            </w:r>
          </w:p>
        </w:tc>
        <w:tc>
          <w:tcPr>
            <w:tcW w:w="1666" w:type="pct"/>
            <w:vAlign w:val="center"/>
          </w:tcPr>
          <w:p w14:paraId="052F0531">
            <w:pPr>
              <w:pStyle w:val="23"/>
              <w:jc w:val="center"/>
              <w:rPr>
                <w:b/>
                <w:kern w:val="0"/>
              </w:rPr>
            </w:pPr>
            <w:r>
              <w:rPr>
                <w:b/>
                <w:kern w:val="0"/>
              </w:rPr>
              <w:t>2011年</w:t>
            </w:r>
          </w:p>
        </w:tc>
      </w:tr>
      <w:tr w14:paraId="26C03C4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666" w:type="pct"/>
            <w:vAlign w:val="center"/>
          </w:tcPr>
          <w:p w14:paraId="109AF5E7">
            <w:pPr>
              <w:pStyle w:val="23"/>
              <w:rPr>
                <w:rFonts w:ascii="宋体" w:hAnsi="宋体"/>
                <w:kern w:val="0"/>
                <w:szCs w:val="21"/>
              </w:rPr>
            </w:pPr>
            <w:r>
              <w:rPr>
                <w:rFonts w:ascii="宋体" w:hAnsi="宋体"/>
                <w:kern w:val="0"/>
                <w:szCs w:val="21"/>
              </w:rPr>
              <w:t>家庭总收入</w:t>
            </w:r>
          </w:p>
        </w:tc>
        <w:tc>
          <w:tcPr>
            <w:tcW w:w="1668" w:type="pct"/>
            <w:vAlign w:val="center"/>
          </w:tcPr>
          <w:p w14:paraId="681CC393">
            <w:pPr>
              <w:pStyle w:val="23"/>
              <w:jc w:val="center"/>
              <w:rPr>
                <w:rFonts w:ascii="宋体" w:hAnsi="宋体"/>
                <w:kern w:val="0"/>
                <w:szCs w:val="21"/>
              </w:rPr>
            </w:pPr>
            <w:r>
              <w:rPr>
                <w:rFonts w:ascii="宋体" w:hAnsi="宋体"/>
                <w:kern w:val="0"/>
                <w:szCs w:val="21"/>
              </w:rPr>
              <w:t>元/人</w:t>
            </w:r>
          </w:p>
        </w:tc>
        <w:tc>
          <w:tcPr>
            <w:tcW w:w="1666" w:type="pct"/>
            <w:vAlign w:val="center"/>
          </w:tcPr>
          <w:p w14:paraId="78C17140">
            <w:pPr>
              <w:pStyle w:val="23"/>
              <w:jc w:val="center"/>
              <w:rPr>
                <w:rFonts w:ascii="宋体" w:hAnsi="宋体"/>
                <w:kern w:val="0"/>
                <w:szCs w:val="21"/>
              </w:rPr>
            </w:pPr>
            <w:r>
              <w:rPr>
                <w:rFonts w:ascii="宋体" w:hAnsi="宋体"/>
                <w:kern w:val="0"/>
                <w:szCs w:val="21"/>
              </w:rPr>
              <w:t>14397.16</w:t>
            </w:r>
          </w:p>
        </w:tc>
      </w:tr>
      <w:tr w14:paraId="5A249C1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666" w:type="pct"/>
            <w:vAlign w:val="center"/>
          </w:tcPr>
          <w:p w14:paraId="11D3198B">
            <w:pPr>
              <w:pStyle w:val="23"/>
              <w:ind w:firstLine="210" w:firstLineChars="100"/>
              <w:rPr>
                <w:rFonts w:ascii="宋体" w:hAnsi="宋体"/>
                <w:kern w:val="0"/>
                <w:szCs w:val="21"/>
              </w:rPr>
            </w:pPr>
            <w:r>
              <w:rPr>
                <w:rFonts w:ascii="宋体" w:hAnsi="宋体"/>
                <w:kern w:val="0"/>
                <w:szCs w:val="21"/>
              </w:rPr>
              <w:t>其中：可支配收入</w:t>
            </w:r>
          </w:p>
        </w:tc>
        <w:tc>
          <w:tcPr>
            <w:tcW w:w="1668" w:type="pct"/>
            <w:vAlign w:val="center"/>
          </w:tcPr>
          <w:p w14:paraId="205767E2">
            <w:pPr>
              <w:pStyle w:val="23"/>
              <w:jc w:val="center"/>
              <w:rPr>
                <w:rFonts w:ascii="宋体" w:hAnsi="宋体"/>
                <w:kern w:val="0"/>
                <w:szCs w:val="21"/>
              </w:rPr>
            </w:pPr>
            <w:r>
              <w:rPr>
                <w:rFonts w:ascii="宋体" w:hAnsi="宋体"/>
                <w:kern w:val="0"/>
                <w:szCs w:val="21"/>
              </w:rPr>
              <w:t>元/人</w:t>
            </w:r>
          </w:p>
        </w:tc>
        <w:tc>
          <w:tcPr>
            <w:tcW w:w="1666" w:type="pct"/>
            <w:vAlign w:val="center"/>
          </w:tcPr>
          <w:p w14:paraId="6C684373">
            <w:pPr>
              <w:pStyle w:val="23"/>
              <w:jc w:val="center"/>
              <w:rPr>
                <w:rFonts w:ascii="宋体" w:hAnsi="宋体"/>
                <w:kern w:val="0"/>
                <w:szCs w:val="21"/>
              </w:rPr>
            </w:pPr>
            <w:r>
              <w:rPr>
                <w:rFonts w:ascii="宋体" w:hAnsi="宋体"/>
                <w:kern w:val="0"/>
                <w:szCs w:val="21"/>
              </w:rPr>
              <w:t>13374.70</w:t>
            </w:r>
          </w:p>
        </w:tc>
      </w:tr>
      <w:tr w14:paraId="6F6E9B5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666" w:type="pct"/>
            <w:vAlign w:val="center"/>
          </w:tcPr>
          <w:p w14:paraId="63DEB8F7">
            <w:pPr>
              <w:pStyle w:val="23"/>
              <w:ind w:firstLine="210" w:firstLineChars="100"/>
              <w:rPr>
                <w:rFonts w:ascii="宋体" w:hAnsi="宋体"/>
                <w:kern w:val="0"/>
                <w:szCs w:val="21"/>
              </w:rPr>
            </w:pPr>
            <w:r>
              <w:rPr>
                <w:rFonts w:ascii="宋体" w:hAnsi="宋体"/>
                <w:kern w:val="0"/>
                <w:szCs w:val="21"/>
              </w:rPr>
              <w:t>1、工薪收入</w:t>
            </w:r>
          </w:p>
        </w:tc>
        <w:tc>
          <w:tcPr>
            <w:tcW w:w="1668" w:type="pct"/>
            <w:vAlign w:val="center"/>
          </w:tcPr>
          <w:p w14:paraId="071ADD76">
            <w:pPr>
              <w:pStyle w:val="23"/>
              <w:jc w:val="center"/>
              <w:rPr>
                <w:rFonts w:ascii="宋体" w:hAnsi="宋体"/>
                <w:kern w:val="0"/>
                <w:szCs w:val="21"/>
              </w:rPr>
            </w:pPr>
            <w:r>
              <w:rPr>
                <w:rFonts w:ascii="宋体" w:hAnsi="宋体"/>
                <w:kern w:val="0"/>
                <w:szCs w:val="21"/>
              </w:rPr>
              <w:t>元/人</w:t>
            </w:r>
          </w:p>
        </w:tc>
        <w:tc>
          <w:tcPr>
            <w:tcW w:w="1666" w:type="pct"/>
            <w:vAlign w:val="center"/>
          </w:tcPr>
          <w:p w14:paraId="68D95814">
            <w:pPr>
              <w:pStyle w:val="23"/>
              <w:jc w:val="center"/>
              <w:rPr>
                <w:rFonts w:ascii="宋体" w:hAnsi="宋体"/>
                <w:kern w:val="0"/>
                <w:szCs w:val="21"/>
              </w:rPr>
            </w:pPr>
            <w:r>
              <w:rPr>
                <w:rFonts w:ascii="宋体" w:hAnsi="宋体"/>
                <w:kern w:val="0"/>
                <w:szCs w:val="21"/>
              </w:rPr>
              <w:t>8646.87</w:t>
            </w:r>
          </w:p>
        </w:tc>
      </w:tr>
      <w:tr w14:paraId="69D59E8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666" w:type="pct"/>
            <w:vAlign w:val="center"/>
          </w:tcPr>
          <w:p w14:paraId="2E218A62">
            <w:pPr>
              <w:pStyle w:val="23"/>
              <w:ind w:firstLine="210" w:firstLineChars="100"/>
              <w:rPr>
                <w:rFonts w:ascii="宋体" w:hAnsi="宋体"/>
                <w:kern w:val="0"/>
                <w:szCs w:val="21"/>
              </w:rPr>
            </w:pPr>
            <w:r>
              <w:rPr>
                <w:rFonts w:ascii="宋体" w:hAnsi="宋体"/>
                <w:kern w:val="0"/>
                <w:szCs w:val="21"/>
              </w:rPr>
              <w:t>其中：工资及补贴收入</w:t>
            </w:r>
          </w:p>
        </w:tc>
        <w:tc>
          <w:tcPr>
            <w:tcW w:w="1668" w:type="pct"/>
            <w:vAlign w:val="center"/>
          </w:tcPr>
          <w:p w14:paraId="2C92E36E">
            <w:pPr>
              <w:pStyle w:val="23"/>
              <w:jc w:val="center"/>
              <w:rPr>
                <w:rFonts w:ascii="宋体" w:hAnsi="宋体"/>
                <w:kern w:val="0"/>
                <w:szCs w:val="21"/>
              </w:rPr>
            </w:pPr>
            <w:r>
              <w:rPr>
                <w:rFonts w:ascii="宋体" w:hAnsi="宋体"/>
                <w:kern w:val="0"/>
                <w:szCs w:val="21"/>
              </w:rPr>
              <w:t>元/人</w:t>
            </w:r>
          </w:p>
        </w:tc>
        <w:tc>
          <w:tcPr>
            <w:tcW w:w="1666" w:type="pct"/>
            <w:vAlign w:val="center"/>
          </w:tcPr>
          <w:p w14:paraId="29A1E1FF">
            <w:pPr>
              <w:pStyle w:val="23"/>
              <w:jc w:val="center"/>
              <w:rPr>
                <w:rFonts w:ascii="宋体" w:hAnsi="宋体"/>
                <w:kern w:val="0"/>
                <w:szCs w:val="21"/>
              </w:rPr>
            </w:pPr>
            <w:r>
              <w:rPr>
                <w:rFonts w:ascii="宋体" w:hAnsi="宋体"/>
                <w:kern w:val="0"/>
                <w:szCs w:val="21"/>
              </w:rPr>
              <w:t>8617.08</w:t>
            </w:r>
          </w:p>
        </w:tc>
      </w:tr>
      <w:tr w14:paraId="70DCE64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666" w:type="pct"/>
            <w:vAlign w:val="center"/>
          </w:tcPr>
          <w:p w14:paraId="2D4BD3B7">
            <w:pPr>
              <w:pStyle w:val="23"/>
              <w:ind w:firstLine="210" w:firstLineChars="100"/>
              <w:rPr>
                <w:rFonts w:ascii="宋体" w:hAnsi="宋体"/>
                <w:kern w:val="0"/>
                <w:szCs w:val="21"/>
              </w:rPr>
            </w:pPr>
            <w:r>
              <w:rPr>
                <w:rFonts w:ascii="宋体" w:hAnsi="宋体"/>
                <w:kern w:val="0"/>
                <w:szCs w:val="21"/>
              </w:rPr>
              <w:t>2、经营收入</w:t>
            </w:r>
          </w:p>
        </w:tc>
        <w:tc>
          <w:tcPr>
            <w:tcW w:w="1668" w:type="pct"/>
            <w:vAlign w:val="center"/>
          </w:tcPr>
          <w:p w14:paraId="7E7FCAA7">
            <w:pPr>
              <w:pStyle w:val="23"/>
              <w:jc w:val="center"/>
              <w:rPr>
                <w:rFonts w:ascii="宋体" w:hAnsi="宋体"/>
                <w:kern w:val="0"/>
                <w:szCs w:val="21"/>
              </w:rPr>
            </w:pPr>
            <w:r>
              <w:rPr>
                <w:rFonts w:ascii="宋体" w:hAnsi="宋体"/>
                <w:kern w:val="0"/>
                <w:szCs w:val="21"/>
              </w:rPr>
              <w:t>元/人</w:t>
            </w:r>
          </w:p>
        </w:tc>
        <w:tc>
          <w:tcPr>
            <w:tcW w:w="1666" w:type="pct"/>
            <w:vAlign w:val="center"/>
          </w:tcPr>
          <w:p w14:paraId="21973C06">
            <w:pPr>
              <w:pStyle w:val="23"/>
              <w:jc w:val="center"/>
              <w:rPr>
                <w:rFonts w:ascii="宋体" w:hAnsi="宋体"/>
                <w:kern w:val="0"/>
                <w:szCs w:val="21"/>
              </w:rPr>
            </w:pPr>
            <w:r>
              <w:rPr>
                <w:rFonts w:ascii="宋体" w:hAnsi="宋体"/>
                <w:kern w:val="0"/>
                <w:szCs w:val="21"/>
              </w:rPr>
              <w:t>1810.99</w:t>
            </w:r>
          </w:p>
        </w:tc>
      </w:tr>
      <w:tr w14:paraId="343E0C5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666" w:type="pct"/>
            <w:vAlign w:val="center"/>
          </w:tcPr>
          <w:p w14:paraId="7E9684B9">
            <w:pPr>
              <w:pStyle w:val="23"/>
              <w:ind w:firstLine="210" w:firstLineChars="100"/>
              <w:rPr>
                <w:rFonts w:ascii="宋体" w:hAnsi="宋体"/>
                <w:kern w:val="0"/>
                <w:szCs w:val="21"/>
              </w:rPr>
            </w:pPr>
            <w:r>
              <w:rPr>
                <w:rFonts w:ascii="宋体" w:hAnsi="宋体"/>
                <w:kern w:val="0"/>
                <w:szCs w:val="21"/>
              </w:rPr>
              <w:t>3、财产性收入</w:t>
            </w:r>
          </w:p>
        </w:tc>
        <w:tc>
          <w:tcPr>
            <w:tcW w:w="1668" w:type="pct"/>
            <w:vAlign w:val="center"/>
          </w:tcPr>
          <w:p w14:paraId="6110F86D">
            <w:pPr>
              <w:pStyle w:val="23"/>
              <w:jc w:val="center"/>
              <w:rPr>
                <w:rFonts w:ascii="宋体" w:hAnsi="宋体"/>
                <w:kern w:val="0"/>
                <w:szCs w:val="21"/>
              </w:rPr>
            </w:pPr>
            <w:r>
              <w:rPr>
                <w:rFonts w:ascii="宋体" w:hAnsi="宋体"/>
                <w:kern w:val="0"/>
                <w:szCs w:val="21"/>
              </w:rPr>
              <w:t>元/人</w:t>
            </w:r>
          </w:p>
        </w:tc>
        <w:tc>
          <w:tcPr>
            <w:tcW w:w="1666" w:type="pct"/>
            <w:vAlign w:val="center"/>
          </w:tcPr>
          <w:p w14:paraId="23A89AF6">
            <w:pPr>
              <w:pStyle w:val="23"/>
              <w:jc w:val="center"/>
              <w:rPr>
                <w:rFonts w:ascii="宋体" w:hAnsi="宋体"/>
                <w:kern w:val="0"/>
                <w:szCs w:val="21"/>
              </w:rPr>
            </w:pPr>
            <w:r>
              <w:rPr>
                <w:rFonts w:ascii="宋体" w:hAnsi="宋体"/>
                <w:kern w:val="0"/>
                <w:szCs w:val="21"/>
              </w:rPr>
              <w:t>114.68</w:t>
            </w:r>
          </w:p>
        </w:tc>
      </w:tr>
      <w:tr w14:paraId="077D03F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666" w:type="pct"/>
            <w:vAlign w:val="center"/>
          </w:tcPr>
          <w:p w14:paraId="4DC852BD">
            <w:pPr>
              <w:pStyle w:val="23"/>
              <w:ind w:firstLine="210" w:firstLineChars="100"/>
              <w:rPr>
                <w:rFonts w:ascii="宋体" w:hAnsi="宋体"/>
                <w:kern w:val="0"/>
                <w:szCs w:val="21"/>
              </w:rPr>
            </w:pPr>
            <w:r>
              <w:rPr>
                <w:rFonts w:ascii="宋体" w:hAnsi="宋体"/>
                <w:kern w:val="0"/>
                <w:szCs w:val="21"/>
              </w:rPr>
              <w:t>4、转移性收入</w:t>
            </w:r>
          </w:p>
        </w:tc>
        <w:tc>
          <w:tcPr>
            <w:tcW w:w="1668" w:type="pct"/>
            <w:vAlign w:val="center"/>
          </w:tcPr>
          <w:p w14:paraId="60F3F021">
            <w:pPr>
              <w:pStyle w:val="23"/>
              <w:jc w:val="center"/>
              <w:rPr>
                <w:rFonts w:ascii="宋体" w:hAnsi="宋体"/>
                <w:kern w:val="0"/>
                <w:szCs w:val="21"/>
              </w:rPr>
            </w:pPr>
            <w:r>
              <w:rPr>
                <w:rFonts w:ascii="宋体" w:hAnsi="宋体"/>
                <w:kern w:val="0"/>
                <w:szCs w:val="21"/>
              </w:rPr>
              <w:t>元/人</w:t>
            </w:r>
          </w:p>
        </w:tc>
        <w:tc>
          <w:tcPr>
            <w:tcW w:w="1666" w:type="pct"/>
            <w:vAlign w:val="center"/>
          </w:tcPr>
          <w:p w14:paraId="20C9EB92">
            <w:pPr>
              <w:pStyle w:val="23"/>
              <w:jc w:val="center"/>
              <w:rPr>
                <w:rFonts w:ascii="宋体" w:hAnsi="宋体"/>
                <w:kern w:val="0"/>
                <w:szCs w:val="21"/>
              </w:rPr>
            </w:pPr>
            <w:r>
              <w:rPr>
                <w:rFonts w:ascii="宋体" w:hAnsi="宋体"/>
                <w:kern w:val="0"/>
                <w:szCs w:val="21"/>
              </w:rPr>
              <w:t>3824.62</w:t>
            </w:r>
          </w:p>
        </w:tc>
      </w:tr>
      <w:tr w14:paraId="5C4F0E1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666" w:type="pct"/>
            <w:vAlign w:val="center"/>
          </w:tcPr>
          <w:p w14:paraId="1560BBB6">
            <w:pPr>
              <w:pStyle w:val="23"/>
              <w:ind w:firstLine="210" w:firstLineChars="100"/>
              <w:rPr>
                <w:rFonts w:ascii="宋体" w:hAnsi="宋体"/>
                <w:kern w:val="0"/>
                <w:szCs w:val="21"/>
              </w:rPr>
            </w:pPr>
            <w:r>
              <w:rPr>
                <w:rFonts w:ascii="宋体" w:hAnsi="宋体"/>
                <w:kern w:val="0"/>
                <w:szCs w:val="21"/>
              </w:rPr>
              <w:t>其中：养老金或离退休金</w:t>
            </w:r>
          </w:p>
        </w:tc>
        <w:tc>
          <w:tcPr>
            <w:tcW w:w="1668" w:type="pct"/>
            <w:vAlign w:val="center"/>
          </w:tcPr>
          <w:p w14:paraId="76822386">
            <w:pPr>
              <w:pStyle w:val="23"/>
              <w:jc w:val="center"/>
              <w:rPr>
                <w:rFonts w:ascii="宋体" w:hAnsi="宋体"/>
                <w:kern w:val="0"/>
                <w:szCs w:val="21"/>
              </w:rPr>
            </w:pPr>
            <w:r>
              <w:rPr>
                <w:rFonts w:ascii="宋体" w:hAnsi="宋体"/>
                <w:kern w:val="0"/>
                <w:szCs w:val="21"/>
              </w:rPr>
              <w:t>元/人</w:t>
            </w:r>
          </w:p>
        </w:tc>
        <w:tc>
          <w:tcPr>
            <w:tcW w:w="1666" w:type="pct"/>
            <w:vAlign w:val="center"/>
          </w:tcPr>
          <w:p w14:paraId="30E4375D">
            <w:pPr>
              <w:pStyle w:val="23"/>
              <w:jc w:val="center"/>
              <w:rPr>
                <w:rFonts w:ascii="宋体" w:hAnsi="宋体"/>
                <w:kern w:val="0"/>
                <w:szCs w:val="21"/>
              </w:rPr>
            </w:pPr>
            <w:r>
              <w:rPr>
                <w:rFonts w:ascii="宋体" w:hAnsi="宋体"/>
                <w:kern w:val="0"/>
                <w:szCs w:val="21"/>
              </w:rPr>
              <w:t>2650.07</w:t>
            </w:r>
          </w:p>
        </w:tc>
      </w:tr>
    </w:tbl>
    <w:p w14:paraId="36445BCF">
      <w:pPr>
        <w:ind w:firstLine="0" w:firstLineChars="0"/>
        <w:jc w:val="center"/>
        <w:rPr>
          <w:rFonts w:ascii="宋体" w:hAnsi="宋体"/>
          <w:b/>
          <w:szCs w:val="21"/>
        </w:rPr>
      </w:pPr>
      <w:r>
        <w:rPr>
          <w:rFonts w:hint="eastAsia" w:ascii="宋体" w:hAnsi="宋体"/>
          <w:b/>
          <w:szCs w:val="21"/>
        </w:rPr>
        <w:t>表63 城镇住户调查人均支出情况</w:t>
      </w:r>
    </w:p>
    <w:tbl>
      <w:tblPr>
        <w:tblStyle w:val="14"/>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30" w:type="dxa"/>
          <w:bottom w:w="0" w:type="dxa"/>
          <w:right w:w="30" w:type="dxa"/>
        </w:tblCellMar>
      </w:tblPr>
      <w:tblGrid>
        <w:gridCol w:w="3267"/>
        <w:gridCol w:w="3271"/>
        <w:gridCol w:w="3268"/>
      </w:tblGrid>
      <w:tr w14:paraId="20B962C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666" w:type="pct"/>
            <w:vAlign w:val="center"/>
          </w:tcPr>
          <w:p w14:paraId="1D172CFD">
            <w:pPr>
              <w:pStyle w:val="23"/>
              <w:jc w:val="center"/>
              <w:rPr>
                <w:rFonts w:ascii="宋体" w:hAnsi="宋体"/>
                <w:b/>
                <w:kern w:val="0"/>
                <w:szCs w:val="21"/>
              </w:rPr>
            </w:pPr>
            <w:r>
              <w:rPr>
                <w:rFonts w:ascii="宋体" w:hAnsi="宋体"/>
                <w:b/>
                <w:kern w:val="0"/>
                <w:szCs w:val="21"/>
              </w:rPr>
              <w:t>指标名称</w:t>
            </w:r>
          </w:p>
        </w:tc>
        <w:tc>
          <w:tcPr>
            <w:tcW w:w="1668" w:type="pct"/>
            <w:vAlign w:val="center"/>
          </w:tcPr>
          <w:p w14:paraId="6AC58AC6">
            <w:pPr>
              <w:pStyle w:val="23"/>
              <w:jc w:val="center"/>
              <w:rPr>
                <w:rFonts w:ascii="宋体" w:hAnsi="宋体"/>
                <w:b/>
                <w:kern w:val="0"/>
                <w:szCs w:val="21"/>
              </w:rPr>
            </w:pPr>
            <w:r>
              <w:rPr>
                <w:rFonts w:ascii="宋体" w:hAnsi="宋体"/>
                <w:b/>
                <w:kern w:val="0"/>
                <w:szCs w:val="21"/>
              </w:rPr>
              <w:t>计算单位</w:t>
            </w:r>
          </w:p>
        </w:tc>
        <w:tc>
          <w:tcPr>
            <w:tcW w:w="1666" w:type="pct"/>
            <w:vAlign w:val="center"/>
          </w:tcPr>
          <w:p w14:paraId="67DED890">
            <w:pPr>
              <w:pStyle w:val="23"/>
              <w:jc w:val="center"/>
              <w:rPr>
                <w:rFonts w:ascii="宋体" w:hAnsi="宋体"/>
                <w:b/>
                <w:kern w:val="0"/>
                <w:szCs w:val="21"/>
              </w:rPr>
            </w:pPr>
            <w:r>
              <w:rPr>
                <w:rFonts w:ascii="宋体" w:hAnsi="宋体"/>
                <w:b/>
                <w:kern w:val="0"/>
                <w:szCs w:val="21"/>
              </w:rPr>
              <w:t>2011年</w:t>
            </w:r>
          </w:p>
        </w:tc>
      </w:tr>
      <w:tr w14:paraId="76F9E80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666" w:type="pct"/>
            <w:vAlign w:val="center"/>
          </w:tcPr>
          <w:p w14:paraId="64975A14">
            <w:pPr>
              <w:pStyle w:val="23"/>
              <w:rPr>
                <w:rFonts w:ascii="宋体" w:hAnsi="宋体"/>
                <w:kern w:val="0"/>
                <w:szCs w:val="21"/>
              </w:rPr>
            </w:pPr>
            <w:r>
              <w:rPr>
                <w:rFonts w:ascii="宋体" w:hAnsi="宋体"/>
                <w:kern w:val="0"/>
                <w:szCs w:val="21"/>
              </w:rPr>
              <w:t>家庭总支出</w:t>
            </w:r>
          </w:p>
        </w:tc>
        <w:tc>
          <w:tcPr>
            <w:tcW w:w="1668" w:type="pct"/>
            <w:vAlign w:val="center"/>
          </w:tcPr>
          <w:p w14:paraId="1A6707A3">
            <w:pPr>
              <w:pStyle w:val="23"/>
              <w:jc w:val="center"/>
              <w:rPr>
                <w:rFonts w:ascii="宋体" w:hAnsi="宋体"/>
                <w:kern w:val="0"/>
                <w:szCs w:val="21"/>
              </w:rPr>
            </w:pPr>
            <w:r>
              <w:rPr>
                <w:rFonts w:ascii="宋体" w:hAnsi="宋体"/>
                <w:kern w:val="0"/>
                <w:szCs w:val="21"/>
              </w:rPr>
              <w:t>元/人</w:t>
            </w:r>
          </w:p>
        </w:tc>
        <w:tc>
          <w:tcPr>
            <w:tcW w:w="1666" w:type="pct"/>
            <w:vAlign w:val="center"/>
          </w:tcPr>
          <w:p w14:paraId="3C1D499C">
            <w:pPr>
              <w:pStyle w:val="23"/>
              <w:jc w:val="center"/>
              <w:rPr>
                <w:rFonts w:ascii="宋体" w:hAnsi="宋体"/>
                <w:kern w:val="0"/>
                <w:szCs w:val="21"/>
              </w:rPr>
            </w:pPr>
            <w:r>
              <w:rPr>
                <w:rFonts w:ascii="宋体" w:hAnsi="宋体"/>
                <w:kern w:val="0"/>
                <w:szCs w:val="21"/>
              </w:rPr>
              <w:t>11202.40</w:t>
            </w:r>
          </w:p>
        </w:tc>
      </w:tr>
      <w:tr w14:paraId="443ADCE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666" w:type="pct"/>
            <w:vAlign w:val="center"/>
          </w:tcPr>
          <w:p w14:paraId="27C79555">
            <w:pPr>
              <w:pStyle w:val="23"/>
              <w:ind w:firstLine="210" w:firstLineChars="100"/>
              <w:rPr>
                <w:rFonts w:ascii="宋体" w:hAnsi="宋体"/>
                <w:kern w:val="0"/>
                <w:szCs w:val="21"/>
              </w:rPr>
            </w:pPr>
            <w:r>
              <w:rPr>
                <w:rFonts w:hint="eastAsia" w:ascii="宋体" w:hAnsi="宋体"/>
                <w:kern w:val="0"/>
                <w:szCs w:val="21"/>
              </w:rPr>
              <w:t>（一）</w:t>
            </w:r>
            <w:r>
              <w:rPr>
                <w:rFonts w:ascii="宋体" w:hAnsi="宋体"/>
                <w:kern w:val="0"/>
                <w:szCs w:val="21"/>
              </w:rPr>
              <w:t>消费支出</w:t>
            </w:r>
          </w:p>
        </w:tc>
        <w:tc>
          <w:tcPr>
            <w:tcW w:w="1668" w:type="pct"/>
            <w:vAlign w:val="center"/>
          </w:tcPr>
          <w:p w14:paraId="2F3CC15B">
            <w:pPr>
              <w:pStyle w:val="23"/>
              <w:jc w:val="center"/>
              <w:rPr>
                <w:rFonts w:ascii="宋体" w:hAnsi="宋体"/>
                <w:kern w:val="0"/>
                <w:szCs w:val="21"/>
              </w:rPr>
            </w:pPr>
            <w:r>
              <w:rPr>
                <w:rFonts w:ascii="宋体" w:hAnsi="宋体"/>
                <w:kern w:val="0"/>
                <w:szCs w:val="21"/>
              </w:rPr>
              <w:t>元/人</w:t>
            </w:r>
          </w:p>
        </w:tc>
        <w:tc>
          <w:tcPr>
            <w:tcW w:w="1666" w:type="pct"/>
            <w:vAlign w:val="center"/>
          </w:tcPr>
          <w:p w14:paraId="30A26F0A">
            <w:pPr>
              <w:pStyle w:val="23"/>
              <w:jc w:val="center"/>
              <w:rPr>
                <w:rFonts w:ascii="宋体" w:hAnsi="宋体"/>
                <w:kern w:val="0"/>
                <w:szCs w:val="21"/>
              </w:rPr>
            </w:pPr>
            <w:r>
              <w:rPr>
                <w:rFonts w:ascii="宋体" w:hAnsi="宋体"/>
                <w:kern w:val="0"/>
                <w:szCs w:val="21"/>
              </w:rPr>
              <w:t>9010.79</w:t>
            </w:r>
          </w:p>
        </w:tc>
      </w:tr>
      <w:tr w14:paraId="534040F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666" w:type="pct"/>
            <w:vAlign w:val="center"/>
          </w:tcPr>
          <w:p w14:paraId="190AE039">
            <w:pPr>
              <w:pStyle w:val="23"/>
              <w:ind w:firstLine="420" w:firstLineChars="200"/>
              <w:rPr>
                <w:rFonts w:ascii="宋体" w:hAnsi="宋体"/>
                <w:kern w:val="0"/>
                <w:szCs w:val="21"/>
              </w:rPr>
            </w:pPr>
            <w:r>
              <w:rPr>
                <w:rFonts w:ascii="宋体" w:hAnsi="宋体"/>
                <w:kern w:val="0"/>
                <w:szCs w:val="21"/>
              </w:rPr>
              <w:t>其中：服务性消费支出</w:t>
            </w:r>
          </w:p>
        </w:tc>
        <w:tc>
          <w:tcPr>
            <w:tcW w:w="1668" w:type="pct"/>
            <w:vAlign w:val="center"/>
          </w:tcPr>
          <w:p w14:paraId="4B6F13EB">
            <w:pPr>
              <w:pStyle w:val="23"/>
              <w:jc w:val="center"/>
              <w:rPr>
                <w:rFonts w:ascii="宋体" w:hAnsi="宋体"/>
                <w:kern w:val="0"/>
                <w:szCs w:val="21"/>
              </w:rPr>
            </w:pPr>
            <w:r>
              <w:rPr>
                <w:rFonts w:ascii="宋体" w:hAnsi="宋体"/>
                <w:kern w:val="0"/>
                <w:szCs w:val="21"/>
              </w:rPr>
              <w:t>元/人</w:t>
            </w:r>
          </w:p>
        </w:tc>
        <w:tc>
          <w:tcPr>
            <w:tcW w:w="1666" w:type="pct"/>
            <w:vAlign w:val="center"/>
          </w:tcPr>
          <w:p w14:paraId="360F37FE">
            <w:pPr>
              <w:pStyle w:val="23"/>
              <w:jc w:val="center"/>
              <w:rPr>
                <w:rFonts w:ascii="宋体" w:hAnsi="宋体"/>
                <w:kern w:val="0"/>
                <w:szCs w:val="21"/>
              </w:rPr>
            </w:pPr>
            <w:r>
              <w:rPr>
                <w:rFonts w:ascii="宋体" w:hAnsi="宋体"/>
                <w:kern w:val="0"/>
                <w:szCs w:val="21"/>
              </w:rPr>
              <w:t>1527.87</w:t>
            </w:r>
          </w:p>
        </w:tc>
      </w:tr>
      <w:tr w14:paraId="253BA2F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666" w:type="pct"/>
            <w:vAlign w:val="center"/>
          </w:tcPr>
          <w:p w14:paraId="2377C3AD">
            <w:pPr>
              <w:pStyle w:val="23"/>
              <w:ind w:firstLine="420" w:firstLineChars="200"/>
              <w:rPr>
                <w:rFonts w:ascii="宋体" w:hAnsi="宋体"/>
                <w:kern w:val="0"/>
                <w:szCs w:val="21"/>
              </w:rPr>
            </w:pPr>
            <w:r>
              <w:rPr>
                <w:rFonts w:ascii="宋体" w:hAnsi="宋体"/>
                <w:kern w:val="0"/>
                <w:szCs w:val="21"/>
              </w:rPr>
              <w:t>1</w:t>
            </w:r>
            <w:r>
              <w:rPr>
                <w:rFonts w:hint="eastAsia" w:ascii="宋体" w:hAnsi="宋体"/>
                <w:kern w:val="0"/>
                <w:szCs w:val="21"/>
              </w:rPr>
              <w:t>.</w:t>
            </w:r>
            <w:r>
              <w:rPr>
                <w:rFonts w:ascii="宋体" w:hAnsi="宋体"/>
                <w:kern w:val="0"/>
                <w:szCs w:val="21"/>
              </w:rPr>
              <w:t>食品</w:t>
            </w:r>
          </w:p>
        </w:tc>
        <w:tc>
          <w:tcPr>
            <w:tcW w:w="1668" w:type="pct"/>
            <w:vAlign w:val="center"/>
          </w:tcPr>
          <w:p w14:paraId="24690C48">
            <w:pPr>
              <w:pStyle w:val="23"/>
              <w:jc w:val="center"/>
              <w:rPr>
                <w:rFonts w:ascii="宋体" w:hAnsi="宋体"/>
                <w:kern w:val="0"/>
                <w:szCs w:val="21"/>
              </w:rPr>
            </w:pPr>
            <w:r>
              <w:rPr>
                <w:rFonts w:ascii="宋体" w:hAnsi="宋体"/>
                <w:kern w:val="0"/>
                <w:szCs w:val="21"/>
              </w:rPr>
              <w:t>元/人</w:t>
            </w:r>
          </w:p>
        </w:tc>
        <w:tc>
          <w:tcPr>
            <w:tcW w:w="1666" w:type="pct"/>
            <w:vAlign w:val="center"/>
          </w:tcPr>
          <w:p w14:paraId="1331CDEB">
            <w:pPr>
              <w:pStyle w:val="23"/>
              <w:jc w:val="center"/>
              <w:rPr>
                <w:rFonts w:ascii="宋体" w:hAnsi="宋体"/>
                <w:kern w:val="0"/>
                <w:szCs w:val="21"/>
              </w:rPr>
            </w:pPr>
            <w:r>
              <w:rPr>
                <w:rFonts w:ascii="宋体" w:hAnsi="宋体"/>
                <w:kern w:val="0"/>
                <w:szCs w:val="21"/>
              </w:rPr>
              <w:t>3594.31</w:t>
            </w:r>
          </w:p>
        </w:tc>
      </w:tr>
      <w:tr w14:paraId="09EAD34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666" w:type="pct"/>
            <w:vAlign w:val="center"/>
          </w:tcPr>
          <w:p w14:paraId="1781E7A4">
            <w:pPr>
              <w:pStyle w:val="23"/>
              <w:ind w:firstLine="420" w:firstLineChars="200"/>
              <w:rPr>
                <w:rFonts w:ascii="宋体" w:hAnsi="宋体"/>
                <w:kern w:val="0"/>
                <w:szCs w:val="21"/>
              </w:rPr>
            </w:pPr>
            <w:r>
              <w:rPr>
                <w:rFonts w:ascii="宋体" w:hAnsi="宋体"/>
                <w:kern w:val="0"/>
                <w:szCs w:val="21"/>
              </w:rPr>
              <w:t>2</w:t>
            </w:r>
            <w:r>
              <w:rPr>
                <w:rFonts w:hint="eastAsia" w:ascii="宋体" w:hAnsi="宋体"/>
                <w:kern w:val="0"/>
                <w:szCs w:val="21"/>
              </w:rPr>
              <w:t>.</w:t>
            </w:r>
            <w:r>
              <w:rPr>
                <w:rFonts w:ascii="宋体" w:hAnsi="宋体"/>
                <w:kern w:val="0"/>
                <w:szCs w:val="21"/>
              </w:rPr>
              <w:t>衣着</w:t>
            </w:r>
          </w:p>
        </w:tc>
        <w:tc>
          <w:tcPr>
            <w:tcW w:w="1668" w:type="pct"/>
            <w:vAlign w:val="center"/>
          </w:tcPr>
          <w:p w14:paraId="1227021D">
            <w:pPr>
              <w:pStyle w:val="23"/>
              <w:jc w:val="center"/>
              <w:rPr>
                <w:rFonts w:ascii="宋体" w:hAnsi="宋体"/>
                <w:kern w:val="0"/>
                <w:szCs w:val="21"/>
              </w:rPr>
            </w:pPr>
            <w:r>
              <w:rPr>
                <w:rFonts w:ascii="宋体" w:hAnsi="宋体"/>
                <w:kern w:val="0"/>
                <w:szCs w:val="21"/>
              </w:rPr>
              <w:t>元/人</w:t>
            </w:r>
          </w:p>
        </w:tc>
        <w:tc>
          <w:tcPr>
            <w:tcW w:w="1666" w:type="pct"/>
            <w:vAlign w:val="center"/>
          </w:tcPr>
          <w:p w14:paraId="5D21E341">
            <w:pPr>
              <w:pStyle w:val="23"/>
              <w:jc w:val="center"/>
              <w:rPr>
                <w:rFonts w:ascii="宋体" w:hAnsi="宋体"/>
                <w:kern w:val="0"/>
                <w:szCs w:val="21"/>
              </w:rPr>
            </w:pPr>
            <w:r>
              <w:rPr>
                <w:rFonts w:ascii="宋体" w:hAnsi="宋体"/>
                <w:kern w:val="0"/>
                <w:szCs w:val="21"/>
              </w:rPr>
              <w:t>1098.92</w:t>
            </w:r>
          </w:p>
        </w:tc>
      </w:tr>
      <w:tr w14:paraId="23ED2CF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666" w:type="pct"/>
            <w:vAlign w:val="center"/>
          </w:tcPr>
          <w:p w14:paraId="14B7BB92">
            <w:pPr>
              <w:pStyle w:val="23"/>
              <w:ind w:firstLine="420" w:firstLineChars="200"/>
              <w:rPr>
                <w:rFonts w:ascii="宋体" w:hAnsi="宋体"/>
                <w:kern w:val="0"/>
                <w:szCs w:val="21"/>
              </w:rPr>
            </w:pPr>
            <w:r>
              <w:rPr>
                <w:rFonts w:ascii="宋体" w:hAnsi="宋体"/>
                <w:kern w:val="0"/>
                <w:szCs w:val="21"/>
              </w:rPr>
              <w:t>3</w:t>
            </w:r>
            <w:r>
              <w:rPr>
                <w:rFonts w:hint="eastAsia" w:ascii="宋体" w:hAnsi="宋体"/>
                <w:kern w:val="0"/>
                <w:szCs w:val="21"/>
              </w:rPr>
              <w:t>.</w:t>
            </w:r>
            <w:r>
              <w:rPr>
                <w:rFonts w:ascii="宋体" w:hAnsi="宋体"/>
                <w:kern w:val="0"/>
                <w:szCs w:val="21"/>
              </w:rPr>
              <w:t>家庭设备用品及服务</w:t>
            </w:r>
          </w:p>
        </w:tc>
        <w:tc>
          <w:tcPr>
            <w:tcW w:w="1668" w:type="pct"/>
            <w:vAlign w:val="center"/>
          </w:tcPr>
          <w:p w14:paraId="0254CBB1">
            <w:pPr>
              <w:pStyle w:val="23"/>
              <w:jc w:val="center"/>
              <w:rPr>
                <w:rFonts w:ascii="宋体" w:hAnsi="宋体"/>
                <w:kern w:val="0"/>
                <w:szCs w:val="21"/>
              </w:rPr>
            </w:pPr>
            <w:r>
              <w:rPr>
                <w:rFonts w:ascii="宋体" w:hAnsi="宋体"/>
                <w:kern w:val="0"/>
                <w:szCs w:val="21"/>
              </w:rPr>
              <w:t>元/人</w:t>
            </w:r>
          </w:p>
        </w:tc>
        <w:tc>
          <w:tcPr>
            <w:tcW w:w="1666" w:type="pct"/>
            <w:vAlign w:val="center"/>
          </w:tcPr>
          <w:p w14:paraId="19BDE59A">
            <w:pPr>
              <w:pStyle w:val="23"/>
              <w:jc w:val="center"/>
              <w:rPr>
                <w:rFonts w:ascii="宋体" w:hAnsi="宋体"/>
                <w:kern w:val="0"/>
                <w:szCs w:val="21"/>
              </w:rPr>
            </w:pPr>
            <w:r>
              <w:rPr>
                <w:rFonts w:ascii="宋体" w:hAnsi="宋体"/>
                <w:kern w:val="0"/>
                <w:szCs w:val="21"/>
              </w:rPr>
              <w:t>1193.52</w:t>
            </w:r>
          </w:p>
        </w:tc>
      </w:tr>
      <w:tr w14:paraId="36C7724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666" w:type="pct"/>
            <w:vAlign w:val="center"/>
          </w:tcPr>
          <w:p w14:paraId="73123535">
            <w:pPr>
              <w:pStyle w:val="23"/>
              <w:ind w:firstLine="420" w:firstLineChars="200"/>
              <w:rPr>
                <w:rFonts w:ascii="宋体" w:hAnsi="宋体"/>
                <w:kern w:val="0"/>
                <w:szCs w:val="21"/>
              </w:rPr>
            </w:pPr>
            <w:r>
              <w:rPr>
                <w:rFonts w:ascii="宋体" w:hAnsi="宋体"/>
                <w:kern w:val="0"/>
                <w:szCs w:val="21"/>
              </w:rPr>
              <w:t>4</w:t>
            </w:r>
            <w:r>
              <w:rPr>
                <w:rFonts w:hint="eastAsia" w:ascii="宋体" w:hAnsi="宋体"/>
                <w:kern w:val="0"/>
                <w:szCs w:val="21"/>
              </w:rPr>
              <w:t>.</w:t>
            </w:r>
            <w:r>
              <w:rPr>
                <w:rFonts w:ascii="宋体" w:hAnsi="宋体"/>
                <w:kern w:val="0"/>
                <w:szCs w:val="21"/>
              </w:rPr>
              <w:t>医疗保健</w:t>
            </w:r>
          </w:p>
        </w:tc>
        <w:tc>
          <w:tcPr>
            <w:tcW w:w="1668" w:type="pct"/>
            <w:vAlign w:val="center"/>
          </w:tcPr>
          <w:p w14:paraId="3C08AE3F">
            <w:pPr>
              <w:pStyle w:val="23"/>
              <w:jc w:val="center"/>
              <w:rPr>
                <w:rFonts w:ascii="宋体" w:hAnsi="宋体"/>
                <w:kern w:val="0"/>
                <w:szCs w:val="21"/>
              </w:rPr>
            </w:pPr>
            <w:r>
              <w:rPr>
                <w:rFonts w:ascii="宋体" w:hAnsi="宋体"/>
                <w:kern w:val="0"/>
                <w:szCs w:val="21"/>
              </w:rPr>
              <w:t>元/人</w:t>
            </w:r>
          </w:p>
        </w:tc>
        <w:tc>
          <w:tcPr>
            <w:tcW w:w="1666" w:type="pct"/>
            <w:vAlign w:val="center"/>
          </w:tcPr>
          <w:p w14:paraId="62816E94">
            <w:pPr>
              <w:pStyle w:val="23"/>
              <w:jc w:val="center"/>
              <w:rPr>
                <w:rFonts w:ascii="宋体" w:hAnsi="宋体"/>
                <w:kern w:val="0"/>
                <w:szCs w:val="21"/>
              </w:rPr>
            </w:pPr>
            <w:r>
              <w:rPr>
                <w:rFonts w:ascii="宋体" w:hAnsi="宋体"/>
                <w:kern w:val="0"/>
                <w:szCs w:val="21"/>
              </w:rPr>
              <w:t>372.26</w:t>
            </w:r>
          </w:p>
        </w:tc>
      </w:tr>
      <w:tr w14:paraId="29B1EF0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666" w:type="pct"/>
            <w:vAlign w:val="center"/>
          </w:tcPr>
          <w:p w14:paraId="7B6445AF">
            <w:pPr>
              <w:pStyle w:val="23"/>
              <w:ind w:firstLine="420" w:firstLineChars="200"/>
              <w:rPr>
                <w:rFonts w:ascii="宋体" w:hAnsi="宋体"/>
                <w:kern w:val="0"/>
                <w:szCs w:val="21"/>
              </w:rPr>
            </w:pPr>
            <w:r>
              <w:rPr>
                <w:rFonts w:ascii="宋体" w:hAnsi="宋体"/>
                <w:kern w:val="0"/>
                <w:szCs w:val="21"/>
              </w:rPr>
              <w:t>5</w:t>
            </w:r>
            <w:r>
              <w:rPr>
                <w:rFonts w:hint="eastAsia" w:ascii="宋体" w:hAnsi="宋体"/>
                <w:kern w:val="0"/>
                <w:szCs w:val="21"/>
              </w:rPr>
              <w:t>.</w:t>
            </w:r>
            <w:r>
              <w:rPr>
                <w:rFonts w:ascii="宋体" w:hAnsi="宋体"/>
                <w:kern w:val="0"/>
                <w:szCs w:val="21"/>
              </w:rPr>
              <w:t>交通和通信</w:t>
            </w:r>
          </w:p>
        </w:tc>
        <w:tc>
          <w:tcPr>
            <w:tcW w:w="1668" w:type="pct"/>
            <w:vAlign w:val="center"/>
          </w:tcPr>
          <w:p w14:paraId="41006CDC">
            <w:pPr>
              <w:pStyle w:val="23"/>
              <w:jc w:val="center"/>
              <w:rPr>
                <w:rFonts w:ascii="宋体" w:hAnsi="宋体"/>
                <w:kern w:val="0"/>
                <w:szCs w:val="21"/>
              </w:rPr>
            </w:pPr>
            <w:r>
              <w:rPr>
                <w:rFonts w:ascii="宋体" w:hAnsi="宋体"/>
                <w:kern w:val="0"/>
                <w:szCs w:val="21"/>
              </w:rPr>
              <w:t>元/人</w:t>
            </w:r>
          </w:p>
        </w:tc>
        <w:tc>
          <w:tcPr>
            <w:tcW w:w="1666" w:type="pct"/>
            <w:vAlign w:val="center"/>
          </w:tcPr>
          <w:p w14:paraId="3BEB9CCE">
            <w:pPr>
              <w:pStyle w:val="23"/>
              <w:jc w:val="center"/>
              <w:rPr>
                <w:rFonts w:ascii="宋体" w:hAnsi="宋体"/>
                <w:kern w:val="0"/>
                <w:szCs w:val="21"/>
              </w:rPr>
            </w:pPr>
            <w:r>
              <w:rPr>
                <w:rFonts w:ascii="宋体" w:hAnsi="宋体"/>
                <w:kern w:val="0"/>
                <w:szCs w:val="21"/>
              </w:rPr>
              <w:t>861.00</w:t>
            </w:r>
          </w:p>
        </w:tc>
      </w:tr>
      <w:tr w14:paraId="1A4AA14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666" w:type="pct"/>
            <w:vAlign w:val="center"/>
          </w:tcPr>
          <w:p w14:paraId="177FEB25">
            <w:pPr>
              <w:pStyle w:val="23"/>
              <w:ind w:firstLine="420" w:firstLineChars="200"/>
              <w:rPr>
                <w:rFonts w:ascii="宋体" w:hAnsi="宋体"/>
                <w:kern w:val="0"/>
                <w:szCs w:val="21"/>
              </w:rPr>
            </w:pPr>
            <w:r>
              <w:rPr>
                <w:rFonts w:ascii="宋体" w:hAnsi="宋体"/>
                <w:kern w:val="0"/>
                <w:szCs w:val="21"/>
              </w:rPr>
              <w:t>6</w:t>
            </w:r>
            <w:r>
              <w:rPr>
                <w:rFonts w:hint="eastAsia" w:ascii="宋体" w:hAnsi="宋体"/>
                <w:kern w:val="0"/>
                <w:szCs w:val="21"/>
              </w:rPr>
              <w:t>.</w:t>
            </w:r>
            <w:r>
              <w:rPr>
                <w:rFonts w:ascii="宋体" w:hAnsi="宋体"/>
                <w:kern w:val="0"/>
                <w:szCs w:val="21"/>
              </w:rPr>
              <w:t>教育文化娱乐服务</w:t>
            </w:r>
          </w:p>
        </w:tc>
        <w:tc>
          <w:tcPr>
            <w:tcW w:w="1668" w:type="pct"/>
            <w:vAlign w:val="center"/>
          </w:tcPr>
          <w:p w14:paraId="58B54470">
            <w:pPr>
              <w:pStyle w:val="23"/>
              <w:jc w:val="center"/>
              <w:rPr>
                <w:rFonts w:ascii="宋体" w:hAnsi="宋体"/>
                <w:kern w:val="0"/>
                <w:szCs w:val="21"/>
              </w:rPr>
            </w:pPr>
            <w:r>
              <w:rPr>
                <w:rFonts w:ascii="宋体" w:hAnsi="宋体"/>
                <w:kern w:val="0"/>
                <w:szCs w:val="21"/>
              </w:rPr>
              <w:t>元/人</w:t>
            </w:r>
          </w:p>
        </w:tc>
        <w:tc>
          <w:tcPr>
            <w:tcW w:w="1666" w:type="pct"/>
            <w:vAlign w:val="center"/>
          </w:tcPr>
          <w:p w14:paraId="5246D34F">
            <w:pPr>
              <w:pStyle w:val="23"/>
              <w:jc w:val="center"/>
              <w:rPr>
                <w:rFonts w:ascii="宋体" w:hAnsi="宋体"/>
                <w:kern w:val="0"/>
                <w:szCs w:val="21"/>
              </w:rPr>
            </w:pPr>
            <w:r>
              <w:rPr>
                <w:rFonts w:ascii="宋体" w:hAnsi="宋体"/>
                <w:kern w:val="0"/>
                <w:szCs w:val="21"/>
              </w:rPr>
              <w:t>657.69</w:t>
            </w:r>
          </w:p>
        </w:tc>
      </w:tr>
      <w:tr w14:paraId="09AF92E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666" w:type="pct"/>
            <w:vAlign w:val="center"/>
          </w:tcPr>
          <w:p w14:paraId="45FFFCF9">
            <w:pPr>
              <w:pStyle w:val="23"/>
              <w:ind w:firstLine="420" w:firstLineChars="200"/>
              <w:rPr>
                <w:rFonts w:ascii="宋体" w:hAnsi="宋体"/>
                <w:kern w:val="0"/>
                <w:szCs w:val="21"/>
              </w:rPr>
            </w:pPr>
            <w:r>
              <w:rPr>
                <w:rFonts w:ascii="宋体" w:hAnsi="宋体"/>
                <w:kern w:val="0"/>
                <w:szCs w:val="21"/>
              </w:rPr>
              <w:t>7</w:t>
            </w:r>
            <w:r>
              <w:rPr>
                <w:rFonts w:hint="eastAsia" w:ascii="宋体" w:hAnsi="宋体"/>
                <w:kern w:val="0"/>
                <w:szCs w:val="21"/>
              </w:rPr>
              <w:t>.</w:t>
            </w:r>
            <w:r>
              <w:rPr>
                <w:rFonts w:ascii="宋体" w:hAnsi="宋体"/>
                <w:kern w:val="0"/>
                <w:szCs w:val="21"/>
              </w:rPr>
              <w:t>居住</w:t>
            </w:r>
          </w:p>
        </w:tc>
        <w:tc>
          <w:tcPr>
            <w:tcW w:w="1668" w:type="pct"/>
            <w:vAlign w:val="center"/>
          </w:tcPr>
          <w:p w14:paraId="599239A4">
            <w:pPr>
              <w:pStyle w:val="23"/>
              <w:jc w:val="center"/>
              <w:rPr>
                <w:rFonts w:ascii="宋体" w:hAnsi="宋体"/>
                <w:kern w:val="0"/>
                <w:szCs w:val="21"/>
              </w:rPr>
            </w:pPr>
            <w:r>
              <w:rPr>
                <w:rFonts w:ascii="宋体" w:hAnsi="宋体"/>
                <w:kern w:val="0"/>
                <w:szCs w:val="21"/>
              </w:rPr>
              <w:t>元/人</w:t>
            </w:r>
          </w:p>
        </w:tc>
        <w:tc>
          <w:tcPr>
            <w:tcW w:w="1666" w:type="pct"/>
            <w:vAlign w:val="center"/>
          </w:tcPr>
          <w:p w14:paraId="13EFB940">
            <w:pPr>
              <w:pStyle w:val="23"/>
              <w:jc w:val="center"/>
              <w:rPr>
                <w:rFonts w:ascii="宋体" w:hAnsi="宋体"/>
                <w:kern w:val="0"/>
                <w:szCs w:val="21"/>
              </w:rPr>
            </w:pPr>
            <w:r>
              <w:rPr>
                <w:rFonts w:ascii="宋体" w:hAnsi="宋体"/>
                <w:kern w:val="0"/>
                <w:szCs w:val="21"/>
              </w:rPr>
              <w:t>1036.10</w:t>
            </w:r>
          </w:p>
        </w:tc>
      </w:tr>
      <w:tr w14:paraId="161DF0E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666" w:type="pct"/>
            <w:vAlign w:val="center"/>
          </w:tcPr>
          <w:p w14:paraId="5C172609">
            <w:pPr>
              <w:pStyle w:val="23"/>
              <w:ind w:firstLine="420" w:firstLineChars="200"/>
              <w:rPr>
                <w:rFonts w:ascii="宋体" w:hAnsi="宋体"/>
                <w:kern w:val="0"/>
                <w:szCs w:val="21"/>
              </w:rPr>
            </w:pPr>
            <w:r>
              <w:rPr>
                <w:rFonts w:ascii="宋体" w:hAnsi="宋体"/>
                <w:kern w:val="0"/>
                <w:szCs w:val="21"/>
              </w:rPr>
              <w:t>8</w:t>
            </w:r>
            <w:r>
              <w:rPr>
                <w:rFonts w:hint="eastAsia" w:ascii="宋体" w:hAnsi="宋体"/>
                <w:kern w:val="0"/>
                <w:szCs w:val="21"/>
              </w:rPr>
              <w:t>.</w:t>
            </w:r>
            <w:r>
              <w:rPr>
                <w:rFonts w:ascii="宋体" w:hAnsi="宋体"/>
                <w:kern w:val="0"/>
                <w:szCs w:val="21"/>
              </w:rPr>
              <w:t>杂项商品和服务</w:t>
            </w:r>
          </w:p>
        </w:tc>
        <w:tc>
          <w:tcPr>
            <w:tcW w:w="1668" w:type="pct"/>
            <w:vAlign w:val="center"/>
          </w:tcPr>
          <w:p w14:paraId="0EBC1D0E">
            <w:pPr>
              <w:pStyle w:val="23"/>
              <w:jc w:val="center"/>
              <w:rPr>
                <w:rFonts w:ascii="宋体" w:hAnsi="宋体"/>
                <w:kern w:val="0"/>
                <w:szCs w:val="21"/>
              </w:rPr>
            </w:pPr>
            <w:r>
              <w:rPr>
                <w:rFonts w:ascii="宋体" w:hAnsi="宋体"/>
                <w:kern w:val="0"/>
                <w:szCs w:val="21"/>
              </w:rPr>
              <w:t>元/人</w:t>
            </w:r>
          </w:p>
        </w:tc>
        <w:tc>
          <w:tcPr>
            <w:tcW w:w="1666" w:type="pct"/>
            <w:vAlign w:val="center"/>
          </w:tcPr>
          <w:p w14:paraId="39192F35">
            <w:pPr>
              <w:pStyle w:val="23"/>
              <w:jc w:val="center"/>
              <w:rPr>
                <w:rFonts w:ascii="宋体" w:hAnsi="宋体"/>
                <w:kern w:val="0"/>
                <w:szCs w:val="21"/>
              </w:rPr>
            </w:pPr>
            <w:r>
              <w:rPr>
                <w:rFonts w:ascii="宋体" w:hAnsi="宋体"/>
                <w:kern w:val="0"/>
                <w:szCs w:val="21"/>
              </w:rPr>
              <w:t>196.99</w:t>
            </w:r>
          </w:p>
        </w:tc>
      </w:tr>
      <w:tr w14:paraId="7EC3D58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666" w:type="pct"/>
            <w:vAlign w:val="center"/>
          </w:tcPr>
          <w:p w14:paraId="5530F5CF">
            <w:pPr>
              <w:pStyle w:val="23"/>
              <w:ind w:firstLine="420" w:firstLineChars="200"/>
              <w:rPr>
                <w:rFonts w:ascii="宋体" w:hAnsi="宋体"/>
                <w:kern w:val="0"/>
                <w:szCs w:val="21"/>
              </w:rPr>
            </w:pPr>
            <w:r>
              <w:rPr>
                <w:rFonts w:ascii="宋体" w:hAnsi="宋体"/>
                <w:kern w:val="0"/>
                <w:szCs w:val="21"/>
              </w:rPr>
              <w:t>2、转移性支出</w:t>
            </w:r>
          </w:p>
        </w:tc>
        <w:tc>
          <w:tcPr>
            <w:tcW w:w="1668" w:type="pct"/>
            <w:vAlign w:val="center"/>
          </w:tcPr>
          <w:p w14:paraId="5FC8C194">
            <w:pPr>
              <w:pStyle w:val="23"/>
              <w:jc w:val="center"/>
              <w:rPr>
                <w:rFonts w:ascii="宋体" w:hAnsi="宋体"/>
                <w:kern w:val="0"/>
                <w:szCs w:val="21"/>
              </w:rPr>
            </w:pPr>
            <w:r>
              <w:rPr>
                <w:rFonts w:ascii="宋体" w:hAnsi="宋体"/>
                <w:kern w:val="0"/>
                <w:szCs w:val="21"/>
              </w:rPr>
              <w:t>元/人</w:t>
            </w:r>
          </w:p>
        </w:tc>
        <w:tc>
          <w:tcPr>
            <w:tcW w:w="1666" w:type="pct"/>
            <w:vAlign w:val="center"/>
          </w:tcPr>
          <w:p w14:paraId="2605DF08">
            <w:pPr>
              <w:pStyle w:val="23"/>
              <w:jc w:val="center"/>
              <w:rPr>
                <w:rFonts w:ascii="宋体" w:hAnsi="宋体"/>
                <w:kern w:val="0"/>
                <w:szCs w:val="21"/>
              </w:rPr>
            </w:pPr>
            <w:r>
              <w:rPr>
                <w:rFonts w:ascii="宋体" w:hAnsi="宋体"/>
                <w:kern w:val="0"/>
                <w:szCs w:val="21"/>
              </w:rPr>
              <w:t>1318.43</w:t>
            </w:r>
          </w:p>
        </w:tc>
      </w:tr>
      <w:tr w14:paraId="61F1AAB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666" w:type="pct"/>
            <w:vAlign w:val="center"/>
          </w:tcPr>
          <w:p w14:paraId="4B14BF21">
            <w:pPr>
              <w:pStyle w:val="23"/>
              <w:ind w:firstLine="420" w:firstLineChars="200"/>
              <w:rPr>
                <w:rFonts w:ascii="宋体" w:hAnsi="宋体"/>
                <w:kern w:val="0"/>
                <w:szCs w:val="21"/>
              </w:rPr>
            </w:pPr>
            <w:r>
              <w:rPr>
                <w:rFonts w:ascii="宋体" w:hAnsi="宋体"/>
                <w:kern w:val="0"/>
                <w:szCs w:val="21"/>
              </w:rPr>
              <w:t>其中：捐赠支出</w:t>
            </w:r>
          </w:p>
        </w:tc>
        <w:tc>
          <w:tcPr>
            <w:tcW w:w="1668" w:type="pct"/>
            <w:vAlign w:val="center"/>
          </w:tcPr>
          <w:p w14:paraId="7B10C79A">
            <w:pPr>
              <w:pStyle w:val="23"/>
              <w:jc w:val="center"/>
              <w:rPr>
                <w:rFonts w:ascii="宋体" w:hAnsi="宋体"/>
                <w:kern w:val="0"/>
                <w:szCs w:val="21"/>
              </w:rPr>
            </w:pPr>
            <w:r>
              <w:rPr>
                <w:rFonts w:ascii="宋体" w:hAnsi="宋体"/>
                <w:kern w:val="0"/>
                <w:szCs w:val="21"/>
              </w:rPr>
              <w:t>元/人</w:t>
            </w:r>
          </w:p>
        </w:tc>
        <w:tc>
          <w:tcPr>
            <w:tcW w:w="1666" w:type="pct"/>
            <w:vAlign w:val="center"/>
          </w:tcPr>
          <w:p w14:paraId="10B0A5E9">
            <w:pPr>
              <w:pStyle w:val="23"/>
              <w:jc w:val="center"/>
              <w:rPr>
                <w:rFonts w:ascii="宋体" w:hAnsi="宋体"/>
                <w:kern w:val="0"/>
                <w:szCs w:val="21"/>
              </w:rPr>
            </w:pPr>
            <w:r>
              <w:rPr>
                <w:rFonts w:ascii="宋体" w:hAnsi="宋体"/>
                <w:kern w:val="0"/>
                <w:szCs w:val="21"/>
              </w:rPr>
              <w:t>1095.12</w:t>
            </w:r>
          </w:p>
        </w:tc>
      </w:tr>
      <w:tr w14:paraId="7FD9EEF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666" w:type="pct"/>
            <w:vAlign w:val="center"/>
          </w:tcPr>
          <w:p w14:paraId="3D98B8A5">
            <w:pPr>
              <w:pStyle w:val="23"/>
              <w:ind w:firstLine="1050" w:firstLineChars="500"/>
              <w:rPr>
                <w:rFonts w:ascii="宋体" w:hAnsi="宋体"/>
                <w:kern w:val="0"/>
                <w:szCs w:val="21"/>
              </w:rPr>
            </w:pPr>
            <w:r>
              <w:rPr>
                <w:rFonts w:ascii="宋体" w:hAnsi="宋体"/>
                <w:kern w:val="0"/>
                <w:szCs w:val="21"/>
              </w:rPr>
              <w:t>赡养支出</w:t>
            </w:r>
          </w:p>
        </w:tc>
        <w:tc>
          <w:tcPr>
            <w:tcW w:w="1668" w:type="pct"/>
            <w:vAlign w:val="center"/>
          </w:tcPr>
          <w:p w14:paraId="1DDE17CA">
            <w:pPr>
              <w:pStyle w:val="23"/>
              <w:jc w:val="center"/>
              <w:rPr>
                <w:rFonts w:ascii="宋体" w:hAnsi="宋体"/>
                <w:kern w:val="0"/>
                <w:szCs w:val="21"/>
              </w:rPr>
            </w:pPr>
            <w:r>
              <w:rPr>
                <w:rFonts w:ascii="宋体" w:hAnsi="宋体"/>
                <w:kern w:val="0"/>
                <w:szCs w:val="21"/>
              </w:rPr>
              <w:t>元/人</w:t>
            </w:r>
          </w:p>
        </w:tc>
        <w:tc>
          <w:tcPr>
            <w:tcW w:w="1666" w:type="pct"/>
            <w:vAlign w:val="center"/>
          </w:tcPr>
          <w:p w14:paraId="13FCED57">
            <w:pPr>
              <w:pStyle w:val="23"/>
              <w:jc w:val="center"/>
              <w:rPr>
                <w:rFonts w:ascii="宋体" w:hAnsi="宋体"/>
                <w:kern w:val="0"/>
                <w:szCs w:val="21"/>
              </w:rPr>
            </w:pPr>
            <w:r>
              <w:rPr>
                <w:rFonts w:ascii="宋体" w:hAnsi="宋体"/>
                <w:kern w:val="0"/>
                <w:szCs w:val="21"/>
              </w:rPr>
              <w:t>158.68</w:t>
            </w:r>
          </w:p>
        </w:tc>
      </w:tr>
      <w:tr w14:paraId="7BEED99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666" w:type="pct"/>
            <w:vAlign w:val="center"/>
          </w:tcPr>
          <w:p w14:paraId="3325B8D4">
            <w:pPr>
              <w:pStyle w:val="23"/>
              <w:ind w:firstLine="420" w:firstLineChars="200"/>
              <w:rPr>
                <w:rFonts w:ascii="宋体" w:hAnsi="宋体"/>
                <w:kern w:val="0"/>
                <w:szCs w:val="21"/>
              </w:rPr>
            </w:pPr>
            <w:r>
              <w:rPr>
                <w:rFonts w:ascii="宋体" w:hAnsi="宋体"/>
                <w:kern w:val="0"/>
                <w:szCs w:val="21"/>
              </w:rPr>
              <w:t>3、社会保障支出</w:t>
            </w:r>
          </w:p>
        </w:tc>
        <w:tc>
          <w:tcPr>
            <w:tcW w:w="1668" w:type="pct"/>
            <w:vAlign w:val="center"/>
          </w:tcPr>
          <w:p w14:paraId="42B8169B">
            <w:pPr>
              <w:pStyle w:val="23"/>
              <w:jc w:val="center"/>
              <w:rPr>
                <w:rFonts w:ascii="宋体" w:hAnsi="宋体"/>
                <w:kern w:val="0"/>
                <w:szCs w:val="21"/>
              </w:rPr>
            </w:pPr>
            <w:r>
              <w:rPr>
                <w:rFonts w:ascii="宋体" w:hAnsi="宋体"/>
                <w:kern w:val="0"/>
                <w:szCs w:val="21"/>
              </w:rPr>
              <w:t>元/人</w:t>
            </w:r>
          </w:p>
        </w:tc>
        <w:tc>
          <w:tcPr>
            <w:tcW w:w="1666" w:type="pct"/>
            <w:vAlign w:val="center"/>
          </w:tcPr>
          <w:p w14:paraId="46928748">
            <w:pPr>
              <w:pStyle w:val="23"/>
              <w:jc w:val="center"/>
              <w:rPr>
                <w:rFonts w:ascii="宋体" w:hAnsi="宋体"/>
                <w:kern w:val="0"/>
                <w:szCs w:val="21"/>
              </w:rPr>
            </w:pPr>
            <w:r>
              <w:rPr>
                <w:rFonts w:ascii="宋体" w:hAnsi="宋体"/>
                <w:kern w:val="0"/>
                <w:szCs w:val="21"/>
              </w:rPr>
              <w:t>873.18</w:t>
            </w:r>
          </w:p>
        </w:tc>
      </w:tr>
      <w:tr w14:paraId="437C9E4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666" w:type="pct"/>
            <w:vAlign w:val="center"/>
          </w:tcPr>
          <w:p w14:paraId="00817AA4">
            <w:pPr>
              <w:pStyle w:val="23"/>
              <w:ind w:firstLine="420" w:firstLineChars="200"/>
              <w:rPr>
                <w:rFonts w:ascii="宋体" w:hAnsi="宋体"/>
                <w:kern w:val="0"/>
                <w:szCs w:val="21"/>
              </w:rPr>
            </w:pPr>
            <w:r>
              <w:rPr>
                <w:rFonts w:ascii="宋体" w:hAnsi="宋体"/>
                <w:kern w:val="0"/>
                <w:szCs w:val="21"/>
              </w:rPr>
              <w:t>其中：个人交纳的养老基金</w:t>
            </w:r>
          </w:p>
        </w:tc>
        <w:tc>
          <w:tcPr>
            <w:tcW w:w="1668" w:type="pct"/>
            <w:vAlign w:val="center"/>
          </w:tcPr>
          <w:p w14:paraId="4BC4637E">
            <w:pPr>
              <w:pStyle w:val="23"/>
              <w:jc w:val="center"/>
              <w:rPr>
                <w:rFonts w:ascii="宋体" w:hAnsi="宋体"/>
                <w:kern w:val="0"/>
                <w:szCs w:val="21"/>
              </w:rPr>
            </w:pPr>
            <w:r>
              <w:rPr>
                <w:rFonts w:ascii="宋体" w:hAnsi="宋体"/>
                <w:kern w:val="0"/>
                <w:szCs w:val="21"/>
              </w:rPr>
              <w:t>元/人</w:t>
            </w:r>
          </w:p>
        </w:tc>
        <w:tc>
          <w:tcPr>
            <w:tcW w:w="1666" w:type="pct"/>
            <w:vAlign w:val="center"/>
          </w:tcPr>
          <w:p w14:paraId="2889471E">
            <w:pPr>
              <w:pStyle w:val="23"/>
              <w:jc w:val="center"/>
              <w:rPr>
                <w:rFonts w:ascii="宋体" w:hAnsi="宋体"/>
                <w:kern w:val="0"/>
                <w:szCs w:val="21"/>
              </w:rPr>
            </w:pPr>
            <w:r>
              <w:rPr>
                <w:rFonts w:ascii="宋体" w:hAnsi="宋体"/>
                <w:kern w:val="0"/>
                <w:szCs w:val="21"/>
              </w:rPr>
              <w:t>574.24</w:t>
            </w:r>
          </w:p>
        </w:tc>
      </w:tr>
      <w:tr w14:paraId="465B46F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666" w:type="pct"/>
            <w:vAlign w:val="center"/>
          </w:tcPr>
          <w:p w14:paraId="4ADC1878">
            <w:pPr>
              <w:pStyle w:val="23"/>
              <w:ind w:firstLine="1050" w:firstLineChars="500"/>
              <w:rPr>
                <w:rFonts w:ascii="宋体" w:hAnsi="宋体"/>
                <w:kern w:val="0"/>
                <w:szCs w:val="21"/>
              </w:rPr>
            </w:pPr>
            <w:r>
              <w:rPr>
                <w:rFonts w:ascii="宋体" w:hAnsi="宋体"/>
                <w:kern w:val="0"/>
                <w:szCs w:val="21"/>
              </w:rPr>
              <w:t>个人交纳的医疗基金</w:t>
            </w:r>
          </w:p>
        </w:tc>
        <w:tc>
          <w:tcPr>
            <w:tcW w:w="1668" w:type="pct"/>
            <w:vAlign w:val="center"/>
          </w:tcPr>
          <w:p w14:paraId="0ADC526C">
            <w:pPr>
              <w:pStyle w:val="23"/>
              <w:jc w:val="center"/>
              <w:rPr>
                <w:rFonts w:ascii="宋体" w:hAnsi="宋体"/>
                <w:kern w:val="0"/>
                <w:szCs w:val="21"/>
              </w:rPr>
            </w:pPr>
            <w:r>
              <w:rPr>
                <w:rFonts w:ascii="宋体" w:hAnsi="宋体"/>
                <w:kern w:val="0"/>
                <w:szCs w:val="21"/>
              </w:rPr>
              <w:t>元/人</w:t>
            </w:r>
          </w:p>
        </w:tc>
        <w:tc>
          <w:tcPr>
            <w:tcW w:w="1666" w:type="pct"/>
            <w:vAlign w:val="center"/>
          </w:tcPr>
          <w:p w14:paraId="0C983152">
            <w:pPr>
              <w:pStyle w:val="23"/>
              <w:jc w:val="center"/>
              <w:rPr>
                <w:rFonts w:ascii="宋体" w:hAnsi="宋体"/>
                <w:kern w:val="0"/>
                <w:szCs w:val="21"/>
              </w:rPr>
            </w:pPr>
            <w:r>
              <w:rPr>
                <w:rFonts w:ascii="宋体" w:hAnsi="宋体"/>
                <w:kern w:val="0"/>
                <w:szCs w:val="21"/>
              </w:rPr>
              <w:t>123.4</w:t>
            </w:r>
          </w:p>
        </w:tc>
      </w:tr>
    </w:tbl>
    <w:p w14:paraId="77401A92">
      <w:pPr>
        <w:ind w:firstLine="0" w:firstLineChars="0"/>
        <w:jc w:val="center"/>
        <w:rPr>
          <w:rFonts w:ascii="宋体" w:hAnsi="宋体"/>
          <w:b/>
          <w:szCs w:val="21"/>
        </w:rPr>
      </w:pPr>
      <w:r>
        <w:rPr>
          <w:rFonts w:hint="eastAsia" w:ascii="宋体" w:hAnsi="宋体"/>
          <w:b/>
          <w:szCs w:val="21"/>
        </w:rPr>
        <w:t>表64 城镇住户年末耐用消费品拥有量</w:t>
      </w:r>
    </w:p>
    <w:tbl>
      <w:tblPr>
        <w:tblStyle w:val="14"/>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361"/>
        <w:gridCol w:w="2801"/>
        <w:gridCol w:w="2800"/>
      </w:tblGrid>
      <w:tr w14:paraId="4CB30B8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189" w:type="pct"/>
            <w:shd w:val="clear" w:color="auto" w:fill="auto"/>
            <w:noWrap/>
            <w:vAlign w:val="center"/>
          </w:tcPr>
          <w:p w14:paraId="467E5B4D">
            <w:pPr>
              <w:pStyle w:val="23"/>
              <w:jc w:val="center"/>
              <w:rPr>
                <w:b/>
                <w:kern w:val="0"/>
              </w:rPr>
            </w:pPr>
            <w:r>
              <w:rPr>
                <w:b/>
                <w:kern w:val="0"/>
              </w:rPr>
              <w:t>指标名称</w:t>
            </w:r>
          </w:p>
        </w:tc>
        <w:tc>
          <w:tcPr>
            <w:tcW w:w="1406" w:type="pct"/>
            <w:shd w:val="clear" w:color="auto" w:fill="auto"/>
            <w:noWrap/>
            <w:vAlign w:val="center"/>
          </w:tcPr>
          <w:p w14:paraId="57A05EDF">
            <w:pPr>
              <w:pStyle w:val="23"/>
              <w:jc w:val="center"/>
              <w:rPr>
                <w:b/>
                <w:kern w:val="0"/>
              </w:rPr>
            </w:pPr>
            <w:r>
              <w:rPr>
                <w:b/>
                <w:kern w:val="0"/>
              </w:rPr>
              <w:t>计算单位</w:t>
            </w:r>
          </w:p>
        </w:tc>
        <w:tc>
          <w:tcPr>
            <w:tcW w:w="1406" w:type="pct"/>
            <w:shd w:val="clear" w:color="auto" w:fill="auto"/>
            <w:noWrap/>
            <w:vAlign w:val="center"/>
          </w:tcPr>
          <w:p w14:paraId="5FC213FD">
            <w:pPr>
              <w:pStyle w:val="23"/>
              <w:jc w:val="center"/>
              <w:rPr>
                <w:b/>
                <w:kern w:val="0"/>
              </w:rPr>
            </w:pPr>
            <w:r>
              <w:rPr>
                <w:b/>
                <w:kern w:val="0"/>
              </w:rPr>
              <w:t>2011年</w:t>
            </w:r>
          </w:p>
        </w:tc>
      </w:tr>
      <w:tr w14:paraId="3EECEBA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189" w:type="pct"/>
            <w:shd w:val="clear" w:color="auto" w:fill="auto"/>
            <w:noWrap/>
            <w:vAlign w:val="center"/>
          </w:tcPr>
          <w:p w14:paraId="66B391EC">
            <w:pPr>
              <w:pStyle w:val="23"/>
              <w:ind w:firstLine="420" w:firstLineChars="200"/>
              <w:rPr>
                <w:rFonts w:ascii="宋体" w:hAnsi="宋体"/>
                <w:kern w:val="0"/>
                <w:szCs w:val="21"/>
              </w:rPr>
            </w:pPr>
            <w:r>
              <w:rPr>
                <w:rFonts w:ascii="宋体" w:hAnsi="宋体"/>
                <w:kern w:val="0"/>
                <w:szCs w:val="21"/>
              </w:rPr>
              <w:t>（1）摩托车</w:t>
            </w:r>
          </w:p>
        </w:tc>
        <w:tc>
          <w:tcPr>
            <w:tcW w:w="1406" w:type="pct"/>
            <w:shd w:val="clear" w:color="auto" w:fill="auto"/>
            <w:noWrap/>
            <w:vAlign w:val="center"/>
          </w:tcPr>
          <w:p w14:paraId="73137B7E">
            <w:pPr>
              <w:pStyle w:val="23"/>
              <w:jc w:val="center"/>
              <w:rPr>
                <w:rFonts w:ascii="宋体" w:hAnsi="宋体"/>
                <w:kern w:val="0"/>
                <w:szCs w:val="21"/>
              </w:rPr>
            </w:pPr>
            <w:r>
              <w:rPr>
                <w:rFonts w:ascii="宋体" w:hAnsi="宋体"/>
                <w:kern w:val="0"/>
                <w:szCs w:val="21"/>
              </w:rPr>
              <w:t>辆/百户</w:t>
            </w:r>
          </w:p>
        </w:tc>
        <w:tc>
          <w:tcPr>
            <w:tcW w:w="1406" w:type="pct"/>
            <w:shd w:val="clear" w:color="auto" w:fill="auto"/>
            <w:noWrap/>
            <w:vAlign w:val="center"/>
          </w:tcPr>
          <w:p w14:paraId="6D1E681F">
            <w:pPr>
              <w:pStyle w:val="23"/>
              <w:jc w:val="center"/>
              <w:rPr>
                <w:rFonts w:ascii="宋体" w:hAnsi="宋体"/>
                <w:kern w:val="0"/>
                <w:szCs w:val="21"/>
              </w:rPr>
            </w:pPr>
            <w:r>
              <w:rPr>
                <w:rFonts w:ascii="宋体" w:hAnsi="宋体"/>
                <w:kern w:val="0"/>
                <w:szCs w:val="21"/>
              </w:rPr>
              <w:t>76.00</w:t>
            </w:r>
          </w:p>
        </w:tc>
      </w:tr>
      <w:tr w14:paraId="036FA51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189" w:type="pct"/>
            <w:shd w:val="clear" w:color="auto" w:fill="auto"/>
            <w:noWrap/>
            <w:vAlign w:val="center"/>
          </w:tcPr>
          <w:p w14:paraId="24558A4B">
            <w:pPr>
              <w:pStyle w:val="23"/>
              <w:ind w:firstLine="420" w:firstLineChars="200"/>
              <w:rPr>
                <w:rFonts w:ascii="宋体" w:hAnsi="宋体"/>
                <w:kern w:val="0"/>
                <w:szCs w:val="21"/>
              </w:rPr>
            </w:pPr>
            <w:r>
              <w:rPr>
                <w:rFonts w:ascii="宋体" w:hAnsi="宋体"/>
                <w:kern w:val="0"/>
                <w:szCs w:val="21"/>
              </w:rPr>
              <w:t>（2）助力车</w:t>
            </w:r>
          </w:p>
        </w:tc>
        <w:tc>
          <w:tcPr>
            <w:tcW w:w="1406" w:type="pct"/>
            <w:shd w:val="clear" w:color="auto" w:fill="auto"/>
            <w:noWrap/>
            <w:vAlign w:val="center"/>
          </w:tcPr>
          <w:p w14:paraId="5E4B9D4E">
            <w:pPr>
              <w:pStyle w:val="23"/>
              <w:jc w:val="center"/>
              <w:rPr>
                <w:rFonts w:ascii="宋体" w:hAnsi="宋体"/>
                <w:kern w:val="0"/>
                <w:szCs w:val="21"/>
              </w:rPr>
            </w:pPr>
            <w:r>
              <w:rPr>
                <w:rFonts w:ascii="宋体" w:hAnsi="宋体"/>
                <w:kern w:val="0"/>
                <w:szCs w:val="21"/>
              </w:rPr>
              <w:t>辆/百户</w:t>
            </w:r>
          </w:p>
        </w:tc>
        <w:tc>
          <w:tcPr>
            <w:tcW w:w="1406" w:type="pct"/>
            <w:shd w:val="clear" w:color="auto" w:fill="auto"/>
            <w:noWrap/>
            <w:vAlign w:val="center"/>
          </w:tcPr>
          <w:p w14:paraId="5C4F78D0">
            <w:pPr>
              <w:pStyle w:val="23"/>
              <w:jc w:val="center"/>
              <w:rPr>
                <w:rFonts w:ascii="宋体" w:hAnsi="宋体"/>
                <w:kern w:val="0"/>
                <w:szCs w:val="21"/>
              </w:rPr>
            </w:pPr>
            <w:r>
              <w:rPr>
                <w:rFonts w:ascii="宋体" w:hAnsi="宋体"/>
                <w:kern w:val="0"/>
                <w:szCs w:val="21"/>
              </w:rPr>
              <w:t>18.00</w:t>
            </w:r>
          </w:p>
        </w:tc>
      </w:tr>
      <w:tr w14:paraId="1137DF6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189" w:type="pct"/>
            <w:shd w:val="clear" w:color="auto" w:fill="auto"/>
            <w:noWrap/>
            <w:vAlign w:val="center"/>
          </w:tcPr>
          <w:p w14:paraId="1262D18B">
            <w:pPr>
              <w:pStyle w:val="23"/>
              <w:ind w:firstLine="420" w:firstLineChars="200"/>
              <w:rPr>
                <w:rFonts w:ascii="宋体" w:hAnsi="宋体"/>
                <w:kern w:val="0"/>
                <w:szCs w:val="21"/>
              </w:rPr>
            </w:pPr>
            <w:r>
              <w:rPr>
                <w:rFonts w:ascii="宋体" w:hAnsi="宋体"/>
                <w:kern w:val="0"/>
                <w:szCs w:val="21"/>
              </w:rPr>
              <w:t>（3）家用汽车</w:t>
            </w:r>
          </w:p>
        </w:tc>
        <w:tc>
          <w:tcPr>
            <w:tcW w:w="1406" w:type="pct"/>
            <w:shd w:val="clear" w:color="auto" w:fill="auto"/>
            <w:noWrap/>
            <w:vAlign w:val="center"/>
          </w:tcPr>
          <w:p w14:paraId="7D7C1FBB">
            <w:pPr>
              <w:pStyle w:val="23"/>
              <w:jc w:val="center"/>
              <w:rPr>
                <w:rFonts w:ascii="宋体" w:hAnsi="宋体"/>
                <w:kern w:val="0"/>
                <w:szCs w:val="21"/>
              </w:rPr>
            </w:pPr>
            <w:r>
              <w:rPr>
                <w:rFonts w:ascii="宋体" w:hAnsi="宋体"/>
                <w:kern w:val="0"/>
                <w:szCs w:val="21"/>
              </w:rPr>
              <w:t>辆/百户</w:t>
            </w:r>
          </w:p>
        </w:tc>
        <w:tc>
          <w:tcPr>
            <w:tcW w:w="1406" w:type="pct"/>
            <w:shd w:val="clear" w:color="auto" w:fill="auto"/>
            <w:noWrap/>
            <w:vAlign w:val="center"/>
          </w:tcPr>
          <w:p w14:paraId="5D8E7B05">
            <w:pPr>
              <w:pStyle w:val="23"/>
              <w:jc w:val="center"/>
              <w:rPr>
                <w:rFonts w:ascii="宋体" w:hAnsi="宋体"/>
                <w:kern w:val="0"/>
                <w:szCs w:val="21"/>
              </w:rPr>
            </w:pPr>
            <w:r>
              <w:rPr>
                <w:rFonts w:ascii="宋体" w:hAnsi="宋体"/>
                <w:kern w:val="0"/>
                <w:szCs w:val="21"/>
              </w:rPr>
              <w:t>10.00</w:t>
            </w:r>
          </w:p>
        </w:tc>
      </w:tr>
      <w:tr w14:paraId="1CA6F5C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189" w:type="pct"/>
            <w:shd w:val="clear" w:color="auto" w:fill="auto"/>
            <w:noWrap/>
            <w:vAlign w:val="center"/>
          </w:tcPr>
          <w:p w14:paraId="0936CC1E">
            <w:pPr>
              <w:pStyle w:val="23"/>
              <w:ind w:firstLine="420" w:firstLineChars="200"/>
              <w:rPr>
                <w:rFonts w:ascii="宋体" w:hAnsi="宋体"/>
                <w:kern w:val="0"/>
                <w:szCs w:val="21"/>
              </w:rPr>
            </w:pPr>
            <w:r>
              <w:rPr>
                <w:rFonts w:ascii="宋体" w:hAnsi="宋体"/>
                <w:kern w:val="0"/>
                <w:szCs w:val="21"/>
              </w:rPr>
              <w:t>（4）洗衣机</w:t>
            </w:r>
          </w:p>
        </w:tc>
        <w:tc>
          <w:tcPr>
            <w:tcW w:w="1406" w:type="pct"/>
            <w:shd w:val="clear" w:color="auto" w:fill="auto"/>
            <w:noWrap/>
            <w:vAlign w:val="center"/>
          </w:tcPr>
          <w:p w14:paraId="0071F6AC">
            <w:pPr>
              <w:pStyle w:val="23"/>
              <w:jc w:val="center"/>
              <w:rPr>
                <w:rFonts w:ascii="宋体" w:hAnsi="宋体"/>
                <w:kern w:val="0"/>
                <w:szCs w:val="21"/>
              </w:rPr>
            </w:pPr>
            <w:r>
              <w:rPr>
                <w:rFonts w:ascii="宋体" w:hAnsi="宋体"/>
                <w:kern w:val="0"/>
                <w:szCs w:val="21"/>
              </w:rPr>
              <w:t>台/百户</w:t>
            </w:r>
          </w:p>
        </w:tc>
        <w:tc>
          <w:tcPr>
            <w:tcW w:w="1406" w:type="pct"/>
            <w:shd w:val="clear" w:color="auto" w:fill="auto"/>
            <w:noWrap/>
            <w:vAlign w:val="center"/>
          </w:tcPr>
          <w:p w14:paraId="445603A7">
            <w:pPr>
              <w:pStyle w:val="23"/>
              <w:jc w:val="center"/>
              <w:rPr>
                <w:rFonts w:ascii="宋体" w:hAnsi="宋体"/>
                <w:kern w:val="0"/>
                <w:szCs w:val="21"/>
              </w:rPr>
            </w:pPr>
            <w:r>
              <w:rPr>
                <w:rFonts w:ascii="宋体" w:hAnsi="宋体"/>
                <w:kern w:val="0"/>
                <w:szCs w:val="21"/>
              </w:rPr>
              <w:t>94.00</w:t>
            </w:r>
          </w:p>
        </w:tc>
      </w:tr>
      <w:tr w14:paraId="3D90C00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189" w:type="pct"/>
            <w:shd w:val="clear" w:color="auto" w:fill="auto"/>
            <w:noWrap/>
            <w:vAlign w:val="center"/>
          </w:tcPr>
          <w:p w14:paraId="19383911">
            <w:pPr>
              <w:pStyle w:val="23"/>
              <w:ind w:firstLine="420" w:firstLineChars="200"/>
              <w:rPr>
                <w:rFonts w:ascii="宋体" w:hAnsi="宋体"/>
                <w:kern w:val="0"/>
                <w:szCs w:val="21"/>
              </w:rPr>
            </w:pPr>
            <w:r>
              <w:rPr>
                <w:rFonts w:ascii="宋体" w:hAnsi="宋体"/>
                <w:kern w:val="0"/>
                <w:szCs w:val="21"/>
              </w:rPr>
              <w:t>（5）电冰箱（柜）</w:t>
            </w:r>
          </w:p>
        </w:tc>
        <w:tc>
          <w:tcPr>
            <w:tcW w:w="1406" w:type="pct"/>
            <w:shd w:val="clear" w:color="auto" w:fill="auto"/>
            <w:noWrap/>
            <w:vAlign w:val="center"/>
          </w:tcPr>
          <w:p w14:paraId="6E5F702A">
            <w:pPr>
              <w:pStyle w:val="23"/>
              <w:jc w:val="center"/>
              <w:rPr>
                <w:rFonts w:ascii="宋体" w:hAnsi="宋体"/>
                <w:kern w:val="0"/>
                <w:szCs w:val="21"/>
              </w:rPr>
            </w:pPr>
            <w:r>
              <w:rPr>
                <w:rFonts w:ascii="宋体" w:hAnsi="宋体"/>
                <w:kern w:val="0"/>
                <w:szCs w:val="21"/>
              </w:rPr>
              <w:t>台/百户</w:t>
            </w:r>
          </w:p>
        </w:tc>
        <w:tc>
          <w:tcPr>
            <w:tcW w:w="1406" w:type="pct"/>
            <w:shd w:val="clear" w:color="auto" w:fill="auto"/>
            <w:noWrap/>
            <w:vAlign w:val="center"/>
          </w:tcPr>
          <w:p w14:paraId="36272E3B">
            <w:pPr>
              <w:pStyle w:val="23"/>
              <w:jc w:val="center"/>
              <w:rPr>
                <w:rFonts w:ascii="宋体" w:hAnsi="宋体"/>
                <w:kern w:val="0"/>
                <w:szCs w:val="21"/>
              </w:rPr>
            </w:pPr>
            <w:r>
              <w:rPr>
                <w:rFonts w:ascii="宋体" w:hAnsi="宋体"/>
                <w:kern w:val="0"/>
                <w:szCs w:val="21"/>
              </w:rPr>
              <w:t>94.00</w:t>
            </w:r>
          </w:p>
        </w:tc>
      </w:tr>
      <w:tr w14:paraId="05B1B4A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189" w:type="pct"/>
            <w:shd w:val="clear" w:color="auto" w:fill="auto"/>
            <w:noWrap/>
            <w:vAlign w:val="center"/>
          </w:tcPr>
          <w:p w14:paraId="5FC7B958">
            <w:pPr>
              <w:pStyle w:val="23"/>
              <w:ind w:firstLine="420" w:firstLineChars="200"/>
              <w:rPr>
                <w:rFonts w:ascii="宋体" w:hAnsi="宋体"/>
                <w:kern w:val="0"/>
                <w:szCs w:val="21"/>
              </w:rPr>
            </w:pPr>
            <w:r>
              <w:rPr>
                <w:rFonts w:ascii="宋体" w:hAnsi="宋体"/>
                <w:kern w:val="0"/>
                <w:szCs w:val="21"/>
              </w:rPr>
              <w:t>（6）彩色电视机</w:t>
            </w:r>
          </w:p>
        </w:tc>
        <w:tc>
          <w:tcPr>
            <w:tcW w:w="1406" w:type="pct"/>
            <w:shd w:val="clear" w:color="auto" w:fill="auto"/>
            <w:noWrap/>
            <w:vAlign w:val="center"/>
          </w:tcPr>
          <w:p w14:paraId="00313162">
            <w:pPr>
              <w:pStyle w:val="23"/>
              <w:jc w:val="center"/>
              <w:rPr>
                <w:rFonts w:ascii="宋体" w:hAnsi="宋体"/>
                <w:kern w:val="0"/>
                <w:szCs w:val="21"/>
              </w:rPr>
            </w:pPr>
            <w:r>
              <w:rPr>
                <w:rFonts w:ascii="宋体" w:hAnsi="宋体"/>
                <w:kern w:val="0"/>
                <w:szCs w:val="21"/>
              </w:rPr>
              <w:t>台/百户</w:t>
            </w:r>
          </w:p>
        </w:tc>
        <w:tc>
          <w:tcPr>
            <w:tcW w:w="1406" w:type="pct"/>
            <w:shd w:val="clear" w:color="auto" w:fill="auto"/>
            <w:noWrap/>
            <w:vAlign w:val="center"/>
          </w:tcPr>
          <w:p w14:paraId="6074A6F5">
            <w:pPr>
              <w:pStyle w:val="23"/>
              <w:jc w:val="center"/>
              <w:rPr>
                <w:rFonts w:ascii="宋体" w:hAnsi="宋体"/>
                <w:kern w:val="0"/>
                <w:szCs w:val="21"/>
              </w:rPr>
            </w:pPr>
            <w:r>
              <w:rPr>
                <w:rFonts w:ascii="宋体" w:hAnsi="宋体"/>
                <w:kern w:val="0"/>
                <w:szCs w:val="21"/>
              </w:rPr>
              <w:t>172.00</w:t>
            </w:r>
          </w:p>
        </w:tc>
      </w:tr>
      <w:tr w14:paraId="6FAFB66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189" w:type="pct"/>
            <w:shd w:val="clear" w:color="auto" w:fill="auto"/>
            <w:noWrap/>
            <w:vAlign w:val="center"/>
          </w:tcPr>
          <w:p w14:paraId="6E10091D">
            <w:pPr>
              <w:pStyle w:val="23"/>
              <w:ind w:firstLine="420" w:firstLineChars="200"/>
              <w:rPr>
                <w:rFonts w:ascii="宋体" w:hAnsi="宋体"/>
                <w:kern w:val="0"/>
                <w:szCs w:val="21"/>
              </w:rPr>
            </w:pPr>
            <w:r>
              <w:rPr>
                <w:rFonts w:ascii="宋体" w:hAnsi="宋体"/>
                <w:kern w:val="0"/>
                <w:szCs w:val="21"/>
              </w:rPr>
              <w:t>（7）家用电脑</w:t>
            </w:r>
          </w:p>
        </w:tc>
        <w:tc>
          <w:tcPr>
            <w:tcW w:w="1406" w:type="pct"/>
            <w:shd w:val="clear" w:color="auto" w:fill="auto"/>
            <w:noWrap/>
            <w:vAlign w:val="center"/>
          </w:tcPr>
          <w:p w14:paraId="29CEBEFB">
            <w:pPr>
              <w:pStyle w:val="23"/>
              <w:jc w:val="center"/>
              <w:rPr>
                <w:rFonts w:ascii="宋体" w:hAnsi="宋体"/>
                <w:kern w:val="0"/>
                <w:szCs w:val="21"/>
              </w:rPr>
            </w:pPr>
            <w:r>
              <w:rPr>
                <w:rFonts w:ascii="宋体" w:hAnsi="宋体"/>
                <w:kern w:val="0"/>
                <w:szCs w:val="21"/>
              </w:rPr>
              <w:t>台/百户</w:t>
            </w:r>
          </w:p>
        </w:tc>
        <w:tc>
          <w:tcPr>
            <w:tcW w:w="1406" w:type="pct"/>
            <w:shd w:val="clear" w:color="auto" w:fill="auto"/>
            <w:noWrap/>
            <w:vAlign w:val="center"/>
          </w:tcPr>
          <w:p w14:paraId="2CE70A77">
            <w:pPr>
              <w:pStyle w:val="23"/>
              <w:jc w:val="center"/>
              <w:rPr>
                <w:rFonts w:ascii="宋体" w:hAnsi="宋体"/>
                <w:kern w:val="0"/>
                <w:szCs w:val="21"/>
              </w:rPr>
            </w:pPr>
            <w:r>
              <w:rPr>
                <w:rFonts w:ascii="宋体" w:hAnsi="宋体"/>
                <w:kern w:val="0"/>
                <w:szCs w:val="21"/>
              </w:rPr>
              <w:t>62.00</w:t>
            </w:r>
          </w:p>
        </w:tc>
      </w:tr>
      <w:tr w14:paraId="722BEAE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189" w:type="pct"/>
            <w:shd w:val="clear" w:color="auto" w:fill="auto"/>
            <w:noWrap/>
            <w:vAlign w:val="center"/>
          </w:tcPr>
          <w:p w14:paraId="0A254716">
            <w:pPr>
              <w:pStyle w:val="23"/>
              <w:ind w:firstLine="420" w:firstLineChars="200"/>
              <w:rPr>
                <w:rFonts w:ascii="宋体" w:hAnsi="宋体"/>
                <w:kern w:val="0"/>
                <w:szCs w:val="21"/>
              </w:rPr>
            </w:pPr>
            <w:r>
              <w:rPr>
                <w:rFonts w:ascii="宋体" w:hAnsi="宋体"/>
                <w:kern w:val="0"/>
                <w:szCs w:val="21"/>
              </w:rPr>
              <w:t>（8）组合音响</w:t>
            </w:r>
          </w:p>
        </w:tc>
        <w:tc>
          <w:tcPr>
            <w:tcW w:w="1406" w:type="pct"/>
            <w:shd w:val="clear" w:color="auto" w:fill="auto"/>
            <w:noWrap/>
            <w:vAlign w:val="center"/>
          </w:tcPr>
          <w:p w14:paraId="055D1D57">
            <w:pPr>
              <w:pStyle w:val="23"/>
              <w:jc w:val="center"/>
              <w:rPr>
                <w:rFonts w:ascii="宋体" w:hAnsi="宋体"/>
                <w:kern w:val="0"/>
                <w:szCs w:val="21"/>
              </w:rPr>
            </w:pPr>
            <w:r>
              <w:rPr>
                <w:rFonts w:ascii="宋体" w:hAnsi="宋体"/>
                <w:kern w:val="0"/>
                <w:szCs w:val="21"/>
              </w:rPr>
              <w:t>套/百户</w:t>
            </w:r>
          </w:p>
        </w:tc>
        <w:tc>
          <w:tcPr>
            <w:tcW w:w="1406" w:type="pct"/>
            <w:shd w:val="clear" w:color="auto" w:fill="auto"/>
            <w:noWrap/>
            <w:vAlign w:val="center"/>
          </w:tcPr>
          <w:p w14:paraId="7AFF1123">
            <w:pPr>
              <w:pStyle w:val="23"/>
              <w:jc w:val="center"/>
              <w:rPr>
                <w:rFonts w:ascii="宋体" w:hAnsi="宋体"/>
                <w:kern w:val="0"/>
                <w:szCs w:val="21"/>
              </w:rPr>
            </w:pPr>
            <w:r>
              <w:rPr>
                <w:rFonts w:ascii="宋体" w:hAnsi="宋体"/>
                <w:kern w:val="0"/>
                <w:szCs w:val="21"/>
              </w:rPr>
              <w:t>42.00</w:t>
            </w:r>
          </w:p>
        </w:tc>
      </w:tr>
      <w:tr w14:paraId="377863F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189" w:type="pct"/>
            <w:shd w:val="clear" w:color="auto" w:fill="auto"/>
            <w:noWrap/>
            <w:vAlign w:val="center"/>
          </w:tcPr>
          <w:p w14:paraId="020D78E5">
            <w:pPr>
              <w:pStyle w:val="23"/>
              <w:ind w:firstLine="420" w:firstLineChars="200"/>
              <w:rPr>
                <w:rFonts w:ascii="宋体" w:hAnsi="宋体"/>
                <w:kern w:val="0"/>
                <w:szCs w:val="21"/>
              </w:rPr>
            </w:pPr>
            <w:r>
              <w:rPr>
                <w:rFonts w:ascii="宋体" w:hAnsi="宋体"/>
                <w:kern w:val="0"/>
                <w:szCs w:val="21"/>
              </w:rPr>
              <w:t>（9）摄像机</w:t>
            </w:r>
          </w:p>
        </w:tc>
        <w:tc>
          <w:tcPr>
            <w:tcW w:w="1406" w:type="pct"/>
            <w:shd w:val="clear" w:color="auto" w:fill="auto"/>
            <w:noWrap/>
            <w:vAlign w:val="center"/>
          </w:tcPr>
          <w:p w14:paraId="177A3D77">
            <w:pPr>
              <w:pStyle w:val="23"/>
              <w:jc w:val="center"/>
              <w:rPr>
                <w:rFonts w:ascii="宋体" w:hAnsi="宋体"/>
                <w:kern w:val="0"/>
                <w:szCs w:val="21"/>
              </w:rPr>
            </w:pPr>
            <w:r>
              <w:rPr>
                <w:rFonts w:ascii="宋体" w:hAnsi="宋体"/>
                <w:kern w:val="0"/>
                <w:szCs w:val="21"/>
              </w:rPr>
              <w:t>架/百户</w:t>
            </w:r>
          </w:p>
        </w:tc>
        <w:tc>
          <w:tcPr>
            <w:tcW w:w="1406" w:type="pct"/>
            <w:shd w:val="clear" w:color="auto" w:fill="auto"/>
            <w:noWrap/>
            <w:vAlign w:val="center"/>
          </w:tcPr>
          <w:p w14:paraId="60B4C46C">
            <w:pPr>
              <w:pStyle w:val="23"/>
              <w:jc w:val="center"/>
              <w:rPr>
                <w:rFonts w:ascii="宋体" w:hAnsi="宋体"/>
                <w:kern w:val="0"/>
                <w:szCs w:val="21"/>
              </w:rPr>
            </w:pPr>
            <w:r>
              <w:rPr>
                <w:rFonts w:ascii="宋体" w:hAnsi="宋体"/>
                <w:kern w:val="0"/>
                <w:szCs w:val="21"/>
              </w:rPr>
              <w:t>2.00</w:t>
            </w:r>
          </w:p>
        </w:tc>
      </w:tr>
      <w:tr w14:paraId="5044412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189" w:type="pct"/>
            <w:shd w:val="clear" w:color="auto" w:fill="auto"/>
            <w:noWrap/>
            <w:vAlign w:val="center"/>
          </w:tcPr>
          <w:p w14:paraId="4F359288">
            <w:pPr>
              <w:pStyle w:val="23"/>
              <w:ind w:firstLine="420" w:firstLineChars="200"/>
              <w:rPr>
                <w:rFonts w:ascii="宋体" w:hAnsi="宋体"/>
                <w:kern w:val="0"/>
                <w:szCs w:val="21"/>
              </w:rPr>
            </w:pPr>
            <w:r>
              <w:rPr>
                <w:rFonts w:hint="eastAsia" w:ascii="宋体" w:hAnsi="宋体"/>
                <w:kern w:val="0"/>
                <w:szCs w:val="21"/>
              </w:rPr>
              <w:t>（10）</w:t>
            </w:r>
            <w:r>
              <w:rPr>
                <w:rFonts w:ascii="宋体" w:hAnsi="宋体"/>
                <w:kern w:val="0"/>
                <w:szCs w:val="21"/>
              </w:rPr>
              <w:t>照相机</w:t>
            </w:r>
          </w:p>
        </w:tc>
        <w:tc>
          <w:tcPr>
            <w:tcW w:w="1406" w:type="pct"/>
            <w:shd w:val="clear" w:color="auto" w:fill="auto"/>
            <w:noWrap/>
            <w:vAlign w:val="center"/>
          </w:tcPr>
          <w:p w14:paraId="73915442">
            <w:pPr>
              <w:pStyle w:val="23"/>
              <w:jc w:val="center"/>
              <w:rPr>
                <w:rFonts w:ascii="宋体" w:hAnsi="宋体"/>
                <w:kern w:val="0"/>
                <w:szCs w:val="21"/>
              </w:rPr>
            </w:pPr>
            <w:r>
              <w:rPr>
                <w:rFonts w:ascii="宋体" w:hAnsi="宋体"/>
                <w:kern w:val="0"/>
                <w:szCs w:val="21"/>
              </w:rPr>
              <w:t>架/百户</w:t>
            </w:r>
          </w:p>
        </w:tc>
        <w:tc>
          <w:tcPr>
            <w:tcW w:w="1406" w:type="pct"/>
            <w:shd w:val="clear" w:color="auto" w:fill="auto"/>
            <w:noWrap/>
            <w:vAlign w:val="center"/>
          </w:tcPr>
          <w:p w14:paraId="6E69B43E">
            <w:pPr>
              <w:pStyle w:val="23"/>
              <w:jc w:val="center"/>
              <w:rPr>
                <w:rFonts w:ascii="宋体" w:hAnsi="宋体"/>
                <w:kern w:val="0"/>
                <w:szCs w:val="21"/>
              </w:rPr>
            </w:pPr>
            <w:r>
              <w:rPr>
                <w:rFonts w:ascii="宋体" w:hAnsi="宋体"/>
                <w:kern w:val="0"/>
                <w:szCs w:val="21"/>
              </w:rPr>
              <w:t>28.00</w:t>
            </w:r>
          </w:p>
        </w:tc>
      </w:tr>
      <w:tr w14:paraId="6843E59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189" w:type="pct"/>
            <w:shd w:val="clear" w:color="auto" w:fill="auto"/>
            <w:noWrap/>
            <w:vAlign w:val="center"/>
          </w:tcPr>
          <w:p w14:paraId="4760891C">
            <w:pPr>
              <w:pStyle w:val="23"/>
              <w:ind w:firstLine="420" w:firstLineChars="200"/>
              <w:rPr>
                <w:rFonts w:ascii="宋体" w:hAnsi="宋体"/>
                <w:kern w:val="0"/>
                <w:szCs w:val="21"/>
              </w:rPr>
            </w:pPr>
            <w:r>
              <w:rPr>
                <w:rFonts w:hint="eastAsia" w:ascii="宋体" w:hAnsi="宋体"/>
                <w:kern w:val="0"/>
                <w:szCs w:val="21"/>
              </w:rPr>
              <w:t>（11）</w:t>
            </w:r>
            <w:r>
              <w:rPr>
                <w:rFonts w:ascii="宋体" w:hAnsi="宋体"/>
                <w:kern w:val="0"/>
                <w:szCs w:val="21"/>
              </w:rPr>
              <w:t>其他中高档乐器</w:t>
            </w:r>
          </w:p>
        </w:tc>
        <w:tc>
          <w:tcPr>
            <w:tcW w:w="1406" w:type="pct"/>
            <w:shd w:val="clear" w:color="auto" w:fill="auto"/>
            <w:noWrap/>
            <w:vAlign w:val="center"/>
          </w:tcPr>
          <w:p w14:paraId="20E2524A">
            <w:pPr>
              <w:pStyle w:val="23"/>
              <w:jc w:val="center"/>
              <w:rPr>
                <w:rFonts w:ascii="宋体" w:hAnsi="宋体"/>
                <w:kern w:val="0"/>
                <w:szCs w:val="21"/>
              </w:rPr>
            </w:pPr>
            <w:r>
              <w:rPr>
                <w:rFonts w:ascii="宋体" w:hAnsi="宋体"/>
                <w:kern w:val="0"/>
                <w:szCs w:val="21"/>
              </w:rPr>
              <w:t>件/百户</w:t>
            </w:r>
          </w:p>
        </w:tc>
        <w:tc>
          <w:tcPr>
            <w:tcW w:w="1406" w:type="pct"/>
            <w:shd w:val="clear" w:color="auto" w:fill="auto"/>
            <w:noWrap/>
            <w:vAlign w:val="center"/>
          </w:tcPr>
          <w:p w14:paraId="42E7BEA7">
            <w:pPr>
              <w:pStyle w:val="23"/>
              <w:jc w:val="center"/>
              <w:rPr>
                <w:rFonts w:ascii="宋体" w:hAnsi="宋体"/>
                <w:kern w:val="0"/>
                <w:szCs w:val="21"/>
              </w:rPr>
            </w:pPr>
            <w:r>
              <w:rPr>
                <w:rFonts w:ascii="宋体" w:hAnsi="宋体"/>
                <w:kern w:val="0"/>
                <w:szCs w:val="21"/>
              </w:rPr>
              <w:t>2.00</w:t>
            </w:r>
          </w:p>
        </w:tc>
      </w:tr>
      <w:tr w14:paraId="3129C92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189" w:type="pct"/>
            <w:shd w:val="clear" w:color="auto" w:fill="auto"/>
            <w:noWrap/>
            <w:vAlign w:val="center"/>
          </w:tcPr>
          <w:p w14:paraId="63CDC405">
            <w:pPr>
              <w:pStyle w:val="23"/>
              <w:ind w:firstLine="420" w:firstLineChars="200"/>
              <w:rPr>
                <w:rFonts w:ascii="宋体" w:hAnsi="宋体"/>
                <w:kern w:val="0"/>
                <w:szCs w:val="21"/>
              </w:rPr>
            </w:pPr>
            <w:r>
              <w:rPr>
                <w:rFonts w:hint="eastAsia" w:ascii="宋体" w:hAnsi="宋体"/>
                <w:kern w:val="0"/>
                <w:szCs w:val="21"/>
              </w:rPr>
              <w:t>（12）</w:t>
            </w:r>
            <w:r>
              <w:rPr>
                <w:rFonts w:ascii="宋体" w:hAnsi="宋体"/>
                <w:kern w:val="0"/>
                <w:szCs w:val="21"/>
              </w:rPr>
              <w:t>微波炉</w:t>
            </w:r>
          </w:p>
        </w:tc>
        <w:tc>
          <w:tcPr>
            <w:tcW w:w="1406" w:type="pct"/>
            <w:shd w:val="clear" w:color="auto" w:fill="auto"/>
            <w:noWrap/>
            <w:vAlign w:val="center"/>
          </w:tcPr>
          <w:p w14:paraId="4C0B1C2B">
            <w:pPr>
              <w:pStyle w:val="23"/>
              <w:jc w:val="center"/>
              <w:rPr>
                <w:rFonts w:ascii="宋体" w:hAnsi="宋体"/>
                <w:kern w:val="0"/>
                <w:szCs w:val="21"/>
              </w:rPr>
            </w:pPr>
            <w:r>
              <w:rPr>
                <w:rFonts w:ascii="宋体" w:hAnsi="宋体"/>
                <w:kern w:val="0"/>
                <w:szCs w:val="21"/>
              </w:rPr>
              <w:t>台/百户</w:t>
            </w:r>
          </w:p>
        </w:tc>
        <w:tc>
          <w:tcPr>
            <w:tcW w:w="1406" w:type="pct"/>
            <w:shd w:val="clear" w:color="auto" w:fill="auto"/>
            <w:noWrap/>
            <w:vAlign w:val="center"/>
          </w:tcPr>
          <w:p w14:paraId="027FE414">
            <w:pPr>
              <w:pStyle w:val="23"/>
              <w:jc w:val="center"/>
              <w:rPr>
                <w:rFonts w:ascii="宋体" w:hAnsi="宋体"/>
                <w:kern w:val="0"/>
                <w:szCs w:val="21"/>
              </w:rPr>
            </w:pPr>
            <w:r>
              <w:rPr>
                <w:rFonts w:ascii="宋体" w:hAnsi="宋体"/>
                <w:kern w:val="0"/>
                <w:szCs w:val="21"/>
              </w:rPr>
              <w:t>48.00</w:t>
            </w:r>
          </w:p>
        </w:tc>
      </w:tr>
      <w:tr w14:paraId="5BB8DE8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189" w:type="pct"/>
            <w:shd w:val="clear" w:color="auto" w:fill="auto"/>
            <w:noWrap/>
            <w:vAlign w:val="center"/>
          </w:tcPr>
          <w:p w14:paraId="0F4AABDE">
            <w:pPr>
              <w:pStyle w:val="23"/>
              <w:ind w:firstLine="420" w:firstLineChars="200"/>
              <w:rPr>
                <w:rFonts w:ascii="宋体" w:hAnsi="宋体"/>
                <w:kern w:val="0"/>
                <w:szCs w:val="21"/>
              </w:rPr>
            </w:pPr>
            <w:r>
              <w:rPr>
                <w:rFonts w:hint="eastAsia" w:ascii="宋体" w:hAnsi="宋体"/>
                <w:kern w:val="0"/>
                <w:szCs w:val="21"/>
              </w:rPr>
              <w:t>（13）</w:t>
            </w:r>
            <w:r>
              <w:rPr>
                <w:rFonts w:ascii="宋体" w:hAnsi="宋体"/>
                <w:kern w:val="0"/>
                <w:szCs w:val="21"/>
              </w:rPr>
              <w:t>空调器</w:t>
            </w:r>
          </w:p>
        </w:tc>
        <w:tc>
          <w:tcPr>
            <w:tcW w:w="1406" w:type="pct"/>
            <w:shd w:val="clear" w:color="auto" w:fill="auto"/>
            <w:noWrap/>
            <w:vAlign w:val="center"/>
          </w:tcPr>
          <w:p w14:paraId="36481D88">
            <w:pPr>
              <w:pStyle w:val="23"/>
              <w:jc w:val="center"/>
              <w:rPr>
                <w:rFonts w:ascii="宋体" w:hAnsi="宋体"/>
                <w:kern w:val="0"/>
                <w:szCs w:val="21"/>
              </w:rPr>
            </w:pPr>
            <w:r>
              <w:rPr>
                <w:rFonts w:ascii="宋体" w:hAnsi="宋体"/>
                <w:kern w:val="0"/>
                <w:szCs w:val="21"/>
              </w:rPr>
              <w:t>台/百户</w:t>
            </w:r>
          </w:p>
        </w:tc>
        <w:tc>
          <w:tcPr>
            <w:tcW w:w="1406" w:type="pct"/>
            <w:shd w:val="clear" w:color="auto" w:fill="auto"/>
            <w:noWrap/>
            <w:vAlign w:val="center"/>
          </w:tcPr>
          <w:p w14:paraId="35BA74FB">
            <w:pPr>
              <w:pStyle w:val="23"/>
              <w:jc w:val="center"/>
              <w:rPr>
                <w:rFonts w:ascii="宋体" w:hAnsi="宋体"/>
                <w:kern w:val="0"/>
                <w:szCs w:val="21"/>
              </w:rPr>
            </w:pPr>
            <w:r>
              <w:rPr>
                <w:rFonts w:ascii="宋体" w:hAnsi="宋体"/>
                <w:kern w:val="0"/>
                <w:szCs w:val="21"/>
              </w:rPr>
              <w:t>138.00</w:t>
            </w:r>
          </w:p>
        </w:tc>
      </w:tr>
      <w:tr w14:paraId="59F8CB3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189" w:type="pct"/>
            <w:shd w:val="clear" w:color="auto" w:fill="auto"/>
            <w:noWrap/>
            <w:vAlign w:val="center"/>
          </w:tcPr>
          <w:p w14:paraId="5A1ACFFB">
            <w:pPr>
              <w:pStyle w:val="23"/>
              <w:ind w:firstLine="420" w:firstLineChars="200"/>
              <w:rPr>
                <w:rFonts w:ascii="宋体" w:hAnsi="宋体"/>
                <w:kern w:val="0"/>
                <w:szCs w:val="21"/>
              </w:rPr>
            </w:pPr>
            <w:r>
              <w:rPr>
                <w:rFonts w:hint="eastAsia" w:ascii="宋体" w:hAnsi="宋体"/>
                <w:kern w:val="0"/>
                <w:szCs w:val="21"/>
              </w:rPr>
              <w:t>（14）</w:t>
            </w:r>
            <w:r>
              <w:rPr>
                <w:rFonts w:ascii="宋体" w:hAnsi="宋体"/>
                <w:kern w:val="0"/>
                <w:szCs w:val="21"/>
              </w:rPr>
              <w:t>淋浴热水器</w:t>
            </w:r>
          </w:p>
        </w:tc>
        <w:tc>
          <w:tcPr>
            <w:tcW w:w="1406" w:type="pct"/>
            <w:shd w:val="clear" w:color="auto" w:fill="auto"/>
            <w:noWrap/>
            <w:vAlign w:val="center"/>
          </w:tcPr>
          <w:p w14:paraId="2177A90D">
            <w:pPr>
              <w:pStyle w:val="23"/>
              <w:jc w:val="center"/>
              <w:rPr>
                <w:rFonts w:ascii="宋体" w:hAnsi="宋体"/>
                <w:kern w:val="0"/>
                <w:szCs w:val="21"/>
              </w:rPr>
            </w:pPr>
            <w:r>
              <w:rPr>
                <w:rFonts w:ascii="宋体" w:hAnsi="宋体"/>
                <w:kern w:val="0"/>
                <w:szCs w:val="21"/>
              </w:rPr>
              <w:t>台/百户</w:t>
            </w:r>
          </w:p>
        </w:tc>
        <w:tc>
          <w:tcPr>
            <w:tcW w:w="1406" w:type="pct"/>
            <w:shd w:val="clear" w:color="auto" w:fill="auto"/>
            <w:noWrap/>
            <w:vAlign w:val="center"/>
          </w:tcPr>
          <w:p w14:paraId="29E3581C">
            <w:pPr>
              <w:pStyle w:val="23"/>
              <w:jc w:val="center"/>
              <w:rPr>
                <w:rFonts w:ascii="宋体" w:hAnsi="宋体"/>
                <w:kern w:val="0"/>
                <w:szCs w:val="21"/>
              </w:rPr>
            </w:pPr>
            <w:r>
              <w:rPr>
                <w:rFonts w:ascii="宋体" w:hAnsi="宋体"/>
                <w:kern w:val="0"/>
                <w:szCs w:val="21"/>
              </w:rPr>
              <w:t>108.00</w:t>
            </w:r>
          </w:p>
        </w:tc>
      </w:tr>
      <w:tr w14:paraId="68F1741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189" w:type="pct"/>
            <w:shd w:val="clear" w:color="auto" w:fill="auto"/>
            <w:noWrap/>
            <w:vAlign w:val="center"/>
          </w:tcPr>
          <w:p w14:paraId="7930B90D">
            <w:pPr>
              <w:pStyle w:val="23"/>
              <w:ind w:firstLine="420" w:firstLineChars="200"/>
              <w:rPr>
                <w:rFonts w:ascii="宋体" w:hAnsi="宋体"/>
                <w:kern w:val="0"/>
                <w:szCs w:val="21"/>
              </w:rPr>
            </w:pPr>
            <w:r>
              <w:rPr>
                <w:rFonts w:hint="eastAsia" w:ascii="宋体" w:hAnsi="宋体"/>
                <w:kern w:val="0"/>
                <w:szCs w:val="21"/>
              </w:rPr>
              <w:t>（15）</w:t>
            </w:r>
            <w:r>
              <w:rPr>
                <w:rFonts w:ascii="宋体" w:hAnsi="宋体"/>
                <w:kern w:val="0"/>
                <w:szCs w:val="21"/>
              </w:rPr>
              <w:t>消毒碗柜</w:t>
            </w:r>
          </w:p>
        </w:tc>
        <w:tc>
          <w:tcPr>
            <w:tcW w:w="1406" w:type="pct"/>
            <w:shd w:val="clear" w:color="auto" w:fill="auto"/>
            <w:noWrap/>
            <w:vAlign w:val="center"/>
          </w:tcPr>
          <w:p w14:paraId="22A04BCB">
            <w:pPr>
              <w:pStyle w:val="23"/>
              <w:jc w:val="center"/>
              <w:rPr>
                <w:rFonts w:ascii="宋体" w:hAnsi="宋体"/>
                <w:kern w:val="0"/>
                <w:szCs w:val="21"/>
              </w:rPr>
            </w:pPr>
            <w:r>
              <w:rPr>
                <w:rFonts w:ascii="宋体" w:hAnsi="宋体"/>
                <w:kern w:val="0"/>
                <w:szCs w:val="21"/>
              </w:rPr>
              <w:t>台/百户</w:t>
            </w:r>
          </w:p>
        </w:tc>
        <w:tc>
          <w:tcPr>
            <w:tcW w:w="1406" w:type="pct"/>
            <w:shd w:val="clear" w:color="auto" w:fill="auto"/>
            <w:noWrap/>
            <w:vAlign w:val="center"/>
          </w:tcPr>
          <w:p w14:paraId="76BF5E9F">
            <w:pPr>
              <w:pStyle w:val="23"/>
              <w:jc w:val="center"/>
              <w:rPr>
                <w:rFonts w:ascii="宋体" w:hAnsi="宋体"/>
                <w:kern w:val="0"/>
                <w:szCs w:val="21"/>
              </w:rPr>
            </w:pPr>
            <w:r>
              <w:rPr>
                <w:rFonts w:ascii="宋体" w:hAnsi="宋体"/>
                <w:kern w:val="0"/>
                <w:szCs w:val="21"/>
              </w:rPr>
              <w:t>40.00</w:t>
            </w:r>
          </w:p>
        </w:tc>
      </w:tr>
      <w:tr w14:paraId="1D8EDC7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189" w:type="pct"/>
            <w:shd w:val="clear" w:color="auto" w:fill="auto"/>
            <w:noWrap/>
            <w:vAlign w:val="center"/>
          </w:tcPr>
          <w:p w14:paraId="626542EE">
            <w:pPr>
              <w:pStyle w:val="23"/>
              <w:ind w:firstLine="420" w:firstLineChars="200"/>
              <w:rPr>
                <w:rFonts w:ascii="宋体" w:hAnsi="宋体"/>
                <w:kern w:val="0"/>
                <w:szCs w:val="21"/>
              </w:rPr>
            </w:pPr>
            <w:r>
              <w:rPr>
                <w:rFonts w:hint="eastAsia" w:ascii="宋体" w:hAnsi="宋体"/>
                <w:kern w:val="0"/>
                <w:szCs w:val="21"/>
              </w:rPr>
              <w:t>（16）</w:t>
            </w:r>
            <w:r>
              <w:rPr>
                <w:rFonts w:ascii="宋体" w:hAnsi="宋体"/>
                <w:kern w:val="0"/>
                <w:szCs w:val="21"/>
              </w:rPr>
              <w:t>固定电话</w:t>
            </w:r>
          </w:p>
        </w:tc>
        <w:tc>
          <w:tcPr>
            <w:tcW w:w="1406" w:type="pct"/>
            <w:shd w:val="clear" w:color="auto" w:fill="auto"/>
            <w:noWrap/>
            <w:vAlign w:val="center"/>
          </w:tcPr>
          <w:p w14:paraId="21ED987A">
            <w:pPr>
              <w:pStyle w:val="23"/>
              <w:jc w:val="center"/>
              <w:rPr>
                <w:rFonts w:ascii="宋体" w:hAnsi="宋体"/>
                <w:kern w:val="0"/>
                <w:szCs w:val="21"/>
              </w:rPr>
            </w:pPr>
            <w:r>
              <w:rPr>
                <w:rFonts w:ascii="宋体" w:hAnsi="宋体"/>
                <w:kern w:val="0"/>
                <w:szCs w:val="21"/>
              </w:rPr>
              <w:t>部/百户</w:t>
            </w:r>
          </w:p>
        </w:tc>
        <w:tc>
          <w:tcPr>
            <w:tcW w:w="1406" w:type="pct"/>
            <w:shd w:val="clear" w:color="auto" w:fill="auto"/>
            <w:noWrap/>
            <w:vAlign w:val="center"/>
          </w:tcPr>
          <w:p w14:paraId="43B56441">
            <w:pPr>
              <w:pStyle w:val="23"/>
              <w:jc w:val="center"/>
              <w:rPr>
                <w:rFonts w:ascii="宋体" w:hAnsi="宋体"/>
                <w:kern w:val="0"/>
                <w:szCs w:val="21"/>
              </w:rPr>
            </w:pPr>
            <w:r>
              <w:rPr>
                <w:rFonts w:ascii="宋体" w:hAnsi="宋体"/>
                <w:kern w:val="0"/>
                <w:szCs w:val="21"/>
              </w:rPr>
              <w:t>60.00</w:t>
            </w:r>
          </w:p>
        </w:tc>
      </w:tr>
      <w:tr w14:paraId="411113E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189" w:type="pct"/>
            <w:shd w:val="clear" w:color="auto" w:fill="auto"/>
            <w:noWrap/>
            <w:vAlign w:val="center"/>
          </w:tcPr>
          <w:p w14:paraId="54CD5D3F">
            <w:pPr>
              <w:pStyle w:val="23"/>
              <w:ind w:firstLine="420" w:firstLineChars="200"/>
              <w:rPr>
                <w:rFonts w:ascii="宋体" w:hAnsi="宋体"/>
                <w:kern w:val="0"/>
                <w:szCs w:val="21"/>
              </w:rPr>
            </w:pPr>
            <w:r>
              <w:rPr>
                <w:rFonts w:hint="eastAsia" w:ascii="宋体" w:hAnsi="宋体"/>
                <w:kern w:val="0"/>
                <w:szCs w:val="21"/>
              </w:rPr>
              <w:t>（17）</w:t>
            </w:r>
            <w:r>
              <w:rPr>
                <w:rFonts w:ascii="宋体" w:hAnsi="宋体"/>
                <w:kern w:val="0"/>
                <w:szCs w:val="21"/>
              </w:rPr>
              <w:t>移动电话</w:t>
            </w:r>
          </w:p>
        </w:tc>
        <w:tc>
          <w:tcPr>
            <w:tcW w:w="1406" w:type="pct"/>
            <w:shd w:val="clear" w:color="auto" w:fill="auto"/>
            <w:noWrap/>
            <w:vAlign w:val="center"/>
          </w:tcPr>
          <w:p w14:paraId="7083BFAF">
            <w:pPr>
              <w:pStyle w:val="23"/>
              <w:jc w:val="center"/>
              <w:rPr>
                <w:rFonts w:ascii="宋体" w:hAnsi="宋体"/>
                <w:kern w:val="0"/>
                <w:szCs w:val="21"/>
              </w:rPr>
            </w:pPr>
            <w:r>
              <w:rPr>
                <w:rFonts w:ascii="宋体" w:hAnsi="宋体"/>
                <w:kern w:val="0"/>
                <w:szCs w:val="21"/>
              </w:rPr>
              <w:t>部/百户</w:t>
            </w:r>
          </w:p>
        </w:tc>
        <w:tc>
          <w:tcPr>
            <w:tcW w:w="1406" w:type="pct"/>
            <w:shd w:val="clear" w:color="auto" w:fill="auto"/>
            <w:noWrap/>
            <w:vAlign w:val="center"/>
          </w:tcPr>
          <w:p w14:paraId="10430A26">
            <w:pPr>
              <w:pStyle w:val="23"/>
              <w:jc w:val="center"/>
              <w:rPr>
                <w:rFonts w:ascii="宋体" w:hAnsi="宋体"/>
                <w:kern w:val="0"/>
                <w:szCs w:val="21"/>
              </w:rPr>
            </w:pPr>
            <w:r>
              <w:rPr>
                <w:rFonts w:ascii="宋体" w:hAnsi="宋体"/>
                <w:kern w:val="0"/>
                <w:szCs w:val="21"/>
              </w:rPr>
              <w:t>186.00</w:t>
            </w:r>
          </w:p>
        </w:tc>
      </w:tr>
    </w:tbl>
    <w:p w14:paraId="37369FC8">
      <w:pPr>
        <w:ind w:firstLine="0" w:firstLineChars="0"/>
        <w:jc w:val="center"/>
        <w:rPr>
          <w:rFonts w:ascii="宋体" w:hAnsi="宋体"/>
          <w:b/>
          <w:szCs w:val="21"/>
        </w:rPr>
      </w:pPr>
      <w:r>
        <w:rPr>
          <w:rFonts w:hint="eastAsia" w:ascii="宋体" w:hAnsi="宋体"/>
          <w:b/>
          <w:szCs w:val="21"/>
        </w:rPr>
        <w:t>表65 城镇住户信息化调查</w:t>
      </w:r>
    </w:p>
    <w:tbl>
      <w:tblPr>
        <w:tblStyle w:val="14"/>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30" w:type="dxa"/>
          <w:bottom w:w="0" w:type="dxa"/>
          <w:right w:w="30" w:type="dxa"/>
        </w:tblCellMar>
      </w:tblPr>
      <w:tblGrid>
        <w:gridCol w:w="3267"/>
        <w:gridCol w:w="3271"/>
        <w:gridCol w:w="3268"/>
      </w:tblGrid>
      <w:tr w14:paraId="2D87D6F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666" w:type="pct"/>
            <w:vAlign w:val="center"/>
          </w:tcPr>
          <w:p w14:paraId="7D9710C7">
            <w:pPr>
              <w:pStyle w:val="23"/>
              <w:jc w:val="center"/>
              <w:rPr>
                <w:rFonts w:ascii="宋体" w:hAnsi="宋体"/>
                <w:b/>
                <w:kern w:val="0"/>
                <w:szCs w:val="21"/>
              </w:rPr>
            </w:pPr>
            <w:r>
              <w:rPr>
                <w:rFonts w:ascii="宋体" w:hAnsi="宋体"/>
                <w:b/>
                <w:kern w:val="0"/>
                <w:szCs w:val="21"/>
              </w:rPr>
              <w:t>指标名称</w:t>
            </w:r>
          </w:p>
        </w:tc>
        <w:tc>
          <w:tcPr>
            <w:tcW w:w="1668" w:type="pct"/>
            <w:vAlign w:val="center"/>
          </w:tcPr>
          <w:p w14:paraId="13F050AC">
            <w:pPr>
              <w:pStyle w:val="23"/>
              <w:jc w:val="center"/>
              <w:rPr>
                <w:rFonts w:ascii="宋体" w:hAnsi="宋体"/>
                <w:b/>
                <w:kern w:val="0"/>
                <w:szCs w:val="21"/>
              </w:rPr>
            </w:pPr>
            <w:r>
              <w:rPr>
                <w:rFonts w:ascii="宋体" w:hAnsi="宋体"/>
                <w:b/>
                <w:kern w:val="0"/>
                <w:szCs w:val="21"/>
              </w:rPr>
              <w:t>计算单位</w:t>
            </w:r>
          </w:p>
        </w:tc>
        <w:tc>
          <w:tcPr>
            <w:tcW w:w="1666" w:type="pct"/>
            <w:vAlign w:val="center"/>
          </w:tcPr>
          <w:p w14:paraId="1B385D6B">
            <w:pPr>
              <w:pStyle w:val="23"/>
              <w:jc w:val="center"/>
              <w:rPr>
                <w:rFonts w:ascii="宋体" w:hAnsi="宋体"/>
                <w:b/>
                <w:kern w:val="0"/>
                <w:szCs w:val="21"/>
              </w:rPr>
            </w:pPr>
            <w:r>
              <w:rPr>
                <w:rFonts w:ascii="宋体" w:hAnsi="宋体"/>
                <w:b/>
                <w:kern w:val="0"/>
                <w:szCs w:val="21"/>
              </w:rPr>
              <w:t>2011年</w:t>
            </w:r>
          </w:p>
        </w:tc>
      </w:tr>
      <w:tr w14:paraId="7529E2D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666" w:type="pct"/>
            <w:vAlign w:val="center"/>
          </w:tcPr>
          <w:p w14:paraId="753BD5A3">
            <w:pPr>
              <w:pStyle w:val="23"/>
              <w:rPr>
                <w:rFonts w:ascii="宋体" w:hAnsi="宋体"/>
                <w:kern w:val="0"/>
                <w:szCs w:val="21"/>
              </w:rPr>
            </w:pPr>
            <w:r>
              <w:rPr>
                <w:rFonts w:ascii="宋体" w:hAnsi="宋体"/>
                <w:kern w:val="0"/>
                <w:szCs w:val="21"/>
              </w:rPr>
              <w:t>接入互联网的移动电话</w:t>
            </w:r>
          </w:p>
        </w:tc>
        <w:tc>
          <w:tcPr>
            <w:tcW w:w="1668" w:type="pct"/>
            <w:vAlign w:val="center"/>
          </w:tcPr>
          <w:p w14:paraId="79E046C0">
            <w:pPr>
              <w:pStyle w:val="23"/>
              <w:jc w:val="center"/>
              <w:rPr>
                <w:rFonts w:ascii="宋体" w:hAnsi="宋体"/>
                <w:kern w:val="0"/>
                <w:szCs w:val="21"/>
              </w:rPr>
            </w:pPr>
            <w:r>
              <w:rPr>
                <w:rFonts w:ascii="宋体" w:hAnsi="宋体"/>
                <w:kern w:val="0"/>
                <w:szCs w:val="21"/>
              </w:rPr>
              <w:t>部/百户</w:t>
            </w:r>
          </w:p>
        </w:tc>
        <w:tc>
          <w:tcPr>
            <w:tcW w:w="1666" w:type="pct"/>
            <w:vAlign w:val="center"/>
          </w:tcPr>
          <w:p w14:paraId="068C2199">
            <w:pPr>
              <w:pStyle w:val="23"/>
              <w:jc w:val="center"/>
              <w:rPr>
                <w:rFonts w:ascii="宋体" w:hAnsi="宋体"/>
                <w:kern w:val="0"/>
                <w:szCs w:val="21"/>
              </w:rPr>
            </w:pPr>
            <w:r>
              <w:rPr>
                <w:rFonts w:ascii="宋体" w:hAnsi="宋体"/>
                <w:kern w:val="0"/>
                <w:szCs w:val="21"/>
              </w:rPr>
              <w:t>18.00</w:t>
            </w:r>
          </w:p>
        </w:tc>
      </w:tr>
      <w:tr w14:paraId="26528B5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666" w:type="pct"/>
            <w:vAlign w:val="center"/>
          </w:tcPr>
          <w:p w14:paraId="1355BDD5">
            <w:pPr>
              <w:pStyle w:val="23"/>
              <w:rPr>
                <w:rFonts w:ascii="宋体" w:hAnsi="宋体"/>
                <w:kern w:val="0"/>
                <w:szCs w:val="21"/>
              </w:rPr>
            </w:pPr>
            <w:r>
              <w:rPr>
                <w:rFonts w:ascii="宋体" w:hAnsi="宋体"/>
                <w:kern w:val="0"/>
                <w:szCs w:val="21"/>
              </w:rPr>
              <w:t>接入有线电视网络的电视机</w:t>
            </w:r>
          </w:p>
        </w:tc>
        <w:tc>
          <w:tcPr>
            <w:tcW w:w="1668" w:type="pct"/>
            <w:vAlign w:val="center"/>
          </w:tcPr>
          <w:p w14:paraId="751F25F4">
            <w:pPr>
              <w:pStyle w:val="23"/>
              <w:jc w:val="center"/>
              <w:rPr>
                <w:rFonts w:ascii="宋体" w:hAnsi="宋体"/>
                <w:kern w:val="0"/>
                <w:szCs w:val="21"/>
              </w:rPr>
            </w:pPr>
            <w:r>
              <w:rPr>
                <w:rFonts w:ascii="宋体" w:hAnsi="宋体"/>
                <w:kern w:val="0"/>
                <w:szCs w:val="21"/>
              </w:rPr>
              <w:t>部/百户</w:t>
            </w:r>
          </w:p>
        </w:tc>
        <w:tc>
          <w:tcPr>
            <w:tcW w:w="1666" w:type="pct"/>
            <w:vAlign w:val="center"/>
          </w:tcPr>
          <w:p w14:paraId="2DA76CE0">
            <w:pPr>
              <w:pStyle w:val="23"/>
              <w:jc w:val="center"/>
              <w:rPr>
                <w:rFonts w:ascii="宋体" w:hAnsi="宋体"/>
                <w:kern w:val="0"/>
                <w:szCs w:val="21"/>
              </w:rPr>
            </w:pPr>
            <w:r>
              <w:rPr>
                <w:rFonts w:ascii="宋体" w:hAnsi="宋体"/>
                <w:kern w:val="0"/>
                <w:szCs w:val="21"/>
              </w:rPr>
              <w:t>158.00</w:t>
            </w:r>
          </w:p>
        </w:tc>
      </w:tr>
      <w:tr w14:paraId="36A0FFD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666" w:type="pct"/>
            <w:vAlign w:val="center"/>
          </w:tcPr>
          <w:p w14:paraId="5553DBD7">
            <w:pPr>
              <w:pStyle w:val="23"/>
              <w:rPr>
                <w:rFonts w:ascii="宋体" w:hAnsi="宋体"/>
                <w:kern w:val="0"/>
                <w:szCs w:val="21"/>
              </w:rPr>
            </w:pPr>
            <w:r>
              <w:rPr>
                <w:rFonts w:ascii="宋体" w:hAnsi="宋体"/>
                <w:kern w:val="0"/>
                <w:szCs w:val="21"/>
              </w:rPr>
              <w:t>接入互联网的计算机</w:t>
            </w:r>
          </w:p>
        </w:tc>
        <w:tc>
          <w:tcPr>
            <w:tcW w:w="1668" w:type="pct"/>
            <w:vAlign w:val="center"/>
          </w:tcPr>
          <w:p w14:paraId="1BDC0A27">
            <w:pPr>
              <w:pStyle w:val="23"/>
              <w:jc w:val="center"/>
              <w:rPr>
                <w:rFonts w:ascii="宋体" w:hAnsi="宋体"/>
                <w:kern w:val="0"/>
                <w:szCs w:val="21"/>
              </w:rPr>
            </w:pPr>
            <w:r>
              <w:rPr>
                <w:rFonts w:ascii="宋体" w:hAnsi="宋体"/>
                <w:kern w:val="0"/>
                <w:szCs w:val="21"/>
              </w:rPr>
              <w:t>部/百户</w:t>
            </w:r>
          </w:p>
        </w:tc>
        <w:tc>
          <w:tcPr>
            <w:tcW w:w="1666" w:type="pct"/>
            <w:vAlign w:val="center"/>
          </w:tcPr>
          <w:p w14:paraId="6B13A5FE">
            <w:pPr>
              <w:pStyle w:val="23"/>
              <w:jc w:val="center"/>
              <w:rPr>
                <w:rFonts w:ascii="宋体" w:hAnsi="宋体"/>
                <w:kern w:val="0"/>
                <w:szCs w:val="21"/>
              </w:rPr>
            </w:pPr>
            <w:r>
              <w:rPr>
                <w:rFonts w:ascii="宋体" w:hAnsi="宋体"/>
                <w:kern w:val="0"/>
                <w:szCs w:val="21"/>
              </w:rPr>
              <w:t>46.00</w:t>
            </w:r>
          </w:p>
        </w:tc>
      </w:tr>
    </w:tbl>
    <w:p w14:paraId="770A9DB0">
      <w:pPr>
        <w:ind w:firstLine="0" w:firstLineChars="0"/>
        <w:jc w:val="center"/>
        <w:rPr>
          <w:rFonts w:ascii="宋体" w:hAnsi="宋体"/>
          <w:b/>
          <w:szCs w:val="21"/>
        </w:rPr>
      </w:pPr>
      <w:r>
        <w:rPr>
          <w:rFonts w:hint="eastAsia" w:ascii="宋体" w:hAnsi="宋体"/>
          <w:b/>
          <w:szCs w:val="21"/>
        </w:rPr>
        <w:t>表66 全市能源分产业消费量</w:t>
      </w:r>
    </w:p>
    <w:tbl>
      <w:tblPr>
        <w:tblStyle w:val="14"/>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30" w:type="dxa"/>
          <w:bottom w:w="0" w:type="dxa"/>
          <w:right w:w="30" w:type="dxa"/>
        </w:tblCellMar>
      </w:tblPr>
      <w:tblGrid>
        <w:gridCol w:w="3267"/>
        <w:gridCol w:w="3271"/>
        <w:gridCol w:w="3268"/>
      </w:tblGrid>
      <w:tr w14:paraId="017E70F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666" w:type="pct"/>
            <w:vAlign w:val="center"/>
          </w:tcPr>
          <w:p w14:paraId="6B7D5121">
            <w:pPr>
              <w:pStyle w:val="23"/>
              <w:jc w:val="center"/>
              <w:rPr>
                <w:rFonts w:ascii="宋体" w:hAnsi="宋体"/>
                <w:b/>
                <w:kern w:val="0"/>
                <w:szCs w:val="21"/>
              </w:rPr>
            </w:pPr>
          </w:p>
        </w:tc>
        <w:tc>
          <w:tcPr>
            <w:tcW w:w="1668" w:type="pct"/>
            <w:vAlign w:val="center"/>
          </w:tcPr>
          <w:p w14:paraId="1D1A51C2">
            <w:pPr>
              <w:pStyle w:val="23"/>
              <w:jc w:val="center"/>
              <w:rPr>
                <w:rFonts w:ascii="宋体" w:hAnsi="宋体"/>
                <w:b/>
                <w:kern w:val="0"/>
                <w:szCs w:val="21"/>
              </w:rPr>
            </w:pPr>
            <w:r>
              <w:rPr>
                <w:rFonts w:ascii="宋体" w:hAnsi="宋体"/>
                <w:b/>
                <w:kern w:val="0"/>
                <w:szCs w:val="21"/>
              </w:rPr>
              <w:t>能源消费量(万吨/标准煤)</w:t>
            </w:r>
          </w:p>
        </w:tc>
        <w:tc>
          <w:tcPr>
            <w:tcW w:w="1666" w:type="pct"/>
            <w:vAlign w:val="center"/>
          </w:tcPr>
          <w:p w14:paraId="32039695">
            <w:pPr>
              <w:pStyle w:val="23"/>
              <w:jc w:val="center"/>
              <w:rPr>
                <w:rFonts w:ascii="宋体" w:hAnsi="宋体"/>
                <w:b/>
                <w:kern w:val="0"/>
                <w:szCs w:val="21"/>
              </w:rPr>
            </w:pPr>
            <w:r>
              <w:rPr>
                <w:rFonts w:ascii="宋体" w:hAnsi="宋体"/>
                <w:b/>
                <w:kern w:val="0"/>
                <w:szCs w:val="21"/>
              </w:rPr>
              <w:t>同比增长(%)</w:t>
            </w:r>
          </w:p>
        </w:tc>
      </w:tr>
      <w:tr w14:paraId="0B9F66A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666" w:type="pct"/>
            <w:vAlign w:val="center"/>
          </w:tcPr>
          <w:p w14:paraId="3EF0EFC3">
            <w:pPr>
              <w:pStyle w:val="23"/>
              <w:rPr>
                <w:rFonts w:ascii="宋体" w:hAnsi="宋体"/>
                <w:kern w:val="0"/>
                <w:szCs w:val="21"/>
              </w:rPr>
            </w:pPr>
            <w:r>
              <w:rPr>
                <w:rFonts w:ascii="宋体" w:hAnsi="宋体"/>
                <w:kern w:val="0"/>
                <w:szCs w:val="21"/>
              </w:rPr>
              <w:t>能源消费总量</w:t>
            </w:r>
          </w:p>
        </w:tc>
        <w:tc>
          <w:tcPr>
            <w:tcW w:w="1668" w:type="pct"/>
            <w:vAlign w:val="center"/>
          </w:tcPr>
          <w:p w14:paraId="148C417D">
            <w:pPr>
              <w:pStyle w:val="23"/>
              <w:jc w:val="center"/>
              <w:rPr>
                <w:rFonts w:ascii="宋体" w:hAnsi="宋体"/>
                <w:kern w:val="0"/>
                <w:szCs w:val="21"/>
              </w:rPr>
            </w:pPr>
            <w:r>
              <w:rPr>
                <w:rFonts w:ascii="宋体" w:hAnsi="宋体"/>
                <w:kern w:val="0"/>
                <w:szCs w:val="21"/>
              </w:rPr>
              <w:t>52.84</w:t>
            </w:r>
          </w:p>
        </w:tc>
        <w:tc>
          <w:tcPr>
            <w:tcW w:w="1666" w:type="pct"/>
            <w:vAlign w:val="center"/>
          </w:tcPr>
          <w:p w14:paraId="76F84FD4">
            <w:pPr>
              <w:pStyle w:val="23"/>
              <w:jc w:val="center"/>
              <w:rPr>
                <w:rFonts w:ascii="宋体" w:hAnsi="宋体"/>
                <w:kern w:val="0"/>
                <w:szCs w:val="21"/>
              </w:rPr>
            </w:pPr>
            <w:r>
              <w:rPr>
                <w:rFonts w:ascii="宋体" w:hAnsi="宋体"/>
                <w:kern w:val="0"/>
                <w:szCs w:val="21"/>
              </w:rPr>
              <w:t>11.17</w:t>
            </w:r>
          </w:p>
        </w:tc>
      </w:tr>
      <w:tr w14:paraId="4845840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666" w:type="pct"/>
            <w:vAlign w:val="center"/>
          </w:tcPr>
          <w:p w14:paraId="50C0A3F9">
            <w:pPr>
              <w:pStyle w:val="23"/>
              <w:rPr>
                <w:rFonts w:ascii="宋体" w:hAnsi="宋体"/>
                <w:kern w:val="0"/>
                <w:szCs w:val="21"/>
              </w:rPr>
            </w:pPr>
            <w:r>
              <w:rPr>
                <w:rFonts w:ascii="宋体" w:hAnsi="宋体"/>
                <w:kern w:val="0"/>
                <w:szCs w:val="21"/>
              </w:rPr>
              <w:t>第一产业能源消费</w:t>
            </w:r>
          </w:p>
        </w:tc>
        <w:tc>
          <w:tcPr>
            <w:tcW w:w="1668" w:type="pct"/>
            <w:vAlign w:val="center"/>
          </w:tcPr>
          <w:p w14:paraId="65669D4B">
            <w:pPr>
              <w:pStyle w:val="23"/>
              <w:jc w:val="center"/>
              <w:rPr>
                <w:rFonts w:ascii="宋体" w:hAnsi="宋体"/>
                <w:kern w:val="0"/>
                <w:szCs w:val="21"/>
              </w:rPr>
            </w:pPr>
            <w:r>
              <w:rPr>
                <w:rFonts w:ascii="宋体" w:hAnsi="宋体"/>
                <w:kern w:val="0"/>
                <w:szCs w:val="21"/>
              </w:rPr>
              <w:t>10.39</w:t>
            </w:r>
          </w:p>
        </w:tc>
        <w:tc>
          <w:tcPr>
            <w:tcW w:w="1666" w:type="pct"/>
            <w:vAlign w:val="center"/>
          </w:tcPr>
          <w:p w14:paraId="035F9022">
            <w:pPr>
              <w:pStyle w:val="23"/>
              <w:jc w:val="center"/>
              <w:rPr>
                <w:rFonts w:ascii="宋体" w:hAnsi="宋体"/>
                <w:kern w:val="0"/>
                <w:szCs w:val="21"/>
              </w:rPr>
            </w:pPr>
            <w:r>
              <w:rPr>
                <w:rFonts w:ascii="宋体" w:hAnsi="宋体"/>
                <w:kern w:val="0"/>
                <w:szCs w:val="21"/>
              </w:rPr>
              <w:t>5.91</w:t>
            </w:r>
          </w:p>
        </w:tc>
      </w:tr>
      <w:tr w14:paraId="4299E1B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666" w:type="pct"/>
            <w:vAlign w:val="center"/>
          </w:tcPr>
          <w:p w14:paraId="544EA6C1">
            <w:pPr>
              <w:pStyle w:val="23"/>
              <w:rPr>
                <w:rFonts w:ascii="宋体" w:hAnsi="宋体"/>
                <w:kern w:val="0"/>
                <w:szCs w:val="21"/>
              </w:rPr>
            </w:pPr>
            <w:r>
              <w:rPr>
                <w:rFonts w:ascii="宋体" w:hAnsi="宋体"/>
                <w:kern w:val="0"/>
                <w:szCs w:val="21"/>
              </w:rPr>
              <w:t>第二产业能源消费</w:t>
            </w:r>
          </w:p>
        </w:tc>
        <w:tc>
          <w:tcPr>
            <w:tcW w:w="1668" w:type="pct"/>
            <w:vAlign w:val="center"/>
          </w:tcPr>
          <w:p w14:paraId="0D3A1354">
            <w:pPr>
              <w:pStyle w:val="23"/>
              <w:jc w:val="center"/>
              <w:rPr>
                <w:rFonts w:ascii="宋体" w:hAnsi="宋体"/>
                <w:kern w:val="0"/>
                <w:szCs w:val="21"/>
              </w:rPr>
            </w:pPr>
            <w:r>
              <w:rPr>
                <w:rFonts w:ascii="宋体" w:hAnsi="宋体"/>
                <w:kern w:val="0"/>
                <w:szCs w:val="21"/>
              </w:rPr>
              <w:t>20.76</w:t>
            </w:r>
          </w:p>
        </w:tc>
        <w:tc>
          <w:tcPr>
            <w:tcW w:w="1666" w:type="pct"/>
            <w:vAlign w:val="center"/>
          </w:tcPr>
          <w:p w14:paraId="7E098525">
            <w:pPr>
              <w:pStyle w:val="23"/>
              <w:jc w:val="center"/>
              <w:rPr>
                <w:rFonts w:ascii="宋体" w:hAnsi="宋体"/>
                <w:kern w:val="0"/>
                <w:szCs w:val="21"/>
              </w:rPr>
            </w:pPr>
            <w:r>
              <w:rPr>
                <w:rFonts w:ascii="宋体" w:hAnsi="宋体"/>
                <w:kern w:val="0"/>
                <w:szCs w:val="21"/>
              </w:rPr>
              <w:t>11.25</w:t>
            </w:r>
          </w:p>
        </w:tc>
      </w:tr>
      <w:tr w14:paraId="1B99947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666" w:type="pct"/>
            <w:vAlign w:val="center"/>
          </w:tcPr>
          <w:p w14:paraId="1822022C">
            <w:pPr>
              <w:pStyle w:val="23"/>
              <w:rPr>
                <w:rFonts w:ascii="宋体" w:hAnsi="宋体"/>
                <w:kern w:val="0"/>
                <w:szCs w:val="21"/>
              </w:rPr>
            </w:pPr>
            <w:r>
              <w:rPr>
                <w:rFonts w:ascii="宋体" w:hAnsi="宋体"/>
                <w:kern w:val="0"/>
                <w:szCs w:val="21"/>
              </w:rPr>
              <w:t>工业能源消费</w:t>
            </w:r>
          </w:p>
        </w:tc>
        <w:tc>
          <w:tcPr>
            <w:tcW w:w="1668" w:type="pct"/>
            <w:vAlign w:val="center"/>
          </w:tcPr>
          <w:p w14:paraId="7FF0F725">
            <w:pPr>
              <w:pStyle w:val="23"/>
              <w:jc w:val="center"/>
              <w:rPr>
                <w:rFonts w:ascii="宋体" w:hAnsi="宋体"/>
                <w:kern w:val="0"/>
                <w:szCs w:val="21"/>
              </w:rPr>
            </w:pPr>
            <w:r>
              <w:rPr>
                <w:rFonts w:ascii="宋体" w:hAnsi="宋体"/>
                <w:kern w:val="0"/>
                <w:szCs w:val="21"/>
              </w:rPr>
              <w:t>17.53</w:t>
            </w:r>
          </w:p>
        </w:tc>
        <w:tc>
          <w:tcPr>
            <w:tcW w:w="1666" w:type="pct"/>
            <w:vAlign w:val="center"/>
          </w:tcPr>
          <w:p w14:paraId="4AAC60EA">
            <w:pPr>
              <w:pStyle w:val="23"/>
              <w:jc w:val="center"/>
              <w:rPr>
                <w:rFonts w:ascii="宋体" w:hAnsi="宋体"/>
                <w:kern w:val="0"/>
                <w:szCs w:val="21"/>
              </w:rPr>
            </w:pPr>
            <w:r>
              <w:rPr>
                <w:rFonts w:ascii="宋体" w:hAnsi="宋体"/>
                <w:kern w:val="0"/>
                <w:szCs w:val="21"/>
              </w:rPr>
              <w:t>10.74</w:t>
            </w:r>
          </w:p>
        </w:tc>
      </w:tr>
      <w:tr w14:paraId="5D5BAD1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666" w:type="pct"/>
            <w:vAlign w:val="center"/>
          </w:tcPr>
          <w:p w14:paraId="09884FAB">
            <w:pPr>
              <w:pStyle w:val="23"/>
              <w:rPr>
                <w:rFonts w:ascii="宋体" w:hAnsi="宋体"/>
                <w:kern w:val="0"/>
                <w:szCs w:val="21"/>
              </w:rPr>
            </w:pPr>
            <w:r>
              <w:rPr>
                <w:rFonts w:ascii="宋体" w:hAnsi="宋体"/>
                <w:kern w:val="0"/>
                <w:szCs w:val="21"/>
              </w:rPr>
              <w:t>规上工业</w:t>
            </w:r>
          </w:p>
        </w:tc>
        <w:tc>
          <w:tcPr>
            <w:tcW w:w="1668" w:type="pct"/>
            <w:vAlign w:val="center"/>
          </w:tcPr>
          <w:p w14:paraId="5BA6F52D">
            <w:pPr>
              <w:pStyle w:val="23"/>
              <w:jc w:val="center"/>
              <w:rPr>
                <w:rFonts w:ascii="宋体" w:hAnsi="宋体"/>
                <w:kern w:val="0"/>
                <w:szCs w:val="21"/>
              </w:rPr>
            </w:pPr>
            <w:r>
              <w:rPr>
                <w:rFonts w:ascii="宋体" w:hAnsi="宋体"/>
                <w:kern w:val="0"/>
                <w:szCs w:val="21"/>
              </w:rPr>
              <w:t>11.85</w:t>
            </w:r>
          </w:p>
        </w:tc>
        <w:tc>
          <w:tcPr>
            <w:tcW w:w="1666" w:type="pct"/>
            <w:vAlign w:val="center"/>
          </w:tcPr>
          <w:p w14:paraId="0C29BA89">
            <w:pPr>
              <w:pStyle w:val="23"/>
              <w:jc w:val="center"/>
              <w:rPr>
                <w:rFonts w:ascii="宋体" w:hAnsi="宋体"/>
                <w:kern w:val="0"/>
                <w:szCs w:val="21"/>
              </w:rPr>
            </w:pPr>
            <w:r>
              <w:rPr>
                <w:rFonts w:ascii="宋体" w:hAnsi="宋体"/>
                <w:kern w:val="0"/>
                <w:szCs w:val="21"/>
              </w:rPr>
              <w:t>17.33</w:t>
            </w:r>
          </w:p>
        </w:tc>
      </w:tr>
      <w:tr w14:paraId="0CFE60D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666" w:type="pct"/>
            <w:vAlign w:val="center"/>
          </w:tcPr>
          <w:p w14:paraId="25D2F20D">
            <w:pPr>
              <w:pStyle w:val="23"/>
              <w:rPr>
                <w:rFonts w:ascii="宋体" w:hAnsi="宋体"/>
                <w:kern w:val="0"/>
                <w:szCs w:val="21"/>
              </w:rPr>
            </w:pPr>
            <w:r>
              <w:rPr>
                <w:rFonts w:ascii="宋体" w:hAnsi="宋体"/>
                <w:kern w:val="0"/>
                <w:szCs w:val="21"/>
              </w:rPr>
              <w:t>规下工业</w:t>
            </w:r>
          </w:p>
        </w:tc>
        <w:tc>
          <w:tcPr>
            <w:tcW w:w="1668" w:type="pct"/>
            <w:vAlign w:val="center"/>
          </w:tcPr>
          <w:p w14:paraId="2D9B4AEB">
            <w:pPr>
              <w:pStyle w:val="23"/>
              <w:jc w:val="center"/>
              <w:rPr>
                <w:rFonts w:ascii="宋体" w:hAnsi="宋体"/>
                <w:kern w:val="0"/>
                <w:szCs w:val="21"/>
              </w:rPr>
            </w:pPr>
            <w:r>
              <w:rPr>
                <w:rFonts w:ascii="宋体" w:hAnsi="宋体"/>
                <w:kern w:val="0"/>
                <w:szCs w:val="21"/>
              </w:rPr>
              <w:t>5.68</w:t>
            </w:r>
          </w:p>
        </w:tc>
        <w:tc>
          <w:tcPr>
            <w:tcW w:w="1666" w:type="pct"/>
            <w:vAlign w:val="center"/>
          </w:tcPr>
          <w:p w14:paraId="4F4256FE">
            <w:pPr>
              <w:pStyle w:val="23"/>
              <w:jc w:val="center"/>
              <w:rPr>
                <w:rFonts w:ascii="宋体" w:hAnsi="宋体"/>
                <w:kern w:val="0"/>
                <w:szCs w:val="21"/>
              </w:rPr>
            </w:pPr>
            <w:r>
              <w:rPr>
                <w:rFonts w:ascii="宋体" w:hAnsi="宋体"/>
                <w:kern w:val="0"/>
                <w:szCs w:val="21"/>
              </w:rPr>
              <w:t>-0.87</w:t>
            </w:r>
          </w:p>
        </w:tc>
      </w:tr>
      <w:tr w14:paraId="33F5E54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666" w:type="pct"/>
            <w:vAlign w:val="center"/>
          </w:tcPr>
          <w:p w14:paraId="4D4814F2">
            <w:pPr>
              <w:pStyle w:val="23"/>
              <w:rPr>
                <w:rFonts w:ascii="宋体" w:hAnsi="宋体"/>
                <w:kern w:val="0"/>
                <w:szCs w:val="21"/>
              </w:rPr>
            </w:pPr>
            <w:r>
              <w:rPr>
                <w:rFonts w:ascii="宋体" w:hAnsi="宋体"/>
                <w:kern w:val="0"/>
                <w:szCs w:val="21"/>
              </w:rPr>
              <w:t>建筑业能源消费</w:t>
            </w:r>
          </w:p>
        </w:tc>
        <w:tc>
          <w:tcPr>
            <w:tcW w:w="1668" w:type="pct"/>
            <w:vAlign w:val="center"/>
          </w:tcPr>
          <w:p w14:paraId="2A48450A">
            <w:pPr>
              <w:pStyle w:val="23"/>
              <w:jc w:val="center"/>
              <w:rPr>
                <w:rFonts w:ascii="宋体" w:hAnsi="宋体"/>
                <w:kern w:val="0"/>
                <w:szCs w:val="21"/>
              </w:rPr>
            </w:pPr>
            <w:r>
              <w:rPr>
                <w:rFonts w:ascii="宋体" w:hAnsi="宋体"/>
                <w:kern w:val="0"/>
                <w:szCs w:val="21"/>
              </w:rPr>
              <w:t>3.23</w:t>
            </w:r>
          </w:p>
        </w:tc>
        <w:tc>
          <w:tcPr>
            <w:tcW w:w="1666" w:type="pct"/>
            <w:vAlign w:val="center"/>
          </w:tcPr>
          <w:p w14:paraId="4DE41F57">
            <w:pPr>
              <w:pStyle w:val="23"/>
              <w:jc w:val="center"/>
              <w:rPr>
                <w:rFonts w:ascii="宋体" w:hAnsi="宋体"/>
                <w:kern w:val="0"/>
                <w:szCs w:val="21"/>
              </w:rPr>
            </w:pPr>
            <w:r>
              <w:rPr>
                <w:rFonts w:ascii="宋体" w:hAnsi="宋体"/>
                <w:kern w:val="0"/>
                <w:szCs w:val="21"/>
              </w:rPr>
              <w:t>14.13</w:t>
            </w:r>
          </w:p>
        </w:tc>
      </w:tr>
      <w:tr w14:paraId="55320DB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666" w:type="pct"/>
            <w:vAlign w:val="center"/>
          </w:tcPr>
          <w:p w14:paraId="4475A577">
            <w:pPr>
              <w:pStyle w:val="23"/>
              <w:rPr>
                <w:rFonts w:ascii="宋体" w:hAnsi="宋体"/>
                <w:kern w:val="0"/>
                <w:szCs w:val="21"/>
              </w:rPr>
            </w:pPr>
            <w:r>
              <w:rPr>
                <w:rFonts w:ascii="宋体" w:hAnsi="宋体"/>
                <w:kern w:val="0"/>
                <w:szCs w:val="21"/>
              </w:rPr>
              <w:t>第三产业能源消费</w:t>
            </w:r>
          </w:p>
        </w:tc>
        <w:tc>
          <w:tcPr>
            <w:tcW w:w="1668" w:type="pct"/>
            <w:vAlign w:val="center"/>
          </w:tcPr>
          <w:p w14:paraId="26E706FC">
            <w:pPr>
              <w:pStyle w:val="23"/>
              <w:jc w:val="center"/>
              <w:rPr>
                <w:rFonts w:ascii="宋体" w:hAnsi="宋体"/>
                <w:kern w:val="0"/>
                <w:szCs w:val="21"/>
              </w:rPr>
            </w:pPr>
            <w:r>
              <w:rPr>
                <w:rFonts w:ascii="宋体" w:hAnsi="宋体"/>
                <w:kern w:val="0"/>
                <w:szCs w:val="21"/>
              </w:rPr>
              <w:t>14.33</w:t>
            </w:r>
          </w:p>
        </w:tc>
        <w:tc>
          <w:tcPr>
            <w:tcW w:w="1666" w:type="pct"/>
            <w:vAlign w:val="center"/>
          </w:tcPr>
          <w:p w14:paraId="4E0A8B8C">
            <w:pPr>
              <w:pStyle w:val="23"/>
              <w:jc w:val="center"/>
              <w:rPr>
                <w:rFonts w:ascii="宋体" w:hAnsi="宋体"/>
                <w:kern w:val="0"/>
                <w:szCs w:val="21"/>
              </w:rPr>
            </w:pPr>
            <w:r>
              <w:rPr>
                <w:rFonts w:ascii="宋体" w:hAnsi="宋体"/>
                <w:kern w:val="0"/>
                <w:szCs w:val="21"/>
              </w:rPr>
              <w:t>15.94</w:t>
            </w:r>
          </w:p>
        </w:tc>
      </w:tr>
      <w:tr w14:paraId="05269B6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666" w:type="pct"/>
            <w:vAlign w:val="center"/>
          </w:tcPr>
          <w:p w14:paraId="53CEC312">
            <w:pPr>
              <w:pStyle w:val="23"/>
              <w:rPr>
                <w:rFonts w:ascii="宋体" w:hAnsi="宋体"/>
                <w:kern w:val="0"/>
                <w:szCs w:val="21"/>
              </w:rPr>
            </w:pPr>
            <w:r>
              <w:rPr>
                <w:rFonts w:ascii="宋体" w:hAnsi="宋体"/>
                <w:kern w:val="0"/>
                <w:szCs w:val="21"/>
              </w:rPr>
              <w:t>交通运输业能源消费</w:t>
            </w:r>
          </w:p>
        </w:tc>
        <w:tc>
          <w:tcPr>
            <w:tcW w:w="1668" w:type="pct"/>
            <w:vAlign w:val="center"/>
          </w:tcPr>
          <w:p w14:paraId="66E36441">
            <w:pPr>
              <w:pStyle w:val="23"/>
              <w:jc w:val="center"/>
              <w:rPr>
                <w:rFonts w:ascii="宋体" w:hAnsi="宋体"/>
                <w:kern w:val="0"/>
                <w:szCs w:val="21"/>
              </w:rPr>
            </w:pPr>
            <w:r>
              <w:rPr>
                <w:rFonts w:ascii="宋体" w:hAnsi="宋体"/>
                <w:kern w:val="0"/>
                <w:szCs w:val="21"/>
              </w:rPr>
              <w:t>8.49</w:t>
            </w:r>
          </w:p>
        </w:tc>
        <w:tc>
          <w:tcPr>
            <w:tcW w:w="1666" w:type="pct"/>
            <w:vAlign w:val="center"/>
          </w:tcPr>
          <w:p w14:paraId="4C8CDBA2">
            <w:pPr>
              <w:pStyle w:val="23"/>
              <w:jc w:val="center"/>
              <w:rPr>
                <w:rFonts w:ascii="宋体" w:hAnsi="宋体"/>
                <w:kern w:val="0"/>
                <w:szCs w:val="21"/>
              </w:rPr>
            </w:pPr>
            <w:r>
              <w:rPr>
                <w:rFonts w:ascii="宋体" w:hAnsi="宋体"/>
                <w:kern w:val="0"/>
                <w:szCs w:val="21"/>
              </w:rPr>
              <w:t>19.07</w:t>
            </w:r>
          </w:p>
        </w:tc>
      </w:tr>
      <w:tr w14:paraId="685177D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666" w:type="pct"/>
            <w:vAlign w:val="center"/>
          </w:tcPr>
          <w:p w14:paraId="22025444">
            <w:pPr>
              <w:pStyle w:val="23"/>
              <w:rPr>
                <w:rFonts w:ascii="宋体" w:hAnsi="宋体"/>
                <w:kern w:val="0"/>
                <w:szCs w:val="21"/>
              </w:rPr>
            </w:pPr>
            <w:r>
              <w:rPr>
                <w:rFonts w:ascii="宋体" w:hAnsi="宋体"/>
                <w:kern w:val="0"/>
                <w:szCs w:val="21"/>
              </w:rPr>
              <w:t>居民生活用能</w:t>
            </w:r>
          </w:p>
        </w:tc>
        <w:tc>
          <w:tcPr>
            <w:tcW w:w="1668" w:type="pct"/>
            <w:vAlign w:val="center"/>
          </w:tcPr>
          <w:p w14:paraId="0DB6E3C0">
            <w:pPr>
              <w:pStyle w:val="23"/>
              <w:jc w:val="center"/>
              <w:rPr>
                <w:rFonts w:ascii="宋体" w:hAnsi="宋体"/>
                <w:kern w:val="0"/>
                <w:szCs w:val="21"/>
              </w:rPr>
            </w:pPr>
            <w:r>
              <w:rPr>
                <w:rFonts w:ascii="宋体" w:hAnsi="宋体"/>
                <w:kern w:val="0"/>
                <w:szCs w:val="21"/>
              </w:rPr>
              <w:t>7.36</w:t>
            </w:r>
          </w:p>
        </w:tc>
        <w:tc>
          <w:tcPr>
            <w:tcW w:w="1666" w:type="pct"/>
            <w:vAlign w:val="center"/>
          </w:tcPr>
          <w:p w14:paraId="674E8AD0">
            <w:pPr>
              <w:pStyle w:val="23"/>
              <w:jc w:val="center"/>
              <w:rPr>
                <w:rFonts w:ascii="宋体" w:hAnsi="宋体"/>
                <w:kern w:val="0"/>
                <w:szCs w:val="21"/>
              </w:rPr>
            </w:pPr>
            <w:r>
              <w:rPr>
                <w:rFonts w:ascii="宋体" w:hAnsi="宋体"/>
                <w:kern w:val="0"/>
                <w:szCs w:val="21"/>
              </w:rPr>
              <w:t>10.01</w:t>
            </w:r>
          </w:p>
        </w:tc>
      </w:tr>
      <w:tr w14:paraId="3980747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666" w:type="pct"/>
            <w:vAlign w:val="center"/>
          </w:tcPr>
          <w:p w14:paraId="24483881">
            <w:pPr>
              <w:pStyle w:val="23"/>
              <w:rPr>
                <w:rFonts w:ascii="宋体" w:hAnsi="宋体"/>
                <w:kern w:val="0"/>
                <w:szCs w:val="21"/>
              </w:rPr>
            </w:pPr>
            <w:r>
              <w:rPr>
                <w:rFonts w:ascii="宋体" w:hAnsi="宋体"/>
                <w:kern w:val="0"/>
                <w:szCs w:val="21"/>
              </w:rPr>
              <w:t>城市居民生活用能</w:t>
            </w:r>
          </w:p>
        </w:tc>
        <w:tc>
          <w:tcPr>
            <w:tcW w:w="1668" w:type="pct"/>
            <w:vAlign w:val="center"/>
          </w:tcPr>
          <w:p w14:paraId="3321DC0A">
            <w:pPr>
              <w:pStyle w:val="23"/>
              <w:jc w:val="center"/>
              <w:rPr>
                <w:rFonts w:ascii="宋体" w:hAnsi="宋体"/>
                <w:kern w:val="0"/>
                <w:szCs w:val="21"/>
              </w:rPr>
            </w:pPr>
            <w:r>
              <w:rPr>
                <w:rFonts w:ascii="宋体" w:hAnsi="宋体"/>
                <w:kern w:val="0"/>
                <w:szCs w:val="21"/>
              </w:rPr>
              <w:t>3.79</w:t>
            </w:r>
          </w:p>
        </w:tc>
        <w:tc>
          <w:tcPr>
            <w:tcW w:w="1666" w:type="pct"/>
            <w:vAlign w:val="center"/>
          </w:tcPr>
          <w:p w14:paraId="558F34D5">
            <w:pPr>
              <w:pStyle w:val="23"/>
              <w:jc w:val="center"/>
              <w:rPr>
                <w:rFonts w:ascii="宋体" w:hAnsi="宋体"/>
                <w:kern w:val="0"/>
                <w:szCs w:val="21"/>
              </w:rPr>
            </w:pPr>
            <w:r>
              <w:rPr>
                <w:rFonts w:ascii="宋体" w:hAnsi="宋体"/>
                <w:kern w:val="0"/>
                <w:szCs w:val="21"/>
              </w:rPr>
              <w:t>9.54</w:t>
            </w:r>
          </w:p>
        </w:tc>
      </w:tr>
      <w:tr w14:paraId="21123C9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666" w:type="pct"/>
            <w:vAlign w:val="center"/>
          </w:tcPr>
          <w:p w14:paraId="46A1621E">
            <w:pPr>
              <w:pStyle w:val="23"/>
              <w:rPr>
                <w:rFonts w:ascii="宋体" w:hAnsi="宋体"/>
                <w:kern w:val="0"/>
                <w:szCs w:val="21"/>
              </w:rPr>
            </w:pPr>
            <w:r>
              <w:rPr>
                <w:rFonts w:ascii="宋体" w:hAnsi="宋体"/>
                <w:kern w:val="0"/>
                <w:szCs w:val="21"/>
              </w:rPr>
              <w:t>农村居民生活用能</w:t>
            </w:r>
          </w:p>
        </w:tc>
        <w:tc>
          <w:tcPr>
            <w:tcW w:w="1668" w:type="pct"/>
            <w:vAlign w:val="center"/>
          </w:tcPr>
          <w:p w14:paraId="6406DEB6">
            <w:pPr>
              <w:pStyle w:val="23"/>
              <w:jc w:val="center"/>
              <w:rPr>
                <w:rFonts w:ascii="宋体" w:hAnsi="宋体"/>
                <w:kern w:val="0"/>
                <w:szCs w:val="21"/>
              </w:rPr>
            </w:pPr>
            <w:r>
              <w:rPr>
                <w:rFonts w:ascii="宋体" w:hAnsi="宋体"/>
                <w:kern w:val="0"/>
                <w:szCs w:val="21"/>
              </w:rPr>
              <w:t>3.57</w:t>
            </w:r>
          </w:p>
        </w:tc>
        <w:tc>
          <w:tcPr>
            <w:tcW w:w="1666" w:type="pct"/>
            <w:vAlign w:val="center"/>
          </w:tcPr>
          <w:p w14:paraId="548D5479">
            <w:pPr>
              <w:pStyle w:val="23"/>
              <w:jc w:val="center"/>
              <w:rPr>
                <w:rFonts w:ascii="宋体" w:hAnsi="宋体"/>
                <w:kern w:val="0"/>
                <w:szCs w:val="21"/>
              </w:rPr>
            </w:pPr>
            <w:r>
              <w:rPr>
                <w:rFonts w:ascii="宋体" w:hAnsi="宋体"/>
                <w:kern w:val="0"/>
                <w:szCs w:val="21"/>
              </w:rPr>
              <w:t>60.09</w:t>
            </w:r>
          </w:p>
        </w:tc>
      </w:tr>
    </w:tbl>
    <w:p w14:paraId="4883B34C">
      <w:pPr>
        <w:ind w:firstLine="0" w:firstLineChars="0"/>
        <w:jc w:val="center"/>
        <w:rPr>
          <w:rFonts w:ascii="宋体" w:hAnsi="宋体"/>
          <w:b/>
          <w:szCs w:val="21"/>
        </w:rPr>
      </w:pPr>
      <w:r>
        <w:rPr>
          <w:rFonts w:hint="eastAsia" w:ascii="宋体" w:hAnsi="宋体"/>
          <w:b/>
          <w:szCs w:val="21"/>
        </w:rPr>
        <w:t>表67 工业企业基本情况</w:t>
      </w:r>
    </w:p>
    <w:tbl>
      <w:tblPr>
        <w:tblStyle w:val="14"/>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545"/>
        <w:gridCol w:w="1766"/>
        <w:gridCol w:w="2536"/>
        <w:gridCol w:w="2115"/>
      </w:tblGrid>
      <w:tr w14:paraId="7684208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880" w:type="pct"/>
            <w:shd w:val="clear" w:color="auto" w:fill="auto"/>
            <w:noWrap/>
            <w:vAlign w:val="center"/>
          </w:tcPr>
          <w:p w14:paraId="15CB7141">
            <w:pPr>
              <w:pStyle w:val="23"/>
              <w:jc w:val="center"/>
              <w:rPr>
                <w:rFonts w:ascii="宋体" w:hAnsi="宋体"/>
                <w:b/>
                <w:kern w:val="0"/>
                <w:szCs w:val="21"/>
              </w:rPr>
            </w:pPr>
            <w:r>
              <w:rPr>
                <w:rFonts w:ascii="宋体" w:hAnsi="宋体"/>
                <w:b/>
                <w:kern w:val="0"/>
                <w:szCs w:val="21"/>
              </w:rPr>
              <w:t>指标名称</w:t>
            </w:r>
          </w:p>
        </w:tc>
        <w:tc>
          <w:tcPr>
            <w:tcW w:w="987" w:type="pct"/>
            <w:shd w:val="clear" w:color="auto" w:fill="auto"/>
            <w:noWrap/>
            <w:vAlign w:val="center"/>
          </w:tcPr>
          <w:p w14:paraId="397A3D62">
            <w:pPr>
              <w:pStyle w:val="23"/>
              <w:jc w:val="center"/>
              <w:rPr>
                <w:rFonts w:ascii="宋体" w:hAnsi="宋体"/>
                <w:b/>
                <w:kern w:val="0"/>
                <w:szCs w:val="21"/>
              </w:rPr>
            </w:pPr>
            <w:r>
              <w:rPr>
                <w:rFonts w:ascii="宋体" w:hAnsi="宋体"/>
                <w:b/>
                <w:kern w:val="0"/>
                <w:szCs w:val="21"/>
              </w:rPr>
              <w:t>企业个数(个)</w:t>
            </w:r>
          </w:p>
        </w:tc>
        <w:tc>
          <w:tcPr>
            <w:tcW w:w="1066" w:type="pct"/>
            <w:shd w:val="clear" w:color="auto" w:fill="auto"/>
            <w:noWrap/>
            <w:vAlign w:val="center"/>
          </w:tcPr>
          <w:p w14:paraId="5B0831DE">
            <w:pPr>
              <w:pStyle w:val="23"/>
              <w:jc w:val="center"/>
              <w:rPr>
                <w:rFonts w:ascii="宋体" w:hAnsi="宋体"/>
                <w:b/>
                <w:kern w:val="0"/>
                <w:szCs w:val="21"/>
              </w:rPr>
            </w:pPr>
            <w:r>
              <w:rPr>
                <w:rFonts w:ascii="宋体" w:hAnsi="宋体"/>
                <w:b/>
                <w:kern w:val="0"/>
                <w:szCs w:val="21"/>
              </w:rPr>
              <w:t>工业总产值(万元)当年价</w:t>
            </w:r>
          </w:p>
        </w:tc>
        <w:tc>
          <w:tcPr>
            <w:tcW w:w="1066" w:type="pct"/>
            <w:shd w:val="clear" w:color="auto" w:fill="auto"/>
            <w:noWrap/>
            <w:vAlign w:val="center"/>
          </w:tcPr>
          <w:p w14:paraId="7A67D180">
            <w:pPr>
              <w:pStyle w:val="23"/>
              <w:jc w:val="center"/>
              <w:rPr>
                <w:rFonts w:ascii="宋体" w:hAnsi="宋体"/>
                <w:b/>
                <w:kern w:val="0"/>
                <w:szCs w:val="21"/>
              </w:rPr>
            </w:pPr>
            <w:r>
              <w:rPr>
                <w:rFonts w:ascii="宋体" w:hAnsi="宋体"/>
                <w:b/>
                <w:kern w:val="0"/>
                <w:szCs w:val="21"/>
              </w:rPr>
              <w:t>工业销售产值(万元)</w:t>
            </w:r>
          </w:p>
        </w:tc>
      </w:tr>
      <w:tr w14:paraId="78F590D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880" w:type="pct"/>
            <w:shd w:val="clear" w:color="auto" w:fill="auto"/>
            <w:noWrap/>
            <w:vAlign w:val="center"/>
          </w:tcPr>
          <w:p w14:paraId="30FF482D">
            <w:pPr>
              <w:pStyle w:val="23"/>
              <w:rPr>
                <w:rFonts w:ascii="宋体" w:hAnsi="宋体"/>
                <w:kern w:val="0"/>
                <w:szCs w:val="21"/>
              </w:rPr>
            </w:pPr>
            <w:r>
              <w:rPr>
                <w:rFonts w:ascii="宋体" w:hAnsi="宋体"/>
                <w:kern w:val="0"/>
                <w:szCs w:val="21"/>
              </w:rPr>
              <w:t>总计</w:t>
            </w:r>
          </w:p>
        </w:tc>
        <w:tc>
          <w:tcPr>
            <w:tcW w:w="987" w:type="pct"/>
            <w:shd w:val="clear" w:color="auto" w:fill="auto"/>
            <w:noWrap/>
            <w:vAlign w:val="center"/>
          </w:tcPr>
          <w:p w14:paraId="5A591BEB">
            <w:pPr>
              <w:pStyle w:val="23"/>
              <w:jc w:val="center"/>
              <w:rPr>
                <w:rFonts w:ascii="宋体" w:hAnsi="宋体"/>
                <w:kern w:val="0"/>
                <w:szCs w:val="21"/>
              </w:rPr>
            </w:pPr>
            <w:r>
              <w:rPr>
                <w:rFonts w:ascii="宋体" w:hAnsi="宋体"/>
                <w:kern w:val="0"/>
                <w:szCs w:val="21"/>
              </w:rPr>
              <w:t>549</w:t>
            </w:r>
          </w:p>
        </w:tc>
        <w:tc>
          <w:tcPr>
            <w:tcW w:w="1066" w:type="pct"/>
            <w:shd w:val="clear" w:color="auto" w:fill="auto"/>
            <w:noWrap/>
            <w:vAlign w:val="center"/>
          </w:tcPr>
          <w:p w14:paraId="7F7C90AE">
            <w:pPr>
              <w:pStyle w:val="23"/>
              <w:jc w:val="center"/>
              <w:rPr>
                <w:rFonts w:ascii="宋体" w:hAnsi="宋体"/>
                <w:kern w:val="0"/>
                <w:szCs w:val="21"/>
              </w:rPr>
            </w:pPr>
            <w:r>
              <w:rPr>
                <w:rFonts w:ascii="宋体" w:hAnsi="宋体"/>
                <w:kern w:val="0"/>
                <w:szCs w:val="21"/>
              </w:rPr>
              <w:t>581495.6</w:t>
            </w:r>
          </w:p>
        </w:tc>
        <w:tc>
          <w:tcPr>
            <w:tcW w:w="1066" w:type="pct"/>
            <w:shd w:val="clear" w:color="auto" w:fill="auto"/>
            <w:noWrap/>
            <w:vAlign w:val="center"/>
          </w:tcPr>
          <w:p w14:paraId="7D7819F0">
            <w:pPr>
              <w:pStyle w:val="23"/>
              <w:jc w:val="center"/>
              <w:rPr>
                <w:rFonts w:ascii="宋体" w:hAnsi="宋体"/>
                <w:kern w:val="0"/>
                <w:szCs w:val="21"/>
              </w:rPr>
            </w:pPr>
            <w:r>
              <w:rPr>
                <w:rFonts w:ascii="宋体" w:hAnsi="宋体"/>
                <w:kern w:val="0"/>
                <w:szCs w:val="21"/>
              </w:rPr>
              <w:t>564550.7</w:t>
            </w:r>
          </w:p>
        </w:tc>
      </w:tr>
      <w:tr w14:paraId="2555A09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880" w:type="pct"/>
            <w:shd w:val="clear" w:color="auto" w:fill="auto"/>
            <w:noWrap/>
            <w:vAlign w:val="center"/>
          </w:tcPr>
          <w:p w14:paraId="6873BF3D">
            <w:pPr>
              <w:pStyle w:val="23"/>
              <w:rPr>
                <w:rFonts w:ascii="宋体" w:hAnsi="宋体"/>
                <w:kern w:val="0"/>
                <w:szCs w:val="21"/>
              </w:rPr>
            </w:pPr>
            <w:r>
              <w:rPr>
                <w:rFonts w:ascii="宋体" w:hAnsi="宋体"/>
                <w:kern w:val="0"/>
                <w:szCs w:val="21"/>
              </w:rPr>
              <w:t>一、规模以上工业</w:t>
            </w:r>
          </w:p>
        </w:tc>
        <w:tc>
          <w:tcPr>
            <w:tcW w:w="987" w:type="pct"/>
            <w:shd w:val="clear" w:color="auto" w:fill="auto"/>
            <w:noWrap/>
            <w:vAlign w:val="center"/>
          </w:tcPr>
          <w:p w14:paraId="433E0F94">
            <w:pPr>
              <w:pStyle w:val="23"/>
              <w:jc w:val="center"/>
              <w:rPr>
                <w:rFonts w:ascii="宋体" w:hAnsi="宋体"/>
                <w:kern w:val="0"/>
                <w:szCs w:val="21"/>
              </w:rPr>
            </w:pPr>
            <w:r>
              <w:rPr>
                <w:rFonts w:ascii="宋体" w:hAnsi="宋体"/>
                <w:kern w:val="0"/>
                <w:szCs w:val="21"/>
              </w:rPr>
              <w:t>57</w:t>
            </w:r>
          </w:p>
        </w:tc>
        <w:tc>
          <w:tcPr>
            <w:tcW w:w="1066" w:type="pct"/>
            <w:shd w:val="clear" w:color="auto" w:fill="auto"/>
            <w:noWrap/>
            <w:vAlign w:val="center"/>
          </w:tcPr>
          <w:p w14:paraId="2399B118">
            <w:pPr>
              <w:pStyle w:val="23"/>
              <w:jc w:val="center"/>
              <w:rPr>
                <w:rFonts w:ascii="宋体" w:hAnsi="宋体"/>
                <w:kern w:val="0"/>
                <w:szCs w:val="21"/>
              </w:rPr>
            </w:pPr>
            <w:r>
              <w:rPr>
                <w:rFonts w:ascii="宋体" w:hAnsi="宋体"/>
                <w:kern w:val="0"/>
                <w:szCs w:val="21"/>
              </w:rPr>
              <w:t>462895.6</w:t>
            </w:r>
          </w:p>
        </w:tc>
        <w:tc>
          <w:tcPr>
            <w:tcW w:w="1066" w:type="pct"/>
            <w:shd w:val="clear" w:color="auto" w:fill="auto"/>
            <w:noWrap/>
            <w:vAlign w:val="center"/>
          </w:tcPr>
          <w:p w14:paraId="00864994">
            <w:pPr>
              <w:pStyle w:val="23"/>
              <w:jc w:val="center"/>
              <w:rPr>
                <w:rFonts w:ascii="宋体" w:hAnsi="宋体"/>
                <w:kern w:val="0"/>
                <w:szCs w:val="21"/>
              </w:rPr>
            </w:pPr>
            <w:r>
              <w:rPr>
                <w:rFonts w:ascii="宋体" w:hAnsi="宋体"/>
                <w:kern w:val="0"/>
                <w:szCs w:val="21"/>
              </w:rPr>
              <w:t>446948.7</w:t>
            </w:r>
          </w:p>
        </w:tc>
      </w:tr>
      <w:tr w14:paraId="78072EA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880" w:type="pct"/>
            <w:shd w:val="clear" w:color="auto" w:fill="auto"/>
            <w:noWrap/>
            <w:vAlign w:val="center"/>
          </w:tcPr>
          <w:p w14:paraId="7F915579">
            <w:pPr>
              <w:pStyle w:val="23"/>
              <w:ind w:firstLine="420" w:firstLineChars="200"/>
              <w:rPr>
                <w:rFonts w:ascii="宋体" w:hAnsi="宋体"/>
                <w:kern w:val="0"/>
                <w:szCs w:val="21"/>
              </w:rPr>
            </w:pPr>
            <w:r>
              <w:rPr>
                <w:rFonts w:ascii="宋体" w:hAnsi="宋体"/>
                <w:kern w:val="0"/>
                <w:szCs w:val="21"/>
              </w:rPr>
              <w:t>其中</w:t>
            </w:r>
            <w:r>
              <w:rPr>
                <w:rFonts w:hint="eastAsia" w:ascii="宋体" w:hAnsi="宋体"/>
                <w:kern w:val="0"/>
                <w:szCs w:val="21"/>
              </w:rPr>
              <w:t>：</w:t>
            </w:r>
            <w:r>
              <w:rPr>
                <w:rFonts w:ascii="宋体" w:hAnsi="宋体"/>
                <w:kern w:val="0"/>
                <w:szCs w:val="21"/>
              </w:rPr>
              <w:t>国有企业</w:t>
            </w:r>
          </w:p>
        </w:tc>
        <w:tc>
          <w:tcPr>
            <w:tcW w:w="987" w:type="pct"/>
            <w:shd w:val="clear" w:color="auto" w:fill="auto"/>
            <w:noWrap/>
            <w:vAlign w:val="center"/>
          </w:tcPr>
          <w:p w14:paraId="72A2E89E">
            <w:pPr>
              <w:pStyle w:val="23"/>
              <w:jc w:val="center"/>
              <w:rPr>
                <w:rFonts w:ascii="宋体" w:hAnsi="宋体"/>
                <w:kern w:val="0"/>
                <w:szCs w:val="21"/>
              </w:rPr>
            </w:pPr>
            <w:r>
              <w:rPr>
                <w:rFonts w:ascii="宋体" w:hAnsi="宋体"/>
                <w:kern w:val="0"/>
                <w:szCs w:val="21"/>
              </w:rPr>
              <w:t>3</w:t>
            </w:r>
          </w:p>
        </w:tc>
        <w:tc>
          <w:tcPr>
            <w:tcW w:w="1066" w:type="pct"/>
            <w:shd w:val="clear" w:color="auto" w:fill="auto"/>
            <w:noWrap/>
            <w:vAlign w:val="center"/>
          </w:tcPr>
          <w:p w14:paraId="02CA18DA">
            <w:pPr>
              <w:pStyle w:val="23"/>
              <w:jc w:val="center"/>
              <w:rPr>
                <w:rFonts w:ascii="宋体" w:hAnsi="宋体"/>
                <w:kern w:val="0"/>
                <w:szCs w:val="21"/>
              </w:rPr>
            </w:pPr>
            <w:r>
              <w:rPr>
                <w:rFonts w:ascii="宋体" w:hAnsi="宋体"/>
                <w:kern w:val="0"/>
                <w:szCs w:val="21"/>
              </w:rPr>
              <w:t>27573.7</w:t>
            </w:r>
          </w:p>
        </w:tc>
        <w:tc>
          <w:tcPr>
            <w:tcW w:w="1066" w:type="pct"/>
            <w:shd w:val="clear" w:color="auto" w:fill="auto"/>
            <w:noWrap/>
            <w:vAlign w:val="center"/>
          </w:tcPr>
          <w:p w14:paraId="76F34AE6">
            <w:pPr>
              <w:pStyle w:val="23"/>
              <w:jc w:val="center"/>
              <w:rPr>
                <w:rFonts w:ascii="宋体" w:hAnsi="宋体"/>
                <w:kern w:val="0"/>
                <w:szCs w:val="21"/>
              </w:rPr>
            </w:pPr>
            <w:r>
              <w:rPr>
                <w:rFonts w:ascii="宋体" w:hAnsi="宋体"/>
                <w:kern w:val="0"/>
                <w:szCs w:val="21"/>
              </w:rPr>
              <w:t>27266</w:t>
            </w:r>
          </w:p>
        </w:tc>
      </w:tr>
      <w:tr w14:paraId="7F93147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880" w:type="pct"/>
            <w:shd w:val="clear" w:color="auto" w:fill="auto"/>
            <w:noWrap/>
            <w:vAlign w:val="center"/>
          </w:tcPr>
          <w:p w14:paraId="3CE9ABF6">
            <w:pPr>
              <w:pStyle w:val="23"/>
              <w:ind w:firstLine="1050" w:firstLineChars="500"/>
              <w:rPr>
                <w:rFonts w:ascii="宋体" w:hAnsi="宋体"/>
                <w:kern w:val="0"/>
                <w:szCs w:val="21"/>
              </w:rPr>
            </w:pPr>
            <w:r>
              <w:rPr>
                <w:rFonts w:ascii="宋体" w:hAnsi="宋体"/>
                <w:kern w:val="0"/>
                <w:szCs w:val="21"/>
              </w:rPr>
              <w:t>股份有限公司</w:t>
            </w:r>
          </w:p>
        </w:tc>
        <w:tc>
          <w:tcPr>
            <w:tcW w:w="987" w:type="pct"/>
            <w:shd w:val="clear" w:color="auto" w:fill="auto"/>
            <w:noWrap/>
            <w:vAlign w:val="center"/>
          </w:tcPr>
          <w:p w14:paraId="2B860CDA">
            <w:pPr>
              <w:pStyle w:val="23"/>
              <w:jc w:val="center"/>
              <w:rPr>
                <w:rFonts w:ascii="宋体" w:hAnsi="宋体"/>
                <w:kern w:val="0"/>
                <w:szCs w:val="21"/>
              </w:rPr>
            </w:pPr>
            <w:r>
              <w:rPr>
                <w:rFonts w:ascii="宋体" w:hAnsi="宋体"/>
                <w:kern w:val="0"/>
                <w:szCs w:val="21"/>
              </w:rPr>
              <w:t>5</w:t>
            </w:r>
          </w:p>
        </w:tc>
        <w:tc>
          <w:tcPr>
            <w:tcW w:w="1066" w:type="pct"/>
            <w:shd w:val="clear" w:color="auto" w:fill="auto"/>
            <w:noWrap/>
            <w:vAlign w:val="center"/>
          </w:tcPr>
          <w:p w14:paraId="081CC594">
            <w:pPr>
              <w:pStyle w:val="23"/>
              <w:jc w:val="center"/>
              <w:rPr>
                <w:rFonts w:ascii="宋体" w:hAnsi="宋体"/>
                <w:kern w:val="0"/>
                <w:szCs w:val="21"/>
              </w:rPr>
            </w:pPr>
            <w:r>
              <w:rPr>
                <w:rFonts w:ascii="宋体" w:hAnsi="宋体"/>
                <w:kern w:val="0"/>
                <w:szCs w:val="21"/>
              </w:rPr>
              <w:t>46516</w:t>
            </w:r>
          </w:p>
        </w:tc>
        <w:tc>
          <w:tcPr>
            <w:tcW w:w="1066" w:type="pct"/>
            <w:shd w:val="clear" w:color="auto" w:fill="auto"/>
            <w:noWrap/>
            <w:vAlign w:val="center"/>
          </w:tcPr>
          <w:p w14:paraId="2A1D8892">
            <w:pPr>
              <w:pStyle w:val="23"/>
              <w:jc w:val="center"/>
              <w:rPr>
                <w:rFonts w:ascii="宋体" w:hAnsi="宋体"/>
                <w:kern w:val="0"/>
                <w:szCs w:val="21"/>
              </w:rPr>
            </w:pPr>
            <w:r>
              <w:rPr>
                <w:rFonts w:ascii="宋体" w:hAnsi="宋体"/>
                <w:kern w:val="0"/>
                <w:szCs w:val="21"/>
              </w:rPr>
              <w:t>45112.4</w:t>
            </w:r>
          </w:p>
        </w:tc>
      </w:tr>
      <w:tr w14:paraId="2AA7B9B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880" w:type="pct"/>
            <w:shd w:val="clear" w:color="auto" w:fill="auto"/>
            <w:noWrap/>
            <w:vAlign w:val="center"/>
          </w:tcPr>
          <w:p w14:paraId="0E961EBE">
            <w:pPr>
              <w:pStyle w:val="23"/>
              <w:ind w:firstLine="1050" w:firstLineChars="500"/>
              <w:rPr>
                <w:rFonts w:ascii="宋体" w:hAnsi="宋体"/>
                <w:kern w:val="0"/>
                <w:szCs w:val="21"/>
              </w:rPr>
            </w:pPr>
            <w:r>
              <w:rPr>
                <w:rFonts w:ascii="宋体" w:hAnsi="宋体"/>
                <w:kern w:val="0"/>
                <w:szCs w:val="21"/>
              </w:rPr>
              <w:t>有限责任公司</w:t>
            </w:r>
          </w:p>
        </w:tc>
        <w:tc>
          <w:tcPr>
            <w:tcW w:w="987" w:type="pct"/>
            <w:shd w:val="clear" w:color="auto" w:fill="auto"/>
            <w:noWrap/>
            <w:vAlign w:val="center"/>
          </w:tcPr>
          <w:p w14:paraId="6EBD15C1">
            <w:pPr>
              <w:pStyle w:val="23"/>
              <w:jc w:val="center"/>
              <w:rPr>
                <w:rFonts w:ascii="宋体" w:hAnsi="宋体"/>
                <w:kern w:val="0"/>
                <w:szCs w:val="21"/>
              </w:rPr>
            </w:pPr>
            <w:r>
              <w:rPr>
                <w:rFonts w:ascii="宋体" w:hAnsi="宋体"/>
                <w:kern w:val="0"/>
                <w:szCs w:val="21"/>
              </w:rPr>
              <w:t>38</w:t>
            </w:r>
          </w:p>
        </w:tc>
        <w:tc>
          <w:tcPr>
            <w:tcW w:w="1066" w:type="pct"/>
            <w:shd w:val="clear" w:color="auto" w:fill="auto"/>
            <w:noWrap/>
            <w:vAlign w:val="center"/>
          </w:tcPr>
          <w:p w14:paraId="425D60BC">
            <w:pPr>
              <w:pStyle w:val="23"/>
              <w:jc w:val="center"/>
              <w:rPr>
                <w:rFonts w:ascii="宋体" w:hAnsi="宋体"/>
                <w:kern w:val="0"/>
                <w:szCs w:val="21"/>
              </w:rPr>
            </w:pPr>
            <w:r>
              <w:rPr>
                <w:rFonts w:ascii="宋体" w:hAnsi="宋体"/>
                <w:kern w:val="0"/>
                <w:szCs w:val="21"/>
              </w:rPr>
              <w:t>315442.7</w:t>
            </w:r>
          </w:p>
        </w:tc>
        <w:tc>
          <w:tcPr>
            <w:tcW w:w="1066" w:type="pct"/>
            <w:shd w:val="clear" w:color="auto" w:fill="auto"/>
            <w:noWrap/>
            <w:vAlign w:val="center"/>
          </w:tcPr>
          <w:p w14:paraId="2D48CB34">
            <w:pPr>
              <w:pStyle w:val="23"/>
              <w:jc w:val="center"/>
              <w:rPr>
                <w:rFonts w:ascii="宋体" w:hAnsi="宋体"/>
                <w:kern w:val="0"/>
                <w:szCs w:val="21"/>
              </w:rPr>
            </w:pPr>
            <w:r>
              <w:rPr>
                <w:rFonts w:ascii="宋体" w:hAnsi="宋体"/>
                <w:kern w:val="0"/>
                <w:szCs w:val="21"/>
              </w:rPr>
              <w:t>303369.4</w:t>
            </w:r>
          </w:p>
        </w:tc>
      </w:tr>
      <w:tr w14:paraId="6015D44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880" w:type="pct"/>
            <w:shd w:val="clear" w:color="auto" w:fill="auto"/>
            <w:noWrap/>
            <w:vAlign w:val="center"/>
          </w:tcPr>
          <w:p w14:paraId="7E15BB63">
            <w:pPr>
              <w:pStyle w:val="23"/>
              <w:ind w:firstLine="1050" w:firstLineChars="500"/>
              <w:rPr>
                <w:rFonts w:ascii="宋体" w:hAnsi="宋体"/>
                <w:kern w:val="0"/>
                <w:szCs w:val="21"/>
              </w:rPr>
            </w:pPr>
            <w:r>
              <w:rPr>
                <w:rFonts w:ascii="宋体" w:hAnsi="宋体"/>
                <w:kern w:val="0"/>
                <w:szCs w:val="21"/>
              </w:rPr>
              <w:t>私营企业</w:t>
            </w:r>
          </w:p>
        </w:tc>
        <w:tc>
          <w:tcPr>
            <w:tcW w:w="987" w:type="pct"/>
            <w:shd w:val="clear" w:color="auto" w:fill="auto"/>
            <w:noWrap/>
            <w:vAlign w:val="center"/>
          </w:tcPr>
          <w:p w14:paraId="78926144">
            <w:pPr>
              <w:pStyle w:val="23"/>
              <w:jc w:val="center"/>
              <w:rPr>
                <w:rFonts w:ascii="宋体" w:hAnsi="宋体"/>
                <w:kern w:val="0"/>
                <w:szCs w:val="21"/>
              </w:rPr>
            </w:pPr>
            <w:r>
              <w:rPr>
                <w:rFonts w:ascii="宋体" w:hAnsi="宋体"/>
                <w:kern w:val="0"/>
                <w:szCs w:val="21"/>
              </w:rPr>
              <w:t>9</w:t>
            </w:r>
          </w:p>
        </w:tc>
        <w:tc>
          <w:tcPr>
            <w:tcW w:w="1066" w:type="pct"/>
            <w:shd w:val="clear" w:color="auto" w:fill="auto"/>
            <w:noWrap/>
            <w:vAlign w:val="center"/>
          </w:tcPr>
          <w:p w14:paraId="22A9BC1F">
            <w:pPr>
              <w:pStyle w:val="23"/>
              <w:jc w:val="center"/>
              <w:rPr>
                <w:rFonts w:ascii="宋体" w:hAnsi="宋体"/>
                <w:kern w:val="0"/>
                <w:szCs w:val="21"/>
              </w:rPr>
            </w:pPr>
            <w:r>
              <w:rPr>
                <w:rFonts w:ascii="宋体" w:hAnsi="宋体"/>
                <w:kern w:val="0"/>
                <w:szCs w:val="21"/>
              </w:rPr>
              <w:t>55318</w:t>
            </w:r>
          </w:p>
        </w:tc>
        <w:tc>
          <w:tcPr>
            <w:tcW w:w="1066" w:type="pct"/>
            <w:shd w:val="clear" w:color="auto" w:fill="auto"/>
            <w:noWrap/>
            <w:vAlign w:val="center"/>
          </w:tcPr>
          <w:p w14:paraId="36EC97D3">
            <w:pPr>
              <w:pStyle w:val="23"/>
              <w:jc w:val="center"/>
              <w:rPr>
                <w:rFonts w:ascii="宋体" w:hAnsi="宋体"/>
                <w:kern w:val="0"/>
                <w:szCs w:val="21"/>
              </w:rPr>
            </w:pPr>
            <w:r>
              <w:rPr>
                <w:rFonts w:ascii="宋体" w:hAnsi="宋体"/>
                <w:kern w:val="0"/>
                <w:szCs w:val="21"/>
              </w:rPr>
              <w:t>54158</w:t>
            </w:r>
          </w:p>
        </w:tc>
      </w:tr>
      <w:tr w14:paraId="5F825AC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880" w:type="pct"/>
            <w:shd w:val="clear" w:color="auto" w:fill="auto"/>
            <w:noWrap/>
            <w:vAlign w:val="center"/>
          </w:tcPr>
          <w:p w14:paraId="125F689C">
            <w:pPr>
              <w:pStyle w:val="23"/>
              <w:ind w:firstLine="1050" w:firstLineChars="500"/>
              <w:rPr>
                <w:rFonts w:ascii="宋体" w:hAnsi="宋体"/>
                <w:kern w:val="0"/>
                <w:szCs w:val="21"/>
              </w:rPr>
            </w:pPr>
            <w:r>
              <w:rPr>
                <w:rFonts w:ascii="宋体" w:hAnsi="宋体"/>
                <w:kern w:val="0"/>
                <w:szCs w:val="21"/>
              </w:rPr>
              <w:t>港、澳、台投资企业</w:t>
            </w:r>
          </w:p>
        </w:tc>
        <w:tc>
          <w:tcPr>
            <w:tcW w:w="987" w:type="pct"/>
            <w:shd w:val="clear" w:color="auto" w:fill="auto"/>
            <w:noWrap/>
            <w:vAlign w:val="center"/>
          </w:tcPr>
          <w:p w14:paraId="6282885E">
            <w:pPr>
              <w:pStyle w:val="23"/>
              <w:jc w:val="center"/>
              <w:rPr>
                <w:rFonts w:ascii="宋体" w:hAnsi="宋体"/>
                <w:kern w:val="0"/>
                <w:szCs w:val="21"/>
              </w:rPr>
            </w:pPr>
            <w:r>
              <w:rPr>
                <w:rFonts w:ascii="宋体" w:hAnsi="宋体"/>
                <w:kern w:val="0"/>
                <w:szCs w:val="21"/>
              </w:rPr>
              <w:t>2</w:t>
            </w:r>
          </w:p>
        </w:tc>
        <w:tc>
          <w:tcPr>
            <w:tcW w:w="1066" w:type="pct"/>
            <w:shd w:val="clear" w:color="auto" w:fill="auto"/>
            <w:noWrap/>
            <w:vAlign w:val="center"/>
          </w:tcPr>
          <w:p w14:paraId="6973C084">
            <w:pPr>
              <w:pStyle w:val="23"/>
              <w:jc w:val="center"/>
              <w:rPr>
                <w:rFonts w:ascii="宋体" w:hAnsi="宋体"/>
                <w:kern w:val="0"/>
                <w:szCs w:val="21"/>
              </w:rPr>
            </w:pPr>
            <w:r>
              <w:rPr>
                <w:rFonts w:ascii="宋体" w:hAnsi="宋体"/>
                <w:kern w:val="0"/>
                <w:szCs w:val="21"/>
              </w:rPr>
              <w:t>18043</w:t>
            </w:r>
          </w:p>
        </w:tc>
        <w:tc>
          <w:tcPr>
            <w:tcW w:w="1066" w:type="pct"/>
            <w:shd w:val="clear" w:color="auto" w:fill="auto"/>
            <w:noWrap/>
            <w:vAlign w:val="center"/>
          </w:tcPr>
          <w:p w14:paraId="027D3EDE">
            <w:pPr>
              <w:pStyle w:val="23"/>
              <w:jc w:val="center"/>
              <w:rPr>
                <w:rFonts w:ascii="宋体" w:hAnsi="宋体"/>
                <w:kern w:val="0"/>
                <w:szCs w:val="21"/>
              </w:rPr>
            </w:pPr>
            <w:r>
              <w:rPr>
                <w:rFonts w:ascii="宋体" w:hAnsi="宋体"/>
                <w:kern w:val="0"/>
                <w:szCs w:val="21"/>
              </w:rPr>
              <w:t>17042.1</w:t>
            </w:r>
          </w:p>
        </w:tc>
      </w:tr>
      <w:tr w14:paraId="77962C4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880" w:type="pct"/>
            <w:shd w:val="clear" w:color="auto" w:fill="auto"/>
            <w:noWrap/>
            <w:vAlign w:val="center"/>
          </w:tcPr>
          <w:p w14:paraId="50175F1C">
            <w:pPr>
              <w:pStyle w:val="23"/>
              <w:rPr>
                <w:rFonts w:ascii="宋体" w:hAnsi="宋体"/>
                <w:kern w:val="0"/>
                <w:szCs w:val="21"/>
              </w:rPr>
            </w:pPr>
            <w:r>
              <w:rPr>
                <w:rFonts w:ascii="宋体" w:hAnsi="宋体"/>
                <w:kern w:val="0"/>
                <w:szCs w:val="21"/>
              </w:rPr>
              <w:t>二、规模以下工业</w:t>
            </w:r>
          </w:p>
        </w:tc>
        <w:tc>
          <w:tcPr>
            <w:tcW w:w="987" w:type="pct"/>
            <w:shd w:val="clear" w:color="auto" w:fill="auto"/>
            <w:noWrap/>
            <w:vAlign w:val="center"/>
          </w:tcPr>
          <w:p w14:paraId="6A5A2D77">
            <w:pPr>
              <w:pStyle w:val="23"/>
              <w:jc w:val="center"/>
              <w:rPr>
                <w:rFonts w:ascii="宋体" w:hAnsi="宋体"/>
                <w:kern w:val="0"/>
                <w:szCs w:val="21"/>
              </w:rPr>
            </w:pPr>
            <w:r>
              <w:rPr>
                <w:rFonts w:ascii="宋体" w:hAnsi="宋体"/>
                <w:kern w:val="0"/>
                <w:szCs w:val="21"/>
              </w:rPr>
              <w:t>435</w:t>
            </w:r>
          </w:p>
        </w:tc>
        <w:tc>
          <w:tcPr>
            <w:tcW w:w="1066" w:type="pct"/>
            <w:shd w:val="clear" w:color="auto" w:fill="auto"/>
            <w:noWrap/>
            <w:vAlign w:val="center"/>
          </w:tcPr>
          <w:p w14:paraId="12A494B9">
            <w:pPr>
              <w:pStyle w:val="23"/>
              <w:jc w:val="center"/>
              <w:rPr>
                <w:rFonts w:ascii="宋体" w:hAnsi="宋体"/>
                <w:kern w:val="0"/>
                <w:szCs w:val="21"/>
              </w:rPr>
            </w:pPr>
            <w:r>
              <w:rPr>
                <w:rFonts w:ascii="宋体" w:hAnsi="宋体"/>
                <w:kern w:val="0"/>
                <w:szCs w:val="21"/>
              </w:rPr>
              <w:t>118600</w:t>
            </w:r>
          </w:p>
        </w:tc>
        <w:tc>
          <w:tcPr>
            <w:tcW w:w="1066" w:type="pct"/>
            <w:shd w:val="clear" w:color="auto" w:fill="auto"/>
            <w:noWrap/>
            <w:vAlign w:val="center"/>
          </w:tcPr>
          <w:p w14:paraId="065AC5D7">
            <w:pPr>
              <w:pStyle w:val="23"/>
              <w:jc w:val="center"/>
              <w:rPr>
                <w:rFonts w:ascii="宋体" w:hAnsi="宋体"/>
                <w:kern w:val="0"/>
                <w:szCs w:val="21"/>
              </w:rPr>
            </w:pPr>
            <w:r>
              <w:rPr>
                <w:rFonts w:ascii="宋体" w:hAnsi="宋体"/>
                <w:kern w:val="0"/>
                <w:szCs w:val="21"/>
              </w:rPr>
              <w:t>117602</w:t>
            </w:r>
          </w:p>
        </w:tc>
      </w:tr>
    </w:tbl>
    <w:p w14:paraId="57DD73D0">
      <w:pPr>
        <w:ind w:firstLine="0" w:firstLineChars="0"/>
        <w:jc w:val="center"/>
        <w:rPr>
          <w:rFonts w:ascii="宋体" w:hAnsi="宋体"/>
          <w:b/>
          <w:szCs w:val="21"/>
        </w:rPr>
      </w:pPr>
      <w:r>
        <w:rPr>
          <w:rFonts w:hint="eastAsia" w:ascii="宋体" w:hAnsi="宋体"/>
          <w:b/>
          <w:szCs w:val="21"/>
        </w:rPr>
        <w:t>表68 规模以上工业行业分布情况</w:t>
      </w:r>
    </w:p>
    <w:tbl>
      <w:tblPr>
        <w:tblStyle w:val="14"/>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30" w:type="dxa"/>
          <w:bottom w:w="0" w:type="dxa"/>
          <w:right w:w="30" w:type="dxa"/>
        </w:tblCellMar>
      </w:tblPr>
      <w:tblGrid>
        <w:gridCol w:w="2865"/>
        <w:gridCol w:w="2038"/>
        <w:gridCol w:w="2450"/>
        <w:gridCol w:w="2453"/>
      </w:tblGrid>
      <w:tr w14:paraId="250FD8F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461" w:type="pct"/>
            <w:vAlign w:val="center"/>
          </w:tcPr>
          <w:p w14:paraId="67A92ECA">
            <w:pPr>
              <w:pStyle w:val="23"/>
              <w:jc w:val="center"/>
              <w:rPr>
                <w:rFonts w:ascii="宋体" w:hAnsi="宋体"/>
                <w:b/>
                <w:kern w:val="0"/>
                <w:szCs w:val="21"/>
              </w:rPr>
            </w:pPr>
            <w:r>
              <w:rPr>
                <w:rFonts w:ascii="宋体" w:hAnsi="宋体"/>
                <w:b/>
                <w:kern w:val="0"/>
                <w:szCs w:val="21"/>
              </w:rPr>
              <w:t>指标名称</w:t>
            </w:r>
          </w:p>
        </w:tc>
        <w:tc>
          <w:tcPr>
            <w:tcW w:w="1039" w:type="pct"/>
            <w:vAlign w:val="center"/>
          </w:tcPr>
          <w:p w14:paraId="6DF46912">
            <w:pPr>
              <w:pStyle w:val="23"/>
              <w:jc w:val="center"/>
              <w:rPr>
                <w:rFonts w:ascii="宋体" w:hAnsi="宋体"/>
                <w:b/>
                <w:kern w:val="0"/>
                <w:szCs w:val="21"/>
              </w:rPr>
            </w:pPr>
            <w:r>
              <w:rPr>
                <w:rFonts w:ascii="宋体" w:hAnsi="宋体"/>
                <w:b/>
                <w:kern w:val="0"/>
                <w:szCs w:val="21"/>
              </w:rPr>
              <w:t>企业个数(个)</w:t>
            </w:r>
          </w:p>
        </w:tc>
        <w:tc>
          <w:tcPr>
            <w:tcW w:w="1249" w:type="pct"/>
            <w:vAlign w:val="center"/>
          </w:tcPr>
          <w:p w14:paraId="5CB5BCC5">
            <w:pPr>
              <w:pStyle w:val="23"/>
              <w:jc w:val="center"/>
              <w:rPr>
                <w:rFonts w:ascii="宋体" w:hAnsi="宋体"/>
                <w:b/>
                <w:kern w:val="0"/>
                <w:szCs w:val="21"/>
              </w:rPr>
            </w:pPr>
            <w:r>
              <w:rPr>
                <w:rFonts w:ascii="宋体" w:hAnsi="宋体"/>
                <w:b/>
                <w:kern w:val="0"/>
                <w:szCs w:val="21"/>
              </w:rPr>
              <w:t>工业总产值(万元)当年价</w:t>
            </w:r>
          </w:p>
        </w:tc>
        <w:tc>
          <w:tcPr>
            <w:tcW w:w="1251" w:type="pct"/>
            <w:vAlign w:val="center"/>
          </w:tcPr>
          <w:p w14:paraId="57099251">
            <w:pPr>
              <w:pStyle w:val="23"/>
              <w:jc w:val="center"/>
              <w:rPr>
                <w:rFonts w:ascii="宋体" w:hAnsi="宋体"/>
                <w:b/>
                <w:kern w:val="0"/>
                <w:szCs w:val="21"/>
              </w:rPr>
            </w:pPr>
            <w:r>
              <w:rPr>
                <w:rFonts w:ascii="宋体" w:hAnsi="宋体"/>
                <w:b/>
                <w:kern w:val="0"/>
                <w:szCs w:val="21"/>
              </w:rPr>
              <w:t>工业销售产值(万元)</w:t>
            </w:r>
          </w:p>
        </w:tc>
      </w:tr>
      <w:tr w14:paraId="7801983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461" w:type="pct"/>
            <w:vAlign w:val="center"/>
          </w:tcPr>
          <w:p w14:paraId="25E286EE">
            <w:pPr>
              <w:pStyle w:val="23"/>
              <w:rPr>
                <w:rFonts w:ascii="宋体" w:hAnsi="宋体"/>
                <w:kern w:val="0"/>
                <w:szCs w:val="21"/>
              </w:rPr>
            </w:pPr>
            <w:r>
              <w:rPr>
                <w:rFonts w:ascii="宋体" w:hAnsi="宋体"/>
                <w:kern w:val="0"/>
                <w:szCs w:val="21"/>
              </w:rPr>
              <w:t>总计</w:t>
            </w:r>
          </w:p>
        </w:tc>
        <w:tc>
          <w:tcPr>
            <w:tcW w:w="1039" w:type="pct"/>
            <w:vAlign w:val="center"/>
          </w:tcPr>
          <w:p w14:paraId="67D964C6">
            <w:pPr>
              <w:pStyle w:val="23"/>
              <w:jc w:val="center"/>
              <w:rPr>
                <w:rFonts w:ascii="宋体" w:hAnsi="宋体"/>
                <w:kern w:val="0"/>
                <w:szCs w:val="21"/>
              </w:rPr>
            </w:pPr>
            <w:r>
              <w:rPr>
                <w:rFonts w:ascii="宋体" w:hAnsi="宋体"/>
                <w:kern w:val="0"/>
                <w:szCs w:val="21"/>
              </w:rPr>
              <w:t>57</w:t>
            </w:r>
          </w:p>
        </w:tc>
        <w:tc>
          <w:tcPr>
            <w:tcW w:w="1249" w:type="pct"/>
            <w:vAlign w:val="center"/>
          </w:tcPr>
          <w:p w14:paraId="105DF5FD">
            <w:pPr>
              <w:pStyle w:val="23"/>
              <w:jc w:val="center"/>
              <w:rPr>
                <w:rFonts w:ascii="宋体" w:hAnsi="宋体"/>
                <w:kern w:val="0"/>
                <w:szCs w:val="21"/>
              </w:rPr>
            </w:pPr>
            <w:r>
              <w:rPr>
                <w:rFonts w:ascii="宋体" w:hAnsi="宋体"/>
                <w:kern w:val="0"/>
                <w:szCs w:val="21"/>
              </w:rPr>
              <w:t>462896</w:t>
            </w:r>
          </w:p>
        </w:tc>
        <w:tc>
          <w:tcPr>
            <w:tcW w:w="1251" w:type="pct"/>
            <w:vAlign w:val="center"/>
          </w:tcPr>
          <w:p w14:paraId="07922987">
            <w:pPr>
              <w:pStyle w:val="23"/>
              <w:jc w:val="center"/>
              <w:rPr>
                <w:rFonts w:ascii="宋体" w:hAnsi="宋体"/>
                <w:kern w:val="0"/>
                <w:szCs w:val="21"/>
              </w:rPr>
            </w:pPr>
            <w:r>
              <w:rPr>
                <w:rFonts w:ascii="宋体" w:hAnsi="宋体"/>
                <w:kern w:val="0"/>
                <w:szCs w:val="21"/>
              </w:rPr>
              <w:t>446949</w:t>
            </w:r>
          </w:p>
        </w:tc>
      </w:tr>
      <w:tr w14:paraId="0ACDA44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461" w:type="pct"/>
            <w:vAlign w:val="center"/>
          </w:tcPr>
          <w:p w14:paraId="039BEF5B">
            <w:pPr>
              <w:pStyle w:val="23"/>
              <w:rPr>
                <w:rFonts w:ascii="宋体" w:hAnsi="宋体"/>
                <w:kern w:val="0"/>
                <w:szCs w:val="21"/>
              </w:rPr>
            </w:pPr>
            <w:r>
              <w:rPr>
                <w:rFonts w:ascii="宋体" w:hAnsi="宋体"/>
                <w:kern w:val="0"/>
                <w:szCs w:val="21"/>
              </w:rPr>
              <w:t>有色金属矿采选业</w:t>
            </w:r>
          </w:p>
        </w:tc>
        <w:tc>
          <w:tcPr>
            <w:tcW w:w="1039" w:type="pct"/>
            <w:vAlign w:val="center"/>
          </w:tcPr>
          <w:p w14:paraId="571E87CE">
            <w:pPr>
              <w:pStyle w:val="23"/>
              <w:jc w:val="center"/>
              <w:rPr>
                <w:rFonts w:ascii="宋体" w:hAnsi="宋体"/>
                <w:kern w:val="0"/>
                <w:szCs w:val="21"/>
              </w:rPr>
            </w:pPr>
            <w:r>
              <w:rPr>
                <w:rFonts w:ascii="宋体" w:hAnsi="宋体"/>
                <w:kern w:val="0"/>
                <w:szCs w:val="21"/>
              </w:rPr>
              <w:t>2</w:t>
            </w:r>
          </w:p>
        </w:tc>
        <w:tc>
          <w:tcPr>
            <w:tcW w:w="1249" w:type="pct"/>
            <w:vAlign w:val="center"/>
          </w:tcPr>
          <w:p w14:paraId="399DD04B">
            <w:pPr>
              <w:pStyle w:val="23"/>
              <w:jc w:val="center"/>
              <w:rPr>
                <w:rFonts w:ascii="宋体" w:hAnsi="宋体"/>
                <w:kern w:val="0"/>
                <w:szCs w:val="21"/>
              </w:rPr>
            </w:pPr>
            <w:r>
              <w:rPr>
                <w:rFonts w:ascii="宋体" w:hAnsi="宋体"/>
                <w:kern w:val="0"/>
                <w:szCs w:val="21"/>
              </w:rPr>
              <w:t>9894</w:t>
            </w:r>
          </w:p>
        </w:tc>
        <w:tc>
          <w:tcPr>
            <w:tcW w:w="1251" w:type="pct"/>
            <w:vAlign w:val="center"/>
          </w:tcPr>
          <w:p w14:paraId="5A0F27A5">
            <w:pPr>
              <w:pStyle w:val="23"/>
              <w:jc w:val="center"/>
              <w:rPr>
                <w:rFonts w:ascii="宋体" w:hAnsi="宋体"/>
                <w:kern w:val="0"/>
                <w:szCs w:val="21"/>
              </w:rPr>
            </w:pPr>
            <w:r>
              <w:rPr>
                <w:rFonts w:ascii="宋体" w:hAnsi="宋体"/>
                <w:kern w:val="0"/>
                <w:szCs w:val="21"/>
              </w:rPr>
              <w:t>9721</w:t>
            </w:r>
          </w:p>
        </w:tc>
      </w:tr>
      <w:tr w14:paraId="61974F4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461" w:type="pct"/>
            <w:vAlign w:val="center"/>
          </w:tcPr>
          <w:p w14:paraId="3FFAB039">
            <w:pPr>
              <w:pStyle w:val="23"/>
              <w:rPr>
                <w:rFonts w:ascii="宋体" w:hAnsi="宋体"/>
                <w:kern w:val="0"/>
                <w:szCs w:val="21"/>
              </w:rPr>
            </w:pPr>
            <w:r>
              <w:rPr>
                <w:rFonts w:ascii="宋体" w:hAnsi="宋体"/>
                <w:kern w:val="0"/>
                <w:szCs w:val="21"/>
              </w:rPr>
              <w:t>非金属矿采选业</w:t>
            </w:r>
          </w:p>
        </w:tc>
        <w:tc>
          <w:tcPr>
            <w:tcW w:w="1039" w:type="pct"/>
            <w:vAlign w:val="center"/>
          </w:tcPr>
          <w:p w14:paraId="1A6FF24E">
            <w:pPr>
              <w:pStyle w:val="23"/>
              <w:jc w:val="center"/>
              <w:rPr>
                <w:rFonts w:ascii="宋体" w:hAnsi="宋体"/>
                <w:kern w:val="0"/>
                <w:szCs w:val="21"/>
              </w:rPr>
            </w:pPr>
            <w:r>
              <w:rPr>
                <w:rFonts w:ascii="宋体" w:hAnsi="宋体"/>
                <w:kern w:val="0"/>
                <w:szCs w:val="21"/>
              </w:rPr>
              <w:t>2</w:t>
            </w:r>
          </w:p>
        </w:tc>
        <w:tc>
          <w:tcPr>
            <w:tcW w:w="1249" w:type="pct"/>
            <w:vAlign w:val="center"/>
          </w:tcPr>
          <w:p w14:paraId="0A61AADC">
            <w:pPr>
              <w:pStyle w:val="23"/>
              <w:jc w:val="center"/>
              <w:rPr>
                <w:rFonts w:ascii="宋体" w:hAnsi="宋体"/>
                <w:kern w:val="0"/>
                <w:szCs w:val="21"/>
              </w:rPr>
            </w:pPr>
            <w:r>
              <w:rPr>
                <w:rFonts w:ascii="宋体" w:hAnsi="宋体"/>
                <w:kern w:val="0"/>
                <w:szCs w:val="21"/>
              </w:rPr>
              <w:t>11020</w:t>
            </w:r>
          </w:p>
        </w:tc>
        <w:tc>
          <w:tcPr>
            <w:tcW w:w="1251" w:type="pct"/>
            <w:vAlign w:val="center"/>
          </w:tcPr>
          <w:p w14:paraId="41606C9D">
            <w:pPr>
              <w:pStyle w:val="23"/>
              <w:jc w:val="center"/>
              <w:rPr>
                <w:rFonts w:ascii="宋体" w:hAnsi="宋体"/>
                <w:kern w:val="0"/>
                <w:szCs w:val="21"/>
              </w:rPr>
            </w:pPr>
            <w:r>
              <w:rPr>
                <w:rFonts w:ascii="宋体" w:hAnsi="宋体"/>
                <w:kern w:val="0"/>
                <w:szCs w:val="21"/>
              </w:rPr>
              <w:t>10792</w:t>
            </w:r>
          </w:p>
        </w:tc>
      </w:tr>
      <w:tr w14:paraId="772C3EF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461" w:type="pct"/>
            <w:vAlign w:val="center"/>
          </w:tcPr>
          <w:p w14:paraId="440F1642">
            <w:pPr>
              <w:pStyle w:val="23"/>
              <w:rPr>
                <w:rFonts w:ascii="宋体" w:hAnsi="宋体"/>
                <w:kern w:val="0"/>
                <w:szCs w:val="21"/>
              </w:rPr>
            </w:pPr>
            <w:r>
              <w:rPr>
                <w:rFonts w:ascii="宋体" w:hAnsi="宋体"/>
                <w:kern w:val="0"/>
                <w:szCs w:val="21"/>
              </w:rPr>
              <w:t>农副食品加工业</w:t>
            </w:r>
          </w:p>
        </w:tc>
        <w:tc>
          <w:tcPr>
            <w:tcW w:w="1039" w:type="pct"/>
            <w:vAlign w:val="center"/>
          </w:tcPr>
          <w:p w14:paraId="00CDF1B5">
            <w:pPr>
              <w:pStyle w:val="23"/>
              <w:jc w:val="center"/>
              <w:rPr>
                <w:rFonts w:ascii="宋体" w:hAnsi="宋体"/>
                <w:kern w:val="0"/>
                <w:szCs w:val="21"/>
              </w:rPr>
            </w:pPr>
            <w:r>
              <w:rPr>
                <w:rFonts w:ascii="宋体" w:hAnsi="宋体"/>
                <w:kern w:val="0"/>
                <w:szCs w:val="21"/>
              </w:rPr>
              <w:t>2</w:t>
            </w:r>
          </w:p>
        </w:tc>
        <w:tc>
          <w:tcPr>
            <w:tcW w:w="1249" w:type="pct"/>
            <w:vAlign w:val="center"/>
          </w:tcPr>
          <w:p w14:paraId="3E5BEDDC">
            <w:pPr>
              <w:pStyle w:val="23"/>
              <w:jc w:val="center"/>
              <w:rPr>
                <w:rFonts w:ascii="宋体" w:hAnsi="宋体"/>
                <w:kern w:val="0"/>
                <w:szCs w:val="21"/>
              </w:rPr>
            </w:pPr>
            <w:r>
              <w:rPr>
                <w:rFonts w:ascii="宋体" w:hAnsi="宋体"/>
                <w:kern w:val="0"/>
                <w:szCs w:val="21"/>
              </w:rPr>
              <w:t>9577</w:t>
            </w:r>
          </w:p>
        </w:tc>
        <w:tc>
          <w:tcPr>
            <w:tcW w:w="1251" w:type="pct"/>
            <w:vAlign w:val="center"/>
          </w:tcPr>
          <w:p w14:paraId="66EFC83B">
            <w:pPr>
              <w:pStyle w:val="23"/>
              <w:jc w:val="center"/>
              <w:rPr>
                <w:rFonts w:ascii="宋体" w:hAnsi="宋体"/>
                <w:kern w:val="0"/>
                <w:szCs w:val="21"/>
              </w:rPr>
            </w:pPr>
            <w:r>
              <w:rPr>
                <w:rFonts w:ascii="宋体" w:hAnsi="宋体"/>
                <w:kern w:val="0"/>
                <w:szCs w:val="21"/>
              </w:rPr>
              <w:t>9507</w:t>
            </w:r>
          </w:p>
        </w:tc>
      </w:tr>
      <w:tr w14:paraId="238B51B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461" w:type="pct"/>
            <w:vAlign w:val="center"/>
          </w:tcPr>
          <w:p w14:paraId="362ED85E">
            <w:pPr>
              <w:pStyle w:val="23"/>
              <w:rPr>
                <w:rFonts w:ascii="宋体" w:hAnsi="宋体"/>
                <w:kern w:val="0"/>
                <w:szCs w:val="21"/>
              </w:rPr>
            </w:pPr>
            <w:r>
              <w:rPr>
                <w:rFonts w:ascii="宋体" w:hAnsi="宋体"/>
                <w:kern w:val="0"/>
                <w:szCs w:val="21"/>
              </w:rPr>
              <w:t>食品制造业</w:t>
            </w:r>
          </w:p>
        </w:tc>
        <w:tc>
          <w:tcPr>
            <w:tcW w:w="1039" w:type="pct"/>
            <w:vAlign w:val="center"/>
          </w:tcPr>
          <w:p w14:paraId="68E76809">
            <w:pPr>
              <w:pStyle w:val="23"/>
              <w:jc w:val="center"/>
              <w:rPr>
                <w:rFonts w:ascii="宋体" w:hAnsi="宋体"/>
                <w:kern w:val="0"/>
                <w:szCs w:val="21"/>
              </w:rPr>
            </w:pPr>
            <w:r>
              <w:rPr>
                <w:rFonts w:ascii="宋体" w:hAnsi="宋体"/>
                <w:kern w:val="0"/>
                <w:szCs w:val="21"/>
              </w:rPr>
              <w:t>1</w:t>
            </w:r>
          </w:p>
        </w:tc>
        <w:tc>
          <w:tcPr>
            <w:tcW w:w="1249" w:type="pct"/>
            <w:vAlign w:val="center"/>
          </w:tcPr>
          <w:p w14:paraId="4823662A">
            <w:pPr>
              <w:pStyle w:val="23"/>
              <w:jc w:val="center"/>
              <w:rPr>
                <w:rFonts w:ascii="宋体" w:hAnsi="宋体"/>
                <w:kern w:val="0"/>
                <w:szCs w:val="21"/>
              </w:rPr>
            </w:pPr>
            <w:r>
              <w:rPr>
                <w:rFonts w:ascii="宋体" w:hAnsi="宋体"/>
                <w:kern w:val="0"/>
                <w:szCs w:val="21"/>
              </w:rPr>
              <w:t>4370</w:t>
            </w:r>
          </w:p>
        </w:tc>
        <w:tc>
          <w:tcPr>
            <w:tcW w:w="1251" w:type="pct"/>
            <w:vAlign w:val="center"/>
          </w:tcPr>
          <w:p w14:paraId="0DBE80E0">
            <w:pPr>
              <w:pStyle w:val="23"/>
              <w:jc w:val="center"/>
              <w:rPr>
                <w:rFonts w:ascii="宋体" w:hAnsi="宋体"/>
                <w:kern w:val="0"/>
                <w:szCs w:val="21"/>
              </w:rPr>
            </w:pPr>
            <w:r>
              <w:rPr>
                <w:rFonts w:ascii="宋体" w:hAnsi="宋体"/>
                <w:kern w:val="0"/>
                <w:szCs w:val="21"/>
              </w:rPr>
              <w:t>4124</w:t>
            </w:r>
          </w:p>
        </w:tc>
      </w:tr>
      <w:tr w14:paraId="23F5E76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461" w:type="pct"/>
            <w:vAlign w:val="center"/>
          </w:tcPr>
          <w:p w14:paraId="6F324A31">
            <w:pPr>
              <w:pStyle w:val="23"/>
              <w:rPr>
                <w:rFonts w:ascii="宋体" w:hAnsi="宋体"/>
                <w:kern w:val="0"/>
                <w:szCs w:val="21"/>
              </w:rPr>
            </w:pPr>
            <w:r>
              <w:rPr>
                <w:rFonts w:ascii="宋体" w:hAnsi="宋体"/>
                <w:kern w:val="0"/>
                <w:szCs w:val="21"/>
              </w:rPr>
              <w:t>烟草制品业</w:t>
            </w:r>
          </w:p>
        </w:tc>
        <w:tc>
          <w:tcPr>
            <w:tcW w:w="1039" w:type="pct"/>
            <w:vAlign w:val="center"/>
          </w:tcPr>
          <w:p w14:paraId="1259F8B9">
            <w:pPr>
              <w:pStyle w:val="23"/>
              <w:jc w:val="center"/>
              <w:rPr>
                <w:rFonts w:ascii="宋体" w:hAnsi="宋体"/>
                <w:kern w:val="0"/>
                <w:szCs w:val="21"/>
              </w:rPr>
            </w:pPr>
            <w:r>
              <w:rPr>
                <w:rFonts w:ascii="宋体" w:hAnsi="宋体"/>
                <w:kern w:val="0"/>
                <w:szCs w:val="21"/>
              </w:rPr>
              <w:t>1</w:t>
            </w:r>
          </w:p>
        </w:tc>
        <w:tc>
          <w:tcPr>
            <w:tcW w:w="1249" w:type="pct"/>
            <w:vAlign w:val="center"/>
          </w:tcPr>
          <w:p w14:paraId="08125456">
            <w:pPr>
              <w:pStyle w:val="23"/>
              <w:jc w:val="center"/>
              <w:rPr>
                <w:rFonts w:ascii="宋体" w:hAnsi="宋体"/>
                <w:kern w:val="0"/>
                <w:szCs w:val="21"/>
              </w:rPr>
            </w:pPr>
            <w:r>
              <w:rPr>
                <w:rFonts w:ascii="宋体" w:hAnsi="宋体"/>
                <w:kern w:val="0"/>
                <w:szCs w:val="21"/>
              </w:rPr>
              <w:t>6630</w:t>
            </w:r>
          </w:p>
        </w:tc>
        <w:tc>
          <w:tcPr>
            <w:tcW w:w="1251" w:type="pct"/>
            <w:vAlign w:val="center"/>
          </w:tcPr>
          <w:p w14:paraId="29CCD98C">
            <w:pPr>
              <w:pStyle w:val="23"/>
              <w:jc w:val="center"/>
              <w:rPr>
                <w:rFonts w:ascii="宋体" w:hAnsi="宋体"/>
                <w:kern w:val="0"/>
                <w:szCs w:val="21"/>
              </w:rPr>
            </w:pPr>
            <w:r>
              <w:rPr>
                <w:rFonts w:ascii="宋体" w:hAnsi="宋体"/>
                <w:kern w:val="0"/>
                <w:szCs w:val="21"/>
              </w:rPr>
              <w:t>6589</w:t>
            </w:r>
          </w:p>
        </w:tc>
      </w:tr>
      <w:tr w14:paraId="0BA2A7F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461" w:type="pct"/>
            <w:vAlign w:val="center"/>
          </w:tcPr>
          <w:p w14:paraId="6A768E22">
            <w:pPr>
              <w:pStyle w:val="23"/>
              <w:rPr>
                <w:rFonts w:ascii="宋体" w:hAnsi="宋体"/>
                <w:kern w:val="0"/>
                <w:szCs w:val="21"/>
              </w:rPr>
            </w:pPr>
            <w:r>
              <w:rPr>
                <w:rFonts w:ascii="宋体" w:hAnsi="宋体"/>
                <w:kern w:val="0"/>
                <w:szCs w:val="21"/>
              </w:rPr>
              <w:t>纺织服装、鞋、帽制造业</w:t>
            </w:r>
          </w:p>
        </w:tc>
        <w:tc>
          <w:tcPr>
            <w:tcW w:w="1039" w:type="pct"/>
            <w:vAlign w:val="center"/>
          </w:tcPr>
          <w:p w14:paraId="786DEBF1">
            <w:pPr>
              <w:pStyle w:val="23"/>
              <w:jc w:val="center"/>
              <w:rPr>
                <w:rFonts w:ascii="宋体" w:hAnsi="宋体"/>
                <w:kern w:val="0"/>
                <w:szCs w:val="21"/>
              </w:rPr>
            </w:pPr>
            <w:r>
              <w:rPr>
                <w:rFonts w:ascii="宋体" w:hAnsi="宋体"/>
                <w:kern w:val="0"/>
                <w:szCs w:val="21"/>
              </w:rPr>
              <w:t>1</w:t>
            </w:r>
          </w:p>
        </w:tc>
        <w:tc>
          <w:tcPr>
            <w:tcW w:w="1249" w:type="pct"/>
            <w:vAlign w:val="center"/>
          </w:tcPr>
          <w:p w14:paraId="708E0E28">
            <w:pPr>
              <w:pStyle w:val="23"/>
              <w:jc w:val="center"/>
              <w:rPr>
                <w:rFonts w:ascii="宋体" w:hAnsi="宋体"/>
                <w:kern w:val="0"/>
                <w:szCs w:val="21"/>
              </w:rPr>
            </w:pPr>
            <w:r>
              <w:rPr>
                <w:rFonts w:ascii="宋体" w:hAnsi="宋体"/>
                <w:kern w:val="0"/>
                <w:szCs w:val="21"/>
              </w:rPr>
              <w:t>7896</w:t>
            </w:r>
          </w:p>
        </w:tc>
        <w:tc>
          <w:tcPr>
            <w:tcW w:w="1251" w:type="pct"/>
            <w:vAlign w:val="center"/>
          </w:tcPr>
          <w:p w14:paraId="60770CE8">
            <w:pPr>
              <w:pStyle w:val="23"/>
              <w:jc w:val="center"/>
              <w:rPr>
                <w:rFonts w:ascii="宋体" w:hAnsi="宋体"/>
                <w:kern w:val="0"/>
                <w:szCs w:val="21"/>
              </w:rPr>
            </w:pPr>
            <w:r>
              <w:rPr>
                <w:rFonts w:ascii="宋体" w:hAnsi="宋体"/>
                <w:kern w:val="0"/>
                <w:szCs w:val="21"/>
              </w:rPr>
              <w:t>7061</w:t>
            </w:r>
          </w:p>
        </w:tc>
      </w:tr>
      <w:tr w14:paraId="6A365AE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461" w:type="pct"/>
            <w:vAlign w:val="center"/>
          </w:tcPr>
          <w:p w14:paraId="384E56A0">
            <w:pPr>
              <w:pStyle w:val="23"/>
              <w:rPr>
                <w:rFonts w:ascii="宋体" w:hAnsi="宋体"/>
                <w:kern w:val="0"/>
                <w:szCs w:val="21"/>
              </w:rPr>
            </w:pPr>
            <w:r>
              <w:rPr>
                <w:rFonts w:ascii="宋体" w:hAnsi="宋体"/>
                <w:kern w:val="0"/>
                <w:szCs w:val="21"/>
              </w:rPr>
              <w:t>皮革、毛皮、羽毛（绒）及其制品业</w:t>
            </w:r>
          </w:p>
        </w:tc>
        <w:tc>
          <w:tcPr>
            <w:tcW w:w="1039" w:type="pct"/>
            <w:vAlign w:val="center"/>
          </w:tcPr>
          <w:p w14:paraId="74893457">
            <w:pPr>
              <w:pStyle w:val="23"/>
              <w:jc w:val="center"/>
              <w:rPr>
                <w:rFonts w:ascii="宋体" w:hAnsi="宋体"/>
                <w:kern w:val="0"/>
                <w:szCs w:val="21"/>
              </w:rPr>
            </w:pPr>
            <w:r>
              <w:rPr>
                <w:rFonts w:ascii="宋体" w:hAnsi="宋体"/>
                <w:kern w:val="0"/>
                <w:szCs w:val="21"/>
              </w:rPr>
              <w:t>1</w:t>
            </w:r>
          </w:p>
        </w:tc>
        <w:tc>
          <w:tcPr>
            <w:tcW w:w="1249" w:type="pct"/>
            <w:vAlign w:val="center"/>
          </w:tcPr>
          <w:p w14:paraId="16253A5A">
            <w:pPr>
              <w:pStyle w:val="23"/>
              <w:jc w:val="center"/>
              <w:rPr>
                <w:rFonts w:ascii="宋体" w:hAnsi="宋体"/>
                <w:kern w:val="0"/>
                <w:szCs w:val="21"/>
              </w:rPr>
            </w:pPr>
            <w:r>
              <w:rPr>
                <w:rFonts w:ascii="宋体" w:hAnsi="宋体"/>
                <w:kern w:val="0"/>
                <w:szCs w:val="21"/>
              </w:rPr>
              <w:t>10148</w:t>
            </w:r>
          </w:p>
        </w:tc>
        <w:tc>
          <w:tcPr>
            <w:tcW w:w="1251" w:type="pct"/>
            <w:vAlign w:val="center"/>
          </w:tcPr>
          <w:p w14:paraId="4AA2B752">
            <w:pPr>
              <w:pStyle w:val="23"/>
              <w:jc w:val="center"/>
              <w:rPr>
                <w:rFonts w:ascii="宋体" w:hAnsi="宋体"/>
                <w:kern w:val="0"/>
                <w:szCs w:val="21"/>
              </w:rPr>
            </w:pPr>
            <w:r>
              <w:rPr>
                <w:rFonts w:ascii="宋体" w:hAnsi="宋体"/>
                <w:kern w:val="0"/>
                <w:szCs w:val="21"/>
              </w:rPr>
              <w:t>9981</w:t>
            </w:r>
          </w:p>
        </w:tc>
      </w:tr>
      <w:tr w14:paraId="2E45251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461" w:type="pct"/>
            <w:vAlign w:val="center"/>
          </w:tcPr>
          <w:p w14:paraId="67100198">
            <w:pPr>
              <w:pStyle w:val="23"/>
              <w:rPr>
                <w:rFonts w:ascii="宋体" w:hAnsi="宋体"/>
                <w:kern w:val="0"/>
                <w:szCs w:val="21"/>
              </w:rPr>
            </w:pPr>
            <w:r>
              <w:rPr>
                <w:rFonts w:ascii="宋体" w:hAnsi="宋体"/>
                <w:kern w:val="0"/>
                <w:szCs w:val="21"/>
              </w:rPr>
              <w:t>家具制造业</w:t>
            </w:r>
          </w:p>
        </w:tc>
        <w:tc>
          <w:tcPr>
            <w:tcW w:w="1039" w:type="pct"/>
            <w:vAlign w:val="center"/>
          </w:tcPr>
          <w:p w14:paraId="5E46B406">
            <w:pPr>
              <w:pStyle w:val="23"/>
              <w:jc w:val="center"/>
              <w:rPr>
                <w:rFonts w:ascii="宋体" w:hAnsi="宋体"/>
                <w:kern w:val="0"/>
                <w:szCs w:val="21"/>
              </w:rPr>
            </w:pPr>
            <w:r>
              <w:rPr>
                <w:rFonts w:ascii="宋体" w:hAnsi="宋体"/>
                <w:kern w:val="0"/>
                <w:szCs w:val="21"/>
              </w:rPr>
              <w:t>2</w:t>
            </w:r>
          </w:p>
        </w:tc>
        <w:tc>
          <w:tcPr>
            <w:tcW w:w="1249" w:type="pct"/>
            <w:vAlign w:val="center"/>
          </w:tcPr>
          <w:p w14:paraId="2CDA45BB">
            <w:pPr>
              <w:pStyle w:val="23"/>
              <w:jc w:val="center"/>
              <w:rPr>
                <w:rFonts w:ascii="宋体" w:hAnsi="宋体"/>
                <w:kern w:val="0"/>
                <w:szCs w:val="21"/>
              </w:rPr>
            </w:pPr>
            <w:r>
              <w:rPr>
                <w:rFonts w:ascii="宋体" w:hAnsi="宋体"/>
                <w:kern w:val="0"/>
                <w:szCs w:val="21"/>
              </w:rPr>
              <w:t>8013</w:t>
            </w:r>
          </w:p>
        </w:tc>
        <w:tc>
          <w:tcPr>
            <w:tcW w:w="1251" w:type="pct"/>
            <w:vAlign w:val="center"/>
          </w:tcPr>
          <w:p w14:paraId="11BA21C9">
            <w:pPr>
              <w:pStyle w:val="23"/>
              <w:jc w:val="center"/>
              <w:rPr>
                <w:rFonts w:ascii="宋体" w:hAnsi="宋体"/>
                <w:kern w:val="0"/>
                <w:szCs w:val="21"/>
              </w:rPr>
            </w:pPr>
            <w:r>
              <w:rPr>
                <w:rFonts w:ascii="宋体" w:hAnsi="宋体"/>
                <w:kern w:val="0"/>
                <w:szCs w:val="21"/>
              </w:rPr>
              <w:t>7671</w:t>
            </w:r>
          </w:p>
        </w:tc>
      </w:tr>
      <w:tr w14:paraId="0728627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461" w:type="pct"/>
            <w:vAlign w:val="center"/>
          </w:tcPr>
          <w:p w14:paraId="4AFEF052">
            <w:pPr>
              <w:pStyle w:val="23"/>
              <w:rPr>
                <w:rFonts w:ascii="宋体" w:hAnsi="宋体"/>
                <w:kern w:val="0"/>
                <w:szCs w:val="21"/>
              </w:rPr>
            </w:pPr>
            <w:r>
              <w:rPr>
                <w:rFonts w:ascii="宋体" w:hAnsi="宋体"/>
                <w:kern w:val="0"/>
                <w:szCs w:val="21"/>
              </w:rPr>
              <w:t>造纸及纸制品业</w:t>
            </w:r>
          </w:p>
        </w:tc>
        <w:tc>
          <w:tcPr>
            <w:tcW w:w="1039" w:type="pct"/>
            <w:vAlign w:val="center"/>
          </w:tcPr>
          <w:p w14:paraId="32648646">
            <w:pPr>
              <w:pStyle w:val="23"/>
              <w:jc w:val="center"/>
              <w:rPr>
                <w:rFonts w:ascii="宋体" w:hAnsi="宋体"/>
                <w:kern w:val="0"/>
                <w:szCs w:val="21"/>
              </w:rPr>
            </w:pPr>
            <w:r>
              <w:rPr>
                <w:rFonts w:ascii="宋体" w:hAnsi="宋体"/>
                <w:kern w:val="0"/>
                <w:szCs w:val="21"/>
              </w:rPr>
              <w:t>2</w:t>
            </w:r>
          </w:p>
        </w:tc>
        <w:tc>
          <w:tcPr>
            <w:tcW w:w="1249" w:type="pct"/>
            <w:vAlign w:val="center"/>
          </w:tcPr>
          <w:p w14:paraId="20E557F1">
            <w:pPr>
              <w:pStyle w:val="23"/>
              <w:jc w:val="center"/>
              <w:rPr>
                <w:rFonts w:ascii="宋体" w:hAnsi="宋体"/>
                <w:kern w:val="0"/>
                <w:szCs w:val="21"/>
              </w:rPr>
            </w:pPr>
            <w:r>
              <w:rPr>
                <w:rFonts w:ascii="宋体" w:hAnsi="宋体"/>
                <w:kern w:val="0"/>
                <w:szCs w:val="21"/>
              </w:rPr>
              <w:t>30547</w:t>
            </w:r>
          </w:p>
        </w:tc>
        <w:tc>
          <w:tcPr>
            <w:tcW w:w="1251" w:type="pct"/>
            <w:vAlign w:val="center"/>
          </w:tcPr>
          <w:p w14:paraId="6EB0B711">
            <w:pPr>
              <w:pStyle w:val="23"/>
              <w:jc w:val="center"/>
              <w:rPr>
                <w:rFonts w:ascii="宋体" w:hAnsi="宋体"/>
                <w:kern w:val="0"/>
                <w:szCs w:val="21"/>
              </w:rPr>
            </w:pPr>
            <w:r>
              <w:rPr>
                <w:rFonts w:ascii="宋体" w:hAnsi="宋体"/>
                <w:kern w:val="0"/>
                <w:szCs w:val="21"/>
              </w:rPr>
              <w:t>29452</w:t>
            </w:r>
          </w:p>
        </w:tc>
      </w:tr>
      <w:tr w14:paraId="17457DA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461" w:type="pct"/>
            <w:vAlign w:val="center"/>
          </w:tcPr>
          <w:p w14:paraId="64C8A4D2">
            <w:pPr>
              <w:pStyle w:val="23"/>
              <w:rPr>
                <w:rFonts w:ascii="宋体" w:hAnsi="宋体"/>
                <w:kern w:val="0"/>
                <w:szCs w:val="21"/>
              </w:rPr>
            </w:pPr>
            <w:r>
              <w:rPr>
                <w:rFonts w:ascii="宋体" w:hAnsi="宋体"/>
                <w:kern w:val="0"/>
                <w:szCs w:val="21"/>
              </w:rPr>
              <w:t>文教体育用品制造业</w:t>
            </w:r>
          </w:p>
        </w:tc>
        <w:tc>
          <w:tcPr>
            <w:tcW w:w="1039" w:type="pct"/>
            <w:vAlign w:val="center"/>
          </w:tcPr>
          <w:p w14:paraId="3464A4CB">
            <w:pPr>
              <w:pStyle w:val="23"/>
              <w:jc w:val="center"/>
              <w:rPr>
                <w:rFonts w:ascii="宋体" w:hAnsi="宋体"/>
                <w:kern w:val="0"/>
                <w:szCs w:val="21"/>
              </w:rPr>
            </w:pPr>
            <w:r>
              <w:rPr>
                <w:rFonts w:ascii="宋体" w:hAnsi="宋体"/>
                <w:kern w:val="0"/>
                <w:szCs w:val="21"/>
              </w:rPr>
              <w:t>1</w:t>
            </w:r>
          </w:p>
        </w:tc>
        <w:tc>
          <w:tcPr>
            <w:tcW w:w="1249" w:type="pct"/>
            <w:vAlign w:val="center"/>
          </w:tcPr>
          <w:p w14:paraId="393217D9">
            <w:pPr>
              <w:pStyle w:val="23"/>
              <w:jc w:val="center"/>
              <w:rPr>
                <w:rFonts w:ascii="宋体" w:hAnsi="宋体"/>
                <w:kern w:val="0"/>
                <w:szCs w:val="21"/>
              </w:rPr>
            </w:pPr>
            <w:r>
              <w:rPr>
                <w:rFonts w:ascii="宋体" w:hAnsi="宋体"/>
                <w:kern w:val="0"/>
                <w:szCs w:val="21"/>
              </w:rPr>
              <w:t>516</w:t>
            </w:r>
          </w:p>
        </w:tc>
        <w:tc>
          <w:tcPr>
            <w:tcW w:w="1251" w:type="pct"/>
            <w:vAlign w:val="center"/>
          </w:tcPr>
          <w:p w14:paraId="6EBC910F">
            <w:pPr>
              <w:pStyle w:val="23"/>
              <w:jc w:val="center"/>
              <w:rPr>
                <w:rFonts w:ascii="宋体" w:hAnsi="宋体"/>
                <w:kern w:val="0"/>
                <w:szCs w:val="21"/>
              </w:rPr>
            </w:pPr>
            <w:r>
              <w:rPr>
                <w:rFonts w:ascii="宋体" w:hAnsi="宋体"/>
                <w:kern w:val="0"/>
                <w:szCs w:val="21"/>
              </w:rPr>
              <w:t>4955</w:t>
            </w:r>
          </w:p>
        </w:tc>
      </w:tr>
      <w:tr w14:paraId="6167906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461" w:type="pct"/>
            <w:vAlign w:val="center"/>
          </w:tcPr>
          <w:p w14:paraId="115CEDBD">
            <w:pPr>
              <w:pStyle w:val="23"/>
              <w:rPr>
                <w:rFonts w:ascii="宋体" w:hAnsi="宋体"/>
                <w:kern w:val="0"/>
                <w:szCs w:val="21"/>
              </w:rPr>
            </w:pPr>
            <w:r>
              <w:rPr>
                <w:rFonts w:ascii="宋体" w:hAnsi="宋体"/>
                <w:kern w:val="0"/>
                <w:szCs w:val="21"/>
              </w:rPr>
              <w:t>化学原料及化学制品制造业</w:t>
            </w:r>
          </w:p>
        </w:tc>
        <w:tc>
          <w:tcPr>
            <w:tcW w:w="1039" w:type="pct"/>
            <w:vAlign w:val="center"/>
          </w:tcPr>
          <w:p w14:paraId="08E26268">
            <w:pPr>
              <w:pStyle w:val="23"/>
              <w:jc w:val="center"/>
              <w:rPr>
                <w:rFonts w:ascii="宋体" w:hAnsi="宋体"/>
                <w:kern w:val="0"/>
                <w:szCs w:val="21"/>
              </w:rPr>
            </w:pPr>
            <w:r>
              <w:rPr>
                <w:rFonts w:ascii="宋体" w:hAnsi="宋体"/>
                <w:kern w:val="0"/>
                <w:szCs w:val="21"/>
              </w:rPr>
              <w:t>29</w:t>
            </w:r>
          </w:p>
        </w:tc>
        <w:tc>
          <w:tcPr>
            <w:tcW w:w="1249" w:type="pct"/>
            <w:vAlign w:val="center"/>
          </w:tcPr>
          <w:p w14:paraId="6A78812F">
            <w:pPr>
              <w:pStyle w:val="23"/>
              <w:jc w:val="center"/>
              <w:rPr>
                <w:rFonts w:ascii="宋体" w:hAnsi="宋体"/>
                <w:kern w:val="0"/>
                <w:szCs w:val="21"/>
              </w:rPr>
            </w:pPr>
            <w:r>
              <w:rPr>
                <w:rFonts w:ascii="宋体" w:hAnsi="宋体"/>
                <w:kern w:val="0"/>
                <w:szCs w:val="21"/>
              </w:rPr>
              <w:t>245869</w:t>
            </w:r>
          </w:p>
        </w:tc>
        <w:tc>
          <w:tcPr>
            <w:tcW w:w="1251" w:type="pct"/>
            <w:vAlign w:val="center"/>
          </w:tcPr>
          <w:p w14:paraId="17D21998">
            <w:pPr>
              <w:pStyle w:val="23"/>
              <w:jc w:val="center"/>
              <w:rPr>
                <w:rFonts w:ascii="宋体" w:hAnsi="宋体"/>
                <w:kern w:val="0"/>
                <w:szCs w:val="21"/>
              </w:rPr>
            </w:pPr>
            <w:r>
              <w:rPr>
                <w:rFonts w:ascii="宋体" w:hAnsi="宋体"/>
                <w:kern w:val="0"/>
                <w:szCs w:val="21"/>
              </w:rPr>
              <w:t>236809</w:t>
            </w:r>
          </w:p>
        </w:tc>
      </w:tr>
      <w:tr w14:paraId="528D263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461" w:type="pct"/>
            <w:vAlign w:val="center"/>
          </w:tcPr>
          <w:p w14:paraId="4F0B168D">
            <w:pPr>
              <w:pStyle w:val="23"/>
              <w:rPr>
                <w:rFonts w:ascii="宋体" w:hAnsi="宋体"/>
                <w:kern w:val="0"/>
                <w:szCs w:val="21"/>
              </w:rPr>
            </w:pPr>
            <w:r>
              <w:rPr>
                <w:rFonts w:ascii="宋体" w:hAnsi="宋体"/>
                <w:kern w:val="0"/>
                <w:szCs w:val="21"/>
              </w:rPr>
              <w:t>塑料制品业</w:t>
            </w:r>
          </w:p>
        </w:tc>
        <w:tc>
          <w:tcPr>
            <w:tcW w:w="1039" w:type="pct"/>
            <w:vAlign w:val="center"/>
          </w:tcPr>
          <w:p w14:paraId="07F9828C">
            <w:pPr>
              <w:pStyle w:val="23"/>
              <w:jc w:val="center"/>
              <w:rPr>
                <w:rFonts w:ascii="宋体" w:hAnsi="宋体"/>
                <w:kern w:val="0"/>
                <w:szCs w:val="21"/>
              </w:rPr>
            </w:pPr>
            <w:r>
              <w:rPr>
                <w:rFonts w:ascii="宋体" w:hAnsi="宋体"/>
                <w:kern w:val="0"/>
                <w:szCs w:val="21"/>
              </w:rPr>
              <w:t>4</w:t>
            </w:r>
          </w:p>
        </w:tc>
        <w:tc>
          <w:tcPr>
            <w:tcW w:w="1249" w:type="pct"/>
            <w:vAlign w:val="center"/>
          </w:tcPr>
          <w:p w14:paraId="08DFA60D">
            <w:pPr>
              <w:pStyle w:val="23"/>
              <w:jc w:val="center"/>
              <w:rPr>
                <w:rFonts w:ascii="宋体" w:hAnsi="宋体"/>
                <w:kern w:val="0"/>
                <w:szCs w:val="21"/>
              </w:rPr>
            </w:pPr>
            <w:r>
              <w:rPr>
                <w:rFonts w:ascii="宋体" w:hAnsi="宋体"/>
                <w:kern w:val="0"/>
                <w:szCs w:val="21"/>
              </w:rPr>
              <w:t>37332</w:t>
            </w:r>
          </w:p>
        </w:tc>
        <w:tc>
          <w:tcPr>
            <w:tcW w:w="1251" w:type="pct"/>
            <w:vAlign w:val="center"/>
          </w:tcPr>
          <w:p w14:paraId="21320D23">
            <w:pPr>
              <w:pStyle w:val="23"/>
              <w:jc w:val="center"/>
              <w:rPr>
                <w:rFonts w:ascii="宋体" w:hAnsi="宋体"/>
                <w:kern w:val="0"/>
                <w:szCs w:val="21"/>
              </w:rPr>
            </w:pPr>
            <w:r>
              <w:rPr>
                <w:rFonts w:ascii="宋体" w:hAnsi="宋体"/>
                <w:kern w:val="0"/>
                <w:szCs w:val="21"/>
              </w:rPr>
              <w:t>36462</w:t>
            </w:r>
          </w:p>
        </w:tc>
      </w:tr>
      <w:tr w14:paraId="19B9435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461" w:type="pct"/>
            <w:vAlign w:val="center"/>
          </w:tcPr>
          <w:p w14:paraId="5E7000ED">
            <w:pPr>
              <w:pStyle w:val="23"/>
              <w:rPr>
                <w:rFonts w:ascii="宋体" w:hAnsi="宋体"/>
                <w:kern w:val="0"/>
                <w:szCs w:val="21"/>
              </w:rPr>
            </w:pPr>
            <w:r>
              <w:rPr>
                <w:rFonts w:ascii="宋体" w:hAnsi="宋体"/>
                <w:kern w:val="0"/>
                <w:szCs w:val="21"/>
              </w:rPr>
              <w:t>非金属矿物制品业</w:t>
            </w:r>
          </w:p>
        </w:tc>
        <w:tc>
          <w:tcPr>
            <w:tcW w:w="1039" w:type="pct"/>
            <w:vAlign w:val="center"/>
          </w:tcPr>
          <w:p w14:paraId="3D2F249B">
            <w:pPr>
              <w:pStyle w:val="23"/>
              <w:jc w:val="center"/>
              <w:rPr>
                <w:rFonts w:ascii="宋体" w:hAnsi="宋体"/>
                <w:kern w:val="0"/>
                <w:szCs w:val="21"/>
              </w:rPr>
            </w:pPr>
            <w:r>
              <w:rPr>
                <w:rFonts w:ascii="宋体" w:hAnsi="宋体"/>
                <w:kern w:val="0"/>
                <w:szCs w:val="21"/>
              </w:rPr>
              <w:t>4</w:t>
            </w:r>
          </w:p>
        </w:tc>
        <w:tc>
          <w:tcPr>
            <w:tcW w:w="1249" w:type="pct"/>
            <w:vAlign w:val="center"/>
          </w:tcPr>
          <w:p w14:paraId="62A2FF86">
            <w:pPr>
              <w:pStyle w:val="23"/>
              <w:jc w:val="center"/>
              <w:rPr>
                <w:rFonts w:ascii="宋体" w:hAnsi="宋体"/>
                <w:kern w:val="0"/>
                <w:szCs w:val="21"/>
              </w:rPr>
            </w:pPr>
            <w:r>
              <w:rPr>
                <w:rFonts w:ascii="宋体" w:hAnsi="宋体"/>
                <w:kern w:val="0"/>
                <w:szCs w:val="21"/>
              </w:rPr>
              <w:t>27673</w:t>
            </w:r>
          </w:p>
        </w:tc>
        <w:tc>
          <w:tcPr>
            <w:tcW w:w="1251" w:type="pct"/>
            <w:vAlign w:val="center"/>
          </w:tcPr>
          <w:p w14:paraId="596139AB">
            <w:pPr>
              <w:pStyle w:val="23"/>
              <w:jc w:val="center"/>
              <w:rPr>
                <w:rFonts w:ascii="宋体" w:hAnsi="宋体"/>
                <w:kern w:val="0"/>
                <w:szCs w:val="21"/>
              </w:rPr>
            </w:pPr>
            <w:r>
              <w:rPr>
                <w:rFonts w:ascii="宋体" w:hAnsi="宋体"/>
                <w:kern w:val="0"/>
                <w:szCs w:val="21"/>
              </w:rPr>
              <w:t>26429</w:t>
            </w:r>
          </w:p>
        </w:tc>
      </w:tr>
      <w:tr w14:paraId="645C64D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461" w:type="pct"/>
            <w:vAlign w:val="center"/>
          </w:tcPr>
          <w:p w14:paraId="4EF444EC">
            <w:pPr>
              <w:pStyle w:val="23"/>
              <w:rPr>
                <w:rFonts w:ascii="宋体" w:hAnsi="宋体"/>
                <w:kern w:val="0"/>
                <w:szCs w:val="21"/>
              </w:rPr>
            </w:pPr>
            <w:r>
              <w:rPr>
                <w:rFonts w:ascii="宋体" w:hAnsi="宋体"/>
                <w:kern w:val="0"/>
                <w:szCs w:val="21"/>
              </w:rPr>
              <w:t>金属制品业</w:t>
            </w:r>
          </w:p>
        </w:tc>
        <w:tc>
          <w:tcPr>
            <w:tcW w:w="1039" w:type="pct"/>
            <w:vAlign w:val="center"/>
          </w:tcPr>
          <w:p w14:paraId="42B91926">
            <w:pPr>
              <w:pStyle w:val="23"/>
              <w:jc w:val="center"/>
              <w:rPr>
                <w:rFonts w:ascii="宋体" w:hAnsi="宋体"/>
                <w:kern w:val="0"/>
                <w:szCs w:val="21"/>
              </w:rPr>
            </w:pPr>
            <w:r>
              <w:rPr>
                <w:rFonts w:ascii="宋体" w:hAnsi="宋体"/>
                <w:kern w:val="0"/>
                <w:szCs w:val="21"/>
              </w:rPr>
              <w:t>2</w:t>
            </w:r>
          </w:p>
        </w:tc>
        <w:tc>
          <w:tcPr>
            <w:tcW w:w="1249" w:type="pct"/>
            <w:vAlign w:val="center"/>
          </w:tcPr>
          <w:p w14:paraId="45B0AB6F">
            <w:pPr>
              <w:pStyle w:val="23"/>
              <w:jc w:val="center"/>
              <w:rPr>
                <w:rFonts w:ascii="宋体" w:hAnsi="宋体"/>
                <w:kern w:val="0"/>
                <w:szCs w:val="21"/>
              </w:rPr>
            </w:pPr>
            <w:r>
              <w:rPr>
                <w:rFonts w:ascii="宋体" w:hAnsi="宋体"/>
                <w:kern w:val="0"/>
                <w:szCs w:val="21"/>
              </w:rPr>
              <w:t>20618</w:t>
            </w:r>
          </w:p>
        </w:tc>
        <w:tc>
          <w:tcPr>
            <w:tcW w:w="1251" w:type="pct"/>
            <w:vAlign w:val="center"/>
          </w:tcPr>
          <w:p w14:paraId="7631E960">
            <w:pPr>
              <w:pStyle w:val="23"/>
              <w:jc w:val="center"/>
              <w:rPr>
                <w:rFonts w:ascii="宋体" w:hAnsi="宋体"/>
                <w:kern w:val="0"/>
                <w:szCs w:val="21"/>
              </w:rPr>
            </w:pPr>
            <w:r>
              <w:rPr>
                <w:rFonts w:ascii="宋体" w:hAnsi="宋体"/>
                <w:kern w:val="0"/>
                <w:szCs w:val="21"/>
              </w:rPr>
              <w:t>19729</w:t>
            </w:r>
          </w:p>
        </w:tc>
      </w:tr>
      <w:tr w14:paraId="6DD39C0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461" w:type="pct"/>
            <w:vAlign w:val="center"/>
          </w:tcPr>
          <w:p w14:paraId="02008BC3">
            <w:pPr>
              <w:pStyle w:val="23"/>
              <w:rPr>
                <w:rFonts w:ascii="宋体" w:hAnsi="宋体"/>
                <w:kern w:val="0"/>
                <w:szCs w:val="21"/>
              </w:rPr>
            </w:pPr>
            <w:r>
              <w:rPr>
                <w:rFonts w:ascii="宋体" w:hAnsi="宋体"/>
                <w:kern w:val="0"/>
                <w:szCs w:val="21"/>
              </w:rPr>
              <w:t>废弃资源和废旧材料回收加工业</w:t>
            </w:r>
          </w:p>
        </w:tc>
        <w:tc>
          <w:tcPr>
            <w:tcW w:w="1039" w:type="pct"/>
            <w:vAlign w:val="center"/>
          </w:tcPr>
          <w:p w14:paraId="6661A0CE">
            <w:pPr>
              <w:pStyle w:val="23"/>
              <w:jc w:val="center"/>
              <w:rPr>
                <w:rFonts w:ascii="宋体" w:hAnsi="宋体"/>
                <w:kern w:val="0"/>
                <w:szCs w:val="21"/>
              </w:rPr>
            </w:pPr>
            <w:r>
              <w:rPr>
                <w:rFonts w:ascii="宋体" w:hAnsi="宋体"/>
                <w:kern w:val="0"/>
                <w:szCs w:val="21"/>
              </w:rPr>
              <w:t>1</w:t>
            </w:r>
          </w:p>
        </w:tc>
        <w:tc>
          <w:tcPr>
            <w:tcW w:w="1249" w:type="pct"/>
            <w:vAlign w:val="center"/>
          </w:tcPr>
          <w:p w14:paraId="27650528">
            <w:pPr>
              <w:pStyle w:val="23"/>
              <w:jc w:val="center"/>
              <w:rPr>
                <w:rFonts w:ascii="宋体" w:hAnsi="宋体"/>
                <w:kern w:val="0"/>
                <w:szCs w:val="21"/>
              </w:rPr>
            </w:pPr>
            <w:r>
              <w:rPr>
                <w:rFonts w:ascii="宋体" w:hAnsi="宋体"/>
                <w:kern w:val="0"/>
                <w:szCs w:val="21"/>
              </w:rPr>
              <w:t>9446</w:t>
            </w:r>
          </w:p>
        </w:tc>
        <w:tc>
          <w:tcPr>
            <w:tcW w:w="1251" w:type="pct"/>
            <w:vAlign w:val="center"/>
          </w:tcPr>
          <w:p w14:paraId="28FC21C6">
            <w:pPr>
              <w:pStyle w:val="23"/>
              <w:jc w:val="center"/>
              <w:rPr>
                <w:rFonts w:ascii="宋体" w:hAnsi="宋体"/>
                <w:kern w:val="0"/>
                <w:szCs w:val="21"/>
              </w:rPr>
            </w:pPr>
            <w:r>
              <w:rPr>
                <w:rFonts w:ascii="宋体" w:hAnsi="宋体"/>
                <w:kern w:val="0"/>
                <w:szCs w:val="21"/>
              </w:rPr>
              <w:t>8966</w:t>
            </w:r>
          </w:p>
        </w:tc>
      </w:tr>
      <w:tr w14:paraId="4DF45F0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461" w:type="pct"/>
            <w:vAlign w:val="center"/>
          </w:tcPr>
          <w:p w14:paraId="0C093D26">
            <w:pPr>
              <w:pStyle w:val="23"/>
              <w:rPr>
                <w:rFonts w:ascii="宋体" w:hAnsi="宋体"/>
                <w:kern w:val="0"/>
                <w:szCs w:val="21"/>
              </w:rPr>
            </w:pPr>
            <w:r>
              <w:rPr>
                <w:rFonts w:ascii="宋体" w:hAnsi="宋体"/>
                <w:kern w:val="0"/>
                <w:szCs w:val="21"/>
              </w:rPr>
              <w:t>电力、热力的生产和供应业</w:t>
            </w:r>
          </w:p>
        </w:tc>
        <w:tc>
          <w:tcPr>
            <w:tcW w:w="1039" w:type="pct"/>
            <w:vAlign w:val="center"/>
          </w:tcPr>
          <w:p w14:paraId="642F7CF3">
            <w:pPr>
              <w:pStyle w:val="23"/>
              <w:jc w:val="center"/>
              <w:rPr>
                <w:rFonts w:ascii="宋体" w:hAnsi="宋体"/>
                <w:kern w:val="0"/>
                <w:szCs w:val="21"/>
              </w:rPr>
            </w:pPr>
            <w:r>
              <w:rPr>
                <w:rFonts w:ascii="宋体" w:hAnsi="宋体"/>
                <w:kern w:val="0"/>
                <w:szCs w:val="21"/>
              </w:rPr>
              <w:t>2</w:t>
            </w:r>
          </w:p>
        </w:tc>
        <w:tc>
          <w:tcPr>
            <w:tcW w:w="1249" w:type="pct"/>
            <w:vAlign w:val="center"/>
          </w:tcPr>
          <w:p w14:paraId="7F3FB538">
            <w:pPr>
              <w:pStyle w:val="23"/>
              <w:jc w:val="center"/>
              <w:rPr>
                <w:rFonts w:ascii="宋体" w:hAnsi="宋体"/>
                <w:kern w:val="0"/>
                <w:szCs w:val="21"/>
              </w:rPr>
            </w:pPr>
            <w:r>
              <w:rPr>
                <w:rFonts w:ascii="宋体" w:hAnsi="宋体"/>
                <w:kern w:val="0"/>
                <w:szCs w:val="21"/>
              </w:rPr>
              <w:t>18702</w:t>
            </w:r>
          </w:p>
        </w:tc>
        <w:tc>
          <w:tcPr>
            <w:tcW w:w="1251" w:type="pct"/>
            <w:vAlign w:val="center"/>
          </w:tcPr>
          <w:p w14:paraId="42D8B4DA">
            <w:pPr>
              <w:pStyle w:val="23"/>
              <w:jc w:val="center"/>
              <w:rPr>
                <w:rFonts w:ascii="宋体" w:hAnsi="宋体"/>
                <w:kern w:val="0"/>
                <w:szCs w:val="21"/>
              </w:rPr>
            </w:pPr>
            <w:r>
              <w:rPr>
                <w:rFonts w:ascii="宋体" w:hAnsi="宋体"/>
                <w:kern w:val="0"/>
                <w:szCs w:val="21"/>
              </w:rPr>
              <w:t>18702</w:t>
            </w:r>
          </w:p>
        </w:tc>
      </w:tr>
    </w:tbl>
    <w:p w14:paraId="0AC2EDEE">
      <w:pPr>
        <w:ind w:firstLine="0" w:firstLineChars="0"/>
        <w:jc w:val="center"/>
        <w:rPr>
          <w:rFonts w:ascii="宋体" w:hAnsi="宋体"/>
          <w:b/>
          <w:szCs w:val="21"/>
        </w:rPr>
      </w:pPr>
      <w:r>
        <w:rPr>
          <w:rFonts w:hint="eastAsia" w:ascii="宋体" w:hAnsi="宋体"/>
          <w:b/>
          <w:szCs w:val="21"/>
        </w:rPr>
        <w:t>表69 规模以上工业主要经济指标</w:t>
      </w:r>
    </w:p>
    <w:tbl>
      <w:tblPr>
        <w:tblStyle w:val="14"/>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30" w:type="dxa"/>
          <w:bottom w:w="0" w:type="dxa"/>
          <w:right w:w="30" w:type="dxa"/>
        </w:tblCellMar>
      </w:tblPr>
      <w:tblGrid>
        <w:gridCol w:w="3267"/>
        <w:gridCol w:w="3271"/>
        <w:gridCol w:w="3268"/>
      </w:tblGrid>
      <w:tr w14:paraId="17A7BEC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666" w:type="pct"/>
            <w:vAlign w:val="center"/>
          </w:tcPr>
          <w:p w14:paraId="31CECEB3">
            <w:pPr>
              <w:pStyle w:val="23"/>
              <w:jc w:val="center"/>
              <w:rPr>
                <w:rFonts w:ascii="宋体" w:hAnsi="宋体"/>
                <w:b/>
                <w:kern w:val="0"/>
                <w:szCs w:val="21"/>
              </w:rPr>
            </w:pPr>
            <w:r>
              <w:rPr>
                <w:rFonts w:ascii="宋体" w:hAnsi="宋体"/>
                <w:b/>
                <w:kern w:val="0"/>
                <w:szCs w:val="21"/>
              </w:rPr>
              <w:t>指标名称</w:t>
            </w:r>
          </w:p>
        </w:tc>
        <w:tc>
          <w:tcPr>
            <w:tcW w:w="1668" w:type="pct"/>
            <w:vAlign w:val="center"/>
          </w:tcPr>
          <w:p w14:paraId="4403EE6B">
            <w:pPr>
              <w:pStyle w:val="23"/>
              <w:jc w:val="center"/>
              <w:rPr>
                <w:rFonts w:ascii="宋体" w:hAnsi="宋体"/>
                <w:b/>
                <w:kern w:val="0"/>
                <w:szCs w:val="21"/>
              </w:rPr>
            </w:pPr>
            <w:r>
              <w:rPr>
                <w:rFonts w:ascii="宋体" w:hAnsi="宋体"/>
                <w:b/>
                <w:kern w:val="0"/>
                <w:szCs w:val="21"/>
              </w:rPr>
              <w:t>计算单位</w:t>
            </w:r>
          </w:p>
        </w:tc>
        <w:tc>
          <w:tcPr>
            <w:tcW w:w="1666" w:type="pct"/>
            <w:vAlign w:val="center"/>
          </w:tcPr>
          <w:p w14:paraId="3C4462ED">
            <w:pPr>
              <w:pStyle w:val="23"/>
              <w:jc w:val="center"/>
              <w:rPr>
                <w:rFonts w:ascii="宋体" w:hAnsi="宋体"/>
                <w:b/>
                <w:kern w:val="0"/>
                <w:szCs w:val="21"/>
              </w:rPr>
            </w:pPr>
            <w:r>
              <w:rPr>
                <w:rFonts w:ascii="宋体" w:hAnsi="宋体"/>
                <w:b/>
                <w:kern w:val="0"/>
                <w:szCs w:val="21"/>
              </w:rPr>
              <w:t>2011年</w:t>
            </w:r>
          </w:p>
        </w:tc>
      </w:tr>
      <w:tr w14:paraId="6D270E0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666" w:type="pct"/>
            <w:vAlign w:val="center"/>
          </w:tcPr>
          <w:p w14:paraId="11481621">
            <w:pPr>
              <w:pStyle w:val="23"/>
              <w:rPr>
                <w:rFonts w:ascii="宋体" w:hAnsi="宋体"/>
                <w:kern w:val="0"/>
                <w:szCs w:val="21"/>
              </w:rPr>
            </w:pPr>
            <w:r>
              <w:rPr>
                <w:rFonts w:ascii="宋体" w:hAnsi="宋体"/>
                <w:kern w:val="0"/>
                <w:szCs w:val="21"/>
              </w:rPr>
              <w:t>企业单位数</w:t>
            </w:r>
          </w:p>
        </w:tc>
        <w:tc>
          <w:tcPr>
            <w:tcW w:w="1668" w:type="pct"/>
            <w:vAlign w:val="center"/>
          </w:tcPr>
          <w:p w14:paraId="2B451E48">
            <w:pPr>
              <w:pStyle w:val="23"/>
              <w:jc w:val="center"/>
              <w:rPr>
                <w:rFonts w:ascii="宋体" w:hAnsi="宋体"/>
                <w:kern w:val="0"/>
                <w:szCs w:val="21"/>
              </w:rPr>
            </w:pPr>
            <w:r>
              <w:rPr>
                <w:rFonts w:ascii="宋体" w:hAnsi="宋体"/>
                <w:kern w:val="0"/>
                <w:szCs w:val="21"/>
              </w:rPr>
              <w:t>个</w:t>
            </w:r>
          </w:p>
        </w:tc>
        <w:tc>
          <w:tcPr>
            <w:tcW w:w="1666" w:type="pct"/>
            <w:vAlign w:val="center"/>
          </w:tcPr>
          <w:p w14:paraId="3474A326">
            <w:pPr>
              <w:pStyle w:val="23"/>
              <w:jc w:val="center"/>
              <w:rPr>
                <w:rFonts w:ascii="宋体" w:hAnsi="宋体"/>
                <w:kern w:val="0"/>
                <w:szCs w:val="21"/>
              </w:rPr>
            </w:pPr>
            <w:r>
              <w:rPr>
                <w:rFonts w:ascii="宋体" w:hAnsi="宋体"/>
                <w:kern w:val="0"/>
                <w:szCs w:val="21"/>
              </w:rPr>
              <w:t>57</w:t>
            </w:r>
          </w:p>
        </w:tc>
      </w:tr>
      <w:tr w14:paraId="25FD8E8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666" w:type="pct"/>
            <w:vAlign w:val="center"/>
          </w:tcPr>
          <w:p w14:paraId="649BD291">
            <w:pPr>
              <w:pStyle w:val="23"/>
              <w:ind w:firstLine="420" w:firstLineChars="200"/>
              <w:rPr>
                <w:rFonts w:ascii="宋体" w:hAnsi="宋体"/>
                <w:kern w:val="0"/>
                <w:szCs w:val="21"/>
              </w:rPr>
            </w:pPr>
            <w:r>
              <w:rPr>
                <w:rFonts w:ascii="宋体" w:hAnsi="宋体"/>
                <w:kern w:val="0"/>
                <w:szCs w:val="21"/>
              </w:rPr>
              <w:t>其中：亏损企业</w:t>
            </w:r>
          </w:p>
        </w:tc>
        <w:tc>
          <w:tcPr>
            <w:tcW w:w="1668" w:type="pct"/>
            <w:vAlign w:val="center"/>
          </w:tcPr>
          <w:p w14:paraId="68AF3CF5">
            <w:pPr>
              <w:pStyle w:val="23"/>
              <w:jc w:val="center"/>
              <w:rPr>
                <w:rFonts w:ascii="宋体" w:hAnsi="宋体"/>
                <w:kern w:val="0"/>
                <w:szCs w:val="21"/>
              </w:rPr>
            </w:pPr>
            <w:r>
              <w:rPr>
                <w:rFonts w:ascii="宋体" w:hAnsi="宋体"/>
                <w:kern w:val="0"/>
                <w:szCs w:val="21"/>
              </w:rPr>
              <w:t>个</w:t>
            </w:r>
          </w:p>
        </w:tc>
        <w:tc>
          <w:tcPr>
            <w:tcW w:w="1666" w:type="pct"/>
            <w:vAlign w:val="center"/>
          </w:tcPr>
          <w:p w14:paraId="3AE83B52">
            <w:pPr>
              <w:pStyle w:val="23"/>
              <w:jc w:val="center"/>
              <w:rPr>
                <w:rFonts w:ascii="宋体" w:hAnsi="宋体"/>
                <w:kern w:val="0"/>
                <w:szCs w:val="21"/>
              </w:rPr>
            </w:pPr>
            <w:r>
              <w:rPr>
                <w:rFonts w:ascii="宋体" w:hAnsi="宋体"/>
                <w:kern w:val="0"/>
                <w:szCs w:val="21"/>
              </w:rPr>
              <w:t>4</w:t>
            </w:r>
          </w:p>
        </w:tc>
      </w:tr>
      <w:tr w14:paraId="27B2D33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666" w:type="pct"/>
            <w:vAlign w:val="center"/>
          </w:tcPr>
          <w:p w14:paraId="593BED0B">
            <w:pPr>
              <w:pStyle w:val="23"/>
              <w:rPr>
                <w:rFonts w:ascii="宋体" w:hAnsi="宋体"/>
                <w:kern w:val="0"/>
                <w:szCs w:val="21"/>
              </w:rPr>
            </w:pPr>
            <w:r>
              <w:rPr>
                <w:rFonts w:ascii="宋体" w:hAnsi="宋体"/>
                <w:kern w:val="0"/>
                <w:szCs w:val="21"/>
              </w:rPr>
              <w:t>工业增加值</w:t>
            </w:r>
          </w:p>
        </w:tc>
        <w:tc>
          <w:tcPr>
            <w:tcW w:w="1668" w:type="pct"/>
            <w:vAlign w:val="center"/>
          </w:tcPr>
          <w:p w14:paraId="1883E349">
            <w:pPr>
              <w:pStyle w:val="23"/>
              <w:jc w:val="center"/>
              <w:rPr>
                <w:rFonts w:ascii="宋体" w:hAnsi="宋体"/>
                <w:kern w:val="0"/>
                <w:szCs w:val="21"/>
              </w:rPr>
            </w:pPr>
            <w:r>
              <w:rPr>
                <w:rFonts w:ascii="宋体" w:hAnsi="宋体"/>
                <w:kern w:val="0"/>
                <w:szCs w:val="21"/>
              </w:rPr>
              <w:t>万元</w:t>
            </w:r>
          </w:p>
        </w:tc>
        <w:tc>
          <w:tcPr>
            <w:tcW w:w="1666" w:type="pct"/>
            <w:vAlign w:val="center"/>
          </w:tcPr>
          <w:p w14:paraId="294D27FE">
            <w:pPr>
              <w:pStyle w:val="23"/>
              <w:jc w:val="center"/>
              <w:rPr>
                <w:rFonts w:ascii="宋体" w:hAnsi="宋体"/>
                <w:kern w:val="0"/>
                <w:szCs w:val="21"/>
              </w:rPr>
            </w:pPr>
            <w:r>
              <w:rPr>
                <w:rFonts w:ascii="宋体" w:hAnsi="宋体"/>
                <w:kern w:val="0"/>
                <w:szCs w:val="21"/>
              </w:rPr>
              <w:t>124785</w:t>
            </w:r>
          </w:p>
        </w:tc>
      </w:tr>
      <w:tr w14:paraId="5571AB4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666" w:type="pct"/>
            <w:vAlign w:val="center"/>
          </w:tcPr>
          <w:p w14:paraId="206A7EA7">
            <w:pPr>
              <w:pStyle w:val="23"/>
              <w:rPr>
                <w:rFonts w:ascii="宋体" w:hAnsi="宋体"/>
                <w:kern w:val="0"/>
                <w:szCs w:val="21"/>
              </w:rPr>
            </w:pPr>
            <w:r>
              <w:rPr>
                <w:rFonts w:ascii="宋体" w:hAnsi="宋体"/>
                <w:kern w:val="0"/>
                <w:szCs w:val="21"/>
              </w:rPr>
              <w:t>资产总计</w:t>
            </w:r>
          </w:p>
        </w:tc>
        <w:tc>
          <w:tcPr>
            <w:tcW w:w="1668" w:type="pct"/>
            <w:vAlign w:val="center"/>
          </w:tcPr>
          <w:p w14:paraId="41E076EA">
            <w:pPr>
              <w:pStyle w:val="23"/>
              <w:jc w:val="center"/>
              <w:rPr>
                <w:rFonts w:ascii="宋体" w:hAnsi="宋体"/>
                <w:kern w:val="0"/>
                <w:szCs w:val="21"/>
              </w:rPr>
            </w:pPr>
            <w:r>
              <w:rPr>
                <w:rFonts w:ascii="宋体" w:hAnsi="宋体"/>
                <w:kern w:val="0"/>
                <w:szCs w:val="21"/>
              </w:rPr>
              <w:t>万元</w:t>
            </w:r>
          </w:p>
        </w:tc>
        <w:tc>
          <w:tcPr>
            <w:tcW w:w="1666" w:type="pct"/>
            <w:vAlign w:val="center"/>
          </w:tcPr>
          <w:p w14:paraId="4ABFBAD9">
            <w:pPr>
              <w:pStyle w:val="23"/>
              <w:jc w:val="center"/>
              <w:rPr>
                <w:rFonts w:ascii="宋体" w:hAnsi="宋体"/>
                <w:kern w:val="0"/>
                <w:szCs w:val="21"/>
              </w:rPr>
            </w:pPr>
            <w:r>
              <w:rPr>
                <w:rFonts w:ascii="宋体" w:hAnsi="宋体"/>
                <w:kern w:val="0"/>
                <w:szCs w:val="21"/>
              </w:rPr>
              <w:t>317803</w:t>
            </w:r>
          </w:p>
        </w:tc>
      </w:tr>
      <w:tr w14:paraId="56E9761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666" w:type="pct"/>
            <w:vAlign w:val="center"/>
          </w:tcPr>
          <w:p w14:paraId="4A08371E">
            <w:pPr>
              <w:pStyle w:val="23"/>
              <w:rPr>
                <w:rFonts w:ascii="宋体" w:hAnsi="宋体"/>
                <w:kern w:val="0"/>
                <w:szCs w:val="21"/>
              </w:rPr>
            </w:pPr>
            <w:r>
              <w:rPr>
                <w:rFonts w:ascii="宋体" w:hAnsi="宋体"/>
                <w:kern w:val="0"/>
                <w:szCs w:val="21"/>
              </w:rPr>
              <w:t>流动资产合计</w:t>
            </w:r>
          </w:p>
        </w:tc>
        <w:tc>
          <w:tcPr>
            <w:tcW w:w="1668" w:type="pct"/>
            <w:vAlign w:val="center"/>
          </w:tcPr>
          <w:p w14:paraId="52A57632">
            <w:pPr>
              <w:pStyle w:val="23"/>
              <w:jc w:val="center"/>
              <w:rPr>
                <w:rFonts w:ascii="宋体" w:hAnsi="宋体"/>
                <w:kern w:val="0"/>
                <w:szCs w:val="21"/>
              </w:rPr>
            </w:pPr>
            <w:r>
              <w:rPr>
                <w:rFonts w:ascii="宋体" w:hAnsi="宋体"/>
                <w:kern w:val="0"/>
                <w:szCs w:val="21"/>
              </w:rPr>
              <w:t>万元</w:t>
            </w:r>
          </w:p>
        </w:tc>
        <w:tc>
          <w:tcPr>
            <w:tcW w:w="1666" w:type="pct"/>
            <w:vAlign w:val="center"/>
          </w:tcPr>
          <w:p w14:paraId="394977A0">
            <w:pPr>
              <w:pStyle w:val="23"/>
              <w:jc w:val="center"/>
              <w:rPr>
                <w:rFonts w:ascii="宋体" w:hAnsi="宋体"/>
                <w:kern w:val="0"/>
                <w:szCs w:val="21"/>
              </w:rPr>
            </w:pPr>
            <w:r>
              <w:rPr>
                <w:rFonts w:ascii="宋体" w:hAnsi="宋体"/>
                <w:kern w:val="0"/>
                <w:szCs w:val="21"/>
              </w:rPr>
              <w:t>135657</w:t>
            </w:r>
          </w:p>
        </w:tc>
      </w:tr>
      <w:tr w14:paraId="35660CF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666" w:type="pct"/>
            <w:vAlign w:val="center"/>
          </w:tcPr>
          <w:p w14:paraId="3D98A78E">
            <w:pPr>
              <w:pStyle w:val="23"/>
              <w:ind w:firstLine="420" w:firstLineChars="200"/>
              <w:rPr>
                <w:rFonts w:ascii="宋体" w:hAnsi="宋体"/>
                <w:kern w:val="0"/>
                <w:szCs w:val="21"/>
              </w:rPr>
            </w:pPr>
            <w:r>
              <w:rPr>
                <w:rFonts w:ascii="宋体" w:hAnsi="宋体"/>
                <w:kern w:val="0"/>
                <w:szCs w:val="21"/>
              </w:rPr>
              <w:t>其中：存货</w:t>
            </w:r>
          </w:p>
        </w:tc>
        <w:tc>
          <w:tcPr>
            <w:tcW w:w="1668" w:type="pct"/>
            <w:vAlign w:val="center"/>
          </w:tcPr>
          <w:p w14:paraId="7DFA5C4F">
            <w:pPr>
              <w:pStyle w:val="23"/>
              <w:jc w:val="center"/>
              <w:rPr>
                <w:rFonts w:ascii="宋体" w:hAnsi="宋体"/>
                <w:kern w:val="0"/>
                <w:szCs w:val="21"/>
              </w:rPr>
            </w:pPr>
            <w:r>
              <w:rPr>
                <w:rFonts w:ascii="宋体" w:hAnsi="宋体"/>
                <w:kern w:val="0"/>
                <w:szCs w:val="21"/>
              </w:rPr>
              <w:t>万元</w:t>
            </w:r>
          </w:p>
        </w:tc>
        <w:tc>
          <w:tcPr>
            <w:tcW w:w="1666" w:type="pct"/>
            <w:vAlign w:val="center"/>
          </w:tcPr>
          <w:p w14:paraId="2F9E1949">
            <w:pPr>
              <w:pStyle w:val="23"/>
              <w:jc w:val="center"/>
              <w:rPr>
                <w:rFonts w:ascii="宋体" w:hAnsi="宋体"/>
                <w:kern w:val="0"/>
                <w:szCs w:val="21"/>
              </w:rPr>
            </w:pPr>
            <w:r>
              <w:rPr>
                <w:rFonts w:ascii="宋体" w:hAnsi="宋体"/>
                <w:kern w:val="0"/>
                <w:szCs w:val="21"/>
              </w:rPr>
              <w:t>27238</w:t>
            </w:r>
          </w:p>
        </w:tc>
      </w:tr>
      <w:tr w14:paraId="30550FD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666" w:type="pct"/>
            <w:vAlign w:val="center"/>
          </w:tcPr>
          <w:p w14:paraId="7F991D84">
            <w:pPr>
              <w:pStyle w:val="23"/>
              <w:rPr>
                <w:rFonts w:ascii="宋体" w:hAnsi="宋体"/>
                <w:kern w:val="0"/>
                <w:szCs w:val="21"/>
              </w:rPr>
            </w:pPr>
            <w:r>
              <w:rPr>
                <w:rFonts w:ascii="宋体" w:hAnsi="宋体"/>
                <w:kern w:val="0"/>
                <w:szCs w:val="21"/>
              </w:rPr>
              <w:t>固定资产原值</w:t>
            </w:r>
          </w:p>
        </w:tc>
        <w:tc>
          <w:tcPr>
            <w:tcW w:w="1668" w:type="pct"/>
            <w:vAlign w:val="center"/>
          </w:tcPr>
          <w:p w14:paraId="7C61E5EC">
            <w:pPr>
              <w:pStyle w:val="23"/>
              <w:jc w:val="center"/>
              <w:rPr>
                <w:rFonts w:ascii="宋体" w:hAnsi="宋体"/>
                <w:kern w:val="0"/>
                <w:szCs w:val="21"/>
              </w:rPr>
            </w:pPr>
            <w:r>
              <w:rPr>
                <w:rFonts w:ascii="宋体" w:hAnsi="宋体"/>
                <w:kern w:val="0"/>
                <w:szCs w:val="21"/>
              </w:rPr>
              <w:t>万元</w:t>
            </w:r>
          </w:p>
        </w:tc>
        <w:tc>
          <w:tcPr>
            <w:tcW w:w="1666" w:type="pct"/>
            <w:vAlign w:val="center"/>
          </w:tcPr>
          <w:p w14:paraId="117208A3">
            <w:pPr>
              <w:pStyle w:val="23"/>
              <w:jc w:val="center"/>
              <w:rPr>
                <w:rFonts w:ascii="宋体" w:hAnsi="宋体"/>
                <w:kern w:val="0"/>
                <w:szCs w:val="21"/>
              </w:rPr>
            </w:pPr>
            <w:r>
              <w:rPr>
                <w:rFonts w:ascii="宋体" w:hAnsi="宋体"/>
                <w:kern w:val="0"/>
                <w:szCs w:val="21"/>
              </w:rPr>
              <w:t>163638</w:t>
            </w:r>
          </w:p>
        </w:tc>
      </w:tr>
      <w:tr w14:paraId="3C2E4A3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666" w:type="pct"/>
            <w:vAlign w:val="center"/>
          </w:tcPr>
          <w:p w14:paraId="06834E9D">
            <w:pPr>
              <w:pStyle w:val="23"/>
              <w:rPr>
                <w:rFonts w:ascii="宋体" w:hAnsi="宋体"/>
                <w:kern w:val="0"/>
                <w:szCs w:val="21"/>
              </w:rPr>
            </w:pPr>
            <w:r>
              <w:rPr>
                <w:rFonts w:ascii="宋体" w:hAnsi="宋体"/>
                <w:kern w:val="0"/>
                <w:szCs w:val="21"/>
              </w:rPr>
              <w:t>固定资产净值</w:t>
            </w:r>
          </w:p>
        </w:tc>
        <w:tc>
          <w:tcPr>
            <w:tcW w:w="1668" w:type="pct"/>
            <w:vAlign w:val="center"/>
          </w:tcPr>
          <w:p w14:paraId="0BBE1EC0">
            <w:pPr>
              <w:pStyle w:val="23"/>
              <w:jc w:val="center"/>
              <w:rPr>
                <w:rFonts w:ascii="宋体" w:hAnsi="宋体"/>
                <w:kern w:val="0"/>
                <w:szCs w:val="21"/>
              </w:rPr>
            </w:pPr>
            <w:r>
              <w:rPr>
                <w:rFonts w:ascii="宋体" w:hAnsi="宋体"/>
                <w:kern w:val="0"/>
                <w:szCs w:val="21"/>
              </w:rPr>
              <w:t>万元</w:t>
            </w:r>
          </w:p>
        </w:tc>
        <w:tc>
          <w:tcPr>
            <w:tcW w:w="1666" w:type="pct"/>
            <w:vAlign w:val="center"/>
          </w:tcPr>
          <w:p w14:paraId="5667366D">
            <w:pPr>
              <w:pStyle w:val="23"/>
              <w:jc w:val="center"/>
              <w:rPr>
                <w:rFonts w:ascii="宋体" w:hAnsi="宋体"/>
                <w:kern w:val="0"/>
                <w:szCs w:val="21"/>
              </w:rPr>
            </w:pPr>
            <w:r>
              <w:rPr>
                <w:rFonts w:ascii="宋体" w:hAnsi="宋体"/>
                <w:kern w:val="0"/>
                <w:szCs w:val="21"/>
              </w:rPr>
              <w:t>203319</w:t>
            </w:r>
          </w:p>
        </w:tc>
      </w:tr>
      <w:tr w14:paraId="1A7F1D6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666" w:type="pct"/>
            <w:vAlign w:val="center"/>
          </w:tcPr>
          <w:p w14:paraId="2A1DDE13">
            <w:pPr>
              <w:pStyle w:val="23"/>
              <w:rPr>
                <w:rFonts w:ascii="宋体" w:hAnsi="宋体"/>
                <w:kern w:val="0"/>
                <w:szCs w:val="21"/>
              </w:rPr>
            </w:pPr>
            <w:r>
              <w:rPr>
                <w:rFonts w:ascii="宋体" w:hAnsi="宋体"/>
                <w:kern w:val="0"/>
                <w:szCs w:val="21"/>
              </w:rPr>
              <w:t>流动负债合计</w:t>
            </w:r>
          </w:p>
        </w:tc>
        <w:tc>
          <w:tcPr>
            <w:tcW w:w="1668" w:type="pct"/>
            <w:vAlign w:val="center"/>
          </w:tcPr>
          <w:p w14:paraId="557C2438">
            <w:pPr>
              <w:pStyle w:val="23"/>
              <w:jc w:val="center"/>
              <w:rPr>
                <w:rFonts w:ascii="宋体" w:hAnsi="宋体"/>
                <w:kern w:val="0"/>
                <w:szCs w:val="21"/>
              </w:rPr>
            </w:pPr>
            <w:r>
              <w:rPr>
                <w:rFonts w:ascii="宋体" w:hAnsi="宋体"/>
                <w:kern w:val="0"/>
                <w:szCs w:val="21"/>
              </w:rPr>
              <w:t>万元</w:t>
            </w:r>
          </w:p>
        </w:tc>
        <w:tc>
          <w:tcPr>
            <w:tcW w:w="1666" w:type="pct"/>
            <w:vAlign w:val="center"/>
          </w:tcPr>
          <w:p w14:paraId="5AEDDC03">
            <w:pPr>
              <w:pStyle w:val="23"/>
              <w:jc w:val="center"/>
              <w:rPr>
                <w:rFonts w:ascii="宋体" w:hAnsi="宋体"/>
                <w:kern w:val="0"/>
                <w:szCs w:val="21"/>
              </w:rPr>
            </w:pPr>
            <w:r>
              <w:rPr>
                <w:rFonts w:ascii="宋体" w:hAnsi="宋体"/>
                <w:kern w:val="0"/>
                <w:szCs w:val="21"/>
              </w:rPr>
              <w:t>126745</w:t>
            </w:r>
          </w:p>
        </w:tc>
      </w:tr>
      <w:tr w14:paraId="333341E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666" w:type="pct"/>
            <w:vAlign w:val="center"/>
          </w:tcPr>
          <w:p w14:paraId="287E563D">
            <w:pPr>
              <w:pStyle w:val="23"/>
              <w:rPr>
                <w:rFonts w:ascii="宋体" w:hAnsi="宋体"/>
                <w:kern w:val="0"/>
                <w:szCs w:val="21"/>
              </w:rPr>
            </w:pPr>
            <w:r>
              <w:rPr>
                <w:rFonts w:ascii="宋体" w:hAnsi="宋体"/>
                <w:kern w:val="0"/>
                <w:szCs w:val="21"/>
              </w:rPr>
              <w:t>实收资本</w:t>
            </w:r>
          </w:p>
        </w:tc>
        <w:tc>
          <w:tcPr>
            <w:tcW w:w="1668" w:type="pct"/>
            <w:vAlign w:val="center"/>
          </w:tcPr>
          <w:p w14:paraId="3E534AAD">
            <w:pPr>
              <w:pStyle w:val="23"/>
              <w:jc w:val="center"/>
              <w:rPr>
                <w:rFonts w:ascii="宋体" w:hAnsi="宋体"/>
                <w:kern w:val="0"/>
                <w:szCs w:val="21"/>
              </w:rPr>
            </w:pPr>
            <w:r>
              <w:rPr>
                <w:rFonts w:ascii="宋体" w:hAnsi="宋体"/>
                <w:kern w:val="0"/>
                <w:szCs w:val="21"/>
              </w:rPr>
              <w:t>万元</w:t>
            </w:r>
          </w:p>
        </w:tc>
        <w:tc>
          <w:tcPr>
            <w:tcW w:w="1666" w:type="pct"/>
            <w:vAlign w:val="center"/>
          </w:tcPr>
          <w:p w14:paraId="7EAF6862">
            <w:pPr>
              <w:pStyle w:val="23"/>
              <w:jc w:val="center"/>
              <w:rPr>
                <w:rFonts w:ascii="宋体" w:hAnsi="宋体"/>
                <w:kern w:val="0"/>
                <w:szCs w:val="21"/>
              </w:rPr>
            </w:pPr>
            <w:r>
              <w:rPr>
                <w:rFonts w:ascii="宋体" w:hAnsi="宋体"/>
                <w:kern w:val="0"/>
                <w:szCs w:val="21"/>
              </w:rPr>
              <w:t>68363</w:t>
            </w:r>
          </w:p>
        </w:tc>
      </w:tr>
      <w:tr w14:paraId="5FE808C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666" w:type="pct"/>
            <w:vAlign w:val="center"/>
          </w:tcPr>
          <w:p w14:paraId="2F270073">
            <w:pPr>
              <w:pStyle w:val="23"/>
              <w:rPr>
                <w:rFonts w:ascii="宋体" w:hAnsi="宋体"/>
                <w:kern w:val="0"/>
                <w:szCs w:val="21"/>
              </w:rPr>
            </w:pPr>
            <w:r>
              <w:rPr>
                <w:rFonts w:ascii="宋体" w:hAnsi="宋体"/>
                <w:kern w:val="0"/>
                <w:szCs w:val="21"/>
              </w:rPr>
              <w:t>主营业务收入</w:t>
            </w:r>
          </w:p>
        </w:tc>
        <w:tc>
          <w:tcPr>
            <w:tcW w:w="1668" w:type="pct"/>
            <w:vAlign w:val="center"/>
          </w:tcPr>
          <w:p w14:paraId="68B97D65">
            <w:pPr>
              <w:pStyle w:val="23"/>
              <w:jc w:val="center"/>
              <w:rPr>
                <w:rFonts w:ascii="宋体" w:hAnsi="宋体"/>
                <w:kern w:val="0"/>
                <w:szCs w:val="21"/>
              </w:rPr>
            </w:pPr>
            <w:r>
              <w:rPr>
                <w:rFonts w:ascii="宋体" w:hAnsi="宋体"/>
                <w:kern w:val="0"/>
                <w:szCs w:val="21"/>
              </w:rPr>
              <w:t>万元</w:t>
            </w:r>
          </w:p>
        </w:tc>
        <w:tc>
          <w:tcPr>
            <w:tcW w:w="1666" w:type="pct"/>
            <w:vAlign w:val="center"/>
          </w:tcPr>
          <w:p w14:paraId="4016EF04">
            <w:pPr>
              <w:pStyle w:val="23"/>
              <w:jc w:val="center"/>
              <w:rPr>
                <w:rFonts w:ascii="宋体" w:hAnsi="宋体"/>
                <w:kern w:val="0"/>
                <w:szCs w:val="21"/>
              </w:rPr>
            </w:pPr>
            <w:r>
              <w:rPr>
                <w:rFonts w:ascii="宋体" w:hAnsi="宋体"/>
                <w:kern w:val="0"/>
                <w:szCs w:val="21"/>
              </w:rPr>
              <w:t>449086</w:t>
            </w:r>
          </w:p>
        </w:tc>
      </w:tr>
      <w:tr w14:paraId="7B70214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666" w:type="pct"/>
            <w:vAlign w:val="center"/>
          </w:tcPr>
          <w:p w14:paraId="00728149">
            <w:pPr>
              <w:pStyle w:val="23"/>
              <w:rPr>
                <w:rFonts w:ascii="宋体" w:hAnsi="宋体"/>
                <w:kern w:val="0"/>
                <w:szCs w:val="21"/>
              </w:rPr>
            </w:pPr>
            <w:r>
              <w:rPr>
                <w:rFonts w:ascii="宋体" w:hAnsi="宋体"/>
                <w:kern w:val="0"/>
                <w:szCs w:val="21"/>
              </w:rPr>
              <w:t>主营业务成本</w:t>
            </w:r>
          </w:p>
        </w:tc>
        <w:tc>
          <w:tcPr>
            <w:tcW w:w="1668" w:type="pct"/>
            <w:vAlign w:val="center"/>
          </w:tcPr>
          <w:p w14:paraId="392FD47C">
            <w:pPr>
              <w:pStyle w:val="23"/>
              <w:jc w:val="center"/>
              <w:rPr>
                <w:rFonts w:ascii="宋体" w:hAnsi="宋体"/>
                <w:kern w:val="0"/>
                <w:szCs w:val="21"/>
              </w:rPr>
            </w:pPr>
            <w:r>
              <w:rPr>
                <w:rFonts w:ascii="宋体" w:hAnsi="宋体"/>
                <w:kern w:val="0"/>
                <w:szCs w:val="21"/>
              </w:rPr>
              <w:t>万元</w:t>
            </w:r>
          </w:p>
        </w:tc>
        <w:tc>
          <w:tcPr>
            <w:tcW w:w="1666" w:type="pct"/>
            <w:vAlign w:val="center"/>
          </w:tcPr>
          <w:p w14:paraId="49130628">
            <w:pPr>
              <w:pStyle w:val="23"/>
              <w:jc w:val="center"/>
              <w:rPr>
                <w:rFonts w:ascii="宋体" w:hAnsi="宋体"/>
                <w:kern w:val="0"/>
                <w:szCs w:val="21"/>
              </w:rPr>
            </w:pPr>
            <w:r>
              <w:rPr>
                <w:rFonts w:ascii="宋体" w:hAnsi="宋体"/>
                <w:kern w:val="0"/>
                <w:szCs w:val="21"/>
              </w:rPr>
              <w:t>363902</w:t>
            </w:r>
          </w:p>
        </w:tc>
      </w:tr>
      <w:tr w14:paraId="15840D3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666" w:type="pct"/>
            <w:vAlign w:val="center"/>
          </w:tcPr>
          <w:p w14:paraId="0399FD77">
            <w:pPr>
              <w:pStyle w:val="23"/>
              <w:rPr>
                <w:rFonts w:ascii="宋体" w:hAnsi="宋体"/>
                <w:kern w:val="0"/>
                <w:szCs w:val="21"/>
              </w:rPr>
            </w:pPr>
            <w:r>
              <w:rPr>
                <w:rFonts w:ascii="宋体" w:hAnsi="宋体"/>
                <w:kern w:val="0"/>
                <w:szCs w:val="21"/>
              </w:rPr>
              <w:t>主营业务税金及附加</w:t>
            </w:r>
          </w:p>
        </w:tc>
        <w:tc>
          <w:tcPr>
            <w:tcW w:w="1668" w:type="pct"/>
            <w:vAlign w:val="center"/>
          </w:tcPr>
          <w:p w14:paraId="0AD442A6">
            <w:pPr>
              <w:pStyle w:val="23"/>
              <w:jc w:val="center"/>
              <w:rPr>
                <w:rFonts w:ascii="宋体" w:hAnsi="宋体"/>
                <w:kern w:val="0"/>
                <w:szCs w:val="21"/>
              </w:rPr>
            </w:pPr>
            <w:r>
              <w:rPr>
                <w:rFonts w:ascii="宋体" w:hAnsi="宋体"/>
                <w:kern w:val="0"/>
                <w:szCs w:val="21"/>
              </w:rPr>
              <w:t>万元</w:t>
            </w:r>
          </w:p>
        </w:tc>
        <w:tc>
          <w:tcPr>
            <w:tcW w:w="1666" w:type="pct"/>
            <w:vAlign w:val="center"/>
          </w:tcPr>
          <w:p w14:paraId="6316FD7D">
            <w:pPr>
              <w:pStyle w:val="23"/>
              <w:jc w:val="center"/>
              <w:rPr>
                <w:rFonts w:ascii="宋体" w:hAnsi="宋体"/>
                <w:kern w:val="0"/>
                <w:szCs w:val="21"/>
              </w:rPr>
            </w:pPr>
            <w:r>
              <w:rPr>
                <w:rFonts w:ascii="宋体" w:hAnsi="宋体"/>
                <w:kern w:val="0"/>
                <w:szCs w:val="21"/>
              </w:rPr>
              <w:t>2365</w:t>
            </w:r>
          </w:p>
        </w:tc>
      </w:tr>
      <w:tr w14:paraId="22C23F2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666" w:type="pct"/>
            <w:vAlign w:val="center"/>
          </w:tcPr>
          <w:p w14:paraId="422A2B42">
            <w:pPr>
              <w:pStyle w:val="23"/>
              <w:rPr>
                <w:rFonts w:ascii="宋体" w:hAnsi="宋体"/>
                <w:kern w:val="0"/>
                <w:szCs w:val="21"/>
              </w:rPr>
            </w:pPr>
            <w:r>
              <w:rPr>
                <w:rFonts w:ascii="宋体" w:hAnsi="宋体"/>
                <w:kern w:val="0"/>
                <w:szCs w:val="21"/>
              </w:rPr>
              <w:t>销售费用</w:t>
            </w:r>
          </w:p>
        </w:tc>
        <w:tc>
          <w:tcPr>
            <w:tcW w:w="1668" w:type="pct"/>
            <w:vAlign w:val="center"/>
          </w:tcPr>
          <w:p w14:paraId="60370618">
            <w:pPr>
              <w:pStyle w:val="23"/>
              <w:jc w:val="center"/>
              <w:rPr>
                <w:rFonts w:ascii="宋体" w:hAnsi="宋体"/>
                <w:kern w:val="0"/>
                <w:szCs w:val="21"/>
              </w:rPr>
            </w:pPr>
            <w:r>
              <w:rPr>
                <w:rFonts w:ascii="宋体" w:hAnsi="宋体"/>
                <w:kern w:val="0"/>
                <w:szCs w:val="21"/>
              </w:rPr>
              <w:t>万元</w:t>
            </w:r>
          </w:p>
        </w:tc>
        <w:tc>
          <w:tcPr>
            <w:tcW w:w="1666" w:type="pct"/>
            <w:vAlign w:val="center"/>
          </w:tcPr>
          <w:p w14:paraId="2664814E">
            <w:pPr>
              <w:pStyle w:val="23"/>
              <w:jc w:val="center"/>
              <w:rPr>
                <w:rFonts w:ascii="宋体" w:hAnsi="宋体"/>
                <w:kern w:val="0"/>
                <w:szCs w:val="21"/>
              </w:rPr>
            </w:pPr>
            <w:r>
              <w:rPr>
                <w:rFonts w:ascii="宋体" w:hAnsi="宋体"/>
                <w:kern w:val="0"/>
                <w:szCs w:val="21"/>
              </w:rPr>
              <w:t>13062</w:t>
            </w:r>
          </w:p>
        </w:tc>
      </w:tr>
      <w:tr w14:paraId="4116CC5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666" w:type="pct"/>
            <w:vAlign w:val="center"/>
          </w:tcPr>
          <w:p w14:paraId="1C919A66">
            <w:pPr>
              <w:pStyle w:val="23"/>
              <w:rPr>
                <w:rFonts w:ascii="宋体" w:hAnsi="宋体"/>
                <w:kern w:val="0"/>
                <w:szCs w:val="21"/>
              </w:rPr>
            </w:pPr>
            <w:r>
              <w:rPr>
                <w:rFonts w:ascii="宋体" w:hAnsi="宋体"/>
                <w:kern w:val="0"/>
                <w:szCs w:val="21"/>
              </w:rPr>
              <w:t>管理费用</w:t>
            </w:r>
          </w:p>
        </w:tc>
        <w:tc>
          <w:tcPr>
            <w:tcW w:w="1668" w:type="pct"/>
            <w:vAlign w:val="center"/>
          </w:tcPr>
          <w:p w14:paraId="4DD13D37">
            <w:pPr>
              <w:pStyle w:val="23"/>
              <w:jc w:val="center"/>
              <w:rPr>
                <w:rFonts w:ascii="宋体" w:hAnsi="宋体"/>
                <w:kern w:val="0"/>
                <w:szCs w:val="21"/>
              </w:rPr>
            </w:pPr>
            <w:r>
              <w:rPr>
                <w:rFonts w:ascii="宋体" w:hAnsi="宋体"/>
                <w:kern w:val="0"/>
                <w:szCs w:val="21"/>
              </w:rPr>
              <w:t>万元</w:t>
            </w:r>
          </w:p>
        </w:tc>
        <w:tc>
          <w:tcPr>
            <w:tcW w:w="1666" w:type="pct"/>
            <w:vAlign w:val="center"/>
          </w:tcPr>
          <w:p w14:paraId="162731CC">
            <w:pPr>
              <w:pStyle w:val="23"/>
              <w:jc w:val="center"/>
              <w:rPr>
                <w:rFonts w:ascii="宋体" w:hAnsi="宋体"/>
                <w:kern w:val="0"/>
                <w:szCs w:val="21"/>
              </w:rPr>
            </w:pPr>
            <w:r>
              <w:rPr>
                <w:rFonts w:ascii="宋体" w:hAnsi="宋体"/>
                <w:kern w:val="0"/>
                <w:szCs w:val="21"/>
              </w:rPr>
              <w:t>30454</w:t>
            </w:r>
          </w:p>
        </w:tc>
      </w:tr>
      <w:tr w14:paraId="4E3A31F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666" w:type="pct"/>
            <w:vAlign w:val="center"/>
          </w:tcPr>
          <w:p w14:paraId="4718D1E2">
            <w:pPr>
              <w:pStyle w:val="23"/>
              <w:rPr>
                <w:rFonts w:ascii="宋体" w:hAnsi="宋体"/>
                <w:kern w:val="0"/>
                <w:szCs w:val="21"/>
              </w:rPr>
            </w:pPr>
            <w:r>
              <w:rPr>
                <w:rFonts w:ascii="宋体" w:hAnsi="宋体"/>
                <w:kern w:val="0"/>
                <w:szCs w:val="21"/>
              </w:rPr>
              <w:t>财务费用</w:t>
            </w:r>
          </w:p>
        </w:tc>
        <w:tc>
          <w:tcPr>
            <w:tcW w:w="1668" w:type="pct"/>
            <w:vAlign w:val="center"/>
          </w:tcPr>
          <w:p w14:paraId="11491CA3">
            <w:pPr>
              <w:pStyle w:val="23"/>
              <w:jc w:val="center"/>
              <w:rPr>
                <w:rFonts w:ascii="宋体" w:hAnsi="宋体"/>
                <w:kern w:val="0"/>
                <w:szCs w:val="21"/>
              </w:rPr>
            </w:pPr>
            <w:r>
              <w:rPr>
                <w:rFonts w:ascii="宋体" w:hAnsi="宋体"/>
                <w:kern w:val="0"/>
                <w:szCs w:val="21"/>
              </w:rPr>
              <w:t>万元</w:t>
            </w:r>
          </w:p>
        </w:tc>
        <w:tc>
          <w:tcPr>
            <w:tcW w:w="1666" w:type="pct"/>
            <w:vAlign w:val="center"/>
          </w:tcPr>
          <w:p w14:paraId="1FCA7227">
            <w:pPr>
              <w:pStyle w:val="23"/>
              <w:jc w:val="center"/>
              <w:rPr>
                <w:rFonts w:ascii="宋体" w:hAnsi="宋体"/>
                <w:kern w:val="0"/>
                <w:szCs w:val="21"/>
              </w:rPr>
            </w:pPr>
            <w:r>
              <w:rPr>
                <w:rFonts w:ascii="宋体" w:hAnsi="宋体"/>
                <w:kern w:val="0"/>
                <w:szCs w:val="21"/>
              </w:rPr>
              <w:t>4003</w:t>
            </w:r>
          </w:p>
        </w:tc>
      </w:tr>
      <w:tr w14:paraId="3D4B91F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666" w:type="pct"/>
            <w:vAlign w:val="center"/>
          </w:tcPr>
          <w:p w14:paraId="65702A84">
            <w:pPr>
              <w:pStyle w:val="23"/>
              <w:rPr>
                <w:rFonts w:ascii="宋体" w:hAnsi="宋体"/>
                <w:kern w:val="0"/>
                <w:szCs w:val="21"/>
              </w:rPr>
            </w:pPr>
            <w:r>
              <w:rPr>
                <w:rFonts w:ascii="宋体" w:hAnsi="宋体"/>
                <w:kern w:val="0"/>
                <w:szCs w:val="21"/>
              </w:rPr>
              <w:t>利润总额</w:t>
            </w:r>
          </w:p>
        </w:tc>
        <w:tc>
          <w:tcPr>
            <w:tcW w:w="1668" w:type="pct"/>
            <w:vAlign w:val="center"/>
          </w:tcPr>
          <w:p w14:paraId="09663E96">
            <w:pPr>
              <w:pStyle w:val="23"/>
              <w:jc w:val="center"/>
              <w:rPr>
                <w:rFonts w:ascii="宋体" w:hAnsi="宋体"/>
                <w:kern w:val="0"/>
                <w:szCs w:val="21"/>
              </w:rPr>
            </w:pPr>
            <w:r>
              <w:rPr>
                <w:rFonts w:ascii="宋体" w:hAnsi="宋体"/>
                <w:kern w:val="0"/>
                <w:szCs w:val="21"/>
              </w:rPr>
              <w:t>万元</w:t>
            </w:r>
          </w:p>
        </w:tc>
        <w:tc>
          <w:tcPr>
            <w:tcW w:w="1666" w:type="pct"/>
            <w:vAlign w:val="center"/>
          </w:tcPr>
          <w:p w14:paraId="3F563A16">
            <w:pPr>
              <w:pStyle w:val="23"/>
              <w:jc w:val="center"/>
              <w:rPr>
                <w:rFonts w:ascii="宋体" w:hAnsi="宋体"/>
                <w:kern w:val="0"/>
                <w:szCs w:val="21"/>
              </w:rPr>
            </w:pPr>
            <w:r>
              <w:rPr>
                <w:rFonts w:ascii="宋体" w:hAnsi="宋体"/>
                <w:kern w:val="0"/>
                <w:szCs w:val="21"/>
              </w:rPr>
              <w:t>34725</w:t>
            </w:r>
          </w:p>
        </w:tc>
      </w:tr>
      <w:tr w14:paraId="73A1BDB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666" w:type="pct"/>
            <w:vAlign w:val="center"/>
          </w:tcPr>
          <w:p w14:paraId="7A1F703E">
            <w:pPr>
              <w:pStyle w:val="23"/>
              <w:rPr>
                <w:rFonts w:ascii="宋体" w:hAnsi="宋体"/>
                <w:kern w:val="0"/>
                <w:szCs w:val="21"/>
              </w:rPr>
            </w:pPr>
            <w:r>
              <w:rPr>
                <w:rFonts w:ascii="宋体" w:hAnsi="宋体"/>
                <w:kern w:val="0"/>
                <w:szCs w:val="21"/>
              </w:rPr>
              <w:t>企业亏损额</w:t>
            </w:r>
          </w:p>
        </w:tc>
        <w:tc>
          <w:tcPr>
            <w:tcW w:w="1668" w:type="pct"/>
            <w:vAlign w:val="center"/>
          </w:tcPr>
          <w:p w14:paraId="560D5D83">
            <w:pPr>
              <w:pStyle w:val="23"/>
              <w:jc w:val="center"/>
              <w:rPr>
                <w:rFonts w:ascii="宋体" w:hAnsi="宋体"/>
                <w:kern w:val="0"/>
                <w:szCs w:val="21"/>
              </w:rPr>
            </w:pPr>
          </w:p>
        </w:tc>
        <w:tc>
          <w:tcPr>
            <w:tcW w:w="1666" w:type="pct"/>
            <w:vAlign w:val="center"/>
          </w:tcPr>
          <w:p w14:paraId="192694A2">
            <w:pPr>
              <w:pStyle w:val="23"/>
              <w:jc w:val="center"/>
              <w:rPr>
                <w:rFonts w:ascii="宋体" w:hAnsi="宋体"/>
                <w:kern w:val="0"/>
                <w:szCs w:val="21"/>
              </w:rPr>
            </w:pPr>
            <w:r>
              <w:rPr>
                <w:rFonts w:ascii="宋体" w:hAnsi="宋体"/>
                <w:kern w:val="0"/>
                <w:szCs w:val="21"/>
              </w:rPr>
              <w:t>3239</w:t>
            </w:r>
          </w:p>
        </w:tc>
      </w:tr>
      <w:tr w14:paraId="58B23E2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666" w:type="pct"/>
            <w:vAlign w:val="center"/>
          </w:tcPr>
          <w:p w14:paraId="526BFC33">
            <w:pPr>
              <w:pStyle w:val="23"/>
              <w:rPr>
                <w:rFonts w:ascii="宋体" w:hAnsi="宋体"/>
                <w:kern w:val="0"/>
                <w:szCs w:val="21"/>
              </w:rPr>
            </w:pPr>
            <w:r>
              <w:rPr>
                <w:rFonts w:ascii="宋体" w:hAnsi="宋体"/>
                <w:kern w:val="0"/>
                <w:szCs w:val="21"/>
              </w:rPr>
              <w:t>应交增值税</w:t>
            </w:r>
          </w:p>
        </w:tc>
        <w:tc>
          <w:tcPr>
            <w:tcW w:w="1668" w:type="pct"/>
            <w:vAlign w:val="center"/>
          </w:tcPr>
          <w:p w14:paraId="206DB161">
            <w:pPr>
              <w:pStyle w:val="23"/>
              <w:jc w:val="center"/>
              <w:rPr>
                <w:rFonts w:ascii="宋体" w:hAnsi="宋体"/>
                <w:kern w:val="0"/>
                <w:szCs w:val="21"/>
              </w:rPr>
            </w:pPr>
            <w:r>
              <w:rPr>
                <w:rFonts w:ascii="宋体" w:hAnsi="宋体"/>
                <w:kern w:val="0"/>
                <w:szCs w:val="21"/>
              </w:rPr>
              <w:t>万元</w:t>
            </w:r>
          </w:p>
        </w:tc>
        <w:tc>
          <w:tcPr>
            <w:tcW w:w="1666" w:type="pct"/>
            <w:vAlign w:val="center"/>
          </w:tcPr>
          <w:p w14:paraId="3142A015">
            <w:pPr>
              <w:pStyle w:val="23"/>
              <w:jc w:val="center"/>
              <w:rPr>
                <w:rFonts w:ascii="宋体" w:hAnsi="宋体"/>
                <w:kern w:val="0"/>
                <w:szCs w:val="21"/>
              </w:rPr>
            </w:pPr>
            <w:r>
              <w:rPr>
                <w:rFonts w:ascii="宋体" w:hAnsi="宋体"/>
                <w:kern w:val="0"/>
                <w:szCs w:val="21"/>
              </w:rPr>
              <w:t>19423</w:t>
            </w:r>
          </w:p>
        </w:tc>
      </w:tr>
    </w:tbl>
    <w:p w14:paraId="6794E566">
      <w:pPr>
        <w:ind w:firstLine="0" w:firstLineChars="0"/>
        <w:jc w:val="center"/>
        <w:rPr>
          <w:rFonts w:ascii="宋体" w:hAnsi="宋体"/>
          <w:b/>
          <w:szCs w:val="21"/>
        </w:rPr>
      </w:pPr>
      <w:r>
        <w:rPr>
          <w:rFonts w:hint="eastAsia" w:ascii="宋体" w:hAnsi="宋体"/>
          <w:b/>
          <w:szCs w:val="21"/>
        </w:rPr>
        <w:t>表70 主要工业产品产量</w:t>
      </w:r>
    </w:p>
    <w:tbl>
      <w:tblPr>
        <w:tblStyle w:val="14"/>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929"/>
        <w:gridCol w:w="1711"/>
        <w:gridCol w:w="1725"/>
        <w:gridCol w:w="1597"/>
      </w:tblGrid>
      <w:tr w14:paraId="700E6AF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474" w:type="pct"/>
            <w:shd w:val="clear" w:color="auto" w:fill="auto"/>
            <w:noWrap/>
            <w:vAlign w:val="center"/>
          </w:tcPr>
          <w:p w14:paraId="561818B1">
            <w:pPr>
              <w:pStyle w:val="23"/>
              <w:jc w:val="center"/>
              <w:rPr>
                <w:rFonts w:ascii="宋体" w:hAnsi="宋体"/>
                <w:b/>
                <w:kern w:val="0"/>
                <w:szCs w:val="21"/>
              </w:rPr>
            </w:pPr>
            <w:r>
              <w:rPr>
                <w:rFonts w:ascii="宋体" w:hAnsi="宋体"/>
                <w:b/>
                <w:kern w:val="0"/>
                <w:szCs w:val="21"/>
              </w:rPr>
              <w:t>指标名称</w:t>
            </w:r>
          </w:p>
        </w:tc>
        <w:tc>
          <w:tcPr>
            <w:tcW w:w="859" w:type="pct"/>
            <w:shd w:val="clear" w:color="auto" w:fill="auto"/>
            <w:noWrap/>
            <w:vAlign w:val="center"/>
          </w:tcPr>
          <w:p w14:paraId="4DBB2AC2">
            <w:pPr>
              <w:pStyle w:val="23"/>
              <w:jc w:val="center"/>
              <w:rPr>
                <w:rFonts w:ascii="宋体" w:hAnsi="宋体"/>
                <w:b/>
                <w:kern w:val="0"/>
                <w:szCs w:val="21"/>
              </w:rPr>
            </w:pPr>
            <w:r>
              <w:rPr>
                <w:rFonts w:ascii="宋体" w:hAnsi="宋体"/>
                <w:b/>
                <w:kern w:val="0"/>
                <w:szCs w:val="21"/>
              </w:rPr>
              <w:t>计算单位</w:t>
            </w:r>
          </w:p>
        </w:tc>
        <w:tc>
          <w:tcPr>
            <w:tcW w:w="866" w:type="pct"/>
            <w:shd w:val="clear" w:color="auto" w:fill="auto"/>
            <w:noWrap/>
            <w:vAlign w:val="center"/>
          </w:tcPr>
          <w:p w14:paraId="3212A1BD">
            <w:pPr>
              <w:pStyle w:val="23"/>
              <w:jc w:val="center"/>
              <w:rPr>
                <w:rFonts w:ascii="宋体" w:hAnsi="宋体"/>
                <w:b/>
                <w:kern w:val="0"/>
                <w:szCs w:val="21"/>
              </w:rPr>
            </w:pPr>
            <w:r>
              <w:rPr>
                <w:rFonts w:ascii="宋体" w:hAnsi="宋体"/>
                <w:b/>
                <w:kern w:val="0"/>
                <w:szCs w:val="21"/>
              </w:rPr>
              <w:t>2011年</w:t>
            </w:r>
          </w:p>
        </w:tc>
        <w:tc>
          <w:tcPr>
            <w:tcW w:w="802" w:type="pct"/>
            <w:shd w:val="clear" w:color="auto" w:fill="auto"/>
            <w:noWrap/>
            <w:vAlign w:val="center"/>
          </w:tcPr>
          <w:p w14:paraId="4D090D90">
            <w:pPr>
              <w:pStyle w:val="23"/>
              <w:jc w:val="center"/>
              <w:rPr>
                <w:rFonts w:ascii="宋体" w:hAnsi="宋体"/>
                <w:b/>
                <w:kern w:val="0"/>
                <w:szCs w:val="21"/>
              </w:rPr>
            </w:pPr>
            <w:r>
              <w:rPr>
                <w:rFonts w:ascii="宋体" w:hAnsi="宋体"/>
                <w:b/>
                <w:kern w:val="0"/>
                <w:szCs w:val="21"/>
              </w:rPr>
              <w:t>比上年±%</w:t>
            </w:r>
          </w:p>
        </w:tc>
      </w:tr>
      <w:tr w14:paraId="2AC8AE0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474" w:type="pct"/>
            <w:shd w:val="clear" w:color="auto" w:fill="auto"/>
            <w:noWrap/>
            <w:vAlign w:val="center"/>
          </w:tcPr>
          <w:p w14:paraId="6F058556">
            <w:pPr>
              <w:pStyle w:val="23"/>
              <w:rPr>
                <w:rFonts w:ascii="宋体" w:hAnsi="宋体"/>
                <w:kern w:val="0"/>
                <w:szCs w:val="21"/>
              </w:rPr>
            </w:pPr>
            <w:r>
              <w:rPr>
                <w:rFonts w:ascii="宋体" w:hAnsi="宋体"/>
                <w:kern w:val="0"/>
                <w:szCs w:val="21"/>
              </w:rPr>
              <w:t>钨精矿折合量（折三氧化钨65%）</w:t>
            </w:r>
          </w:p>
        </w:tc>
        <w:tc>
          <w:tcPr>
            <w:tcW w:w="859" w:type="pct"/>
            <w:shd w:val="clear" w:color="auto" w:fill="auto"/>
            <w:noWrap/>
            <w:vAlign w:val="center"/>
          </w:tcPr>
          <w:p w14:paraId="702F631A">
            <w:pPr>
              <w:pStyle w:val="23"/>
              <w:jc w:val="center"/>
              <w:rPr>
                <w:rFonts w:ascii="宋体" w:hAnsi="宋体"/>
                <w:kern w:val="0"/>
                <w:szCs w:val="21"/>
              </w:rPr>
            </w:pPr>
            <w:r>
              <w:rPr>
                <w:rFonts w:ascii="宋体" w:hAnsi="宋体"/>
                <w:kern w:val="0"/>
                <w:szCs w:val="21"/>
              </w:rPr>
              <w:t>吨</w:t>
            </w:r>
          </w:p>
        </w:tc>
        <w:tc>
          <w:tcPr>
            <w:tcW w:w="866" w:type="pct"/>
            <w:shd w:val="clear" w:color="auto" w:fill="auto"/>
            <w:noWrap/>
            <w:vAlign w:val="center"/>
          </w:tcPr>
          <w:p w14:paraId="67B4FC7C">
            <w:pPr>
              <w:pStyle w:val="23"/>
              <w:jc w:val="center"/>
              <w:rPr>
                <w:rFonts w:ascii="宋体" w:hAnsi="宋体"/>
                <w:kern w:val="0"/>
                <w:szCs w:val="21"/>
              </w:rPr>
            </w:pPr>
            <w:r>
              <w:rPr>
                <w:rFonts w:ascii="宋体" w:hAnsi="宋体"/>
                <w:kern w:val="0"/>
                <w:szCs w:val="21"/>
              </w:rPr>
              <w:t>250.62</w:t>
            </w:r>
          </w:p>
        </w:tc>
        <w:tc>
          <w:tcPr>
            <w:tcW w:w="802" w:type="pct"/>
            <w:shd w:val="clear" w:color="auto" w:fill="auto"/>
            <w:noWrap/>
            <w:vAlign w:val="center"/>
          </w:tcPr>
          <w:p w14:paraId="0AEFC44B">
            <w:pPr>
              <w:pStyle w:val="23"/>
              <w:jc w:val="center"/>
              <w:rPr>
                <w:rFonts w:ascii="宋体" w:hAnsi="宋体"/>
                <w:kern w:val="0"/>
                <w:szCs w:val="21"/>
              </w:rPr>
            </w:pPr>
            <w:r>
              <w:rPr>
                <w:rFonts w:ascii="宋体" w:hAnsi="宋体"/>
                <w:kern w:val="0"/>
                <w:szCs w:val="21"/>
              </w:rPr>
              <w:t>14.5</w:t>
            </w:r>
          </w:p>
        </w:tc>
      </w:tr>
      <w:tr w14:paraId="3E7D043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474" w:type="pct"/>
            <w:shd w:val="clear" w:color="auto" w:fill="auto"/>
            <w:noWrap/>
            <w:vAlign w:val="center"/>
          </w:tcPr>
          <w:p w14:paraId="6451288C">
            <w:pPr>
              <w:pStyle w:val="23"/>
              <w:rPr>
                <w:rFonts w:ascii="宋体" w:hAnsi="宋体"/>
                <w:kern w:val="0"/>
                <w:szCs w:val="21"/>
              </w:rPr>
            </w:pPr>
            <w:r>
              <w:rPr>
                <w:rFonts w:ascii="宋体" w:hAnsi="宋体"/>
                <w:kern w:val="0"/>
                <w:szCs w:val="21"/>
              </w:rPr>
              <w:t>钼精矿折合量（折纯钼45%）</w:t>
            </w:r>
          </w:p>
        </w:tc>
        <w:tc>
          <w:tcPr>
            <w:tcW w:w="859" w:type="pct"/>
            <w:shd w:val="clear" w:color="auto" w:fill="auto"/>
            <w:noWrap/>
            <w:vAlign w:val="center"/>
          </w:tcPr>
          <w:p w14:paraId="1588C129">
            <w:pPr>
              <w:pStyle w:val="23"/>
              <w:jc w:val="center"/>
              <w:rPr>
                <w:rFonts w:ascii="宋体" w:hAnsi="宋体"/>
                <w:kern w:val="0"/>
                <w:szCs w:val="21"/>
              </w:rPr>
            </w:pPr>
            <w:r>
              <w:rPr>
                <w:rFonts w:ascii="宋体" w:hAnsi="宋体"/>
                <w:kern w:val="0"/>
                <w:szCs w:val="21"/>
              </w:rPr>
              <w:t>吨</w:t>
            </w:r>
          </w:p>
        </w:tc>
        <w:tc>
          <w:tcPr>
            <w:tcW w:w="866" w:type="pct"/>
            <w:shd w:val="clear" w:color="auto" w:fill="auto"/>
            <w:noWrap/>
            <w:vAlign w:val="center"/>
          </w:tcPr>
          <w:p w14:paraId="13CCB6A0">
            <w:pPr>
              <w:pStyle w:val="23"/>
              <w:jc w:val="center"/>
              <w:rPr>
                <w:rFonts w:ascii="宋体" w:hAnsi="宋体"/>
                <w:kern w:val="0"/>
                <w:szCs w:val="21"/>
              </w:rPr>
            </w:pPr>
            <w:r>
              <w:rPr>
                <w:rFonts w:ascii="宋体" w:hAnsi="宋体"/>
                <w:kern w:val="0"/>
                <w:szCs w:val="21"/>
              </w:rPr>
              <w:t>115.42</w:t>
            </w:r>
          </w:p>
        </w:tc>
        <w:tc>
          <w:tcPr>
            <w:tcW w:w="802" w:type="pct"/>
            <w:shd w:val="clear" w:color="auto" w:fill="auto"/>
            <w:noWrap/>
            <w:vAlign w:val="center"/>
          </w:tcPr>
          <w:p w14:paraId="18E84C6E">
            <w:pPr>
              <w:pStyle w:val="23"/>
              <w:jc w:val="center"/>
              <w:rPr>
                <w:rFonts w:ascii="宋体" w:hAnsi="宋体"/>
                <w:kern w:val="0"/>
                <w:szCs w:val="21"/>
              </w:rPr>
            </w:pPr>
            <w:r>
              <w:rPr>
                <w:rFonts w:ascii="宋体" w:hAnsi="宋体"/>
                <w:kern w:val="0"/>
                <w:szCs w:val="21"/>
              </w:rPr>
              <w:t>12.5</w:t>
            </w:r>
          </w:p>
        </w:tc>
      </w:tr>
      <w:tr w14:paraId="153D261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474" w:type="pct"/>
            <w:shd w:val="clear" w:color="auto" w:fill="auto"/>
            <w:noWrap/>
            <w:vAlign w:val="center"/>
          </w:tcPr>
          <w:p w14:paraId="0FE7D3AF">
            <w:pPr>
              <w:pStyle w:val="23"/>
              <w:rPr>
                <w:rFonts w:ascii="宋体" w:hAnsi="宋体"/>
                <w:kern w:val="0"/>
                <w:szCs w:val="21"/>
              </w:rPr>
            </w:pPr>
            <w:r>
              <w:rPr>
                <w:rFonts w:ascii="宋体" w:hAnsi="宋体"/>
                <w:kern w:val="0"/>
                <w:szCs w:val="21"/>
              </w:rPr>
              <w:t>夹层玻璃</w:t>
            </w:r>
          </w:p>
        </w:tc>
        <w:tc>
          <w:tcPr>
            <w:tcW w:w="859" w:type="pct"/>
            <w:shd w:val="clear" w:color="auto" w:fill="auto"/>
            <w:noWrap/>
            <w:vAlign w:val="center"/>
          </w:tcPr>
          <w:p w14:paraId="4E4028DA">
            <w:pPr>
              <w:pStyle w:val="23"/>
              <w:jc w:val="center"/>
              <w:rPr>
                <w:rFonts w:ascii="宋体" w:hAnsi="宋体"/>
                <w:kern w:val="0"/>
                <w:szCs w:val="21"/>
              </w:rPr>
            </w:pPr>
            <w:r>
              <w:rPr>
                <w:rFonts w:ascii="宋体" w:hAnsi="宋体"/>
                <w:kern w:val="0"/>
                <w:szCs w:val="21"/>
              </w:rPr>
              <w:t>平方米</w:t>
            </w:r>
          </w:p>
        </w:tc>
        <w:tc>
          <w:tcPr>
            <w:tcW w:w="866" w:type="pct"/>
            <w:shd w:val="clear" w:color="auto" w:fill="auto"/>
            <w:noWrap/>
            <w:vAlign w:val="center"/>
          </w:tcPr>
          <w:p w14:paraId="16AB4D71">
            <w:pPr>
              <w:pStyle w:val="23"/>
              <w:jc w:val="center"/>
              <w:rPr>
                <w:rFonts w:ascii="宋体" w:hAnsi="宋体"/>
                <w:kern w:val="0"/>
                <w:szCs w:val="21"/>
              </w:rPr>
            </w:pPr>
            <w:r>
              <w:rPr>
                <w:rFonts w:ascii="宋体" w:hAnsi="宋体"/>
                <w:kern w:val="0"/>
                <w:szCs w:val="21"/>
              </w:rPr>
              <w:t>945486</w:t>
            </w:r>
          </w:p>
        </w:tc>
        <w:tc>
          <w:tcPr>
            <w:tcW w:w="802" w:type="pct"/>
            <w:shd w:val="clear" w:color="auto" w:fill="auto"/>
            <w:noWrap/>
            <w:vAlign w:val="center"/>
          </w:tcPr>
          <w:p w14:paraId="635DF28D">
            <w:pPr>
              <w:pStyle w:val="23"/>
              <w:jc w:val="center"/>
              <w:rPr>
                <w:rFonts w:ascii="宋体" w:hAnsi="宋体"/>
                <w:kern w:val="0"/>
                <w:szCs w:val="21"/>
              </w:rPr>
            </w:pPr>
          </w:p>
        </w:tc>
      </w:tr>
      <w:tr w14:paraId="4E268EE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474" w:type="pct"/>
            <w:shd w:val="clear" w:color="auto" w:fill="auto"/>
            <w:noWrap/>
            <w:vAlign w:val="center"/>
          </w:tcPr>
          <w:p w14:paraId="78EE6C65">
            <w:pPr>
              <w:pStyle w:val="23"/>
              <w:rPr>
                <w:rFonts w:ascii="宋体" w:hAnsi="宋体"/>
                <w:kern w:val="0"/>
                <w:szCs w:val="21"/>
              </w:rPr>
            </w:pPr>
            <w:r>
              <w:rPr>
                <w:rFonts w:ascii="宋体" w:hAnsi="宋体"/>
                <w:kern w:val="0"/>
                <w:szCs w:val="21"/>
              </w:rPr>
              <w:t>涂料</w:t>
            </w:r>
          </w:p>
        </w:tc>
        <w:tc>
          <w:tcPr>
            <w:tcW w:w="859" w:type="pct"/>
            <w:shd w:val="clear" w:color="auto" w:fill="auto"/>
            <w:noWrap/>
            <w:vAlign w:val="center"/>
          </w:tcPr>
          <w:p w14:paraId="6BA6E4D9">
            <w:pPr>
              <w:pStyle w:val="23"/>
              <w:jc w:val="center"/>
              <w:rPr>
                <w:rFonts w:ascii="宋体" w:hAnsi="宋体"/>
                <w:kern w:val="0"/>
                <w:szCs w:val="21"/>
              </w:rPr>
            </w:pPr>
            <w:r>
              <w:rPr>
                <w:rFonts w:ascii="宋体" w:hAnsi="宋体"/>
                <w:kern w:val="0"/>
                <w:szCs w:val="21"/>
              </w:rPr>
              <w:t>吨</w:t>
            </w:r>
          </w:p>
        </w:tc>
        <w:tc>
          <w:tcPr>
            <w:tcW w:w="866" w:type="pct"/>
            <w:shd w:val="clear" w:color="auto" w:fill="auto"/>
            <w:noWrap/>
            <w:vAlign w:val="center"/>
          </w:tcPr>
          <w:p w14:paraId="77E7B7DA">
            <w:pPr>
              <w:pStyle w:val="23"/>
              <w:jc w:val="center"/>
              <w:rPr>
                <w:rFonts w:ascii="宋体" w:hAnsi="宋体"/>
                <w:kern w:val="0"/>
                <w:szCs w:val="21"/>
              </w:rPr>
            </w:pPr>
            <w:r>
              <w:rPr>
                <w:rFonts w:ascii="宋体" w:hAnsi="宋体"/>
                <w:kern w:val="0"/>
                <w:szCs w:val="21"/>
              </w:rPr>
              <w:t>66376.5</w:t>
            </w:r>
          </w:p>
        </w:tc>
        <w:tc>
          <w:tcPr>
            <w:tcW w:w="802" w:type="pct"/>
            <w:shd w:val="clear" w:color="auto" w:fill="auto"/>
            <w:noWrap/>
            <w:vAlign w:val="center"/>
          </w:tcPr>
          <w:p w14:paraId="77738983">
            <w:pPr>
              <w:pStyle w:val="23"/>
              <w:jc w:val="center"/>
              <w:rPr>
                <w:rFonts w:ascii="宋体" w:hAnsi="宋体"/>
                <w:kern w:val="0"/>
                <w:szCs w:val="21"/>
              </w:rPr>
            </w:pPr>
            <w:r>
              <w:rPr>
                <w:rFonts w:ascii="宋体" w:hAnsi="宋体"/>
                <w:kern w:val="0"/>
                <w:szCs w:val="21"/>
              </w:rPr>
              <w:t>194.2</w:t>
            </w:r>
          </w:p>
        </w:tc>
      </w:tr>
      <w:tr w14:paraId="3C3E104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474" w:type="pct"/>
            <w:shd w:val="clear" w:color="auto" w:fill="auto"/>
            <w:noWrap/>
            <w:vAlign w:val="center"/>
          </w:tcPr>
          <w:p w14:paraId="625CEDFF">
            <w:pPr>
              <w:pStyle w:val="23"/>
              <w:rPr>
                <w:rFonts w:ascii="宋体" w:hAnsi="宋体"/>
                <w:kern w:val="0"/>
                <w:szCs w:val="21"/>
              </w:rPr>
            </w:pPr>
            <w:r>
              <w:rPr>
                <w:rFonts w:ascii="宋体" w:hAnsi="宋体"/>
                <w:kern w:val="0"/>
                <w:szCs w:val="21"/>
              </w:rPr>
              <w:t>服装</w:t>
            </w:r>
          </w:p>
        </w:tc>
        <w:tc>
          <w:tcPr>
            <w:tcW w:w="859" w:type="pct"/>
            <w:shd w:val="clear" w:color="auto" w:fill="auto"/>
            <w:noWrap/>
            <w:vAlign w:val="center"/>
          </w:tcPr>
          <w:p w14:paraId="7B0747F3">
            <w:pPr>
              <w:pStyle w:val="23"/>
              <w:jc w:val="center"/>
              <w:rPr>
                <w:rFonts w:ascii="宋体" w:hAnsi="宋体"/>
                <w:kern w:val="0"/>
                <w:szCs w:val="21"/>
              </w:rPr>
            </w:pPr>
            <w:r>
              <w:rPr>
                <w:rFonts w:ascii="宋体" w:hAnsi="宋体"/>
                <w:kern w:val="0"/>
                <w:szCs w:val="21"/>
              </w:rPr>
              <w:t>万件</w:t>
            </w:r>
          </w:p>
        </w:tc>
        <w:tc>
          <w:tcPr>
            <w:tcW w:w="866" w:type="pct"/>
            <w:shd w:val="clear" w:color="auto" w:fill="auto"/>
            <w:noWrap/>
            <w:vAlign w:val="center"/>
          </w:tcPr>
          <w:p w14:paraId="623D3E23">
            <w:pPr>
              <w:pStyle w:val="23"/>
              <w:jc w:val="center"/>
              <w:rPr>
                <w:rFonts w:ascii="宋体" w:hAnsi="宋体"/>
                <w:kern w:val="0"/>
                <w:szCs w:val="21"/>
              </w:rPr>
            </w:pPr>
            <w:r>
              <w:rPr>
                <w:rFonts w:ascii="宋体" w:hAnsi="宋体"/>
                <w:kern w:val="0"/>
                <w:szCs w:val="21"/>
              </w:rPr>
              <w:t>10.97</w:t>
            </w:r>
          </w:p>
        </w:tc>
        <w:tc>
          <w:tcPr>
            <w:tcW w:w="802" w:type="pct"/>
            <w:shd w:val="clear" w:color="auto" w:fill="auto"/>
            <w:noWrap/>
            <w:vAlign w:val="center"/>
          </w:tcPr>
          <w:p w14:paraId="5B66CBE0">
            <w:pPr>
              <w:pStyle w:val="23"/>
              <w:jc w:val="center"/>
              <w:rPr>
                <w:rFonts w:ascii="宋体" w:hAnsi="宋体"/>
                <w:kern w:val="0"/>
                <w:szCs w:val="21"/>
              </w:rPr>
            </w:pPr>
            <w:r>
              <w:rPr>
                <w:rFonts w:ascii="宋体" w:hAnsi="宋体"/>
                <w:kern w:val="0"/>
                <w:szCs w:val="21"/>
              </w:rPr>
              <w:t>-2.9</w:t>
            </w:r>
          </w:p>
        </w:tc>
      </w:tr>
      <w:tr w14:paraId="50476C3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474" w:type="pct"/>
            <w:shd w:val="clear" w:color="auto" w:fill="auto"/>
            <w:noWrap/>
            <w:vAlign w:val="center"/>
          </w:tcPr>
          <w:p w14:paraId="2A8D453F">
            <w:pPr>
              <w:pStyle w:val="23"/>
              <w:rPr>
                <w:rFonts w:ascii="宋体" w:hAnsi="宋体"/>
                <w:kern w:val="0"/>
                <w:szCs w:val="21"/>
              </w:rPr>
            </w:pPr>
            <w:r>
              <w:rPr>
                <w:rFonts w:ascii="宋体" w:hAnsi="宋体"/>
                <w:kern w:val="0"/>
                <w:szCs w:val="21"/>
              </w:rPr>
              <w:t>塑料制品</w:t>
            </w:r>
          </w:p>
        </w:tc>
        <w:tc>
          <w:tcPr>
            <w:tcW w:w="859" w:type="pct"/>
            <w:shd w:val="clear" w:color="auto" w:fill="auto"/>
            <w:noWrap/>
            <w:vAlign w:val="center"/>
          </w:tcPr>
          <w:p w14:paraId="3997B9FB">
            <w:pPr>
              <w:pStyle w:val="23"/>
              <w:jc w:val="center"/>
              <w:rPr>
                <w:rFonts w:ascii="宋体" w:hAnsi="宋体"/>
                <w:kern w:val="0"/>
                <w:szCs w:val="21"/>
              </w:rPr>
            </w:pPr>
            <w:r>
              <w:rPr>
                <w:rFonts w:ascii="宋体" w:hAnsi="宋体"/>
                <w:kern w:val="0"/>
                <w:szCs w:val="21"/>
              </w:rPr>
              <w:t>吨</w:t>
            </w:r>
          </w:p>
        </w:tc>
        <w:tc>
          <w:tcPr>
            <w:tcW w:w="866" w:type="pct"/>
            <w:shd w:val="clear" w:color="auto" w:fill="auto"/>
            <w:noWrap/>
            <w:vAlign w:val="center"/>
          </w:tcPr>
          <w:p w14:paraId="13BA763E">
            <w:pPr>
              <w:pStyle w:val="23"/>
              <w:jc w:val="center"/>
              <w:rPr>
                <w:rFonts w:ascii="宋体" w:hAnsi="宋体"/>
                <w:kern w:val="0"/>
                <w:szCs w:val="21"/>
              </w:rPr>
            </w:pPr>
            <w:r>
              <w:rPr>
                <w:rFonts w:ascii="宋体" w:hAnsi="宋体"/>
                <w:kern w:val="0"/>
                <w:szCs w:val="21"/>
              </w:rPr>
              <w:t>38910</w:t>
            </w:r>
          </w:p>
        </w:tc>
        <w:tc>
          <w:tcPr>
            <w:tcW w:w="802" w:type="pct"/>
            <w:shd w:val="clear" w:color="auto" w:fill="auto"/>
            <w:noWrap/>
            <w:vAlign w:val="center"/>
          </w:tcPr>
          <w:p w14:paraId="1EE55BDC">
            <w:pPr>
              <w:pStyle w:val="23"/>
              <w:jc w:val="center"/>
              <w:rPr>
                <w:rFonts w:ascii="宋体" w:hAnsi="宋体"/>
                <w:kern w:val="0"/>
                <w:szCs w:val="21"/>
              </w:rPr>
            </w:pPr>
            <w:r>
              <w:rPr>
                <w:rFonts w:ascii="宋体" w:hAnsi="宋体"/>
                <w:kern w:val="0"/>
                <w:szCs w:val="21"/>
              </w:rPr>
              <w:t>15.9</w:t>
            </w:r>
          </w:p>
        </w:tc>
      </w:tr>
      <w:tr w14:paraId="11FC9B3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474" w:type="pct"/>
            <w:shd w:val="clear" w:color="auto" w:fill="auto"/>
            <w:noWrap/>
            <w:vAlign w:val="center"/>
          </w:tcPr>
          <w:p w14:paraId="3AA18194">
            <w:pPr>
              <w:pStyle w:val="23"/>
              <w:rPr>
                <w:rFonts w:ascii="宋体" w:hAnsi="宋体"/>
                <w:kern w:val="0"/>
                <w:szCs w:val="21"/>
              </w:rPr>
            </w:pPr>
            <w:r>
              <w:rPr>
                <w:rFonts w:ascii="宋体" w:hAnsi="宋体"/>
                <w:kern w:val="0"/>
                <w:szCs w:val="21"/>
              </w:rPr>
              <w:t>家具</w:t>
            </w:r>
          </w:p>
        </w:tc>
        <w:tc>
          <w:tcPr>
            <w:tcW w:w="859" w:type="pct"/>
            <w:shd w:val="clear" w:color="auto" w:fill="auto"/>
            <w:noWrap/>
            <w:vAlign w:val="center"/>
          </w:tcPr>
          <w:p w14:paraId="4E2F0273">
            <w:pPr>
              <w:pStyle w:val="23"/>
              <w:jc w:val="center"/>
              <w:rPr>
                <w:rFonts w:ascii="宋体" w:hAnsi="宋体"/>
                <w:kern w:val="0"/>
                <w:szCs w:val="21"/>
              </w:rPr>
            </w:pPr>
            <w:r>
              <w:rPr>
                <w:rFonts w:ascii="宋体" w:hAnsi="宋体"/>
                <w:kern w:val="0"/>
                <w:szCs w:val="21"/>
              </w:rPr>
              <w:t>件</w:t>
            </w:r>
          </w:p>
        </w:tc>
        <w:tc>
          <w:tcPr>
            <w:tcW w:w="866" w:type="pct"/>
            <w:shd w:val="clear" w:color="auto" w:fill="auto"/>
            <w:noWrap/>
            <w:vAlign w:val="center"/>
          </w:tcPr>
          <w:p w14:paraId="21328877">
            <w:pPr>
              <w:pStyle w:val="23"/>
              <w:jc w:val="center"/>
              <w:rPr>
                <w:rFonts w:ascii="宋体" w:hAnsi="宋体"/>
                <w:kern w:val="0"/>
                <w:szCs w:val="21"/>
              </w:rPr>
            </w:pPr>
            <w:r>
              <w:rPr>
                <w:rFonts w:ascii="宋体" w:hAnsi="宋体"/>
                <w:kern w:val="0"/>
                <w:szCs w:val="21"/>
              </w:rPr>
              <w:t>30086</w:t>
            </w:r>
          </w:p>
        </w:tc>
        <w:tc>
          <w:tcPr>
            <w:tcW w:w="802" w:type="pct"/>
            <w:shd w:val="clear" w:color="auto" w:fill="auto"/>
            <w:noWrap/>
            <w:vAlign w:val="center"/>
          </w:tcPr>
          <w:p w14:paraId="5874FB31">
            <w:pPr>
              <w:pStyle w:val="23"/>
              <w:jc w:val="center"/>
              <w:rPr>
                <w:rFonts w:ascii="宋体" w:hAnsi="宋体"/>
                <w:kern w:val="0"/>
                <w:szCs w:val="21"/>
              </w:rPr>
            </w:pPr>
            <w:r>
              <w:rPr>
                <w:rFonts w:ascii="宋体" w:hAnsi="宋体"/>
                <w:kern w:val="0"/>
                <w:szCs w:val="21"/>
              </w:rPr>
              <w:t>-62.4</w:t>
            </w:r>
          </w:p>
        </w:tc>
      </w:tr>
      <w:tr w14:paraId="5B27428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474" w:type="pct"/>
            <w:shd w:val="clear" w:color="auto" w:fill="auto"/>
            <w:noWrap/>
            <w:vAlign w:val="center"/>
          </w:tcPr>
          <w:p w14:paraId="0C2F9110">
            <w:pPr>
              <w:pStyle w:val="23"/>
              <w:rPr>
                <w:rFonts w:ascii="宋体" w:hAnsi="宋体"/>
                <w:kern w:val="0"/>
                <w:szCs w:val="21"/>
              </w:rPr>
            </w:pPr>
            <w:r>
              <w:rPr>
                <w:rFonts w:ascii="宋体" w:hAnsi="宋体"/>
                <w:kern w:val="0"/>
                <w:szCs w:val="21"/>
              </w:rPr>
              <w:t>瓷质砖</w:t>
            </w:r>
          </w:p>
        </w:tc>
        <w:tc>
          <w:tcPr>
            <w:tcW w:w="859" w:type="pct"/>
            <w:shd w:val="clear" w:color="auto" w:fill="auto"/>
            <w:noWrap/>
            <w:vAlign w:val="center"/>
          </w:tcPr>
          <w:p w14:paraId="1084B150">
            <w:pPr>
              <w:pStyle w:val="23"/>
              <w:jc w:val="center"/>
              <w:rPr>
                <w:rFonts w:ascii="宋体" w:hAnsi="宋体"/>
                <w:kern w:val="0"/>
                <w:szCs w:val="21"/>
              </w:rPr>
            </w:pPr>
            <w:r>
              <w:rPr>
                <w:rFonts w:ascii="宋体" w:hAnsi="宋体"/>
                <w:kern w:val="0"/>
                <w:szCs w:val="21"/>
              </w:rPr>
              <w:t>平方米</w:t>
            </w:r>
          </w:p>
        </w:tc>
        <w:tc>
          <w:tcPr>
            <w:tcW w:w="866" w:type="pct"/>
            <w:shd w:val="clear" w:color="auto" w:fill="auto"/>
            <w:noWrap/>
            <w:vAlign w:val="center"/>
          </w:tcPr>
          <w:p w14:paraId="773FB2ED">
            <w:pPr>
              <w:pStyle w:val="23"/>
              <w:jc w:val="center"/>
              <w:rPr>
                <w:rFonts w:ascii="宋体" w:hAnsi="宋体"/>
                <w:kern w:val="0"/>
                <w:szCs w:val="21"/>
              </w:rPr>
            </w:pPr>
            <w:r>
              <w:rPr>
                <w:rFonts w:ascii="宋体" w:hAnsi="宋体"/>
                <w:kern w:val="0"/>
                <w:szCs w:val="21"/>
              </w:rPr>
              <w:t>1963453</w:t>
            </w:r>
          </w:p>
        </w:tc>
        <w:tc>
          <w:tcPr>
            <w:tcW w:w="802" w:type="pct"/>
            <w:shd w:val="clear" w:color="auto" w:fill="auto"/>
            <w:noWrap/>
            <w:vAlign w:val="center"/>
          </w:tcPr>
          <w:p w14:paraId="193D78B8">
            <w:pPr>
              <w:pStyle w:val="23"/>
              <w:jc w:val="center"/>
              <w:rPr>
                <w:rFonts w:ascii="宋体" w:hAnsi="宋体"/>
                <w:kern w:val="0"/>
                <w:szCs w:val="21"/>
              </w:rPr>
            </w:pPr>
            <w:r>
              <w:rPr>
                <w:rFonts w:ascii="宋体" w:hAnsi="宋体"/>
                <w:kern w:val="0"/>
                <w:szCs w:val="21"/>
              </w:rPr>
              <w:t>2.0</w:t>
            </w:r>
          </w:p>
        </w:tc>
      </w:tr>
      <w:tr w14:paraId="0B604BB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474" w:type="pct"/>
            <w:shd w:val="clear" w:color="auto" w:fill="auto"/>
            <w:noWrap/>
            <w:vAlign w:val="center"/>
          </w:tcPr>
          <w:p w14:paraId="13E34021">
            <w:pPr>
              <w:pStyle w:val="23"/>
              <w:rPr>
                <w:rFonts w:ascii="宋体" w:hAnsi="宋体"/>
                <w:kern w:val="0"/>
                <w:szCs w:val="21"/>
              </w:rPr>
            </w:pPr>
            <w:r>
              <w:rPr>
                <w:rFonts w:ascii="宋体" w:hAnsi="宋体"/>
                <w:kern w:val="0"/>
                <w:szCs w:val="21"/>
              </w:rPr>
              <w:t>大米</w:t>
            </w:r>
          </w:p>
        </w:tc>
        <w:tc>
          <w:tcPr>
            <w:tcW w:w="859" w:type="pct"/>
            <w:shd w:val="clear" w:color="auto" w:fill="auto"/>
            <w:noWrap/>
            <w:vAlign w:val="center"/>
          </w:tcPr>
          <w:p w14:paraId="099EE2DC">
            <w:pPr>
              <w:pStyle w:val="23"/>
              <w:jc w:val="center"/>
              <w:rPr>
                <w:rFonts w:ascii="宋体" w:hAnsi="宋体"/>
                <w:kern w:val="0"/>
                <w:szCs w:val="21"/>
              </w:rPr>
            </w:pPr>
            <w:r>
              <w:rPr>
                <w:rFonts w:ascii="宋体" w:hAnsi="宋体"/>
                <w:kern w:val="0"/>
                <w:szCs w:val="21"/>
              </w:rPr>
              <w:t>吨</w:t>
            </w:r>
          </w:p>
        </w:tc>
        <w:tc>
          <w:tcPr>
            <w:tcW w:w="866" w:type="pct"/>
            <w:shd w:val="clear" w:color="auto" w:fill="auto"/>
            <w:noWrap/>
            <w:vAlign w:val="center"/>
          </w:tcPr>
          <w:p w14:paraId="0E504E20">
            <w:pPr>
              <w:pStyle w:val="23"/>
              <w:jc w:val="center"/>
              <w:rPr>
                <w:rFonts w:ascii="宋体" w:hAnsi="宋体"/>
                <w:kern w:val="0"/>
                <w:szCs w:val="21"/>
              </w:rPr>
            </w:pPr>
            <w:r>
              <w:rPr>
                <w:rFonts w:ascii="宋体" w:hAnsi="宋体"/>
                <w:kern w:val="0"/>
                <w:szCs w:val="21"/>
              </w:rPr>
              <w:t>8318</w:t>
            </w:r>
          </w:p>
        </w:tc>
        <w:tc>
          <w:tcPr>
            <w:tcW w:w="802" w:type="pct"/>
            <w:shd w:val="clear" w:color="auto" w:fill="auto"/>
            <w:noWrap/>
            <w:vAlign w:val="center"/>
          </w:tcPr>
          <w:p w14:paraId="2D77E32A">
            <w:pPr>
              <w:pStyle w:val="23"/>
              <w:jc w:val="center"/>
              <w:rPr>
                <w:rFonts w:ascii="宋体" w:hAnsi="宋体"/>
                <w:kern w:val="0"/>
                <w:szCs w:val="21"/>
              </w:rPr>
            </w:pPr>
            <w:r>
              <w:rPr>
                <w:rFonts w:ascii="宋体" w:hAnsi="宋体"/>
                <w:kern w:val="0"/>
                <w:szCs w:val="21"/>
              </w:rPr>
              <w:t>-67.3</w:t>
            </w:r>
          </w:p>
        </w:tc>
      </w:tr>
      <w:tr w14:paraId="5E7BCC4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474" w:type="pct"/>
            <w:shd w:val="clear" w:color="auto" w:fill="auto"/>
            <w:noWrap/>
            <w:vAlign w:val="center"/>
          </w:tcPr>
          <w:p w14:paraId="44876845">
            <w:pPr>
              <w:pStyle w:val="23"/>
              <w:rPr>
                <w:rFonts w:ascii="宋体" w:hAnsi="宋体"/>
                <w:kern w:val="0"/>
                <w:szCs w:val="21"/>
              </w:rPr>
            </w:pPr>
            <w:r>
              <w:rPr>
                <w:rFonts w:ascii="宋体" w:hAnsi="宋体"/>
                <w:kern w:val="0"/>
                <w:szCs w:val="21"/>
              </w:rPr>
              <w:t>商品混凝土</w:t>
            </w:r>
          </w:p>
        </w:tc>
        <w:tc>
          <w:tcPr>
            <w:tcW w:w="859" w:type="pct"/>
            <w:shd w:val="clear" w:color="auto" w:fill="auto"/>
            <w:noWrap/>
            <w:vAlign w:val="center"/>
          </w:tcPr>
          <w:p w14:paraId="6996642B">
            <w:pPr>
              <w:pStyle w:val="23"/>
              <w:jc w:val="center"/>
              <w:rPr>
                <w:rFonts w:ascii="宋体" w:hAnsi="宋体"/>
                <w:kern w:val="0"/>
                <w:szCs w:val="21"/>
              </w:rPr>
            </w:pPr>
            <w:r>
              <w:rPr>
                <w:rFonts w:ascii="宋体" w:hAnsi="宋体"/>
                <w:kern w:val="0"/>
                <w:szCs w:val="21"/>
              </w:rPr>
              <w:t>立方米</w:t>
            </w:r>
          </w:p>
        </w:tc>
        <w:tc>
          <w:tcPr>
            <w:tcW w:w="866" w:type="pct"/>
            <w:shd w:val="clear" w:color="auto" w:fill="auto"/>
            <w:noWrap/>
            <w:vAlign w:val="center"/>
          </w:tcPr>
          <w:p w14:paraId="0226453F">
            <w:pPr>
              <w:pStyle w:val="23"/>
              <w:jc w:val="center"/>
              <w:rPr>
                <w:rFonts w:ascii="宋体" w:hAnsi="宋体"/>
                <w:kern w:val="0"/>
                <w:szCs w:val="21"/>
              </w:rPr>
            </w:pPr>
            <w:r>
              <w:rPr>
                <w:rFonts w:ascii="宋体" w:hAnsi="宋体"/>
                <w:kern w:val="0"/>
                <w:szCs w:val="21"/>
              </w:rPr>
              <w:t>226473</w:t>
            </w:r>
          </w:p>
        </w:tc>
        <w:tc>
          <w:tcPr>
            <w:tcW w:w="802" w:type="pct"/>
            <w:shd w:val="clear" w:color="auto" w:fill="auto"/>
            <w:noWrap/>
            <w:vAlign w:val="center"/>
          </w:tcPr>
          <w:p w14:paraId="4EAB27CB">
            <w:pPr>
              <w:pStyle w:val="23"/>
              <w:jc w:val="center"/>
              <w:rPr>
                <w:rFonts w:ascii="宋体" w:hAnsi="宋体"/>
                <w:kern w:val="0"/>
                <w:szCs w:val="21"/>
              </w:rPr>
            </w:pPr>
            <w:r>
              <w:rPr>
                <w:rFonts w:ascii="宋体" w:hAnsi="宋体"/>
                <w:kern w:val="0"/>
                <w:szCs w:val="21"/>
              </w:rPr>
              <w:t>35.4</w:t>
            </w:r>
          </w:p>
        </w:tc>
      </w:tr>
      <w:tr w14:paraId="17780D4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474" w:type="pct"/>
            <w:shd w:val="clear" w:color="auto" w:fill="auto"/>
            <w:noWrap/>
            <w:vAlign w:val="center"/>
          </w:tcPr>
          <w:p w14:paraId="45F743F4">
            <w:pPr>
              <w:pStyle w:val="23"/>
              <w:rPr>
                <w:rFonts w:ascii="宋体" w:hAnsi="宋体"/>
                <w:kern w:val="0"/>
                <w:szCs w:val="21"/>
              </w:rPr>
            </w:pPr>
            <w:r>
              <w:rPr>
                <w:rFonts w:ascii="宋体" w:hAnsi="宋体"/>
                <w:kern w:val="0"/>
                <w:szCs w:val="21"/>
              </w:rPr>
              <w:t>初级形态的塑料</w:t>
            </w:r>
          </w:p>
        </w:tc>
        <w:tc>
          <w:tcPr>
            <w:tcW w:w="859" w:type="pct"/>
            <w:shd w:val="clear" w:color="auto" w:fill="auto"/>
            <w:noWrap/>
            <w:vAlign w:val="center"/>
          </w:tcPr>
          <w:p w14:paraId="3C47F9CC">
            <w:pPr>
              <w:pStyle w:val="23"/>
              <w:jc w:val="center"/>
              <w:rPr>
                <w:rFonts w:ascii="宋体" w:hAnsi="宋体"/>
                <w:kern w:val="0"/>
                <w:szCs w:val="21"/>
              </w:rPr>
            </w:pPr>
            <w:r>
              <w:rPr>
                <w:rFonts w:ascii="宋体" w:hAnsi="宋体"/>
                <w:kern w:val="0"/>
                <w:szCs w:val="21"/>
              </w:rPr>
              <w:t>吨</w:t>
            </w:r>
          </w:p>
        </w:tc>
        <w:tc>
          <w:tcPr>
            <w:tcW w:w="866" w:type="pct"/>
            <w:shd w:val="clear" w:color="auto" w:fill="auto"/>
            <w:noWrap/>
            <w:vAlign w:val="center"/>
          </w:tcPr>
          <w:p w14:paraId="0A4D85F7">
            <w:pPr>
              <w:pStyle w:val="23"/>
              <w:jc w:val="center"/>
              <w:rPr>
                <w:rFonts w:ascii="宋体" w:hAnsi="宋体"/>
                <w:kern w:val="0"/>
                <w:szCs w:val="21"/>
              </w:rPr>
            </w:pPr>
            <w:r>
              <w:rPr>
                <w:rFonts w:ascii="宋体" w:hAnsi="宋体"/>
                <w:kern w:val="0"/>
                <w:szCs w:val="21"/>
              </w:rPr>
              <w:t>9086</w:t>
            </w:r>
          </w:p>
        </w:tc>
        <w:tc>
          <w:tcPr>
            <w:tcW w:w="802" w:type="pct"/>
            <w:shd w:val="clear" w:color="auto" w:fill="auto"/>
            <w:noWrap/>
            <w:vAlign w:val="center"/>
          </w:tcPr>
          <w:p w14:paraId="57AACAF5">
            <w:pPr>
              <w:pStyle w:val="23"/>
              <w:jc w:val="center"/>
              <w:rPr>
                <w:rFonts w:ascii="宋体" w:hAnsi="宋体"/>
                <w:kern w:val="0"/>
                <w:szCs w:val="21"/>
              </w:rPr>
            </w:pPr>
            <w:r>
              <w:rPr>
                <w:rFonts w:ascii="宋体" w:hAnsi="宋体"/>
                <w:kern w:val="0"/>
                <w:szCs w:val="21"/>
              </w:rPr>
              <w:t>175.1</w:t>
            </w:r>
          </w:p>
        </w:tc>
      </w:tr>
      <w:tr w14:paraId="4E94100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474" w:type="pct"/>
            <w:shd w:val="clear" w:color="auto" w:fill="auto"/>
            <w:noWrap/>
            <w:vAlign w:val="center"/>
          </w:tcPr>
          <w:p w14:paraId="42C061F0">
            <w:pPr>
              <w:pStyle w:val="23"/>
              <w:rPr>
                <w:rFonts w:ascii="宋体" w:hAnsi="宋体"/>
                <w:kern w:val="0"/>
                <w:szCs w:val="21"/>
              </w:rPr>
            </w:pPr>
            <w:r>
              <w:rPr>
                <w:rFonts w:ascii="宋体" w:hAnsi="宋体"/>
                <w:kern w:val="0"/>
                <w:szCs w:val="21"/>
              </w:rPr>
              <w:t>发电量</w:t>
            </w:r>
          </w:p>
        </w:tc>
        <w:tc>
          <w:tcPr>
            <w:tcW w:w="859" w:type="pct"/>
            <w:shd w:val="clear" w:color="auto" w:fill="auto"/>
            <w:noWrap/>
            <w:vAlign w:val="center"/>
          </w:tcPr>
          <w:p w14:paraId="5CD21A60">
            <w:pPr>
              <w:pStyle w:val="23"/>
              <w:jc w:val="center"/>
              <w:rPr>
                <w:rFonts w:ascii="宋体" w:hAnsi="宋体"/>
                <w:kern w:val="0"/>
                <w:szCs w:val="21"/>
              </w:rPr>
            </w:pPr>
            <w:r>
              <w:rPr>
                <w:rFonts w:ascii="宋体" w:hAnsi="宋体"/>
                <w:kern w:val="0"/>
                <w:szCs w:val="21"/>
              </w:rPr>
              <w:t>万千瓦小时</w:t>
            </w:r>
          </w:p>
        </w:tc>
        <w:tc>
          <w:tcPr>
            <w:tcW w:w="866" w:type="pct"/>
            <w:shd w:val="clear" w:color="auto" w:fill="auto"/>
            <w:noWrap/>
            <w:vAlign w:val="center"/>
          </w:tcPr>
          <w:p w14:paraId="1D9DB761">
            <w:pPr>
              <w:pStyle w:val="23"/>
              <w:jc w:val="center"/>
              <w:rPr>
                <w:rFonts w:ascii="宋体" w:hAnsi="宋体"/>
                <w:kern w:val="0"/>
                <w:szCs w:val="21"/>
              </w:rPr>
            </w:pPr>
            <w:r>
              <w:rPr>
                <w:rFonts w:ascii="宋体" w:hAnsi="宋体"/>
                <w:kern w:val="0"/>
                <w:szCs w:val="21"/>
              </w:rPr>
              <w:t>5647</w:t>
            </w:r>
          </w:p>
        </w:tc>
        <w:tc>
          <w:tcPr>
            <w:tcW w:w="802" w:type="pct"/>
            <w:shd w:val="clear" w:color="auto" w:fill="auto"/>
            <w:noWrap/>
            <w:vAlign w:val="center"/>
          </w:tcPr>
          <w:p w14:paraId="4AD550C9">
            <w:pPr>
              <w:pStyle w:val="23"/>
              <w:jc w:val="center"/>
              <w:rPr>
                <w:rFonts w:ascii="宋体" w:hAnsi="宋体"/>
                <w:kern w:val="0"/>
                <w:szCs w:val="21"/>
              </w:rPr>
            </w:pPr>
            <w:r>
              <w:rPr>
                <w:rFonts w:ascii="宋体" w:hAnsi="宋体"/>
                <w:kern w:val="0"/>
                <w:szCs w:val="21"/>
              </w:rPr>
              <w:t>10.8</w:t>
            </w:r>
          </w:p>
        </w:tc>
      </w:tr>
      <w:tr w14:paraId="347BCEB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474" w:type="pct"/>
            <w:shd w:val="clear" w:color="auto" w:fill="auto"/>
            <w:noWrap/>
            <w:vAlign w:val="center"/>
          </w:tcPr>
          <w:p w14:paraId="56A4A19D">
            <w:pPr>
              <w:pStyle w:val="23"/>
              <w:rPr>
                <w:rFonts w:ascii="宋体" w:hAnsi="宋体"/>
                <w:kern w:val="0"/>
                <w:szCs w:val="21"/>
              </w:rPr>
            </w:pPr>
            <w:r>
              <w:rPr>
                <w:rFonts w:ascii="宋体" w:hAnsi="宋体"/>
                <w:kern w:val="0"/>
                <w:szCs w:val="21"/>
              </w:rPr>
              <w:t>鲜、冷藏肉</w:t>
            </w:r>
          </w:p>
        </w:tc>
        <w:tc>
          <w:tcPr>
            <w:tcW w:w="859" w:type="pct"/>
            <w:shd w:val="clear" w:color="auto" w:fill="auto"/>
            <w:noWrap/>
            <w:vAlign w:val="center"/>
          </w:tcPr>
          <w:p w14:paraId="2CE8441E">
            <w:pPr>
              <w:pStyle w:val="23"/>
              <w:jc w:val="center"/>
              <w:rPr>
                <w:rFonts w:ascii="宋体" w:hAnsi="宋体"/>
                <w:kern w:val="0"/>
                <w:szCs w:val="21"/>
              </w:rPr>
            </w:pPr>
            <w:r>
              <w:rPr>
                <w:rFonts w:ascii="宋体" w:hAnsi="宋体"/>
                <w:kern w:val="0"/>
                <w:szCs w:val="21"/>
              </w:rPr>
              <w:t>吨</w:t>
            </w:r>
          </w:p>
        </w:tc>
        <w:tc>
          <w:tcPr>
            <w:tcW w:w="866" w:type="pct"/>
            <w:shd w:val="clear" w:color="auto" w:fill="auto"/>
            <w:noWrap/>
            <w:vAlign w:val="center"/>
          </w:tcPr>
          <w:p w14:paraId="77C77A53">
            <w:pPr>
              <w:pStyle w:val="23"/>
              <w:jc w:val="center"/>
              <w:rPr>
                <w:rFonts w:ascii="宋体" w:hAnsi="宋体"/>
                <w:kern w:val="0"/>
                <w:szCs w:val="21"/>
              </w:rPr>
            </w:pPr>
            <w:r>
              <w:rPr>
                <w:rFonts w:ascii="宋体" w:hAnsi="宋体"/>
                <w:kern w:val="0"/>
                <w:szCs w:val="21"/>
              </w:rPr>
              <w:t>4160</w:t>
            </w:r>
          </w:p>
        </w:tc>
        <w:tc>
          <w:tcPr>
            <w:tcW w:w="802" w:type="pct"/>
            <w:shd w:val="clear" w:color="auto" w:fill="auto"/>
            <w:noWrap/>
            <w:vAlign w:val="center"/>
          </w:tcPr>
          <w:p w14:paraId="5851625E">
            <w:pPr>
              <w:pStyle w:val="23"/>
              <w:jc w:val="center"/>
              <w:rPr>
                <w:rFonts w:ascii="宋体" w:hAnsi="宋体"/>
                <w:kern w:val="0"/>
                <w:szCs w:val="21"/>
              </w:rPr>
            </w:pPr>
            <w:r>
              <w:rPr>
                <w:rFonts w:ascii="宋体" w:hAnsi="宋体"/>
                <w:kern w:val="0"/>
                <w:szCs w:val="21"/>
              </w:rPr>
              <w:t>2.5</w:t>
            </w:r>
          </w:p>
        </w:tc>
      </w:tr>
      <w:tr w14:paraId="1AA15BB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474" w:type="pct"/>
            <w:shd w:val="clear" w:color="auto" w:fill="auto"/>
            <w:noWrap/>
            <w:vAlign w:val="center"/>
          </w:tcPr>
          <w:p w14:paraId="334842F6">
            <w:pPr>
              <w:pStyle w:val="23"/>
              <w:rPr>
                <w:rFonts w:ascii="宋体" w:hAnsi="宋体"/>
                <w:kern w:val="0"/>
                <w:szCs w:val="21"/>
              </w:rPr>
            </w:pPr>
            <w:r>
              <w:rPr>
                <w:rFonts w:ascii="宋体" w:hAnsi="宋体"/>
                <w:kern w:val="0"/>
                <w:szCs w:val="21"/>
              </w:rPr>
              <w:t>纸制品</w:t>
            </w:r>
          </w:p>
        </w:tc>
        <w:tc>
          <w:tcPr>
            <w:tcW w:w="859" w:type="pct"/>
            <w:shd w:val="clear" w:color="auto" w:fill="auto"/>
            <w:noWrap/>
            <w:vAlign w:val="center"/>
          </w:tcPr>
          <w:p w14:paraId="5196ECF4">
            <w:pPr>
              <w:pStyle w:val="23"/>
              <w:jc w:val="center"/>
              <w:rPr>
                <w:rFonts w:ascii="宋体" w:hAnsi="宋体"/>
                <w:kern w:val="0"/>
                <w:szCs w:val="21"/>
              </w:rPr>
            </w:pPr>
            <w:r>
              <w:rPr>
                <w:rFonts w:ascii="宋体" w:hAnsi="宋体"/>
                <w:kern w:val="0"/>
                <w:szCs w:val="21"/>
              </w:rPr>
              <w:t>吨</w:t>
            </w:r>
          </w:p>
        </w:tc>
        <w:tc>
          <w:tcPr>
            <w:tcW w:w="866" w:type="pct"/>
            <w:shd w:val="clear" w:color="auto" w:fill="auto"/>
            <w:noWrap/>
            <w:vAlign w:val="center"/>
          </w:tcPr>
          <w:p w14:paraId="0C061AAE">
            <w:pPr>
              <w:pStyle w:val="23"/>
              <w:jc w:val="center"/>
              <w:rPr>
                <w:rFonts w:ascii="宋体" w:hAnsi="宋体"/>
                <w:kern w:val="0"/>
                <w:szCs w:val="21"/>
              </w:rPr>
            </w:pPr>
            <w:r>
              <w:rPr>
                <w:rFonts w:ascii="宋体" w:hAnsi="宋体"/>
                <w:kern w:val="0"/>
                <w:szCs w:val="21"/>
              </w:rPr>
              <w:t>6784.34</w:t>
            </w:r>
          </w:p>
        </w:tc>
        <w:tc>
          <w:tcPr>
            <w:tcW w:w="802" w:type="pct"/>
            <w:shd w:val="clear" w:color="auto" w:fill="auto"/>
            <w:noWrap/>
            <w:vAlign w:val="center"/>
          </w:tcPr>
          <w:p w14:paraId="29E48DE8">
            <w:pPr>
              <w:pStyle w:val="23"/>
              <w:jc w:val="center"/>
              <w:rPr>
                <w:rFonts w:ascii="宋体" w:hAnsi="宋体"/>
                <w:kern w:val="0"/>
                <w:szCs w:val="21"/>
              </w:rPr>
            </w:pPr>
            <w:r>
              <w:rPr>
                <w:rFonts w:ascii="宋体" w:hAnsi="宋体"/>
                <w:kern w:val="0"/>
                <w:szCs w:val="21"/>
              </w:rPr>
              <w:t>31.7</w:t>
            </w:r>
          </w:p>
        </w:tc>
      </w:tr>
      <w:tr w14:paraId="20CC9EF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474" w:type="pct"/>
            <w:shd w:val="clear" w:color="auto" w:fill="auto"/>
            <w:noWrap/>
            <w:vAlign w:val="center"/>
          </w:tcPr>
          <w:p w14:paraId="383C2C12">
            <w:pPr>
              <w:pStyle w:val="23"/>
              <w:rPr>
                <w:rFonts w:ascii="宋体" w:hAnsi="宋体"/>
                <w:kern w:val="0"/>
                <w:szCs w:val="21"/>
              </w:rPr>
            </w:pPr>
            <w:r>
              <w:rPr>
                <w:rFonts w:ascii="宋体" w:hAnsi="宋体"/>
                <w:kern w:val="0"/>
                <w:szCs w:val="21"/>
              </w:rPr>
              <w:t>硅酸盐水泥熟料</w:t>
            </w:r>
          </w:p>
        </w:tc>
        <w:tc>
          <w:tcPr>
            <w:tcW w:w="859" w:type="pct"/>
            <w:shd w:val="clear" w:color="auto" w:fill="auto"/>
            <w:noWrap/>
            <w:vAlign w:val="center"/>
          </w:tcPr>
          <w:p w14:paraId="07F9CF60">
            <w:pPr>
              <w:pStyle w:val="23"/>
              <w:jc w:val="center"/>
              <w:rPr>
                <w:rFonts w:ascii="宋体" w:hAnsi="宋体"/>
                <w:kern w:val="0"/>
                <w:szCs w:val="21"/>
              </w:rPr>
            </w:pPr>
            <w:r>
              <w:rPr>
                <w:rFonts w:ascii="宋体" w:hAnsi="宋体"/>
                <w:kern w:val="0"/>
                <w:szCs w:val="21"/>
              </w:rPr>
              <w:t>吨</w:t>
            </w:r>
          </w:p>
        </w:tc>
        <w:tc>
          <w:tcPr>
            <w:tcW w:w="866" w:type="pct"/>
            <w:shd w:val="clear" w:color="auto" w:fill="auto"/>
            <w:noWrap/>
            <w:vAlign w:val="center"/>
          </w:tcPr>
          <w:p w14:paraId="76A71EA9">
            <w:pPr>
              <w:pStyle w:val="23"/>
              <w:jc w:val="center"/>
              <w:rPr>
                <w:rFonts w:ascii="宋体" w:hAnsi="宋体"/>
                <w:kern w:val="0"/>
                <w:szCs w:val="21"/>
              </w:rPr>
            </w:pPr>
            <w:r>
              <w:rPr>
                <w:rFonts w:ascii="宋体" w:hAnsi="宋体"/>
                <w:kern w:val="0"/>
                <w:szCs w:val="21"/>
              </w:rPr>
              <w:t>79035</w:t>
            </w:r>
          </w:p>
        </w:tc>
        <w:tc>
          <w:tcPr>
            <w:tcW w:w="802" w:type="pct"/>
            <w:shd w:val="clear" w:color="auto" w:fill="auto"/>
            <w:noWrap/>
            <w:vAlign w:val="center"/>
          </w:tcPr>
          <w:p w14:paraId="00DBD9CB">
            <w:pPr>
              <w:pStyle w:val="23"/>
              <w:jc w:val="center"/>
              <w:rPr>
                <w:rFonts w:ascii="宋体" w:hAnsi="宋体"/>
                <w:kern w:val="0"/>
                <w:szCs w:val="21"/>
              </w:rPr>
            </w:pPr>
            <w:r>
              <w:rPr>
                <w:rFonts w:ascii="宋体" w:hAnsi="宋体"/>
                <w:kern w:val="0"/>
                <w:szCs w:val="21"/>
              </w:rPr>
              <w:t>1.6</w:t>
            </w:r>
          </w:p>
        </w:tc>
      </w:tr>
      <w:tr w14:paraId="6F5CF7F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474" w:type="pct"/>
            <w:shd w:val="clear" w:color="auto" w:fill="auto"/>
            <w:noWrap/>
            <w:vAlign w:val="center"/>
          </w:tcPr>
          <w:p w14:paraId="0E650A0B">
            <w:pPr>
              <w:pStyle w:val="23"/>
              <w:rPr>
                <w:rFonts w:ascii="宋体" w:hAnsi="宋体"/>
                <w:kern w:val="0"/>
                <w:szCs w:val="21"/>
              </w:rPr>
            </w:pPr>
            <w:r>
              <w:rPr>
                <w:rFonts w:ascii="宋体" w:hAnsi="宋体"/>
                <w:kern w:val="0"/>
                <w:szCs w:val="21"/>
              </w:rPr>
              <w:t>水泥</w:t>
            </w:r>
          </w:p>
        </w:tc>
        <w:tc>
          <w:tcPr>
            <w:tcW w:w="859" w:type="pct"/>
            <w:shd w:val="clear" w:color="auto" w:fill="auto"/>
            <w:noWrap/>
            <w:vAlign w:val="center"/>
          </w:tcPr>
          <w:p w14:paraId="7B82C468">
            <w:pPr>
              <w:pStyle w:val="23"/>
              <w:jc w:val="center"/>
              <w:rPr>
                <w:rFonts w:ascii="宋体" w:hAnsi="宋体"/>
                <w:kern w:val="0"/>
                <w:szCs w:val="21"/>
              </w:rPr>
            </w:pPr>
            <w:r>
              <w:rPr>
                <w:rFonts w:ascii="宋体" w:hAnsi="宋体"/>
                <w:kern w:val="0"/>
                <w:szCs w:val="21"/>
              </w:rPr>
              <w:t>吨</w:t>
            </w:r>
          </w:p>
        </w:tc>
        <w:tc>
          <w:tcPr>
            <w:tcW w:w="866" w:type="pct"/>
            <w:shd w:val="clear" w:color="auto" w:fill="auto"/>
            <w:noWrap/>
            <w:vAlign w:val="center"/>
          </w:tcPr>
          <w:p w14:paraId="162F58D5">
            <w:pPr>
              <w:pStyle w:val="23"/>
              <w:jc w:val="center"/>
              <w:rPr>
                <w:rFonts w:ascii="宋体" w:hAnsi="宋体"/>
                <w:kern w:val="0"/>
                <w:szCs w:val="21"/>
              </w:rPr>
            </w:pPr>
            <w:r>
              <w:rPr>
                <w:rFonts w:ascii="宋体" w:hAnsi="宋体"/>
                <w:kern w:val="0"/>
                <w:szCs w:val="21"/>
              </w:rPr>
              <w:t>116951</w:t>
            </w:r>
          </w:p>
        </w:tc>
        <w:tc>
          <w:tcPr>
            <w:tcW w:w="802" w:type="pct"/>
            <w:shd w:val="clear" w:color="auto" w:fill="auto"/>
            <w:noWrap/>
            <w:vAlign w:val="center"/>
          </w:tcPr>
          <w:p w14:paraId="638AEDF6">
            <w:pPr>
              <w:pStyle w:val="23"/>
              <w:jc w:val="center"/>
              <w:rPr>
                <w:rFonts w:ascii="宋体" w:hAnsi="宋体"/>
                <w:kern w:val="0"/>
                <w:szCs w:val="21"/>
              </w:rPr>
            </w:pPr>
            <w:r>
              <w:rPr>
                <w:rFonts w:ascii="宋体" w:hAnsi="宋体"/>
                <w:kern w:val="0"/>
                <w:szCs w:val="21"/>
              </w:rPr>
              <w:t>15.3</w:t>
            </w:r>
          </w:p>
        </w:tc>
      </w:tr>
      <w:tr w14:paraId="21F2D30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474" w:type="pct"/>
            <w:shd w:val="clear" w:color="auto" w:fill="auto"/>
            <w:noWrap/>
            <w:vAlign w:val="center"/>
          </w:tcPr>
          <w:p w14:paraId="453313E5">
            <w:pPr>
              <w:pStyle w:val="23"/>
              <w:rPr>
                <w:rFonts w:ascii="宋体" w:hAnsi="宋体"/>
                <w:kern w:val="0"/>
                <w:szCs w:val="21"/>
              </w:rPr>
            </w:pPr>
            <w:r>
              <w:rPr>
                <w:rFonts w:ascii="宋体" w:hAnsi="宋体"/>
                <w:kern w:val="0"/>
                <w:szCs w:val="21"/>
              </w:rPr>
              <w:t>罐头</w:t>
            </w:r>
          </w:p>
        </w:tc>
        <w:tc>
          <w:tcPr>
            <w:tcW w:w="859" w:type="pct"/>
            <w:shd w:val="clear" w:color="auto" w:fill="auto"/>
            <w:noWrap/>
            <w:vAlign w:val="center"/>
          </w:tcPr>
          <w:p w14:paraId="189D2682">
            <w:pPr>
              <w:pStyle w:val="23"/>
              <w:jc w:val="center"/>
              <w:rPr>
                <w:rFonts w:ascii="宋体" w:hAnsi="宋体"/>
                <w:kern w:val="0"/>
                <w:szCs w:val="21"/>
              </w:rPr>
            </w:pPr>
            <w:r>
              <w:rPr>
                <w:rFonts w:ascii="宋体" w:hAnsi="宋体"/>
                <w:kern w:val="0"/>
                <w:szCs w:val="21"/>
              </w:rPr>
              <w:t>吨</w:t>
            </w:r>
          </w:p>
        </w:tc>
        <w:tc>
          <w:tcPr>
            <w:tcW w:w="866" w:type="pct"/>
            <w:shd w:val="clear" w:color="auto" w:fill="auto"/>
            <w:noWrap/>
            <w:vAlign w:val="center"/>
          </w:tcPr>
          <w:p w14:paraId="15FCCB3E">
            <w:pPr>
              <w:pStyle w:val="23"/>
              <w:jc w:val="center"/>
              <w:rPr>
                <w:rFonts w:ascii="宋体" w:hAnsi="宋体"/>
                <w:kern w:val="0"/>
                <w:szCs w:val="21"/>
              </w:rPr>
            </w:pPr>
            <w:r>
              <w:rPr>
                <w:rFonts w:ascii="宋体" w:hAnsi="宋体"/>
                <w:kern w:val="0"/>
                <w:szCs w:val="21"/>
              </w:rPr>
              <w:t>10240</w:t>
            </w:r>
          </w:p>
        </w:tc>
        <w:tc>
          <w:tcPr>
            <w:tcW w:w="802" w:type="pct"/>
            <w:shd w:val="clear" w:color="auto" w:fill="auto"/>
            <w:noWrap/>
            <w:vAlign w:val="center"/>
          </w:tcPr>
          <w:p w14:paraId="663581FE">
            <w:pPr>
              <w:pStyle w:val="23"/>
              <w:jc w:val="center"/>
              <w:rPr>
                <w:rFonts w:ascii="宋体" w:hAnsi="宋体"/>
                <w:kern w:val="0"/>
                <w:szCs w:val="21"/>
              </w:rPr>
            </w:pPr>
            <w:r>
              <w:rPr>
                <w:rFonts w:ascii="宋体" w:hAnsi="宋体"/>
                <w:kern w:val="0"/>
                <w:szCs w:val="21"/>
              </w:rPr>
              <w:t>32.5</w:t>
            </w:r>
          </w:p>
        </w:tc>
      </w:tr>
      <w:tr w14:paraId="264712F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474" w:type="pct"/>
            <w:shd w:val="clear" w:color="auto" w:fill="auto"/>
            <w:noWrap/>
            <w:vAlign w:val="center"/>
          </w:tcPr>
          <w:p w14:paraId="09A2410F">
            <w:pPr>
              <w:pStyle w:val="23"/>
              <w:rPr>
                <w:rFonts w:ascii="宋体" w:hAnsi="宋体"/>
                <w:kern w:val="0"/>
                <w:szCs w:val="21"/>
              </w:rPr>
            </w:pPr>
            <w:r>
              <w:rPr>
                <w:rFonts w:ascii="宋体" w:hAnsi="宋体"/>
                <w:kern w:val="0"/>
                <w:szCs w:val="21"/>
              </w:rPr>
              <w:t>机制纸及纸板（外购原纸加工除外）</w:t>
            </w:r>
          </w:p>
        </w:tc>
        <w:tc>
          <w:tcPr>
            <w:tcW w:w="859" w:type="pct"/>
            <w:shd w:val="clear" w:color="auto" w:fill="auto"/>
            <w:noWrap/>
            <w:vAlign w:val="center"/>
          </w:tcPr>
          <w:p w14:paraId="718400A9">
            <w:pPr>
              <w:pStyle w:val="23"/>
              <w:jc w:val="center"/>
              <w:rPr>
                <w:rFonts w:ascii="宋体" w:hAnsi="宋体"/>
                <w:kern w:val="0"/>
                <w:szCs w:val="21"/>
              </w:rPr>
            </w:pPr>
            <w:r>
              <w:rPr>
                <w:rFonts w:ascii="宋体" w:hAnsi="宋体"/>
                <w:kern w:val="0"/>
                <w:szCs w:val="21"/>
              </w:rPr>
              <w:t>吨</w:t>
            </w:r>
          </w:p>
        </w:tc>
        <w:tc>
          <w:tcPr>
            <w:tcW w:w="866" w:type="pct"/>
            <w:shd w:val="clear" w:color="auto" w:fill="auto"/>
            <w:noWrap/>
            <w:vAlign w:val="center"/>
          </w:tcPr>
          <w:p w14:paraId="42CF8B24">
            <w:pPr>
              <w:pStyle w:val="23"/>
              <w:jc w:val="center"/>
              <w:rPr>
                <w:rFonts w:ascii="宋体" w:hAnsi="宋体"/>
                <w:kern w:val="0"/>
                <w:szCs w:val="21"/>
              </w:rPr>
            </w:pPr>
            <w:r>
              <w:rPr>
                <w:rFonts w:ascii="宋体" w:hAnsi="宋体"/>
                <w:kern w:val="0"/>
                <w:szCs w:val="21"/>
              </w:rPr>
              <w:t>44511.08</w:t>
            </w:r>
          </w:p>
        </w:tc>
        <w:tc>
          <w:tcPr>
            <w:tcW w:w="802" w:type="pct"/>
            <w:shd w:val="clear" w:color="auto" w:fill="auto"/>
            <w:noWrap/>
            <w:vAlign w:val="center"/>
          </w:tcPr>
          <w:p w14:paraId="51B5EC31">
            <w:pPr>
              <w:pStyle w:val="23"/>
              <w:jc w:val="center"/>
              <w:rPr>
                <w:rFonts w:ascii="宋体" w:hAnsi="宋体"/>
                <w:kern w:val="0"/>
                <w:szCs w:val="21"/>
              </w:rPr>
            </w:pPr>
            <w:r>
              <w:rPr>
                <w:rFonts w:ascii="宋体" w:hAnsi="宋体"/>
                <w:kern w:val="0"/>
                <w:szCs w:val="21"/>
              </w:rPr>
              <w:t>39.5</w:t>
            </w:r>
          </w:p>
        </w:tc>
      </w:tr>
    </w:tbl>
    <w:p w14:paraId="325C6447">
      <w:pPr>
        <w:ind w:firstLine="0" w:firstLineChars="0"/>
        <w:jc w:val="center"/>
        <w:rPr>
          <w:rFonts w:ascii="宋体" w:hAnsi="宋体"/>
          <w:b/>
          <w:szCs w:val="21"/>
        </w:rPr>
      </w:pPr>
      <w:r>
        <w:rPr>
          <w:rFonts w:hint="eastAsia" w:ascii="宋体" w:hAnsi="宋体"/>
          <w:b/>
          <w:szCs w:val="21"/>
        </w:rPr>
        <w:t>表71 规模以上工业企业能源消费量</w:t>
      </w:r>
    </w:p>
    <w:tbl>
      <w:tblPr>
        <w:tblStyle w:val="14"/>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441"/>
        <w:gridCol w:w="2441"/>
        <w:gridCol w:w="2638"/>
        <w:gridCol w:w="2442"/>
      </w:tblGrid>
      <w:tr w14:paraId="2ACCA7A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225" w:type="pct"/>
            <w:shd w:val="clear" w:color="auto" w:fill="auto"/>
            <w:noWrap/>
            <w:vAlign w:val="center"/>
          </w:tcPr>
          <w:p w14:paraId="2FE14E93">
            <w:pPr>
              <w:pStyle w:val="23"/>
              <w:jc w:val="center"/>
              <w:rPr>
                <w:rFonts w:ascii="宋体" w:hAnsi="宋体"/>
                <w:b/>
                <w:kern w:val="0"/>
                <w:szCs w:val="21"/>
              </w:rPr>
            </w:pPr>
            <w:r>
              <w:rPr>
                <w:rFonts w:ascii="宋体" w:hAnsi="宋体"/>
                <w:b/>
                <w:kern w:val="0"/>
                <w:szCs w:val="21"/>
              </w:rPr>
              <w:t>指标名称</w:t>
            </w:r>
          </w:p>
        </w:tc>
        <w:tc>
          <w:tcPr>
            <w:tcW w:w="1225" w:type="pct"/>
            <w:shd w:val="clear" w:color="auto" w:fill="auto"/>
            <w:noWrap/>
            <w:vAlign w:val="center"/>
          </w:tcPr>
          <w:p w14:paraId="2FD0D65E">
            <w:pPr>
              <w:pStyle w:val="23"/>
              <w:jc w:val="center"/>
              <w:rPr>
                <w:rFonts w:ascii="宋体" w:hAnsi="宋体"/>
                <w:b/>
                <w:kern w:val="0"/>
                <w:szCs w:val="21"/>
              </w:rPr>
            </w:pPr>
            <w:r>
              <w:rPr>
                <w:rFonts w:ascii="宋体" w:hAnsi="宋体"/>
                <w:b/>
                <w:kern w:val="0"/>
                <w:szCs w:val="21"/>
              </w:rPr>
              <w:t>计算单位</w:t>
            </w:r>
          </w:p>
        </w:tc>
        <w:tc>
          <w:tcPr>
            <w:tcW w:w="1324" w:type="pct"/>
            <w:shd w:val="clear" w:color="auto" w:fill="auto"/>
            <w:noWrap/>
            <w:vAlign w:val="center"/>
          </w:tcPr>
          <w:p w14:paraId="66189B68">
            <w:pPr>
              <w:pStyle w:val="23"/>
              <w:jc w:val="center"/>
              <w:rPr>
                <w:rFonts w:ascii="宋体" w:hAnsi="宋体"/>
                <w:b/>
                <w:kern w:val="0"/>
                <w:szCs w:val="21"/>
              </w:rPr>
            </w:pPr>
            <w:r>
              <w:rPr>
                <w:rFonts w:ascii="宋体" w:hAnsi="宋体"/>
                <w:b/>
                <w:kern w:val="0"/>
                <w:szCs w:val="21"/>
              </w:rPr>
              <w:t>2011年</w:t>
            </w:r>
          </w:p>
        </w:tc>
        <w:tc>
          <w:tcPr>
            <w:tcW w:w="1225" w:type="pct"/>
            <w:shd w:val="clear" w:color="auto" w:fill="auto"/>
            <w:noWrap/>
            <w:vAlign w:val="center"/>
          </w:tcPr>
          <w:p w14:paraId="75765CF1">
            <w:pPr>
              <w:pStyle w:val="23"/>
              <w:jc w:val="center"/>
              <w:rPr>
                <w:rFonts w:ascii="宋体" w:hAnsi="宋体"/>
                <w:b/>
                <w:kern w:val="0"/>
                <w:szCs w:val="21"/>
              </w:rPr>
            </w:pPr>
            <w:r>
              <w:rPr>
                <w:rFonts w:ascii="宋体" w:hAnsi="宋体"/>
                <w:b/>
                <w:kern w:val="0"/>
                <w:szCs w:val="21"/>
              </w:rPr>
              <w:t>比上年±%</w:t>
            </w:r>
          </w:p>
        </w:tc>
      </w:tr>
      <w:tr w14:paraId="55E66CD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225" w:type="pct"/>
            <w:shd w:val="clear" w:color="auto" w:fill="auto"/>
            <w:noWrap/>
            <w:vAlign w:val="center"/>
          </w:tcPr>
          <w:p w14:paraId="3AD1BAA3">
            <w:pPr>
              <w:pStyle w:val="23"/>
              <w:rPr>
                <w:rFonts w:ascii="宋体" w:hAnsi="宋体"/>
                <w:kern w:val="0"/>
                <w:szCs w:val="21"/>
              </w:rPr>
            </w:pPr>
            <w:r>
              <w:rPr>
                <w:rFonts w:ascii="宋体" w:hAnsi="宋体"/>
                <w:kern w:val="0"/>
                <w:szCs w:val="21"/>
              </w:rPr>
              <w:t>原煤</w:t>
            </w:r>
          </w:p>
        </w:tc>
        <w:tc>
          <w:tcPr>
            <w:tcW w:w="1225" w:type="pct"/>
            <w:shd w:val="clear" w:color="auto" w:fill="auto"/>
            <w:noWrap/>
            <w:vAlign w:val="center"/>
          </w:tcPr>
          <w:p w14:paraId="3EBEB35D">
            <w:pPr>
              <w:pStyle w:val="23"/>
              <w:jc w:val="center"/>
              <w:rPr>
                <w:rFonts w:ascii="宋体" w:hAnsi="宋体"/>
                <w:kern w:val="0"/>
                <w:szCs w:val="21"/>
              </w:rPr>
            </w:pPr>
            <w:r>
              <w:rPr>
                <w:rFonts w:ascii="宋体" w:hAnsi="宋体"/>
                <w:kern w:val="0"/>
                <w:szCs w:val="21"/>
              </w:rPr>
              <w:t>吨</w:t>
            </w:r>
          </w:p>
        </w:tc>
        <w:tc>
          <w:tcPr>
            <w:tcW w:w="1324" w:type="pct"/>
            <w:shd w:val="clear" w:color="auto" w:fill="auto"/>
            <w:noWrap/>
            <w:vAlign w:val="center"/>
          </w:tcPr>
          <w:p w14:paraId="2D35EE1E">
            <w:pPr>
              <w:pStyle w:val="23"/>
              <w:jc w:val="center"/>
              <w:rPr>
                <w:rFonts w:ascii="宋体" w:hAnsi="宋体"/>
                <w:kern w:val="0"/>
                <w:szCs w:val="21"/>
              </w:rPr>
            </w:pPr>
            <w:r>
              <w:rPr>
                <w:rFonts w:ascii="宋体" w:hAnsi="宋体"/>
                <w:kern w:val="0"/>
                <w:szCs w:val="21"/>
              </w:rPr>
              <w:t>71082.74</w:t>
            </w:r>
          </w:p>
        </w:tc>
        <w:tc>
          <w:tcPr>
            <w:tcW w:w="1225" w:type="pct"/>
            <w:shd w:val="clear" w:color="auto" w:fill="auto"/>
            <w:noWrap/>
            <w:vAlign w:val="center"/>
          </w:tcPr>
          <w:p w14:paraId="57DBB47E">
            <w:pPr>
              <w:pStyle w:val="23"/>
              <w:jc w:val="center"/>
              <w:rPr>
                <w:rFonts w:ascii="宋体" w:hAnsi="宋体"/>
                <w:kern w:val="0"/>
                <w:szCs w:val="21"/>
              </w:rPr>
            </w:pPr>
            <w:r>
              <w:rPr>
                <w:rFonts w:ascii="宋体" w:hAnsi="宋体"/>
                <w:kern w:val="0"/>
                <w:szCs w:val="21"/>
              </w:rPr>
              <w:t>7.0</w:t>
            </w:r>
          </w:p>
        </w:tc>
      </w:tr>
      <w:tr w14:paraId="139B67A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225" w:type="pct"/>
            <w:shd w:val="clear" w:color="auto" w:fill="auto"/>
            <w:noWrap/>
            <w:vAlign w:val="center"/>
          </w:tcPr>
          <w:p w14:paraId="497462D3">
            <w:pPr>
              <w:pStyle w:val="23"/>
              <w:rPr>
                <w:rFonts w:ascii="宋体" w:hAnsi="宋体"/>
                <w:kern w:val="0"/>
                <w:szCs w:val="21"/>
              </w:rPr>
            </w:pPr>
            <w:r>
              <w:rPr>
                <w:rFonts w:ascii="宋体" w:hAnsi="宋体"/>
                <w:kern w:val="0"/>
                <w:szCs w:val="21"/>
              </w:rPr>
              <w:t>汽油</w:t>
            </w:r>
          </w:p>
        </w:tc>
        <w:tc>
          <w:tcPr>
            <w:tcW w:w="1225" w:type="pct"/>
            <w:shd w:val="clear" w:color="auto" w:fill="auto"/>
            <w:noWrap/>
            <w:vAlign w:val="center"/>
          </w:tcPr>
          <w:p w14:paraId="79E0DB34">
            <w:pPr>
              <w:pStyle w:val="23"/>
              <w:jc w:val="center"/>
              <w:rPr>
                <w:rFonts w:ascii="宋体" w:hAnsi="宋体"/>
                <w:kern w:val="0"/>
                <w:szCs w:val="21"/>
              </w:rPr>
            </w:pPr>
            <w:r>
              <w:rPr>
                <w:rFonts w:ascii="宋体" w:hAnsi="宋体"/>
                <w:kern w:val="0"/>
                <w:szCs w:val="21"/>
              </w:rPr>
              <w:t>吨</w:t>
            </w:r>
          </w:p>
        </w:tc>
        <w:tc>
          <w:tcPr>
            <w:tcW w:w="1324" w:type="pct"/>
            <w:shd w:val="clear" w:color="auto" w:fill="auto"/>
            <w:noWrap/>
            <w:vAlign w:val="center"/>
          </w:tcPr>
          <w:p w14:paraId="5EACD280">
            <w:pPr>
              <w:pStyle w:val="23"/>
              <w:jc w:val="center"/>
              <w:rPr>
                <w:rFonts w:ascii="宋体" w:hAnsi="宋体"/>
                <w:kern w:val="0"/>
                <w:szCs w:val="21"/>
              </w:rPr>
            </w:pPr>
            <w:r>
              <w:rPr>
                <w:rFonts w:ascii="宋体" w:hAnsi="宋体"/>
                <w:kern w:val="0"/>
                <w:szCs w:val="21"/>
              </w:rPr>
              <w:t>2697.39</w:t>
            </w:r>
          </w:p>
        </w:tc>
        <w:tc>
          <w:tcPr>
            <w:tcW w:w="1225" w:type="pct"/>
            <w:shd w:val="clear" w:color="auto" w:fill="auto"/>
            <w:noWrap/>
            <w:vAlign w:val="center"/>
          </w:tcPr>
          <w:p w14:paraId="7AE960AF">
            <w:pPr>
              <w:pStyle w:val="23"/>
              <w:jc w:val="center"/>
              <w:rPr>
                <w:rFonts w:ascii="宋体" w:hAnsi="宋体"/>
                <w:kern w:val="0"/>
                <w:szCs w:val="21"/>
              </w:rPr>
            </w:pPr>
            <w:r>
              <w:rPr>
                <w:rFonts w:ascii="宋体" w:hAnsi="宋体"/>
                <w:kern w:val="0"/>
                <w:szCs w:val="21"/>
              </w:rPr>
              <w:t>49.9</w:t>
            </w:r>
          </w:p>
        </w:tc>
      </w:tr>
      <w:tr w14:paraId="561B9B0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225" w:type="pct"/>
            <w:shd w:val="clear" w:color="auto" w:fill="auto"/>
            <w:noWrap/>
            <w:vAlign w:val="center"/>
          </w:tcPr>
          <w:p w14:paraId="05F9E4EE">
            <w:pPr>
              <w:pStyle w:val="23"/>
              <w:rPr>
                <w:rFonts w:ascii="宋体" w:hAnsi="宋体"/>
                <w:kern w:val="0"/>
                <w:szCs w:val="21"/>
              </w:rPr>
            </w:pPr>
            <w:r>
              <w:rPr>
                <w:rFonts w:ascii="宋体" w:hAnsi="宋体"/>
                <w:kern w:val="0"/>
                <w:szCs w:val="21"/>
              </w:rPr>
              <w:t>煤油</w:t>
            </w:r>
          </w:p>
        </w:tc>
        <w:tc>
          <w:tcPr>
            <w:tcW w:w="1225" w:type="pct"/>
            <w:shd w:val="clear" w:color="auto" w:fill="auto"/>
            <w:noWrap/>
            <w:vAlign w:val="center"/>
          </w:tcPr>
          <w:p w14:paraId="05106080">
            <w:pPr>
              <w:pStyle w:val="23"/>
              <w:jc w:val="center"/>
              <w:rPr>
                <w:rFonts w:ascii="宋体" w:hAnsi="宋体"/>
                <w:kern w:val="0"/>
                <w:szCs w:val="21"/>
              </w:rPr>
            </w:pPr>
            <w:r>
              <w:rPr>
                <w:rFonts w:ascii="宋体" w:hAnsi="宋体"/>
                <w:kern w:val="0"/>
                <w:szCs w:val="21"/>
              </w:rPr>
              <w:t>吨</w:t>
            </w:r>
          </w:p>
        </w:tc>
        <w:tc>
          <w:tcPr>
            <w:tcW w:w="1324" w:type="pct"/>
            <w:shd w:val="clear" w:color="auto" w:fill="auto"/>
            <w:noWrap/>
            <w:vAlign w:val="center"/>
          </w:tcPr>
          <w:p w14:paraId="652D5457">
            <w:pPr>
              <w:pStyle w:val="23"/>
              <w:jc w:val="center"/>
              <w:rPr>
                <w:rFonts w:ascii="宋体" w:hAnsi="宋体"/>
                <w:kern w:val="0"/>
                <w:szCs w:val="21"/>
              </w:rPr>
            </w:pPr>
            <w:r>
              <w:rPr>
                <w:rFonts w:ascii="宋体" w:hAnsi="宋体"/>
                <w:kern w:val="0"/>
                <w:szCs w:val="21"/>
              </w:rPr>
              <w:t>2.88</w:t>
            </w:r>
          </w:p>
        </w:tc>
        <w:tc>
          <w:tcPr>
            <w:tcW w:w="1225" w:type="pct"/>
            <w:shd w:val="clear" w:color="auto" w:fill="auto"/>
            <w:noWrap/>
            <w:vAlign w:val="center"/>
          </w:tcPr>
          <w:p w14:paraId="325F5D06">
            <w:pPr>
              <w:pStyle w:val="23"/>
              <w:jc w:val="center"/>
              <w:rPr>
                <w:rFonts w:ascii="宋体" w:hAnsi="宋体"/>
                <w:kern w:val="0"/>
                <w:szCs w:val="21"/>
              </w:rPr>
            </w:pPr>
            <w:r>
              <w:rPr>
                <w:rFonts w:ascii="宋体" w:hAnsi="宋体"/>
                <w:kern w:val="0"/>
                <w:szCs w:val="21"/>
              </w:rPr>
              <w:t>190.9</w:t>
            </w:r>
          </w:p>
        </w:tc>
      </w:tr>
      <w:tr w14:paraId="7D2C686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225" w:type="pct"/>
            <w:shd w:val="clear" w:color="auto" w:fill="auto"/>
            <w:noWrap/>
            <w:vAlign w:val="center"/>
          </w:tcPr>
          <w:p w14:paraId="2DD4F8F3">
            <w:pPr>
              <w:pStyle w:val="23"/>
              <w:rPr>
                <w:rFonts w:ascii="宋体" w:hAnsi="宋体"/>
                <w:kern w:val="0"/>
                <w:szCs w:val="21"/>
              </w:rPr>
            </w:pPr>
            <w:r>
              <w:rPr>
                <w:rFonts w:ascii="宋体" w:hAnsi="宋体"/>
                <w:kern w:val="0"/>
                <w:szCs w:val="21"/>
              </w:rPr>
              <w:t>柴油</w:t>
            </w:r>
          </w:p>
        </w:tc>
        <w:tc>
          <w:tcPr>
            <w:tcW w:w="1225" w:type="pct"/>
            <w:shd w:val="clear" w:color="auto" w:fill="auto"/>
            <w:noWrap/>
            <w:vAlign w:val="center"/>
          </w:tcPr>
          <w:p w14:paraId="179C1B0E">
            <w:pPr>
              <w:pStyle w:val="23"/>
              <w:jc w:val="center"/>
              <w:rPr>
                <w:rFonts w:ascii="宋体" w:hAnsi="宋体"/>
                <w:kern w:val="0"/>
                <w:szCs w:val="21"/>
              </w:rPr>
            </w:pPr>
            <w:r>
              <w:rPr>
                <w:rFonts w:ascii="宋体" w:hAnsi="宋体"/>
                <w:kern w:val="0"/>
                <w:szCs w:val="21"/>
              </w:rPr>
              <w:t>吨</w:t>
            </w:r>
          </w:p>
        </w:tc>
        <w:tc>
          <w:tcPr>
            <w:tcW w:w="1324" w:type="pct"/>
            <w:shd w:val="clear" w:color="auto" w:fill="auto"/>
            <w:noWrap/>
            <w:vAlign w:val="center"/>
          </w:tcPr>
          <w:p w14:paraId="59443257">
            <w:pPr>
              <w:pStyle w:val="23"/>
              <w:jc w:val="center"/>
              <w:rPr>
                <w:rFonts w:ascii="宋体" w:hAnsi="宋体"/>
                <w:kern w:val="0"/>
                <w:szCs w:val="21"/>
              </w:rPr>
            </w:pPr>
            <w:r>
              <w:rPr>
                <w:rFonts w:ascii="宋体" w:hAnsi="宋体"/>
                <w:kern w:val="0"/>
                <w:szCs w:val="21"/>
              </w:rPr>
              <w:t>5722.27</w:t>
            </w:r>
          </w:p>
        </w:tc>
        <w:tc>
          <w:tcPr>
            <w:tcW w:w="1225" w:type="pct"/>
            <w:shd w:val="clear" w:color="auto" w:fill="auto"/>
            <w:noWrap/>
            <w:vAlign w:val="center"/>
          </w:tcPr>
          <w:p w14:paraId="36E7C3F4">
            <w:pPr>
              <w:pStyle w:val="23"/>
              <w:jc w:val="center"/>
              <w:rPr>
                <w:rFonts w:ascii="宋体" w:hAnsi="宋体"/>
                <w:kern w:val="0"/>
                <w:szCs w:val="21"/>
              </w:rPr>
            </w:pPr>
            <w:r>
              <w:rPr>
                <w:rFonts w:ascii="宋体" w:hAnsi="宋体"/>
                <w:kern w:val="0"/>
                <w:szCs w:val="21"/>
              </w:rPr>
              <w:t>27.7</w:t>
            </w:r>
          </w:p>
        </w:tc>
      </w:tr>
      <w:tr w14:paraId="5388DCC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225" w:type="pct"/>
            <w:shd w:val="clear" w:color="auto" w:fill="auto"/>
            <w:noWrap/>
            <w:vAlign w:val="center"/>
          </w:tcPr>
          <w:p w14:paraId="51A3DF85">
            <w:pPr>
              <w:pStyle w:val="23"/>
              <w:rPr>
                <w:rFonts w:ascii="宋体" w:hAnsi="宋体"/>
                <w:kern w:val="0"/>
                <w:szCs w:val="21"/>
              </w:rPr>
            </w:pPr>
            <w:r>
              <w:rPr>
                <w:rFonts w:ascii="宋体" w:hAnsi="宋体"/>
                <w:kern w:val="0"/>
                <w:szCs w:val="21"/>
              </w:rPr>
              <w:t>电力</w:t>
            </w:r>
          </w:p>
        </w:tc>
        <w:tc>
          <w:tcPr>
            <w:tcW w:w="1225" w:type="pct"/>
            <w:shd w:val="clear" w:color="auto" w:fill="auto"/>
            <w:noWrap/>
            <w:vAlign w:val="center"/>
          </w:tcPr>
          <w:p w14:paraId="40FD3188">
            <w:pPr>
              <w:pStyle w:val="23"/>
              <w:jc w:val="center"/>
              <w:rPr>
                <w:rFonts w:ascii="宋体" w:hAnsi="宋体"/>
                <w:kern w:val="0"/>
                <w:szCs w:val="21"/>
              </w:rPr>
            </w:pPr>
            <w:r>
              <w:rPr>
                <w:rFonts w:ascii="宋体" w:hAnsi="宋体"/>
                <w:kern w:val="0"/>
                <w:szCs w:val="21"/>
              </w:rPr>
              <w:t>万千瓦时</w:t>
            </w:r>
          </w:p>
        </w:tc>
        <w:tc>
          <w:tcPr>
            <w:tcW w:w="1324" w:type="pct"/>
            <w:shd w:val="clear" w:color="auto" w:fill="auto"/>
            <w:noWrap/>
            <w:vAlign w:val="center"/>
          </w:tcPr>
          <w:p w14:paraId="7F86B89C">
            <w:pPr>
              <w:pStyle w:val="23"/>
              <w:jc w:val="center"/>
              <w:rPr>
                <w:rFonts w:ascii="宋体" w:hAnsi="宋体"/>
                <w:kern w:val="0"/>
                <w:szCs w:val="21"/>
              </w:rPr>
            </w:pPr>
            <w:r>
              <w:rPr>
                <w:rFonts w:ascii="宋体" w:hAnsi="宋体"/>
                <w:kern w:val="0"/>
                <w:szCs w:val="21"/>
              </w:rPr>
              <w:t>15969.56</w:t>
            </w:r>
          </w:p>
        </w:tc>
        <w:tc>
          <w:tcPr>
            <w:tcW w:w="1225" w:type="pct"/>
            <w:shd w:val="clear" w:color="auto" w:fill="auto"/>
            <w:noWrap/>
            <w:vAlign w:val="center"/>
          </w:tcPr>
          <w:p w14:paraId="7F0D2149">
            <w:pPr>
              <w:pStyle w:val="23"/>
              <w:jc w:val="center"/>
              <w:rPr>
                <w:rFonts w:ascii="宋体" w:hAnsi="宋体"/>
                <w:kern w:val="0"/>
                <w:szCs w:val="21"/>
              </w:rPr>
            </w:pPr>
            <w:r>
              <w:rPr>
                <w:rFonts w:ascii="宋体" w:hAnsi="宋体"/>
                <w:kern w:val="0"/>
                <w:szCs w:val="21"/>
              </w:rPr>
              <w:t>30.1</w:t>
            </w:r>
          </w:p>
        </w:tc>
      </w:tr>
      <w:tr w14:paraId="2DC6112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225" w:type="pct"/>
            <w:shd w:val="clear" w:color="auto" w:fill="auto"/>
            <w:noWrap/>
            <w:vAlign w:val="center"/>
          </w:tcPr>
          <w:p w14:paraId="3F967E08">
            <w:pPr>
              <w:pStyle w:val="23"/>
              <w:rPr>
                <w:rFonts w:ascii="宋体" w:hAnsi="宋体"/>
                <w:kern w:val="0"/>
                <w:szCs w:val="21"/>
              </w:rPr>
            </w:pPr>
            <w:r>
              <w:rPr>
                <w:rFonts w:ascii="宋体" w:hAnsi="宋体"/>
                <w:kern w:val="0"/>
                <w:szCs w:val="21"/>
              </w:rPr>
              <w:t>能源合计</w:t>
            </w:r>
          </w:p>
        </w:tc>
        <w:tc>
          <w:tcPr>
            <w:tcW w:w="1225" w:type="pct"/>
            <w:shd w:val="clear" w:color="auto" w:fill="auto"/>
            <w:noWrap/>
            <w:vAlign w:val="center"/>
          </w:tcPr>
          <w:p w14:paraId="40504AC3">
            <w:pPr>
              <w:pStyle w:val="23"/>
              <w:jc w:val="center"/>
              <w:rPr>
                <w:rFonts w:ascii="宋体" w:hAnsi="宋体"/>
                <w:kern w:val="0"/>
                <w:szCs w:val="21"/>
              </w:rPr>
            </w:pPr>
            <w:r>
              <w:rPr>
                <w:rFonts w:ascii="宋体" w:hAnsi="宋体"/>
                <w:kern w:val="0"/>
                <w:szCs w:val="21"/>
              </w:rPr>
              <w:t>吨标准煤</w:t>
            </w:r>
          </w:p>
        </w:tc>
        <w:tc>
          <w:tcPr>
            <w:tcW w:w="1324" w:type="pct"/>
            <w:shd w:val="clear" w:color="auto" w:fill="auto"/>
            <w:noWrap/>
            <w:vAlign w:val="center"/>
          </w:tcPr>
          <w:p w14:paraId="65C001AC">
            <w:pPr>
              <w:pStyle w:val="23"/>
              <w:jc w:val="center"/>
              <w:rPr>
                <w:rFonts w:ascii="宋体" w:hAnsi="宋体"/>
                <w:kern w:val="0"/>
                <w:szCs w:val="21"/>
              </w:rPr>
            </w:pPr>
            <w:r>
              <w:rPr>
                <w:rFonts w:ascii="宋体" w:hAnsi="宋体"/>
                <w:kern w:val="0"/>
                <w:szCs w:val="21"/>
              </w:rPr>
              <w:t>82875.87</w:t>
            </w:r>
          </w:p>
        </w:tc>
        <w:tc>
          <w:tcPr>
            <w:tcW w:w="1225" w:type="pct"/>
            <w:shd w:val="clear" w:color="auto" w:fill="auto"/>
            <w:noWrap/>
            <w:vAlign w:val="center"/>
          </w:tcPr>
          <w:p w14:paraId="39A03A3C">
            <w:pPr>
              <w:pStyle w:val="23"/>
              <w:jc w:val="center"/>
              <w:rPr>
                <w:rFonts w:ascii="宋体" w:hAnsi="宋体"/>
                <w:kern w:val="0"/>
                <w:szCs w:val="21"/>
              </w:rPr>
            </w:pPr>
            <w:r>
              <w:rPr>
                <w:rFonts w:ascii="宋体" w:hAnsi="宋体"/>
                <w:kern w:val="0"/>
                <w:szCs w:val="21"/>
              </w:rPr>
              <w:t>15.3</w:t>
            </w:r>
          </w:p>
        </w:tc>
      </w:tr>
    </w:tbl>
    <w:p w14:paraId="576FF034">
      <w:pPr>
        <w:ind w:firstLine="0" w:firstLineChars="0"/>
        <w:jc w:val="center"/>
        <w:rPr>
          <w:rFonts w:ascii="宋体" w:hAnsi="宋体"/>
          <w:b/>
          <w:szCs w:val="21"/>
        </w:rPr>
      </w:pPr>
      <w:r>
        <w:rPr>
          <w:rFonts w:hint="eastAsia" w:ascii="宋体" w:hAnsi="宋体"/>
          <w:b/>
          <w:szCs w:val="21"/>
        </w:rPr>
        <w:t>表72 交通运输情况</w:t>
      </w:r>
    </w:p>
    <w:tbl>
      <w:tblPr>
        <w:tblStyle w:val="14"/>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598"/>
        <w:gridCol w:w="2122"/>
        <w:gridCol w:w="2122"/>
        <w:gridCol w:w="2120"/>
      </w:tblGrid>
      <w:tr w14:paraId="33F43B0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806" w:type="pct"/>
            <w:shd w:val="clear" w:color="auto" w:fill="auto"/>
            <w:noWrap/>
            <w:vAlign w:val="center"/>
          </w:tcPr>
          <w:p w14:paraId="4E8A9B2F">
            <w:pPr>
              <w:pStyle w:val="23"/>
              <w:jc w:val="center"/>
              <w:rPr>
                <w:rFonts w:ascii="宋体" w:hAnsi="宋体"/>
                <w:b/>
                <w:kern w:val="0"/>
                <w:szCs w:val="21"/>
              </w:rPr>
            </w:pPr>
            <w:r>
              <w:rPr>
                <w:rFonts w:ascii="宋体" w:hAnsi="宋体"/>
                <w:b/>
                <w:kern w:val="0"/>
                <w:szCs w:val="21"/>
              </w:rPr>
              <w:t>指标名称</w:t>
            </w:r>
          </w:p>
        </w:tc>
        <w:tc>
          <w:tcPr>
            <w:tcW w:w="1065" w:type="pct"/>
            <w:shd w:val="clear" w:color="auto" w:fill="auto"/>
            <w:noWrap/>
            <w:vAlign w:val="center"/>
          </w:tcPr>
          <w:p w14:paraId="3B97B44E">
            <w:pPr>
              <w:pStyle w:val="23"/>
              <w:jc w:val="center"/>
              <w:rPr>
                <w:rFonts w:ascii="宋体" w:hAnsi="宋体"/>
                <w:b/>
                <w:kern w:val="0"/>
                <w:szCs w:val="21"/>
              </w:rPr>
            </w:pPr>
            <w:r>
              <w:rPr>
                <w:rFonts w:ascii="宋体" w:hAnsi="宋体"/>
                <w:b/>
                <w:kern w:val="0"/>
                <w:szCs w:val="21"/>
              </w:rPr>
              <w:t>计算单位</w:t>
            </w:r>
          </w:p>
        </w:tc>
        <w:tc>
          <w:tcPr>
            <w:tcW w:w="1065" w:type="pct"/>
            <w:shd w:val="clear" w:color="auto" w:fill="auto"/>
            <w:noWrap/>
            <w:vAlign w:val="center"/>
          </w:tcPr>
          <w:p w14:paraId="120B2D0F">
            <w:pPr>
              <w:pStyle w:val="23"/>
              <w:jc w:val="center"/>
              <w:rPr>
                <w:rFonts w:ascii="宋体" w:hAnsi="宋体"/>
                <w:b/>
                <w:kern w:val="0"/>
                <w:szCs w:val="21"/>
              </w:rPr>
            </w:pPr>
            <w:r>
              <w:rPr>
                <w:rFonts w:ascii="宋体" w:hAnsi="宋体"/>
                <w:b/>
                <w:kern w:val="0"/>
                <w:szCs w:val="21"/>
              </w:rPr>
              <w:t>2011年</w:t>
            </w:r>
          </w:p>
        </w:tc>
        <w:tc>
          <w:tcPr>
            <w:tcW w:w="1065" w:type="pct"/>
            <w:shd w:val="clear" w:color="auto" w:fill="auto"/>
            <w:noWrap/>
            <w:vAlign w:val="center"/>
          </w:tcPr>
          <w:p w14:paraId="342601F6">
            <w:pPr>
              <w:pStyle w:val="23"/>
              <w:jc w:val="center"/>
              <w:rPr>
                <w:rFonts w:ascii="宋体" w:hAnsi="宋体"/>
                <w:b/>
                <w:kern w:val="0"/>
                <w:szCs w:val="21"/>
              </w:rPr>
            </w:pPr>
            <w:r>
              <w:rPr>
                <w:rFonts w:ascii="宋体" w:hAnsi="宋体"/>
                <w:b/>
                <w:kern w:val="0"/>
                <w:szCs w:val="21"/>
              </w:rPr>
              <w:t>比上年±%</w:t>
            </w:r>
          </w:p>
        </w:tc>
      </w:tr>
      <w:tr w14:paraId="4E4A013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806" w:type="pct"/>
            <w:shd w:val="clear" w:color="auto" w:fill="auto"/>
            <w:noWrap/>
            <w:vAlign w:val="center"/>
          </w:tcPr>
          <w:p w14:paraId="748EFD10">
            <w:pPr>
              <w:pStyle w:val="23"/>
              <w:rPr>
                <w:rFonts w:ascii="宋体" w:hAnsi="宋体"/>
                <w:kern w:val="0"/>
                <w:szCs w:val="21"/>
              </w:rPr>
            </w:pPr>
            <w:r>
              <w:rPr>
                <w:rFonts w:ascii="宋体" w:hAnsi="宋体"/>
                <w:kern w:val="0"/>
                <w:szCs w:val="21"/>
              </w:rPr>
              <w:t>一、民用汽车</w:t>
            </w:r>
          </w:p>
        </w:tc>
        <w:tc>
          <w:tcPr>
            <w:tcW w:w="1065" w:type="pct"/>
            <w:shd w:val="clear" w:color="auto" w:fill="auto"/>
            <w:noWrap/>
            <w:vAlign w:val="center"/>
          </w:tcPr>
          <w:p w14:paraId="72CBC0AE">
            <w:pPr>
              <w:pStyle w:val="23"/>
              <w:jc w:val="center"/>
              <w:rPr>
                <w:rFonts w:ascii="宋体" w:hAnsi="宋体"/>
                <w:kern w:val="0"/>
                <w:szCs w:val="21"/>
              </w:rPr>
            </w:pPr>
            <w:r>
              <w:rPr>
                <w:rFonts w:ascii="宋体" w:hAnsi="宋体"/>
                <w:kern w:val="0"/>
                <w:szCs w:val="21"/>
              </w:rPr>
              <w:t>辆</w:t>
            </w:r>
          </w:p>
        </w:tc>
        <w:tc>
          <w:tcPr>
            <w:tcW w:w="1065" w:type="pct"/>
            <w:shd w:val="clear" w:color="auto" w:fill="auto"/>
            <w:noWrap/>
            <w:vAlign w:val="center"/>
          </w:tcPr>
          <w:p w14:paraId="047E6DD8">
            <w:pPr>
              <w:pStyle w:val="23"/>
              <w:jc w:val="center"/>
              <w:rPr>
                <w:rFonts w:ascii="宋体" w:hAnsi="宋体"/>
                <w:kern w:val="0"/>
                <w:szCs w:val="21"/>
              </w:rPr>
            </w:pPr>
            <w:r>
              <w:rPr>
                <w:rFonts w:ascii="宋体" w:hAnsi="宋体"/>
                <w:kern w:val="0"/>
                <w:szCs w:val="21"/>
              </w:rPr>
              <w:t>6041</w:t>
            </w:r>
          </w:p>
        </w:tc>
        <w:tc>
          <w:tcPr>
            <w:tcW w:w="1065" w:type="pct"/>
            <w:shd w:val="clear" w:color="auto" w:fill="auto"/>
            <w:noWrap/>
            <w:vAlign w:val="center"/>
          </w:tcPr>
          <w:p w14:paraId="099022CB">
            <w:pPr>
              <w:pStyle w:val="23"/>
              <w:jc w:val="center"/>
              <w:rPr>
                <w:rFonts w:ascii="宋体" w:hAnsi="宋体"/>
                <w:kern w:val="0"/>
                <w:szCs w:val="21"/>
              </w:rPr>
            </w:pPr>
            <w:r>
              <w:rPr>
                <w:rFonts w:ascii="宋体" w:hAnsi="宋体"/>
                <w:kern w:val="0"/>
                <w:szCs w:val="21"/>
              </w:rPr>
              <w:t>21.3</w:t>
            </w:r>
          </w:p>
        </w:tc>
      </w:tr>
      <w:tr w14:paraId="5B5C021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806" w:type="pct"/>
            <w:shd w:val="clear" w:color="auto" w:fill="auto"/>
            <w:noWrap/>
            <w:vAlign w:val="center"/>
          </w:tcPr>
          <w:p w14:paraId="611E88E8">
            <w:pPr>
              <w:pStyle w:val="23"/>
              <w:ind w:firstLine="420" w:firstLineChars="200"/>
              <w:rPr>
                <w:rFonts w:ascii="宋体" w:hAnsi="宋体"/>
                <w:kern w:val="0"/>
                <w:szCs w:val="21"/>
              </w:rPr>
            </w:pPr>
            <w:r>
              <w:rPr>
                <w:rFonts w:ascii="宋体" w:hAnsi="宋体"/>
                <w:kern w:val="0"/>
                <w:szCs w:val="21"/>
              </w:rPr>
              <w:t>1、载客汽车</w:t>
            </w:r>
          </w:p>
        </w:tc>
        <w:tc>
          <w:tcPr>
            <w:tcW w:w="1065" w:type="pct"/>
            <w:shd w:val="clear" w:color="auto" w:fill="auto"/>
            <w:noWrap/>
            <w:vAlign w:val="center"/>
          </w:tcPr>
          <w:p w14:paraId="5C7F0D54">
            <w:pPr>
              <w:pStyle w:val="23"/>
              <w:jc w:val="center"/>
              <w:rPr>
                <w:rFonts w:ascii="宋体" w:hAnsi="宋体"/>
                <w:kern w:val="0"/>
                <w:szCs w:val="21"/>
              </w:rPr>
            </w:pPr>
            <w:r>
              <w:rPr>
                <w:rFonts w:ascii="宋体" w:hAnsi="宋体"/>
                <w:kern w:val="0"/>
                <w:szCs w:val="21"/>
              </w:rPr>
              <w:t>辆</w:t>
            </w:r>
          </w:p>
        </w:tc>
        <w:tc>
          <w:tcPr>
            <w:tcW w:w="1065" w:type="pct"/>
            <w:shd w:val="clear" w:color="auto" w:fill="auto"/>
            <w:noWrap/>
            <w:vAlign w:val="center"/>
          </w:tcPr>
          <w:p w14:paraId="772A483F">
            <w:pPr>
              <w:pStyle w:val="23"/>
              <w:jc w:val="center"/>
              <w:rPr>
                <w:rFonts w:ascii="宋体" w:hAnsi="宋体"/>
                <w:kern w:val="0"/>
                <w:szCs w:val="21"/>
              </w:rPr>
            </w:pPr>
            <w:r>
              <w:rPr>
                <w:rFonts w:ascii="宋体" w:hAnsi="宋体"/>
                <w:kern w:val="0"/>
                <w:szCs w:val="21"/>
              </w:rPr>
              <w:t>4593</w:t>
            </w:r>
          </w:p>
        </w:tc>
        <w:tc>
          <w:tcPr>
            <w:tcW w:w="1065" w:type="pct"/>
            <w:shd w:val="clear" w:color="auto" w:fill="auto"/>
            <w:noWrap/>
            <w:vAlign w:val="center"/>
          </w:tcPr>
          <w:p w14:paraId="6CD33467">
            <w:pPr>
              <w:pStyle w:val="23"/>
              <w:jc w:val="center"/>
              <w:rPr>
                <w:rFonts w:ascii="宋体" w:hAnsi="宋体"/>
                <w:kern w:val="0"/>
                <w:szCs w:val="21"/>
              </w:rPr>
            </w:pPr>
            <w:r>
              <w:rPr>
                <w:rFonts w:ascii="宋体" w:hAnsi="宋体"/>
                <w:kern w:val="0"/>
                <w:szCs w:val="21"/>
              </w:rPr>
              <w:t>23.5</w:t>
            </w:r>
          </w:p>
        </w:tc>
      </w:tr>
      <w:tr w14:paraId="2975BBC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806" w:type="pct"/>
            <w:shd w:val="clear" w:color="auto" w:fill="auto"/>
            <w:noWrap/>
            <w:vAlign w:val="center"/>
          </w:tcPr>
          <w:p w14:paraId="1F64CAA2">
            <w:pPr>
              <w:pStyle w:val="23"/>
              <w:ind w:firstLine="420" w:firstLineChars="200"/>
              <w:rPr>
                <w:rFonts w:ascii="宋体" w:hAnsi="宋体"/>
                <w:kern w:val="0"/>
                <w:szCs w:val="21"/>
              </w:rPr>
            </w:pPr>
            <w:r>
              <w:rPr>
                <w:rFonts w:ascii="宋体" w:hAnsi="宋体"/>
                <w:kern w:val="0"/>
                <w:szCs w:val="21"/>
              </w:rPr>
              <w:t>2、普通载货汽车</w:t>
            </w:r>
          </w:p>
        </w:tc>
        <w:tc>
          <w:tcPr>
            <w:tcW w:w="1065" w:type="pct"/>
            <w:shd w:val="clear" w:color="auto" w:fill="auto"/>
            <w:noWrap/>
            <w:vAlign w:val="center"/>
          </w:tcPr>
          <w:p w14:paraId="18269449">
            <w:pPr>
              <w:pStyle w:val="23"/>
              <w:jc w:val="center"/>
              <w:rPr>
                <w:rFonts w:ascii="宋体" w:hAnsi="宋体"/>
                <w:kern w:val="0"/>
                <w:szCs w:val="21"/>
              </w:rPr>
            </w:pPr>
            <w:r>
              <w:rPr>
                <w:rFonts w:ascii="宋体" w:hAnsi="宋体"/>
                <w:kern w:val="0"/>
                <w:szCs w:val="21"/>
              </w:rPr>
              <w:t>辆</w:t>
            </w:r>
          </w:p>
        </w:tc>
        <w:tc>
          <w:tcPr>
            <w:tcW w:w="1065" w:type="pct"/>
            <w:shd w:val="clear" w:color="auto" w:fill="auto"/>
            <w:noWrap/>
            <w:vAlign w:val="center"/>
          </w:tcPr>
          <w:p w14:paraId="269632D4">
            <w:pPr>
              <w:pStyle w:val="23"/>
              <w:jc w:val="center"/>
              <w:rPr>
                <w:rFonts w:ascii="宋体" w:hAnsi="宋体"/>
                <w:kern w:val="0"/>
                <w:szCs w:val="21"/>
              </w:rPr>
            </w:pPr>
            <w:r>
              <w:rPr>
                <w:rFonts w:ascii="宋体" w:hAnsi="宋体"/>
                <w:kern w:val="0"/>
                <w:szCs w:val="21"/>
              </w:rPr>
              <w:t>1491</w:t>
            </w:r>
          </w:p>
        </w:tc>
        <w:tc>
          <w:tcPr>
            <w:tcW w:w="1065" w:type="pct"/>
            <w:shd w:val="clear" w:color="auto" w:fill="auto"/>
            <w:noWrap/>
            <w:vAlign w:val="center"/>
          </w:tcPr>
          <w:p w14:paraId="7322CBDB">
            <w:pPr>
              <w:pStyle w:val="23"/>
              <w:jc w:val="center"/>
              <w:rPr>
                <w:rFonts w:ascii="宋体" w:hAnsi="宋体"/>
                <w:kern w:val="0"/>
                <w:szCs w:val="21"/>
              </w:rPr>
            </w:pPr>
            <w:r>
              <w:rPr>
                <w:rFonts w:ascii="宋体" w:hAnsi="宋体"/>
                <w:kern w:val="0"/>
                <w:szCs w:val="21"/>
              </w:rPr>
              <w:t>14</w:t>
            </w:r>
          </w:p>
        </w:tc>
      </w:tr>
      <w:tr w14:paraId="7E2E8B4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806" w:type="pct"/>
            <w:shd w:val="clear" w:color="auto" w:fill="auto"/>
            <w:noWrap/>
            <w:vAlign w:val="center"/>
          </w:tcPr>
          <w:p w14:paraId="2E9384F8">
            <w:pPr>
              <w:pStyle w:val="23"/>
              <w:rPr>
                <w:rFonts w:ascii="宋体" w:hAnsi="宋体"/>
                <w:kern w:val="0"/>
                <w:szCs w:val="21"/>
              </w:rPr>
            </w:pPr>
            <w:r>
              <w:rPr>
                <w:rFonts w:ascii="宋体" w:hAnsi="宋体"/>
                <w:kern w:val="0"/>
                <w:szCs w:val="21"/>
              </w:rPr>
              <w:t>二、摩托车</w:t>
            </w:r>
          </w:p>
        </w:tc>
        <w:tc>
          <w:tcPr>
            <w:tcW w:w="1065" w:type="pct"/>
            <w:shd w:val="clear" w:color="auto" w:fill="auto"/>
            <w:noWrap/>
            <w:vAlign w:val="center"/>
          </w:tcPr>
          <w:p w14:paraId="7F07EAF2">
            <w:pPr>
              <w:pStyle w:val="23"/>
              <w:jc w:val="center"/>
              <w:rPr>
                <w:rFonts w:ascii="宋体" w:hAnsi="宋体"/>
                <w:kern w:val="0"/>
                <w:szCs w:val="21"/>
              </w:rPr>
            </w:pPr>
            <w:r>
              <w:rPr>
                <w:rFonts w:ascii="宋体" w:hAnsi="宋体"/>
                <w:kern w:val="0"/>
                <w:szCs w:val="21"/>
              </w:rPr>
              <w:t>辆</w:t>
            </w:r>
          </w:p>
        </w:tc>
        <w:tc>
          <w:tcPr>
            <w:tcW w:w="1065" w:type="pct"/>
            <w:shd w:val="clear" w:color="auto" w:fill="auto"/>
            <w:noWrap/>
            <w:vAlign w:val="center"/>
          </w:tcPr>
          <w:p w14:paraId="33A57F66">
            <w:pPr>
              <w:pStyle w:val="23"/>
              <w:jc w:val="center"/>
              <w:rPr>
                <w:rFonts w:ascii="宋体" w:hAnsi="宋体"/>
                <w:kern w:val="0"/>
                <w:szCs w:val="21"/>
              </w:rPr>
            </w:pPr>
            <w:r>
              <w:rPr>
                <w:rFonts w:ascii="宋体" w:hAnsi="宋体"/>
                <w:kern w:val="0"/>
                <w:szCs w:val="21"/>
              </w:rPr>
              <w:t>38727</w:t>
            </w:r>
          </w:p>
        </w:tc>
        <w:tc>
          <w:tcPr>
            <w:tcW w:w="1065" w:type="pct"/>
            <w:shd w:val="clear" w:color="auto" w:fill="auto"/>
            <w:noWrap/>
            <w:vAlign w:val="center"/>
          </w:tcPr>
          <w:p w14:paraId="6B7A8B6D">
            <w:pPr>
              <w:pStyle w:val="23"/>
              <w:jc w:val="center"/>
              <w:rPr>
                <w:rFonts w:ascii="宋体" w:hAnsi="宋体"/>
                <w:kern w:val="0"/>
                <w:szCs w:val="21"/>
              </w:rPr>
            </w:pPr>
            <w:r>
              <w:rPr>
                <w:rFonts w:ascii="宋体" w:hAnsi="宋体"/>
                <w:kern w:val="0"/>
                <w:szCs w:val="21"/>
              </w:rPr>
              <w:t>5.5</w:t>
            </w:r>
          </w:p>
        </w:tc>
      </w:tr>
      <w:tr w14:paraId="70C4982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806" w:type="pct"/>
            <w:shd w:val="clear" w:color="auto" w:fill="auto"/>
            <w:noWrap/>
            <w:vAlign w:val="center"/>
          </w:tcPr>
          <w:p w14:paraId="5C69A9BD">
            <w:pPr>
              <w:pStyle w:val="23"/>
              <w:rPr>
                <w:rFonts w:ascii="宋体" w:hAnsi="宋体"/>
                <w:kern w:val="0"/>
                <w:szCs w:val="21"/>
              </w:rPr>
            </w:pPr>
            <w:r>
              <w:rPr>
                <w:rFonts w:ascii="宋体" w:hAnsi="宋体"/>
                <w:kern w:val="0"/>
                <w:szCs w:val="21"/>
              </w:rPr>
              <w:t>三、其他机动车</w:t>
            </w:r>
          </w:p>
        </w:tc>
        <w:tc>
          <w:tcPr>
            <w:tcW w:w="1065" w:type="pct"/>
            <w:shd w:val="clear" w:color="auto" w:fill="auto"/>
            <w:noWrap/>
            <w:vAlign w:val="center"/>
          </w:tcPr>
          <w:p w14:paraId="492964F6">
            <w:pPr>
              <w:pStyle w:val="23"/>
              <w:jc w:val="center"/>
              <w:rPr>
                <w:rFonts w:ascii="宋体" w:hAnsi="宋体"/>
                <w:kern w:val="0"/>
                <w:szCs w:val="21"/>
              </w:rPr>
            </w:pPr>
            <w:r>
              <w:rPr>
                <w:rFonts w:ascii="宋体" w:hAnsi="宋体"/>
                <w:kern w:val="0"/>
                <w:szCs w:val="21"/>
              </w:rPr>
              <w:t>辆</w:t>
            </w:r>
          </w:p>
        </w:tc>
        <w:tc>
          <w:tcPr>
            <w:tcW w:w="1065" w:type="pct"/>
            <w:shd w:val="clear" w:color="auto" w:fill="auto"/>
            <w:noWrap/>
            <w:vAlign w:val="center"/>
          </w:tcPr>
          <w:p w14:paraId="7474B317">
            <w:pPr>
              <w:pStyle w:val="23"/>
              <w:jc w:val="center"/>
              <w:rPr>
                <w:rFonts w:ascii="宋体" w:hAnsi="宋体"/>
                <w:kern w:val="0"/>
                <w:szCs w:val="21"/>
              </w:rPr>
            </w:pPr>
            <w:r>
              <w:rPr>
                <w:rFonts w:ascii="宋体" w:hAnsi="宋体"/>
                <w:kern w:val="0"/>
                <w:szCs w:val="21"/>
              </w:rPr>
              <w:t>157</w:t>
            </w:r>
          </w:p>
        </w:tc>
        <w:tc>
          <w:tcPr>
            <w:tcW w:w="1065" w:type="pct"/>
            <w:shd w:val="clear" w:color="auto" w:fill="auto"/>
            <w:noWrap/>
            <w:vAlign w:val="center"/>
          </w:tcPr>
          <w:p w14:paraId="3DBE5BAD">
            <w:pPr>
              <w:pStyle w:val="23"/>
              <w:jc w:val="center"/>
              <w:rPr>
                <w:rFonts w:ascii="宋体" w:hAnsi="宋体"/>
                <w:kern w:val="0"/>
                <w:szCs w:val="21"/>
              </w:rPr>
            </w:pPr>
            <w:r>
              <w:rPr>
                <w:rFonts w:ascii="宋体" w:hAnsi="宋体"/>
                <w:kern w:val="0"/>
                <w:szCs w:val="21"/>
              </w:rPr>
              <w:t>1.3</w:t>
            </w:r>
          </w:p>
        </w:tc>
      </w:tr>
      <w:tr w14:paraId="136BDF0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806" w:type="pct"/>
            <w:shd w:val="clear" w:color="auto" w:fill="auto"/>
            <w:noWrap/>
            <w:vAlign w:val="center"/>
          </w:tcPr>
          <w:p w14:paraId="5E43ECF3">
            <w:pPr>
              <w:pStyle w:val="23"/>
              <w:rPr>
                <w:rFonts w:ascii="宋体" w:hAnsi="宋体"/>
                <w:kern w:val="0"/>
                <w:szCs w:val="21"/>
              </w:rPr>
            </w:pPr>
            <w:r>
              <w:rPr>
                <w:rFonts w:ascii="宋体" w:hAnsi="宋体"/>
                <w:kern w:val="0"/>
                <w:szCs w:val="21"/>
              </w:rPr>
              <w:t>四、客运量</w:t>
            </w:r>
          </w:p>
        </w:tc>
        <w:tc>
          <w:tcPr>
            <w:tcW w:w="1065" w:type="pct"/>
            <w:shd w:val="clear" w:color="auto" w:fill="auto"/>
            <w:noWrap/>
            <w:vAlign w:val="center"/>
          </w:tcPr>
          <w:p w14:paraId="31CFFE4E">
            <w:pPr>
              <w:pStyle w:val="23"/>
              <w:jc w:val="center"/>
              <w:rPr>
                <w:rFonts w:ascii="宋体" w:hAnsi="宋体"/>
                <w:kern w:val="0"/>
                <w:szCs w:val="21"/>
              </w:rPr>
            </w:pPr>
            <w:r>
              <w:rPr>
                <w:rFonts w:ascii="宋体" w:hAnsi="宋体"/>
                <w:kern w:val="0"/>
                <w:szCs w:val="21"/>
              </w:rPr>
              <w:t>万人</w:t>
            </w:r>
          </w:p>
        </w:tc>
        <w:tc>
          <w:tcPr>
            <w:tcW w:w="1065" w:type="pct"/>
            <w:shd w:val="clear" w:color="auto" w:fill="auto"/>
            <w:noWrap/>
            <w:vAlign w:val="center"/>
          </w:tcPr>
          <w:p w14:paraId="3C871A91">
            <w:pPr>
              <w:pStyle w:val="23"/>
              <w:jc w:val="center"/>
              <w:rPr>
                <w:rFonts w:ascii="宋体" w:hAnsi="宋体"/>
                <w:kern w:val="0"/>
                <w:szCs w:val="21"/>
              </w:rPr>
            </w:pPr>
            <w:r>
              <w:rPr>
                <w:rFonts w:ascii="宋体" w:hAnsi="宋体"/>
                <w:kern w:val="0"/>
                <w:szCs w:val="21"/>
              </w:rPr>
              <w:t>302</w:t>
            </w:r>
          </w:p>
        </w:tc>
        <w:tc>
          <w:tcPr>
            <w:tcW w:w="1065" w:type="pct"/>
            <w:shd w:val="clear" w:color="auto" w:fill="auto"/>
            <w:noWrap/>
            <w:vAlign w:val="center"/>
          </w:tcPr>
          <w:p w14:paraId="4AEA74F1">
            <w:pPr>
              <w:pStyle w:val="23"/>
              <w:jc w:val="center"/>
              <w:rPr>
                <w:rFonts w:ascii="宋体" w:hAnsi="宋体"/>
                <w:kern w:val="0"/>
                <w:szCs w:val="21"/>
              </w:rPr>
            </w:pPr>
            <w:r>
              <w:rPr>
                <w:rFonts w:ascii="宋体" w:hAnsi="宋体"/>
                <w:kern w:val="0"/>
                <w:szCs w:val="21"/>
              </w:rPr>
              <w:t>6.3</w:t>
            </w:r>
          </w:p>
        </w:tc>
      </w:tr>
      <w:tr w14:paraId="16659B3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806" w:type="pct"/>
            <w:shd w:val="clear" w:color="auto" w:fill="auto"/>
            <w:noWrap/>
            <w:vAlign w:val="center"/>
          </w:tcPr>
          <w:p w14:paraId="610F2057">
            <w:pPr>
              <w:pStyle w:val="23"/>
              <w:rPr>
                <w:rFonts w:ascii="宋体" w:hAnsi="宋体"/>
                <w:kern w:val="0"/>
                <w:szCs w:val="21"/>
              </w:rPr>
            </w:pPr>
            <w:r>
              <w:rPr>
                <w:rFonts w:ascii="宋体" w:hAnsi="宋体"/>
                <w:kern w:val="0"/>
                <w:szCs w:val="21"/>
              </w:rPr>
              <w:t>五、旅客周转量</w:t>
            </w:r>
          </w:p>
        </w:tc>
        <w:tc>
          <w:tcPr>
            <w:tcW w:w="1065" w:type="pct"/>
            <w:shd w:val="clear" w:color="auto" w:fill="auto"/>
            <w:noWrap/>
            <w:vAlign w:val="center"/>
          </w:tcPr>
          <w:p w14:paraId="5AEB1741">
            <w:pPr>
              <w:pStyle w:val="23"/>
              <w:jc w:val="center"/>
              <w:rPr>
                <w:rFonts w:ascii="宋体" w:hAnsi="宋体"/>
                <w:kern w:val="0"/>
                <w:szCs w:val="21"/>
              </w:rPr>
            </w:pPr>
            <w:r>
              <w:rPr>
                <w:rFonts w:ascii="宋体" w:hAnsi="宋体"/>
                <w:kern w:val="0"/>
                <w:szCs w:val="21"/>
              </w:rPr>
              <w:t>万人公里</w:t>
            </w:r>
          </w:p>
        </w:tc>
        <w:tc>
          <w:tcPr>
            <w:tcW w:w="1065" w:type="pct"/>
            <w:shd w:val="clear" w:color="auto" w:fill="auto"/>
            <w:noWrap/>
            <w:vAlign w:val="center"/>
          </w:tcPr>
          <w:p w14:paraId="0725C6DE">
            <w:pPr>
              <w:pStyle w:val="23"/>
              <w:jc w:val="center"/>
              <w:rPr>
                <w:rFonts w:ascii="宋体" w:hAnsi="宋体"/>
                <w:kern w:val="0"/>
                <w:szCs w:val="21"/>
              </w:rPr>
            </w:pPr>
            <w:r>
              <w:rPr>
                <w:rFonts w:ascii="宋体" w:hAnsi="宋体"/>
                <w:kern w:val="0"/>
                <w:szCs w:val="21"/>
              </w:rPr>
              <w:t>20757</w:t>
            </w:r>
          </w:p>
        </w:tc>
        <w:tc>
          <w:tcPr>
            <w:tcW w:w="1065" w:type="pct"/>
            <w:shd w:val="clear" w:color="auto" w:fill="auto"/>
            <w:noWrap/>
            <w:vAlign w:val="center"/>
          </w:tcPr>
          <w:p w14:paraId="35D1424F">
            <w:pPr>
              <w:pStyle w:val="23"/>
              <w:jc w:val="center"/>
              <w:rPr>
                <w:rFonts w:ascii="宋体" w:hAnsi="宋体"/>
                <w:kern w:val="0"/>
                <w:szCs w:val="21"/>
              </w:rPr>
            </w:pPr>
            <w:r>
              <w:rPr>
                <w:rFonts w:ascii="宋体" w:hAnsi="宋体"/>
                <w:kern w:val="0"/>
                <w:szCs w:val="21"/>
              </w:rPr>
              <w:t>7.1</w:t>
            </w:r>
          </w:p>
        </w:tc>
      </w:tr>
      <w:tr w14:paraId="7BF47E1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806" w:type="pct"/>
            <w:shd w:val="clear" w:color="auto" w:fill="auto"/>
            <w:noWrap/>
            <w:vAlign w:val="center"/>
          </w:tcPr>
          <w:p w14:paraId="3B533FB5">
            <w:pPr>
              <w:pStyle w:val="23"/>
              <w:rPr>
                <w:rFonts w:ascii="宋体" w:hAnsi="宋体"/>
                <w:kern w:val="0"/>
                <w:szCs w:val="21"/>
              </w:rPr>
            </w:pPr>
            <w:r>
              <w:rPr>
                <w:rFonts w:ascii="宋体" w:hAnsi="宋体"/>
                <w:kern w:val="0"/>
                <w:szCs w:val="21"/>
              </w:rPr>
              <w:t>六、货物周转量</w:t>
            </w:r>
          </w:p>
        </w:tc>
        <w:tc>
          <w:tcPr>
            <w:tcW w:w="1065" w:type="pct"/>
            <w:shd w:val="clear" w:color="auto" w:fill="auto"/>
            <w:noWrap/>
            <w:vAlign w:val="center"/>
          </w:tcPr>
          <w:p w14:paraId="52050AE8">
            <w:pPr>
              <w:pStyle w:val="23"/>
              <w:jc w:val="center"/>
              <w:rPr>
                <w:rFonts w:ascii="宋体" w:hAnsi="宋体"/>
                <w:kern w:val="0"/>
                <w:szCs w:val="21"/>
              </w:rPr>
            </w:pPr>
            <w:r>
              <w:rPr>
                <w:rFonts w:ascii="宋体" w:hAnsi="宋体"/>
                <w:kern w:val="0"/>
                <w:szCs w:val="21"/>
              </w:rPr>
              <w:t>万吨公里</w:t>
            </w:r>
          </w:p>
        </w:tc>
        <w:tc>
          <w:tcPr>
            <w:tcW w:w="1065" w:type="pct"/>
            <w:shd w:val="clear" w:color="auto" w:fill="auto"/>
            <w:noWrap/>
            <w:vAlign w:val="center"/>
          </w:tcPr>
          <w:p w14:paraId="293F7214">
            <w:pPr>
              <w:pStyle w:val="23"/>
              <w:jc w:val="center"/>
              <w:rPr>
                <w:rFonts w:ascii="宋体" w:hAnsi="宋体"/>
                <w:kern w:val="0"/>
                <w:szCs w:val="21"/>
              </w:rPr>
            </w:pPr>
            <w:r>
              <w:rPr>
                <w:rFonts w:ascii="宋体" w:hAnsi="宋体"/>
                <w:kern w:val="0"/>
                <w:szCs w:val="21"/>
              </w:rPr>
              <w:t>15919</w:t>
            </w:r>
          </w:p>
        </w:tc>
        <w:tc>
          <w:tcPr>
            <w:tcW w:w="1065" w:type="pct"/>
            <w:shd w:val="clear" w:color="auto" w:fill="auto"/>
            <w:noWrap/>
            <w:vAlign w:val="center"/>
          </w:tcPr>
          <w:p w14:paraId="1F28DF3D">
            <w:pPr>
              <w:pStyle w:val="23"/>
              <w:jc w:val="center"/>
              <w:rPr>
                <w:rFonts w:ascii="宋体" w:hAnsi="宋体"/>
                <w:kern w:val="0"/>
                <w:szCs w:val="21"/>
              </w:rPr>
            </w:pPr>
            <w:r>
              <w:rPr>
                <w:rFonts w:ascii="宋体" w:hAnsi="宋体"/>
                <w:kern w:val="0"/>
                <w:szCs w:val="21"/>
              </w:rPr>
              <w:t>10.3</w:t>
            </w:r>
          </w:p>
        </w:tc>
      </w:tr>
      <w:tr w14:paraId="6B25DE8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806" w:type="pct"/>
            <w:shd w:val="clear" w:color="auto" w:fill="auto"/>
            <w:noWrap/>
            <w:vAlign w:val="center"/>
          </w:tcPr>
          <w:p w14:paraId="589EE480">
            <w:pPr>
              <w:pStyle w:val="23"/>
              <w:rPr>
                <w:rFonts w:ascii="宋体" w:hAnsi="宋体"/>
                <w:kern w:val="0"/>
                <w:szCs w:val="21"/>
              </w:rPr>
            </w:pPr>
            <w:r>
              <w:rPr>
                <w:rFonts w:ascii="宋体" w:hAnsi="宋体"/>
                <w:kern w:val="0"/>
                <w:szCs w:val="21"/>
              </w:rPr>
              <w:t>七、交通事故件数</w:t>
            </w:r>
          </w:p>
        </w:tc>
        <w:tc>
          <w:tcPr>
            <w:tcW w:w="1065" w:type="pct"/>
            <w:shd w:val="clear" w:color="auto" w:fill="auto"/>
            <w:noWrap/>
            <w:vAlign w:val="center"/>
          </w:tcPr>
          <w:p w14:paraId="37EAA6C6">
            <w:pPr>
              <w:pStyle w:val="23"/>
              <w:jc w:val="center"/>
              <w:rPr>
                <w:rFonts w:ascii="宋体" w:hAnsi="宋体"/>
                <w:kern w:val="0"/>
                <w:szCs w:val="21"/>
              </w:rPr>
            </w:pPr>
            <w:r>
              <w:rPr>
                <w:rFonts w:ascii="宋体" w:hAnsi="宋体"/>
                <w:kern w:val="0"/>
                <w:szCs w:val="21"/>
              </w:rPr>
              <w:t>件</w:t>
            </w:r>
          </w:p>
        </w:tc>
        <w:tc>
          <w:tcPr>
            <w:tcW w:w="1065" w:type="pct"/>
            <w:shd w:val="clear" w:color="auto" w:fill="auto"/>
            <w:noWrap/>
            <w:vAlign w:val="center"/>
          </w:tcPr>
          <w:p w14:paraId="00CECA45">
            <w:pPr>
              <w:pStyle w:val="23"/>
              <w:jc w:val="center"/>
              <w:rPr>
                <w:rFonts w:ascii="宋体" w:hAnsi="宋体"/>
                <w:kern w:val="0"/>
                <w:szCs w:val="21"/>
              </w:rPr>
            </w:pPr>
            <w:r>
              <w:rPr>
                <w:rFonts w:ascii="宋体" w:hAnsi="宋体"/>
                <w:kern w:val="0"/>
                <w:szCs w:val="21"/>
              </w:rPr>
              <w:t>1001</w:t>
            </w:r>
          </w:p>
        </w:tc>
        <w:tc>
          <w:tcPr>
            <w:tcW w:w="1065" w:type="pct"/>
            <w:shd w:val="clear" w:color="auto" w:fill="auto"/>
            <w:noWrap/>
            <w:vAlign w:val="center"/>
          </w:tcPr>
          <w:p w14:paraId="12C6F85B">
            <w:pPr>
              <w:pStyle w:val="23"/>
              <w:jc w:val="center"/>
              <w:rPr>
                <w:rFonts w:ascii="宋体" w:hAnsi="宋体"/>
                <w:kern w:val="0"/>
                <w:szCs w:val="21"/>
              </w:rPr>
            </w:pPr>
            <w:r>
              <w:rPr>
                <w:rFonts w:ascii="宋体" w:hAnsi="宋体"/>
                <w:kern w:val="0"/>
                <w:szCs w:val="21"/>
              </w:rPr>
              <w:t>22.1</w:t>
            </w:r>
          </w:p>
        </w:tc>
      </w:tr>
    </w:tbl>
    <w:p w14:paraId="5FFE3687">
      <w:pPr>
        <w:ind w:firstLine="0" w:firstLineChars="0"/>
        <w:jc w:val="center"/>
        <w:rPr>
          <w:rFonts w:ascii="宋体" w:hAnsi="宋体"/>
          <w:b/>
          <w:szCs w:val="21"/>
        </w:rPr>
      </w:pPr>
      <w:r>
        <w:rPr>
          <w:rFonts w:hint="eastAsia" w:ascii="宋体" w:hAnsi="宋体"/>
          <w:b/>
          <w:szCs w:val="21"/>
        </w:rPr>
        <w:t>表73 固定资产投资总额及构成情况（一）</w:t>
      </w:r>
    </w:p>
    <w:tbl>
      <w:tblPr>
        <w:tblStyle w:val="14"/>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30" w:type="dxa"/>
          <w:bottom w:w="0" w:type="dxa"/>
          <w:right w:w="30" w:type="dxa"/>
        </w:tblCellMar>
      </w:tblPr>
      <w:tblGrid>
        <w:gridCol w:w="2450"/>
        <w:gridCol w:w="2453"/>
        <w:gridCol w:w="2450"/>
        <w:gridCol w:w="2453"/>
      </w:tblGrid>
      <w:tr w14:paraId="180828F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249" w:type="pct"/>
            <w:vAlign w:val="center"/>
          </w:tcPr>
          <w:p w14:paraId="19C7D367">
            <w:pPr>
              <w:pStyle w:val="23"/>
              <w:jc w:val="center"/>
              <w:rPr>
                <w:rFonts w:ascii="宋体" w:hAnsi="宋体"/>
                <w:b/>
                <w:kern w:val="0"/>
                <w:szCs w:val="21"/>
              </w:rPr>
            </w:pPr>
            <w:r>
              <w:rPr>
                <w:rFonts w:ascii="宋体" w:hAnsi="宋体"/>
                <w:b/>
                <w:kern w:val="0"/>
                <w:szCs w:val="21"/>
              </w:rPr>
              <w:t>指标名称</w:t>
            </w:r>
          </w:p>
        </w:tc>
        <w:tc>
          <w:tcPr>
            <w:tcW w:w="1251" w:type="pct"/>
            <w:vAlign w:val="center"/>
          </w:tcPr>
          <w:p w14:paraId="0B0122C0">
            <w:pPr>
              <w:pStyle w:val="23"/>
              <w:jc w:val="center"/>
              <w:rPr>
                <w:rFonts w:ascii="宋体" w:hAnsi="宋体"/>
                <w:b/>
                <w:kern w:val="0"/>
                <w:szCs w:val="21"/>
              </w:rPr>
            </w:pPr>
            <w:r>
              <w:rPr>
                <w:rFonts w:ascii="宋体" w:hAnsi="宋体"/>
                <w:b/>
                <w:kern w:val="0"/>
                <w:szCs w:val="21"/>
              </w:rPr>
              <w:t>单位</w:t>
            </w:r>
          </w:p>
        </w:tc>
        <w:tc>
          <w:tcPr>
            <w:tcW w:w="1249" w:type="pct"/>
            <w:vAlign w:val="center"/>
          </w:tcPr>
          <w:p w14:paraId="74C01CB2">
            <w:pPr>
              <w:pStyle w:val="23"/>
              <w:jc w:val="center"/>
              <w:rPr>
                <w:rFonts w:ascii="宋体" w:hAnsi="宋体"/>
                <w:b/>
                <w:kern w:val="0"/>
                <w:szCs w:val="21"/>
              </w:rPr>
            </w:pPr>
            <w:r>
              <w:rPr>
                <w:rFonts w:ascii="宋体" w:hAnsi="宋体"/>
                <w:b/>
                <w:kern w:val="0"/>
                <w:szCs w:val="21"/>
              </w:rPr>
              <w:t>合计</w:t>
            </w:r>
          </w:p>
        </w:tc>
        <w:tc>
          <w:tcPr>
            <w:tcW w:w="1251" w:type="pct"/>
            <w:vAlign w:val="center"/>
          </w:tcPr>
          <w:p w14:paraId="2D0ADC7F">
            <w:pPr>
              <w:pStyle w:val="23"/>
              <w:jc w:val="center"/>
              <w:rPr>
                <w:rFonts w:ascii="宋体" w:hAnsi="宋体"/>
                <w:b/>
                <w:kern w:val="0"/>
                <w:szCs w:val="21"/>
              </w:rPr>
            </w:pPr>
            <w:r>
              <w:rPr>
                <w:rFonts w:ascii="宋体" w:hAnsi="宋体"/>
                <w:b/>
                <w:kern w:val="0"/>
                <w:szCs w:val="21"/>
              </w:rPr>
              <w:t>建筑工程</w:t>
            </w:r>
          </w:p>
        </w:tc>
      </w:tr>
      <w:tr w14:paraId="1BBC113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249" w:type="pct"/>
            <w:vAlign w:val="center"/>
          </w:tcPr>
          <w:p w14:paraId="32FA8128">
            <w:pPr>
              <w:pStyle w:val="23"/>
              <w:rPr>
                <w:rFonts w:ascii="宋体" w:hAnsi="宋体"/>
                <w:kern w:val="0"/>
                <w:szCs w:val="21"/>
              </w:rPr>
            </w:pPr>
            <w:r>
              <w:rPr>
                <w:rFonts w:ascii="宋体" w:hAnsi="宋体"/>
                <w:kern w:val="0"/>
                <w:szCs w:val="21"/>
              </w:rPr>
              <w:t>合计</w:t>
            </w:r>
          </w:p>
        </w:tc>
        <w:tc>
          <w:tcPr>
            <w:tcW w:w="1251" w:type="pct"/>
            <w:vAlign w:val="center"/>
          </w:tcPr>
          <w:p w14:paraId="735FD946">
            <w:pPr>
              <w:pStyle w:val="23"/>
              <w:jc w:val="center"/>
              <w:rPr>
                <w:rFonts w:ascii="宋体" w:hAnsi="宋体"/>
                <w:kern w:val="0"/>
                <w:szCs w:val="21"/>
              </w:rPr>
            </w:pPr>
            <w:r>
              <w:rPr>
                <w:rFonts w:ascii="宋体" w:hAnsi="宋体"/>
                <w:kern w:val="0"/>
                <w:szCs w:val="21"/>
              </w:rPr>
              <w:t>万元</w:t>
            </w:r>
          </w:p>
        </w:tc>
        <w:tc>
          <w:tcPr>
            <w:tcW w:w="1249" w:type="pct"/>
            <w:vAlign w:val="center"/>
          </w:tcPr>
          <w:p w14:paraId="1DB6C32C">
            <w:pPr>
              <w:pStyle w:val="23"/>
              <w:jc w:val="center"/>
              <w:rPr>
                <w:rFonts w:ascii="宋体" w:hAnsi="宋体"/>
                <w:kern w:val="0"/>
                <w:szCs w:val="21"/>
              </w:rPr>
            </w:pPr>
            <w:r>
              <w:rPr>
                <w:rFonts w:ascii="宋体" w:hAnsi="宋体"/>
                <w:kern w:val="0"/>
                <w:szCs w:val="21"/>
              </w:rPr>
              <w:t>627340</w:t>
            </w:r>
          </w:p>
        </w:tc>
        <w:tc>
          <w:tcPr>
            <w:tcW w:w="1251" w:type="pct"/>
            <w:vAlign w:val="center"/>
          </w:tcPr>
          <w:p w14:paraId="0619296B">
            <w:pPr>
              <w:pStyle w:val="23"/>
              <w:jc w:val="center"/>
              <w:rPr>
                <w:rFonts w:ascii="宋体" w:hAnsi="宋体"/>
                <w:kern w:val="0"/>
                <w:szCs w:val="21"/>
              </w:rPr>
            </w:pPr>
            <w:r>
              <w:rPr>
                <w:rFonts w:ascii="宋体" w:hAnsi="宋体"/>
                <w:kern w:val="0"/>
                <w:szCs w:val="21"/>
              </w:rPr>
              <w:t>485678</w:t>
            </w:r>
          </w:p>
        </w:tc>
      </w:tr>
      <w:tr w14:paraId="1410384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249" w:type="pct"/>
            <w:vAlign w:val="center"/>
          </w:tcPr>
          <w:p w14:paraId="3E5D5D81">
            <w:pPr>
              <w:pStyle w:val="23"/>
              <w:ind w:firstLine="420" w:firstLineChars="200"/>
              <w:rPr>
                <w:rFonts w:ascii="宋体" w:hAnsi="宋体"/>
                <w:kern w:val="0"/>
                <w:szCs w:val="21"/>
              </w:rPr>
            </w:pPr>
            <w:r>
              <w:rPr>
                <w:rFonts w:ascii="宋体" w:hAnsi="宋体"/>
                <w:kern w:val="0"/>
                <w:szCs w:val="21"/>
              </w:rPr>
              <w:t>其中：建安工程</w:t>
            </w:r>
          </w:p>
        </w:tc>
        <w:tc>
          <w:tcPr>
            <w:tcW w:w="1251" w:type="pct"/>
            <w:vAlign w:val="center"/>
          </w:tcPr>
          <w:p w14:paraId="563FA67E">
            <w:pPr>
              <w:pStyle w:val="23"/>
              <w:jc w:val="center"/>
              <w:rPr>
                <w:rFonts w:ascii="宋体" w:hAnsi="宋体"/>
                <w:kern w:val="0"/>
                <w:szCs w:val="21"/>
              </w:rPr>
            </w:pPr>
            <w:r>
              <w:rPr>
                <w:rFonts w:ascii="宋体" w:hAnsi="宋体"/>
                <w:kern w:val="0"/>
                <w:szCs w:val="21"/>
              </w:rPr>
              <w:t>万元</w:t>
            </w:r>
          </w:p>
        </w:tc>
        <w:tc>
          <w:tcPr>
            <w:tcW w:w="1249" w:type="pct"/>
            <w:vAlign w:val="center"/>
          </w:tcPr>
          <w:p w14:paraId="6D8EF6CF">
            <w:pPr>
              <w:pStyle w:val="23"/>
              <w:jc w:val="center"/>
              <w:rPr>
                <w:rFonts w:ascii="宋体" w:hAnsi="宋体"/>
                <w:kern w:val="0"/>
                <w:szCs w:val="21"/>
              </w:rPr>
            </w:pPr>
            <w:r>
              <w:rPr>
                <w:rFonts w:ascii="宋体" w:hAnsi="宋体"/>
                <w:kern w:val="0"/>
                <w:szCs w:val="21"/>
              </w:rPr>
              <w:t>485678</w:t>
            </w:r>
          </w:p>
        </w:tc>
        <w:tc>
          <w:tcPr>
            <w:tcW w:w="1251" w:type="pct"/>
            <w:vAlign w:val="center"/>
          </w:tcPr>
          <w:p w14:paraId="4424E2C0">
            <w:pPr>
              <w:pStyle w:val="23"/>
              <w:jc w:val="center"/>
              <w:rPr>
                <w:rFonts w:ascii="宋体" w:hAnsi="宋体"/>
                <w:kern w:val="0"/>
                <w:szCs w:val="21"/>
              </w:rPr>
            </w:pPr>
            <w:r>
              <w:rPr>
                <w:rFonts w:ascii="宋体" w:hAnsi="宋体"/>
                <w:kern w:val="0"/>
                <w:szCs w:val="21"/>
              </w:rPr>
              <w:t>485678</w:t>
            </w:r>
          </w:p>
        </w:tc>
      </w:tr>
      <w:tr w14:paraId="03B22F6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249" w:type="pct"/>
            <w:vAlign w:val="center"/>
          </w:tcPr>
          <w:p w14:paraId="21438714">
            <w:pPr>
              <w:pStyle w:val="23"/>
              <w:rPr>
                <w:rFonts w:ascii="宋体" w:hAnsi="宋体"/>
                <w:kern w:val="0"/>
                <w:szCs w:val="21"/>
              </w:rPr>
            </w:pPr>
            <w:r>
              <w:rPr>
                <w:rFonts w:ascii="宋体" w:hAnsi="宋体"/>
                <w:kern w:val="0"/>
                <w:szCs w:val="21"/>
              </w:rPr>
              <w:t>一、按产业分</w:t>
            </w:r>
          </w:p>
        </w:tc>
        <w:tc>
          <w:tcPr>
            <w:tcW w:w="1251" w:type="pct"/>
            <w:vAlign w:val="center"/>
          </w:tcPr>
          <w:p w14:paraId="33EB8FCA">
            <w:pPr>
              <w:pStyle w:val="23"/>
              <w:jc w:val="center"/>
              <w:rPr>
                <w:rFonts w:ascii="宋体" w:hAnsi="宋体"/>
                <w:kern w:val="0"/>
                <w:szCs w:val="21"/>
              </w:rPr>
            </w:pPr>
          </w:p>
        </w:tc>
        <w:tc>
          <w:tcPr>
            <w:tcW w:w="1249" w:type="pct"/>
            <w:vAlign w:val="center"/>
          </w:tcPr>
          <w:p w14:paraId="0EEE6A43">
            <w:pPr>
              <w:pStyle w:val="23"/>
              <w:jc w:val="center"/>
              <w:rPr>
                <w:rFonts w:ascii="宋体" w:hAnsi="宋体"/>
                <w:kern w:val="0"/>
                <w:szCs w:val="21"/>
              </w:rPr>
            </w:pPr>
          </w:p>
        </w:tc>
        <w:tc>
          <w:tcPr>
            <w:tcW w:w="1251" w:type="pct"/>
            <w:vAlign w:val="center"/>
          </w:tcPr>
          <w:p w14:paraId="5E92C0C0">
            <w:pPr>
              <w:pStyle w:val="23"/>
              <w:jc w:val="center"/>
              <w:rPr>
                <w:rFonts w:ascii="宋体" w:hAnsi="宋体"/>
                <w:kern w:val="0"/>
                <w:szCs w:val="21"/>
              </w:rPr>
            </w:pPr>
          </w:p>
        </w:tc>
      </w:tr>
      <w:tr w14:paraId="55A65EC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249" w:type="pct"/>
            <w:vAlign w:val="center"/>
          </w:tcPr>
          <w:p w14:paraId="5C2D9D16">
            <w:pPr>
              <w:pStyle w:val="23"/>
              <w:rPr>
                <w:rFonts w:ascii="宋体" w:hAnsi="宋体"/>
                <w:kern w:val="0"/>
                <w:szCs w:val="21"/>
              </w:rPr>
            </w:pPr>
            <w:r>
              <w:rPr>
                <w:rFonts w:ascii="宋体" w:hAnsi="宋体"/>
                <w:kern w:val="0"/>
                <w:szCs w:val="21"/>
              </w:rPr>
              <w:t>1、第一产业</w:t>
            </w:r>
          </w:p>
        </w:tc>
        <w:tc>
          <w:tcPr>
            <w:tcW w:w="1251" w:type="pct"/>
            <w:vAlign w:val="center"/>
          </w:tcPr>
          <w:p w14:paraId="06C718A7">
            <w:pPr>
              <w:pStyle w:val="23"/>
              <w:jc w:val="center"/>
              <w:rPr>
                <w:rFonts w:ascii="宋体" w:hAnsi="宋体"/>
                <w:kern w:val="0"/>
                <w:szCs w:val="21"/>
              </w:rPr>
            </w:pPr>
            <w:r>
              <w:rPr>
                <w:rFonts w:ascii="宋体" w:hAnsi="宋体"/>
                <w:kern w:val="0"/>
                <w:szCs w:val="21"/>
              </w:rPr>
              <w:t>万元</w:t>
            </w:r>
          </w:p>
        </w:tc>
        <w:tc>
          <w:tcPr>
            <w:tcW w:w="1249" w:type="pct"/>
            <w:vAlign w:val="center"/>
          </w:tcPr>
          <w:p w14:paraId="5D114A17">
            <w:pPr>
              <w:pStyle w:val="23"/>
              <w:jc w:val="center"/>
              <w:rPr>
                <w:rFonts w:ascii="宋体" w:hAnsi="宋体"/>
                <w:kern w:val="0"/>
                <w:szCs w:val="21"/>
              </w:rPr>
            </w:pPr>
            <w:r>
              <w:rPr>
                <w:rFonts w:ascii="宋体" w:hAnsi="宋体"/>
                <w:kern w:val="0"/>
                <w:szCs w:val="21"/>
              </w:rPr>
              <w:t>32214</w:t>
            </w:r>
          </w:p>
        </w:tc>
        <w:tc>
          <w:tcPr>
            <w:tcW w:w="1251" w:type="pct"/>
            <w:vAlign w:val="center"/>
          </w:tcPr>
          <w:p w14:paraId="59B10413">
            <w:pPr>
              <w:pStyle w:val="23"/>
              <w:jc w:val="center"/>
              <w:rPr>
                <w:rFonts w:ascii="宋体" w:hAnsi="宋体"/>
                <w:kern w:val="0"/>
                <w:szCs w:val="21"/>
              </w:rPr>
            </w:pPr>
            <w:r>
              <w:rPr>
                <w:rFonts w:ascii="宋体" w:hAnsi="宋体"/>
                <w:kern w:val="0"/>
                <w:szCs w:val="21"/>
              </w:rPr>
              <w:t>26456</w:t>
            </w:r>
          </w:p>
        </w:tc>
      </w:tr>
      <w:tr w14:paraId="7A84C7C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249" w:type="pct"/>
            <w:vAlign w:val="center"/>
          </w:tcPr>
          <w:p w14:paraId="46D09B0F">
            <w:pPr>
              <w:pStyle w:val="23"/>
              <w:rPr>
                <w:rFonts w:ascii="宋体" w:hAnsi="宋体"/>
                <w:kern w:val="0"/>
                <w:szCs w:val="21"/>
              </w:rPr>
            </w:pPr>
            <w:r>
              <w:rPr>
                <w:rFonts w:ascii="宋体" w:hAnsi="宋体"/>
                <w:kern w:val="0"/>
                <w:szCs w:val="21"/>
              </w:rPr>
              <w:t>2、第二产业</w:t>
            </w:r>
          </w:p>
        </w:tc>
        <w:tc>
          <w:tcPr>
            <w:tcW w:w="1251" w:type="pct"/>
            <w:vAlign w:val="center"/>
          </w:tcPr>
          <w:p w14:paraId="04F7A973">
            <w:pPr>
              <w:pStyle w:val="23"/>
              <w:jc w:val="center"/>
              <w:rPr>
                <w:rFonts w:ascii="宋体" w:hAnsi="宋体"/>
                <w:kern w:val="0"/>
                <w:szCs w:val="21"/>
              </w:rPr>
            </w:pPr>
            <w:r>
              <w:rPr>
                <w:rFonts w:ascii="宋体" w:hAnsi="宋体"/>
                <w:kern w:val="0"/>
                <w:szCs w:val="21"/>
              </w:rPr>
              <w:t>万元</w:t>
            </w:r>
          </w:p>
        </w:tc>
        <w:tc>
          <w:tcPr>
            <w:tcW w:w="1249" w:type="pct"/>
            <w:vAlign w:val="center"/>
          </w:tcPr>
          <w:p w14:paraId="542A553A">
            <w:pPr>
              <w:pStyle w:val="23"/>
              <w:jc w:val="center"/>
              <w:rPr>
                <w:rFonts w:ascii="宋体" w:hAnsi="宋体"/>
                <w:kern w:val="0"/>
                <w:szCs w:val="21"/>
              </w:rPr>
            </w:pPr>
            <w:r>
              <w:rPr>
                <w:rFonts w:ascii="宋体" w:hAnsi="宋体"/>
                <w:kern w:val="0"/>
                <w:szCs w:val="21"/>
              </w:rPr>
              <w:t>360518</w:t>
            </w:r>
          </w:p>
        </w:tc>
        <w:tc>
          <w:tcPr>
            <w:tcW w:w="1251" w:type="pct"/>
            <w:vAlign w:val="center"/>
          </w:tcPr>
          <w:p w14:paraId="4EFD979A">
            <w:pPr>
              <w:pStyle w:val="23"/>
              <w:jc w:val="center"/>
              <w:rPr>
                <w:rFonts w:ascii="宋体" w:hAnsi="宋体"/>
                <w:kern w:val="0"/>
                <w:szCs w:val="21"/>
              </w:rPr>
            </w:pPr>
            <w:r>
              <w:rPr>
                <w:rFonts w:ascii="宋体" w:hAnsi="宋体"/>
                <w:kern w:val="0"/>
                <w:szCs w:val="21"/>
              </w:rPr>
              <w:t>264326</w:t>
            </w:r>
          </w:p>
        </w:tc>
      </w:tr>
      <w:tr w14:paraId="16BDD68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249" w:type="pct"/>
            <w:vAlign w:val="center"/>
          </w:tcPr>
          <w:p w14:paraId="0F4DBCB6">
            <w:pPr>
              <w:pStyle w:val="23"/>
              <w:rPr>
                <w:rFonts w:ascii="宋体" w:hAnsi="宋体"/>
                <w:kern w:val="0"/>
                <w:szCs w:val="21"/>
              </w:rPr>
            </w:pPr>
            <w:r>
              <w:rPr>
                <w:rFonts w:ascii="宋体" w:hAnsi="宋体"/>
                <w:kern w:val="0"/>
                <w:szCs w:val="21"/>
              </w:rPr>
              <w:t>3、第三产业</w:t>
            </w:r>
          </w:p>
        </w:tc>
        <w:tc>
          <w:tcPr>
            <w:tcW w:w="1251" w:type="pct"/>
            <w:vAlign w:val="center"/>
          </w:tcPr>
          <w:p w14:paraId="43FF6957">
            <w:pPr>
              <w:pStyle w:val="23"/>
              <w:jc w:val="center"/>
              <w:rPr>
                <w:rFonts w:ascii="宋体" w:hAnsi="宋体"/>
                <w:kern w:val="0"/>
                <w:szCs w:val="21"/>
              </w:rPr>
            </w:pPr>
            <w:r>
              <w:rPr>
                <w:rFonts w:ascii="宋体" w:hAnsi="宋体"/>
                <w:kern w:val="0"/>
                <w:szCs w:val="21"/>
              </w:rPr>
              <w:t>万元</w:t>
            </w:r>
          </w:p>
        </w:tc>
        <w:tc>
          <w:tcPr>
            <w:tcW w:w="1249" w:type="pct"/>
            <w:vAlign w:val="center"/>
          </w:tcPr>
          <w:p w14:paraId="38EE92C3">
            <w:pPr>
              <w:pStyle w:val="23"/>
              <w:jc w:val="center"/>
              <w:rPr>
                <w:rFonts w:ascii="宋体" w:hAnsi="宋体"/>
                <w:kern w:val="0"/>
                <w:szCs w:val="21"/>
              </w:rPr>
            </w:pPr>
            <w:r>
              <w:rPr>
                <w:rFonts w:ascii="宋体" w:hAnsi="宋体"/>
                <w:kern w:val="0"/>
                <w:szCs w:val="21"/>
              </w:rPr>
              <w:t>234608</w:t>
            </w:r>
          </w:p>
        </w:tc>
        <w:tc>
          <w:tcPr>
            <w:tcW w:w="1251" w:type="pct"/>
            <w:vAlign w:val="center"/>
          </w:tcPr>
          <w:p w14:paraId="6A1036D1">
            <w:pPr>
              <w:pStyle w:val="23"/>
              <w:jc w:val="center"/>
              <w:rPr>
                <w:rFonts w:ascii="宋体" w:hAnsi="宋体"/>
                <w:kern w:val="0"/>
                <w:szCs w:val="21"/>
              </w:rPr>
            </w:pPr>
            <w:r>
              <w:rPr>
                <w:rFonts w:ascii="宋体" w:hAnsi="宋体"/>
                <w:kern w:val="0"/>
                <w:szCs w:val="21"/>
              </w:rPr>
              <w:t>194896</w:t>
            </w:r>
          </w:p>
        </w:tc>
      </w:tr>
    </w:tbl>
    <w:p w14:paraId="769E1A44">
      <w:pPr>
        <w:ind w:firstLine="0" w:firstLineChars="0"/>
        <w:jc w:val="center"/>
        <w:rPr>
          <w:rFonts w:ascii="宋体" w:hAnsi="宋体"/>
          <w:b/>
          <w:szCs w:val="21"/>
        </w:rPr>
      </w:pPr>
      <w:r>
        <w:rPr>
          <w:rFonts w:hint="eastAsia" w:ascii="宋体" w:hAnsi="宋体"/>
          <w:b/>
          <w:szCs w:val="21"/>
        </w:rPr>
        <w:t>表74 固定资产投资总额及构成情况（二）</w:t>
      </w:r>
    </w:p>
    <w:tbl>
      <w:tblPr>
        <w:tblStyle w:val="14"/>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30" w:type="dxa"/>
          <w:bottom w:w="0" w:type="dxa"/>
          <w:right w:w="30" w:type="dxa"/>
        </w:tblCellMar>
      </w:tblPr>
      <w:tblGrid>
        <w:gridCol w:w="3675"/>
        <w:gridCol w:w="1290"/>
        <w:gridCol w:w="2420"/>
        <w:gridCol w:w="2421"/>
      </w:tblGrid>
      <w:tr w14:paraId="3431A2C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874" w:type="pct"/>
            <w:vAlign w:val="center"/>
          </w:tcPr>
          <w:p w14:paraId="1A65EFCA">
            <w:pPr>
              <w:pStyle w:val="23"/>
              <w:jc w:val="center"/>
              <w:rPr>
                <w:rFonts w:ascii="宋体" w:hAnsi="宋体"/>
                <w:b/>
                <w:kern w:val="0"/>
                <w:szCs w:val="21"/>
              </w:rPr>
            </w:pPr>
            <w:r>
              <w:rPr>
                <w:rFonts w:ascii="宋体" w:hAnsi="宋体"/>
                <w:b/>
                <w:kern w:val="0"/>
                <w:szCs w:val="21"/>
              </w:rPr>
              <w:t>指标名称</w:t>
            </w:r>
          </w:p>
        </w:tc>
        <w:tc>
          <w:tcPr>
            <w:tcW w:w="658" w:type="pct"/>
            <w:vAlign w:val="center"/>
          </w:tcPr>
          <w:p w14:paraId="6ECB1524">
            <w:pPr>
              <w:pStyle w:val="23"/>
              <w:jc w:val="center"/>
              <w:rPr>
                <w:rFonts w:ascii="宋体" w:hAnsi="宋体"/>
                <w:b/>
                <w:kern w:val="0"/>
                <w:szCs w:val="21"/>
              </w:rPr>
            </w:pPr>
            <w:r>
              <w:rPr>
                <w:rFonts w:ascii="宋体" w:hAnsi="宋体"/>
                <w:b/>
                <w:kern w:val="0"/>
                <w:szCs w:val="21"/>
              </w:rPr>
              <w:t>单位</w:t>
            </w:r>
          </w:p>
        </w:tc>
        <w:tc>
          <w:tcPr>
            <w:tcW w:w="1234" w:type="pct"/>
            <w:vAlign w:val="center"/>
          </w:tcPr>
          <w:p w14:paraId="157F1A56">
            <w:pPr>
              <w:pStyle w:val="23"/>
              <w:jc w:val="center"/>
              <w:rPr>
                <w:rFonts w:ascii="宋体" w:hAnsi="宋体"/>
                <w:b/>
                <w:kern w:val="0"/>
                <w:szCs w:val="21"/>
              </w:rPr>
            </w:pPr>
            <w:r>
              <w:rPr>
                <w:rFonts w:ascii="宋体" w:hAnsi="宋体"/>
                <w:b/>
                <w:kern w:val="0"/>
                <w:szCs w:val="21"/>
              </w:rPr>
              <w:t>安装工程</w:t>
            </w:r>
          </w:p>
        </w:tc>
        <w:tc>
          <w:tcPr>
            <w:tcW w:w="1234" w:type="pct"/>
            <w:vAlign w:val="center"/>
          </w:tcPr>
          <w:p w14:paraId="31634CCB">
            <w:pPr>
              <w:pStyle w:val="23"/>
              <w:jc w:val="center"/>
              <w:rPr>
                <w:rFonts w:ascii="宋体" w:hAnsi="宋体"/>
                <w:b/>
                <w:kern w:val="0"/>
                <w:szCs w:val="21"/>
              </w:rPr>
            </w:pPr>
            <w:r>
              <w:rPr>
                <w:rFonts w:ascii="宋体" w:hAnsi="宋体"/>
                <w:b/>
                <w:kern w:val="0"/>
                <w:szCs w:val="21"/>
              </w:rPr>
              <w:t>其他费用</w:t>
            </w:r>
          </w:p>
        </w:tc>
      </w:tr>
      <w:tr w14:paraId="4BDA152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874" w:type="pct"/>
            <w:vAlign w:val="center"/>
          </w:tcPr>
          <w:p w14:paraId="50EB2295">
            <w:pPr>
              <w:pStyle w:val="23"/>
              <w:rPr>
                <w:rFonts w:ascii="宋体" w:hAnsi="宋体"/>
                <w:kern w:val="0"/>
                <w:szCs w:val="21"/>
              </w:rPr>
            </w:pPr>
            <w:r>
              <w:rPr>
                <w:rFonts w:ascii="宋体" w:hAnsi="宋体"/>
                <w:kern w:val="0"/>
                <w:szCs w:val="21"/>
              </w:rPr>
              <w:t>合计</w:t>
            </w:r>
          </w:p>
        </w:tc>
        <w:tc>
          <w:tcPr>
            <w:tcW w:w="658" w:type="pct"/>
            <w:vAlign w:val="center"/>
          </w:tcPr>
          <w:p w14:paraId="0F78E0AD">
            <w:pPr>
              <w:pStyle w:val="23"/>
              <w:jc w:val="center"/>
              <w:rPr>
                <w:rFonts w:ascii="宋体" w:hAnsi="宋体"/>
                <w:kern w:val="0"/>
                <w:szCs w:val="21"/>
              </w:rPr>
            </w:pPr>
            <w:r>
              <w:rPr>
                <w:rFonts w:ascii="宋体" w:hAnsi="宋体"/>
                <w:kern w:val="0"/>
                <w:szCs w:val="21"/>
              </w:rPr>
              <w:t>万元</w:t>
            </w:r>
          </w:p>
        </w:tc>
        <w:tc>
          <w:tcPr>
            <w:tcW w:w="1234" w:type="pct"/>
            <w:vAlign w:val="center"/>
          </w:tcPr>
          <w:p w14:paraId="57403160">
            <w:pPr>
              <w:pStyle w:val="23"/>
              <w:jc w:val="center"/>
              <w:rPr>
                <w:rFonts w:ascii="宋体" w:hAnsi="宋体"/>
                <w:kern w:val="0"/>
                <w:szCs w:val="21"/>
              </w:rPr>
            </w:pPr>
            <w:r>
              <w:rPr>
                <w:rFonts w:ascii="宋体" w:hAnsi="宋体"/>
                <w:kern w:val="0"/>
                <w:szCs w:val="21"/>
              </w:rPr>
              <w:t>67943</w:t>
            </w:r>
          </w:p>
        </w:tc>
        <w:tc>
          <w:tcPr>
            <w:tcW w:w="1234" w:type="pct"/>
            <w:vAlign w:val="center"/>
          </w:tcPr>
          <w:p w14:paraId="2AB286B4">
            <w:pPr>
              <w:pStyle w:val="23"/>
              <w:jc w:val="center"/>
              <w:rPr>
                <w:rFonts w:ascii="宋体" w:hAnsi="宋体"/>
                <w:kern w:val="0"/>
                <w:szCs w:val="21"/>
              </w:rPr>
            </w:pPr>
            <w:r>
              <w:rPr>
                <w:rFonts w:ascii="宋体" w:hAnsi="宋体"/>
                <w:kern w:val="0"/>
                <w:szCs w:val="21"/>
              </w:rPr>
              <w:t>22245</w:t>
            </w:r>
          </w:p>
        </w:tc>
      </w:tr>
      <w:tr w14:paraId="3FD45D9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874" w:type="pct"/>
            <w:vAlign w:val="center"/>
          </w:tcPr>
          <w:p w14:paraId="3D4F852C">
            <w:pPr>
              <w:pStyle w:val="23"/>
              <w:ind w:firstLine="420" w:firstLineChars="200"/>
              <w:rPr>
                <w:rFonts w:ascii="宋体" w:hAnsi="宋体"/>
                <w:kern w:val="0"/>
                <w:szCs w:val="21"/>
              </w:rPr>
            </w:pPr>
            <w:r>
              <w:rPr>
                <w:rFonts w:ascii="宋体" w:hAnsi="宋体"/>
                <w:kern w:val="0"/>
                <w:szCs w:val="21"/>
              </w:rPr>
              <w:t>其中</w:t>
            </w:r>
            <w:r>
              <w:rPr>
                <w:rFonts w:hint="eastAsia" w:ascii="宋体" w:hAnsi="宋体"/>
                <w:kern w:val="0"/>
                <w:szCs w:val="21"/>
              </w:rPr>
              <w:t>：</w:t>
            </w:r>
            <w:r>
              <w:rPr>
                <w:rFonts w:ascii="宋体" w:hAnsi="宋体"/>
                <w:kern w:val="0"/>
                <w:szCs w:val="21"/>
              </w:rPr>
              <w:t>建安工程</w:t>
            </w:r>
          </w:p>
        </w:tc>
        <w:tc>
          <w:tcPr>
            <w:tcW w:w="658" w:type="pct"/>
            <w:vAlign w:val="center"/>
          </w:tcPr>
          <w:p w14:paraId="7941DAB5">
            <w:pPr>
              <w:pStyle w:val="23"/>
              <w:jc w:val="center"/>
              <w:rPr>
                <w:rFonts w:ascii="宋体" w:hAnsi="宋体"/>
                <w:kern w:val="0"/>
                <w:szCs w:val="21"/>
              </w:rPr>
            </w:pPr>
            <w:r>
              <w:rPr>
                <w:rFonts w:ascii="宋体" w:hAnsi="宋体"/>
                <w:kern w:val="0"/>
                <w:szCs w:val="21"/>
              </w:rPr>
              <w:t>万元</w:t>
            </w:r>
          </w:p>
        </w:tc>
        <w:tc>
          <w:tcPr>
            <w:tcW w:w="1234" w:type="pct"/>
            <w:vAlign w:val="center"/>
          </w:tcPr>
          <w:p w14:paraId="70C16BBF">
            <w:pPr>
              <w:pStyle w:val="23"/>
              <w:jc w:val="center"/>
              <w:rPr>
                <w:rFonts w:ascii="宋体" w:hAnsi="宋体"/>
                <w:kern w:val="0"/>
                <w:szCs w:val="21"/>
              </w:rPr>
            </w:pPr>
            <w:r>
              <w:rPr>
                <w:rFonts w:ascii="宋体" w:hAnsi="宋体"/>
                <w:kern w:val="0"/>
                <w:szCs w:val="21"/>
              </w:rPr>
              <w:t>67943</w:t>
            </w:r>
          </w:p>
        </w:tc>
        <w:tc>
          <w:tcPr>
            <w:tcW w:w="1234" w:type="pct"/>
            <w:vAlign w:val="center"/>
          </w:tcPr>
          <w:p w14:paraId="18783B38">
            <w:pPr>
              <w:pStyle w:val="23"/>
              <w:jc w:val="center"/>
              <w:rPr>
                <w:rFonts w:ascii="宋体" w:hAnsi="宋体"/>
                <w:kern w:val="0"/>
                <w:szCs w:val="21"/>
              </w:rPr>
            </w:pPr>
          </w:p>
        </w:tc>
      </w:tr>
      <w:tr w14:paraId="50BF329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874" w:type="pct"/>
            <w:vAlign w:val="center"/>
          </w:tcPr>
          <w:p w14:paraId="388093DA">
            <w:pPr>
              <w:pStyle w:val="23"/>
              <w:rPr>
                <w:rFonts w:ascii="宋体" w:hAnsi="宋体"/>
                <w:kern w:val="0"/>
                <w:szCs w:val="21"/>
              </w:rPr>
            </w:pPr>
            <w:r>
              <w:rPr>
                <w:rFonts w:ascii="宋体" w:hAnsi="宋体"/>
                <w:kern w:val="0"/>
                <w:szCs w:val="21"/>
              </w:rPr>
              <w:t>一、按产业分</w:t>
            </w:r>
          </w:p>
        </w:tc>
        <w:tc>
          <w:tcPr>
            <w:tcW w:w="658" w:type="pct"/>
            <w:vAlign w:val="center"/>
          </w:tcPr>
          <w:p w14:paraId="6539591A">
            <w:pPr>
              <w:pStyle w:val="23"/>
              <w:jc w:val="center"/>
              <w:rPr>
                <w:rFonts w:ascii="宋体" w:hAnsi="宋体"/>
                <w:kern w:val="0"/>
                <w:szCs w:val="21"/>
              </w:rPr>
            </w:pPr>
          </w:p>
        </w:tc>
        <w:tc>
          <w:tcPr>
            <w:tcW w:w="1234" w:type="pct"/>
            <w:vAlign w:val="center"/>
          </w:tcPr>
          <w:p w14:paraId="4049673D">
            <w:pPr>
              <w:pStyle w:val="23"/>
              <w:jc w:val="center"/>
              <w:rPr>
                <w:rFonts w:ascii="宋体" w:hAnsi="宋体"/>
                <w:kern w:val="0"/>
                <w:szCs w:val="21"/>
              </w:rPr>
            </w:pPr>
          </w:p>
        </w:tc>
        <w:tc>
          <w:tcPr>
            <w:tcW w:w="1234" w:type="pct"/>
            <w:vAlign w:val="center"/>
          </w:tcPr>
          <w:p w14:paraId="3AD706D9">
            <w:pPr>
              <w:pStyle w:val="23"/>
              <w:jc w:val="center"/>
              <w:rPr>
                <w:rFonts w:ascii="宋体" w:hAnsi="宋体"/>
                <w:kern w:val="0"/>
                <w:szCs w:val="21"/>
              </w:rPr>
            </w:pPr>
          </w:p>
        </w:tc>
      </w:tr>
      <w:tr w14:paraId="36BB756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874" w:type="pct"/>
            <w:vAlign w:val="center"/>
          </w:tcPr>
          <w:p w14:paraId="477B6D26">
            <w:pPr>
              <w:pStyle w:val="23"/>
              <w:rPr>
                <w:rFonts w:ascii="宋体" w:hAnsi="宋体"/>
                <w:kern w:val="0"/>
                <w:szCs w:val="21"/>
              </w:rPr>
            </w:pPr>
            <w:r>
              <w:rPr>
                <w:rFonts w:ascii="宋体" w:hAnsi="宋体"/>
                <w:kern w:val="0"/>
                <w:szCs w:val="21"/>
              </w:rPr>
              <w:t>1、第一产业</w:t>
            </w:r>
          </w:p>
        </w:tc>
        <w:tc>
          <w:tcPr>
            <w:tcW w:w="658" w:type="pct"/>
            <w:vAlign w:val="center"/>
          </w:tcPr>
          <w:p w14:paraId="70B13833">
            <w:pPr>
              <w:pStyle w:val="23"/>
              <w:jc w:val="center"/>
              <w:rPr>
                <w:rFonts w:ascii="宋体" w:hAnsi="宋体"/>
                <w:kern w:val="0"/>
                <w:szCs w:val="21"/>
              </w:rPr>
            </w:pPr>
            <w:r>
              <w:rPr>
                <w:rFonts w:ascii="宋体" w:hAnsi="宋体"/>
                <w:kern w:val="0"/>
                <w:szCs w:val="21"/>
              </w:rPr>
              <w:t>万元</w:t>
            </w:r>
          </w:p>
        </w:tc>
        <w:tc>
          <w:tcPr>
            <w:tcW w:w="1234" w:type="pct"/>
            <w:vAlign w:val="center"/>
          </w:tcPr>
          <w:p w14:paraId="43B09CCA">
            <w:pPr>
              <w:pStyle w:val="23"/>
              <w:jc w:val="center"/>
              <w:rPr>
                <w:rFonts w:ascii="宋体" w:hAnsi="宋体"/>
                <w:kern w:val="0"/>
                <w:szCs w:val="21"/>
              </w:rPr>
            </w:pPr>
            <w:r>
              <w:rPr>
                <w:rFonts w:ascii="宋体" w:hAnsi="宋体"/>
                <w:kern w:val="0"/>
                <w:szCs w:val="21"/>
              </w:rPr>
              <w:t>3213</w:t>
            </w:r>
          </w:p>
        </w:tc>
        <w:tc>
          <w:tcPr>
            <w:tcW w:w="1234" w:type="pct"/>
            <w:vAlign w:val="center"/>
          </w:tcPr>
          <w:p w14:paraId="48487AFF">
            <w:pPr>
              <w:pStyle w:val="23"/>
              <w:jc w:val="center"/>
              <w:rPr>
                <w:rFonts w:ascii="宋体" w:hAnsi="宋体"/>
                <w:kern w:val="0"/>
                <w:szCs w:val="21"/>
              </w:rPr>
            </w:pPr>
            <w:r>
              <w:rPr>
                <w:rFonts w:ascii="宋体" w:hAnsi="宋体"/>
                <w:kern w:val="0"/>
                <w:szCs w:val="21"/>
              </w:rPr>
              <w:t>779</w:t>
            </w:r>
          </w:p>
        </w:tc>
      </w:tr>
      <w:tr w14:paraId="3A13C41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874" w:type="pct"/>
            <w:vAlign w:val="center"/>
          </w:tcPr>
          <w:p w14:paraId="17AFC2FA">
            <w:pPr>
              <w:pStyle w:val="23"/>
              <w:rPr>
                <w:rFonts w:ascii="宋体" w:hAnsi="宋体"/>
                <w:kern w:val="0"/>
                <w:szCs w:val="21"/>
              </w:rPr>
            </w:pPr>
            <w:r>
              <w:rPr>
                <w:rFonts w:ascii="宋体" w:hAnsi="宋体"/>
                <w:kern w:val="0"/>
                <w:szCs w:val="21"/>
              </w:rPr>
              <w:t>2、第二产业</w:t>
            </w:r>
          </w:p>
        </w:tc>
        <w:tc>
          <w:tcPr>
            <w:tcW w:w="658" w:type="pct"/>
            <w:vAlign w:val="center"/>
          </w:tcPr>
          <w:p w14:paraId="6E929CD6">
            <w:pPr>
              <w:pStyle w:val="23"/>
              <w:jc w:val="center"/>
              <w:rPr>
                <w:rFonts w:ascii="宋体" w:hAnsi="宋体"/>
                <w:kern w:val="0"/>
                <w:szCs w:val="21"/>
              </w:rPr>
            </w:pPr>
            <w:r>
              <w:rPr>
                <w:rFonts w:ascii="宋体" w:hAnsi="宋体"/>
                <w:kern w:val="0"/>
                <w:szCs w:val="21"/>
              </w:rPr>
              <w:t>万元</w:t>
            </w:r>
          </w:p>
        </w:tc>
        <w:tc>
          <w:tcPr>
            <w:tcW w:w="1234" w:type="pct"/>
            <w:vAlign w:val="center"/>
          </w:tcPr>
          <w:p w14:paraId="6E918C1B">
            <w:pPr>
              <w:pStyle w:val="23"/>
              <w:jc w:val="center"/>
              <w:rPr>
                <w:rFonts w:ascii="宋体" w:hAnsi="宋体"/>
                <w:kern w:val="0"/>
                <w:szCs w:val="21"/>
              </w:rPr>
            </w:pPr>
            <w:r>
              <w:rPr>
                <w:rFonts w:ascii="宋体" w:hAnsi="宋体"/>
                <w:kern w:val="0"/>
                <w:szCs w:val="21"/>
              </w:rPr>
              <w:t>45719</w:t>
            </w:r>
          </w:p>
        </w:tc>
        <w:tc>
          <w:tcPr>
            <w:tcW w:w="1234" w:type="pct"/>
            <w:vAlign w:val="center"/>
          </w:tcPr>
          <w:p w14:paraId="1EEF875E">
            <w:pPr>
              <w:pStyle w:val="23"/>
              <w:jc w:val="center"/>
              <w:rPr>
                <w:rFonts w:ascii="宋体" w:hAnsi="宋体"/>
                <w:kern w:val="0"/>
                <w:szCs w:val="21"/>
              </w:rPr>
            </w:pPr>
            <w:r>
              <w:rPr>
                <w:rFonts w:ascii="宋体" w:hAnsi="宋体"/>
                <w:kern w:val="0"/>
                <w:szCs w:val="21"/>
              </w:rPr>
              <w:t>9313</w:t>
            </w:r>
          </w:p>
        </w:tc>
      </w:tr>
      <w:tr w14:paraId="2098CF4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874" w:type="pct"/>
            <w:vAlign w:val="center"/>
          </w:tcPr>
          <w:p w14:paraId="01955A2B">
            <w:pPr>
              <w:pStyle w:val="23"/>
              <w:rPr>
                <w:rFonts w:ascii="宋体" w:hAnsi="宋体"/>
                <w:kern w:val="0"/>
                <w:szCs w:val="21"/>
              </w:rPr>
            </w:pPr>
            <w:r>
              <w:rPr>
                <w:rFonts w:ascii="宋体" w:hAnsi="宋体"/>
                <w:kern w:val="0"/>
                <w:szCs w:val="21"/>
              </w:rPr>
              <w:t>3、第三产业</w:t>
            </w:r>
          </w:p>
        </w:tc>
        <w:tc>
          <w:tcPr>
            <w:tcW w:w="658" w:type="pct"/>
            <w:vAlign w:val="center"/>
          </w:tcPr>
          <w:p w14:paraId="440CEE77">
            <w:pPr>
              <w:pStyle w:val="23"/>
              <w:jc w:val="center"/>
              <w:rPr>
                <w:rFonts w:ascii="宋体" w:hAnsi="宋体"/>
                <w:kern w:val="0"/>
                <w:szCs w:val="21"/>
              </w:rPr>
            </w:pPr>
            <w:r>
              <w:rPr>
                <w:rFonts w:ascii="宋体" w:hAnsi="宋体"/>
                <w:kern w:val="0"/>
                <w:szCs w:val="21"/>
              </w:rPr>
              <w:t>万元</w:t>
            </w:r>
          </w:p>
        </w:tc>
        <w:tc>
          <w:tcPr>
            <w:tcW w:w="1234" w:type="pct"/>
            <w:vAlign w:val="center"/>
          </w:tcPr>
          <w:p w14:paraId="1D4B2DF7">
            <w:pPr>
              <w:pStyle w:val="23"/>
              <w:jc w:val="center"/>
              <w:rPr>
                <w:rFonts w:ascii="宋体" w:hAnsi="宋体"/>
                <w:kern w:val="0"/>
                <w:szCs w:val="21"/>
              </w:rPr>
            </w:pPr>
            <w:r>
              <w:rPr>
                <w:rFonts w:ascii="宋体" w:hAnsi="宋体"/>
                <w:kern w:val="0"/>
                <w:szCs w:val="21"/>
              </w:rPr>
              <w:t>19011</w:t>
            </w:r>
          </w:p>
        </w:tc>
        <w:tc>
          <w:tcPr>
            <w:tcW w:w="1234" w:type="pct"/>
            <w:vAlign w:val="center"/>
          </w:tcPr>
          <w:p w14:paraId="5BFE044B">
            <w:pPr>
              <w:pStyle w:val="23"/>
              <w:jc w:val="center"/>
              <w:rPr>
                <w:rFonts w:ascii="宋体" w:hAnsi="宋体"/>
                <w:kern w:val="0"/>
                <w:szCs w:val="21"/>
              </w:rPr>
            </w:pPr>
            <w:r>
              <w:rPr>
                <w:rFonts w:ascii="宋体" w:hAnsi="宋体"/>
                <w:kern w:val="0"/>
                <w:szCs w:val="21"/>
              </w:rPr>
              <w:t>12153</w:t>
            </w:r>
          </w:p>
        </w:tc>
      </w:tr>
    </w:tbl>
    <w:p w14:paraId="45E1F40A">
      <w:pPr>
        <w:ind w:firstLine="0" w:firstLineChars="0"/>
        <w:jc w:val="center"/>
        <w:rPr>
          <w:rFonts w:ascii="宋体" w:hAnsi="宋体"/>
          <w:b/>
          <w:szCs w:val="21"/>
        </w:rPr>
      </w:pPr>
      <w:r>
        <w:rPr>
          <w:rFonts w:hint="eastAsia" w:ascii="宋体" w:hAnsi="宋体"/>
          <w:b/>
          <w:szCs w:val="21"/>
        </w:rPr>
        <w:t>表75 固定资产投资总额及构成情况（三）</w:t>
      </w:r>
    </w:p>
    <w:tbl>
      <w:tblPr>
        <w:tblStyle w:val="14"/>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30" w:type="dxa"/>
          <w:bottom w:w="0" w:type="dxa"/>
          <w:right w:w="30" w:type="dxa"/>
        </w:tblCellMar>
      </w:tblPr>
      <w:tblGrid>
        <w:gridCol w:w="2865"/>
        <w:gridCol w:w="2038"/>
        <w:gridCol w:w="2450"/>
        <w:gridCol w:w="2453"/>
      </w:tblGrid>
      <w:tr w14:paraId="13411F6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461" w:type="pct"/>
            <w:vAlign w:val="center"/>
          </w:tcPr>
          <w:p w14:paraId="2E7BD032">
            <w:pPr>
              <w:pStyle w:val="23"/>
              <w:jc w:val="center"/>
              <w:rPr>
                <w:rFonts w:ascii="宋体" w:hAnsi="宋体"/>
                <w:b/>
                <w:kern w:val="0"/>
                <w:szCs w:val="21"/>
              </w:rPr>
            </w:pPr>
            <w:r>
              <w:rPr>
                <w:rFonts w:ascii="宋体" w:hAnsi="宋体"/>
                <w:b/>
                <w:kern w:val="0"/>
                <w:szCs w:val="21"/>
              </w:rPr>
              <w:t>指标名称</w:t>
            </w:r>
          </w:p>
        </w:tc>
        <w:tc>
          <w:tcPr>
            <w:tcW w:w="1039" w:type="pct"/>
            <w:vAlign w:val="center"/>
          </w:tcPr>
          <w:p w14:paraId="51CC7B1D">
            <w:pPr>
              <w:pStyle w:val="23"/>
              <w:jc w:val="center"/>
              <w:rPr>
                <w:rFonts w:ascii="宋体" w:hAnsi="宋体"/>
                <w:b/>
                <w:kern w:val="0"/>
                <w:szCs w:val="21"/>
              </w:rPr>
            </w:pPr>
            <w:r>
              <w:rPr>
                <w:rFonts w:ascii="宋体" w:hAnsi="宋体"/>
                <w:b/>
                <w:kern w:val="0"/>
                <w:szCs w:val="21"/>
              </w:rPr>
              <w:t>单位</w:t>
            </w:r>
          </w:p>
        </w:tc>
        <w:tc>
          <w:tcPr>
            <w:tcW w:w="1249" w:type="pct"/>
            <w:vAlign w:val="center"/>
          </w:tcPr>
          <w:p w14:paraId="342926D6">
            <w:pPr>
              <w:pStyle w:val="23"/>
              <w:jc w:val="center"/>
              <w:rPr>
                <w:rFonts w:ascii="宋体" w:hAnsi="宋体"/>
                <w:b/>
                <w:kern w:val="0"/>
                <w:szCs w:val="21"/>
              </w:rPr>
            </w:pPr>
            <w:r>
              <w:rPr>
                <w:rFonts w:ascii="宋体" w:hAnsi="宋体"/>
                <w:b/>
                <w:kern w:val="0"/>
                <w:szCs w:val="21"/>
              </w:rPr>
              <w:t>2011年</w:t>
            </w:r>
          </w:p>
        </w:tc>
        <w:tc>
          <w:tcPr>
            <w:tcW w:w="1251" w:type="pct"/>
            <w:vAlign w:val="center"/>
          </w:tcPr>
          <w:p w14:paraId="375E3C7A">
            <w:pPr>
              <w:pStyle w:val="23"/>
              <w:jc w:val="center"/>
              <w:rPr>
                <w:rFonts w:ascii="宋体" w:hAnsi="宋体"/>
                <w:b/>
                <w:kern w:val="0"/>
                <w:szCs w:val="21"/>
              </w:rPr>
            </w:pPr>
            <w:r>
              <w:rPr>
                <w:rFonts w:ascii="宋体" w:hAnsi="宋体"/>
                <w:b/>
                <w:kern w:val="0"/>
                <w:szCs w:val="21"/>
              </w:rPr>
              <w:t>2010年</w:t>
            </w:r>
          </w:p>
        </w:tc>
      </w:tr>
      <w:tr w14:paraId="65BBC79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461" w:type="pct"/>
            <w:vAlign w:val="center"/>
          </w:tcPr>
          <w:p w14:paraId="26480EC4">
            <w:pPr>
              <w:pStyle w:val="23"/>
              <w:rPr>
                <w:rFonts w:ascii="宋体" w:hAnsi="宋体"/>
                <w:kern w:val="0"/>
                <w:szCs w:val="21"/>
              </w:rPr>
            </w:pPr>
            <w:r>
              <w:rPr>
                <w:rFonts w:ascii="宋体" w:hAnsi="宋体"/>
                <w:kern w:val="0"/>
                <w:szCs w:val="21"/>
              </w:rPr>
              <w:t>1.2合计</w:t>
            </w:r>
          </w:p>
        </w:tc>
        <w:tc>
          <w:tcPr>
            <w:tcW w:w="1039" w:type="pct"/>
            <w:vAlign w:val="center"/>
          </w:tcPr>
          <w:p w14:paraId="66108B91">
            <w:pPr>
              <w:pStyle w:val="23"/>
              <w:jc w:val="center"/>
              <w:rPr>
                <w:rFonts w:ascii="宋体" w:hAnsi="宋体"/>
                <w:kern w:val="0"/>
                <w:szCs w:val="21"/>
              </w:rPr>
            </w:pPr>
            <w:r>
              <w:rPr>
                <w:rFonts w:ascii="宋体" w:hAnsi="宋体"/>
                <w:kern w:val="0"/>
                <w:szCs w:val="21"/>
              </w:rPr>
              <w:t>万元</w:t>
            </w:r>
          </w:p>
        </w:tc>
        <w:tc>
          <w:tcPr>
            <w:tcW w:w="1249" w:type="pct"/>
            <w:vAlign w:val="center"/>
          </w:tcPr>
          <w:p w14:paraId="5676B558">
            <w:pPr>
              <w:pStyle w:val="23"/>
              <w:jc w:val="center"/>
              <w:rPr>
                <w:rFonts w:ascii="宋体" w:hAnsi="宋体"/>
                <w:kern w:val="0"/>
                <w:szCs w:val="21"/>
              </w:rPr>
            </w:pPr>
            <w:r>
              <w:rPr>
                <w:rFonts w:ascii="宋体" w:hAnsi="宋体"/>
                <w:kern w:val="0"/>
                <w:szCs w:val="21"/>
              </w:rPr>
              <w:t>627340</w:t>
            </w:r>
          </w:p>
        </w:tc>
        <w:tc>
          <w:tcPr>
            <w:tcW w:w="1251" w:type="pct"/>
            <w:vAlign w:val="center"/>
          </w:tcPr>
          <w:p w14:paraId="7AE4662B">
            <w:pPr>
              <w:pStyle w:val="23"/>
              <w:jc w:val="center"/>
              <w:rPr>
                <w:rFonts w:ascii="宋体" w:hAnsi="宋体"/>
                <w:kern w:val="0"/>
                <w:szCs w:val="21"/>
              </w:rPr>
            </w:pPr>
            <w:r>
              <w:rPr>
                <w:rFonts w:ascii="宋体" w:hAnsi="宋体"/>
                <w:kern w:val="0"/>
                <w:szCs w:val="21"/>
              </w:rPr>
              <w:t>516040</w:t>
            </w:r>
          </w:p>
        </w:tc>
      </w:tr>
      <w:tr w14:paraId="27FCB1A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461" w:type="pct"/>
            <w:vAlign w:val="center"/>
          </w:tcPr>
          <w:p w14:paraId="539EFAE4">
            <w:pPr>
              <w:pStyle w:val="23"/>
              <w:rPr>
                <w:rFonts w:ascii="宋体" w:hAnsi="宋体"/>
                <w:kern w:val="0"/>
                <w:szCs w:val="21"/>
              </w:rPr>
            </w:pPr>
            <w:r>
              <w:rPr>
                <w:rFonts w:ascii="宋体" w:hAnsi="宋体"/>
                <w:kern w:val="0"/>
                <w:szCs w:val="21"/>
              </w:rPr>
              <w:t>1、城镇投资完成额</w:t>
            </w:r>
          </w:p>
        </w:tc>
        <w:tc>
          <w:tcPr>
            <w:tcW w:w="1039" w:type="pct"/>
            <w:vAlign w:val="center"/>
          </w:tcPr>
          <w:p w14:paraId="4CC31D60">
            <w:pPr>
              <w:pStyle w:val="23"/>
              <w:jc w:val="center"/>
              <w:rPr>
                <w:rFonts w:ascii="宋体" w:hAnsi="宋体"/>
                <w:kern w:val="0"/>
                <w:szCs w:val="21"/>
              </w:rPr>
            </w:pPr>
            <w:r>
              <w:rPr>
                <w:rFonts w:ascii="宋体" w:hAnsi="宋体"/>
                <w:kern w:val="0"/>
                <w:szCs w:val="21"/>
              </w:rPr>
              <w:t>万元</w:t>
            </w:r>
          </w:p>
        </w:tc>
        <w:tc>
          <w:tcPr>
            <w:tcW w:w="1249" w:type="pct"/>
            <w:vAlign w:val="center"/>
          </w:tcPr>
          <w:p w14:paraId="29E6DCE4">
            <w:pPr>
              <w:pStyle w:val="23"/>
              <w:jc w:val="center"/>
              <w:rPr>
                <w:rFonts w:ascii="宋体" w:hAnsi="宋体"/>
                <w:kern w:val="0"/>
                <w:szCs w:val="21"/>
              </w:rPr>
            </w:pPr>
            <w:r>
              <w:rPr>
                <w:rFonts w:ascii="宋体" w:hAnsi="宋体"/>
                <w:kern w:val="0"/>
                <w:szCs w:val="21"/>
              </w:rPr>
              <w:t>623144</w:t>
            </w:r>
          </w:p>
        </w:tc>
        <w:tc>
          <w:tcPr>
            <w:tcW w:w="1251" w:type="pct"/>
            <w:vAlign w:val="center"/>
          </w:tcPr>
          <w:p w14:paraId="73793142">
            <w:pPr>
              <w:pStyle w:val="23"/>
              <w:jc w:val="center"/>
              <w:rPr>
                <w:rFonts w:ascii="宋体" w:hAnsi="宋体"/>
                <w:kern w:val="0"/>
                <w:szCs w:val="21"/>
              </w:rPr>
            </w:pPr>
            <w:r>
              <w:rPr>
                <w:rFonts w:ascii="宋体" w:hAnsi="宋体"/>
                <w:kern w:val="0"/>
                <w:szCs w:val="21"/>
              </w:rPr>
              <w:t>515190</w:t>
            </w:r>
          </w:p>
        </w:tc>
      </w:tr>
      <w:tr w14:paraId="5873BF4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461" w:type="pct"/>
            <w:vAlign w:val="center"/>
          </w:tcPr>
          <w:p w14:paraId="3A5563B2">
            <w:pPr>
              <w:pStyle w:val="23"/>
              <w:ind w:firstLine="420" w:firstLineChars="200"/>
              <w:rPr>
                <w:rFonts w:ascii="宋体" w:hAnsi="宋体"/>
                <w:kern w:val="0"/>
                <w:szCs w:val="21"/>
              </w:rPr>
            </w:pPr>
            <w:r>
              <w:rPr>
                <w:rFonts w:ascii="宋体" w:hAnsi="宋体"/>
                <w:kern w:val="0"/>
                <w:szCs w:val="21"/>
              </w:rPr>
              <w:t>其中</w:t>
            </w:r>
            <w:r>
              <w:rPr>
                <w:rFonts w:hint="eastAsia" w:ascii="宋体" w:hAnsi="宋体"/>
                <w:kern w:val="0"/>
                <w:szCs w:val="21"/>
              </w:rPr>
              <w:t>：</w:t>
            </w:r>
            <w:r>
              <w:rPr>
                <w:rFonts w:ascii="宋体" w:hAnsi="宋体"/>
                <w:kern w:val="0"/>
                <w:szCs w:val="21"/>
              </w:rPr>
              <w:t>固定资产投资项目</w:t>
            </w:r>
          </w:p>
        </w:tc>
        <w:tc>
          <w:tcPr>
            <w:tcW w:w="1039" w:type="pct"/>
            <w:vAlign w:val="center"/>
          </w:tcPr>
          <w:p w14:paraId="7C781EA4">
            <w:pPr>
              <w:pStyle w:val="23"/>
              <w:jc w:val="center"/>
              <w:rPr>
                <w:rFonts w:ascii="宋体" w:hAnsi="宋体"/>
                <w:kern w:val="0"/>
                <w:szCs w:val="21"/>
              </w:rPr>
            </w:pPr>
            <w:r>
              <w:rPr>
                <w:rFonts w:ascii="宋体" w:hAnsi="宋体"/>
                <w:kern w:val="0"/>
                <w:szCs w:val="21"/>
              </w:rPr>
              <w:t>万元</w:t>
            </w:r>
          </w:p>
        </w:tc>
        <w:tc>
          <w:tcPr>
            <w:tcW w:w="1249" w:type="pct"/>
            <w:vAlign w:val="center"/>
          </w:tcPr>
          <w:p w14:paraId="26327EE6">
            <w:pPr>
              <w:pStyle w:val="23"/>
              <w:jc w:val="center"/>
              <w:rPr>
                <w:rFonts w:ascii="宋体" w:hAnsi="宋体"/>
                <w:kern w:val="0"/>
                <w:szCs w:val="21"/>
              </w:rPr>
            </w:pPr>
            <w:r>
              <w:rPr>
                <w:rFonts w:ascii="宋体" w:hAnsi="宋体"/>
                <w:kern w:val="0"/>
                <w:szCs w:val="21"/>
              </w:rPr>
              <w:t>581882</w:t>
            </w:r>
          </w:p>
        </w:tc>
        <w:tc>
          <w:tcPr>
            <w:tcW w:w="1251" w:type="pct"/>
            <w:vAlign w:val="center"/>
          </w:tcPr>
          <w:p w14:paraId="7E14F320">
            <w:pPr>
              <w:pStyle w:val="23"/>
              <w:jc w:val="center"/>
              <w:rPr>
                <w:rFonts w:ascii="宋体" w:hAnsi="宋体"/>
                <w:kern w:val="0"/>
                <w:szCs w:val="21"/>
              </w:rPr>
            </w:pPr>
            <w:r>
              <w:rPr>
                <w:rFonts w:ascii="宋体" w:hAnsi="宋体"/>
                <w:kern w:val="0"/>
                <w:szCs w:val="21"/>
              </w:rPr>
              <w:t>482035</w:t>
            </w:r>
          </w:p>
        </w:tc>
      </w:tr>
      <w:tr w14:paraId="7AB5B7B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461" w:type="pct"/>
            <w:vAlign w:val="center"/>
          </w:tcPr>
          <w:p w14:paraId="173E9D8D">
            <w:pPr>
              <w:pStyle w:val="23"/>
              <w:ind w:firstLine="1050" w:firstLineChars="500"/>
              <w:rPr>
                <w:rFonts w:ascii="宋体" w:hAnsi="宋体"/>
                <w:kern w:val="0"/>
                <w:szCs w:val="21"/>
              </w:rPr>
            </w:pPr>
            <w:r>
              <w:rPr>
                <w:rFonts w:ascii="宋体" w:hAnsi="宋体"/>
                <w:kern w:val="0"/>
                <w:szCs w:val="21"/>
              </w:rPr>
              <w:t>房地产开发</w:t>
            </w:r>
          </w:p>
        </w:tc>
        <w:tc>
          <w:tcPr>
            <w:tcW w:w="1039" w:type="pct"/>
            <w:vAlign w:val="center"/>
          </w:tcPr>
          <w:p w14:paraId="0C0D315F">
            <w:pPr>
              <w:pStyle w:val="23"/>
              <w:jc w:val="center"/>
              <w:rPr>
                <w:rFonts w:ascii="宋体" w:hAnsi="宋体"/>
                <w:kern w:val="0"/>
                <w:szCs w:val="21"/>
              </w:rPr>
            </w:pPr>
            <w:r>
              <w:rPr>
                <w:rFonts w:ascii="宋体" w:hAnsi="宋体"/>
                <w:kern w:val="0"/>
                <w:szCs w:val="21"/>
              </w:rPr>
              <w:t>万元</w:t>
            </w:r>
          </w:p>
        </w:tc>
        <w:tc>
          <w:tcPr>
            <w:tcW w:w="1249" w:type="pct"/>
            <w:vAlign w:val="center"/>
          </w:tcPr>
          <w:p w14:paraId="2C1671CB">
            <w:pPr>
              <w:pStyle w:val="23"/>
              <w:jc w:val="center"/>
              <w:rPr>
                <w:rFonts w:ascii="宋体" w:hAnsi="宋体"/>
                <w:kern w:val="0"/>
                <w:szCs w:val="21"/>
              </w:rPr>
            </w:pPr>
            <w:r>
              <w:rPr>
                <w:rFonts w:ascii="宋体" w:hAnsi="宋体"/>
                <w:kern w:val="0"/>
                <w:szCs w:val="21"/>
              </w:rPr>
              <w:t>41262</w:t>
            </w:r>
          </w:p>
        </w:tc>
        <w:tc>
          <w:tcPr>
            <w:tcW w:w="1251" w:type="pct"/>
            <w:vAlign w:val="center"/>
          </w:tcPr>
          <w:p w14:paraId="033108B9">
            <w:pPr>
              <w:pStyle w:val="23"/>
              <w:jc w:val="center"/>
              <w:rPr>
                <w:rFonts w:ascii="宋体" w:hAnsi="宋体"/>
                <w:kern w:val="0"/>
                <w:szCs w:val="21"/>
              </w:rPr>
            </w:pPr>
            <w:r>
              <w:rPr>
                <w:rFonts w:ascii="宋体" w:hAnsi="宋体"/>
                <w:kern w:val="0"/>
                <w:szCs w:val="21"/>
              </w:rPr>
              <w:t>33155</w:t>
            </w:r>
          </w:p>
        </w:tc>
      </w:tr>
      <w:tr w14:paraId="6E5701D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461" w:type="pct"/>
            <w:vAlign w:val="center"/>
          </w:tcPr>
          <w:p w14:paraId="74320B58">
            <w:pPr>
              <w:pStyle w:val="23"/>
              <w:ind w:firstLine="1050" w:firstLineChars="500"/>
              <w:rPr>
                <w:rFonts w:ascii="宋体" w:hAnsi="宋体"/>
                <w:kern w:val="0"/>
                <w:szCs w:val="21"/>
              </w:rPr>
            </w:pPr>
            <w:r>
              <w:rPr>
                <w:rFonts w:ascii="宋体" w:hAnsi="宋体"/>
                <w:kern w:val="0"/>
                <w:szCs w:val="21"/>
              </w:rPr>
              <w:t>韶赣铁路</w:t>
            </w:r>
          </w:p>
        </w:tc>
        <w:tc>
          <w:tcPr>
            <w:tcW w:w="1039" w:type="pct"/>
            <w:vAlign w:val="center"/>
          </w:tcPr>
          <w:p w14:paraId="3B887202">
            <w:pPr>
              <w:pStyle w:val="23"/>
              <w:jc w:val="center"/>
              <w:rPr>
                <w:rFonts w:ascii="宋体" w:hAnsi="宋体"/>
                <w:kern w:val="0"/>
                <w:szCs w:val="21"/>
              </w:rPr>
            </w:pPr>
            <w:r>
              <w:rPr>
                <w:rFonts w:ascii="宋体" w:hAnsi="宋体"/>
                <w:kern w:val="0"/>
                <w:szCs w:val="21"/>
              </w:rPr>
              <w:t>万元</w:t>
            </w:r>
          </w:p>
        </w:tc>
        <w:tc>
          <w:tcPr>
            <w:tcW w:w="1249" w:type="pct"/>
            <w:vAlign w:val="center"/>
          </w:tcPr>
          <w:p w14:paraId="587ED8FB">
            <w:pPr>
              <w:pStyle w:val="23"/>
              <w:jc w:val="center"/>
              <w:rPr>
                <w:rFonts w:ascii="宋体" w:hAnsi="宋体"/>
                <w:kern w:val="0"/>
                <w:szCs w:val="21"/>
              </w:rPr>
            </w:pPr>
            <w:r>
              <w:rPr>
                <w:rFonts w:ascii="宋体" w:hAnsi="宋体"/>
                <w:kern w:val="0"/>
                <w:szCs w:val="21"/>
              </w:rPr>
              <w:t>8581</w:t>
            </w:r>
          </w:p>
        </w:tc>
        <w:tc>
          <w:tcPr>
            <w:tcW w:w="1251" w:type="pct"/>
            <w:vAlign w:val="center"/>
          </w:tcPr>
          <w:p w14:paraId="5CE7A82F">
            <w:pPr>
              <w:pStyle w:val="23"/>
              <w:jc w:val="center"/>
              <w:rPr>
                <w:rFonts w:ascii="宋体" w:hAnsi="宋体"/>
                <w:kern w:val="0"/>
                <w:szCs w:val="21"/>
              </w:rPr>
            </w:pPr>
            <w:r>
              <w:rPr>
                <w:rFonts w:ascii="宋体" w:hAnsi="宋体"/>
                <w:kern w:val="0"/>
                <w:szCs w:val="21"/>
              </w:rPr>
              <w:t>44369</w:t>
            </w:r>
          </w:p>
        </w:tc>
      </w:tr>
      <w:tr w14:paraId="43F78C7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461" w:type="pct"/>
            <w:vAlign w:val="center"/>
          </w:tcPr>
          <w:p w14:paraId="00AAD2DA">
            <w:pPr>
              <w:pStyle w:val="23"/>
              <w:rPr>
                <w:rFonts w:ascii="宋体" w:hAnsi="宋体"/>
                <w:kern w:val="0"/>
                <w:szCs w:val="21"/>
              </w:rPr>
            </w:pPr>
            <w:r>
              <w:rPr>
                <w:rFonts w:ascii="宋体" w:hAnsi="宋体"/>
                <w:kern w:val="0"/>
                <w:szCs w:val="21"/>
              </w:rPr>
              <w:t>2、农村投资</w:t>
            </w:r>
          </w:p>
        </w:tc>
        <w:tc>
          <w:tcPr>
            <w:tcW w:w="1039" w:type="pct"/>
            <w:vAlign w:val="center"/>
          </w:tcPr>
          <w:p w14:paraId="01FE7616">
            <w:pPr>
              <w:pStyle w:val="23"/>
              <w:jc w:val="center"/>
              <w:rPr>
                <w:rFonts w:ascii="宋体" w:hAnsi="宋体"/>
                <w:kern w:val="0"/>
                <w:szCs w:val="21"/>
              </w:rPr>
            </w:pPr>
            <w:r>
              <w:rPr>
                <w:rFonts w:ascii="宋体" w:hAnsi="宋体"/>
                <w:kern w:val="0"/>
                <w:szCs w:val="21"/>
              </w:rPr>
              <w:t>万元</w:t>
            </w:r>
          </w:p>
        </w:tc>
        <w:tc>
          <w:tcPr>
            <w:tcW w:w="1249" w:type="pct"/>
            <w:vAlign w:val="center"/>
          </w:tcPr>
          <w:p w14:paraId="642A2BCD">
            <w:pPr>
              <w:pStyle w:val="23"/>
              <w:jc w:val="center"/>
              <w:rPr>
                <w:rFonts w:ascii="宋体" w:hAnsi="宋体"/>
                <w:kern w:val="0"/>
                <w:szCs w:val="21"/>
              </w:rPr>
            </w:pPr>
            <w:r>
              <w:rPr>
                <w:rFonts w:ascii="宋体" w:hAnsi="宋体"/>
                <w:kern w:val="0"/>
                <w:szCs w:val="21"/>
              </w:rPr>
              <w:t>4196</w:t>
            </w:r>
          </w:p>
        </w:tc>
        <w:tc>
          <w:tcPr>
            <w:tcW w:w="1251" w:type="pct"/>
            <w:vAlign w:val="center"/>
          </w:tcPr>
          <w:p w14:paraId="6180B834">
            <w:pPr>
              <w:pStyle w:val="23"/>
              <w:jc w:val="center"/>
              <w:rPr>
                <w:rFonts w:ascii="宋体" w:hAnsi="宋体"/>
                <w:kern w:val="0"/>
                <w:szCs w:val="21"/>
              </w:rPr>
            </w:pPr>
            <w:r>
              <w:rPr>
                <w:rFonts w:ascii="宋体" w:hAnsi="宋体"/>
                <w:kern w:val="0"/>
                <w:szCs w:val="21"/>
              </w:rPr>
              <w:t>850</w:t>
            </w:r>
          </w:p>
        </w:tc>
      </w:tr>
      <w:tr w14:paraId="6D5407F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461" w:type="pct"/>
            <w:vAlign w:val="center"/>
          </w:tcPr>
          <w:p w14:paraId="3137CDC4">
            <w:pPr>
              <w:pStyle w:val="23"/>
              <w:rPr>
                <w:rFonts w:ascii="宋体" w:hAnsi="宋体"/>
                <w:kern w:val="0"/>
                <w:szCs w:val="21"/>
              </w:rPr>
            </w:pPr>
            <w:r>
              <w:rPr>
                <w:rFonts w:ascii="宋体" w:hAnsi="宋体"/>
                <w:kern w:val="0"/>
                <w:szCs w:val="21"/>
              </w:rPr>
              <w:t>登记注册类型分</w:t>
            </w:r>
          </w:p>
        </w:tc>
        <w:tc>
          <w:tcPr>
            <w:tcW w:w="1039" w:type="pct"/>
            <w:vAlign w:val="center"/>
          </w:tcPr>
          <w:p w14:paraId="4C35B196">
            <w:pPr>
              <w:pStyle w:val="23"/>
              <w:jc w:val="center"/>
              <w:rPr>
                <w:rFonts w:ascii="宋体" w:hAnsi="宋体"/>
                <w:kern w:val="0"/>
                <w:szCs w:val="21"/>
              </w:rPr>
            </w:pPr>
          </w:p>
        </w:tc>
        <w:tc>
          <w:tcPr>
            <w:tcW w:w="1249" w:type="pct"/>
            <w:vAlign w:val="center"/>
          </w:tcPr>
          <w:p w14:paraId="5FFD4BA0">
            <w:pPr>
              <w:pStyle w:val="23"/>
              <w:jc w:val="center"/>
              <w:rPr>
                <w:rFonts w:ascii="宋体" w:hAnsi="宋体"/>
                <w:kern w:val="0"/>
                <w:szCs w:val="21"/>
              </w:rPr>
            </w:pPr>
          </w:p>
        </w:tc>
        <w:tc>
          <w:tcPr>
            <w:tcW w:w="1251" w:type="pct"/>
            <w:vAlign w:val="center"/>
          </w:tcPr>
          <w:p w14:paraId="5450B325">
            <w:pPr>
              <w:pStyle w:val="23"/>
              <w:jc w:val="center"/>
              <w:rPr>
                <w:rFonts w:ascii="宋体" w:hAnsi="宋体"/>
                <w:kern w:val="0"/>
                <w:szCs w:val="21"/>
              </w:rPr>
            </w:pPr>
          </w:p>
        </w:tc>
      </w:tr>
      <w:tr w14:paraId="2A22102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461" w:type="pct"/>
            <w:vAlign w:val="center"/>
          </w:tcPr>
          <w:p w14:paraId="18F40CD8">
            <w:pPr>
              <w:pStyle w:val="23"/>
              <w:rPr>
                <w:rFonts w:ascii="宋体" w:hAnsi="宋体"/>
                <w:kern w:val="0"/>
                <w:szCs w:val="21"/>
              </w:rPr>
            </w:pPr>
            <w:r>
              <w:rPr>
                <w:rFonts w:ascii="宋体" w:hAnsi="宋体"/>
                <w:kern w:val="0"/>
                <w:szCs w:val="21"/>
              </w:rPr>
              <w:t>国有及国有控股经济</w:t>
            </w:r>
          </w:p>
        </w:tc>
        <w:tc>
          <w:tcPr>
            <w:tcW w:w="1039" w:type="pct"/>
            <w:vAlign w:val="center"/>
          </w:tcPr>
          <w:p w14:paraId="16EBF707">
            <w:pPr>
              <w:pStyle w:val="23"/>
              <w:jc w:val="center"/>
              <w:rPr>
                <w:rFonts w:ascii="宋体" w:hAnsi="宋体"/>
                <w:kern w:val="0"/>
                <w:szCs w:val="21"/>
              </w:rPr>
            </w:pPr>
            <w:r>
              <w:rPr>
                <w:rFonts w:ascii="宋体" w:hAnsi="宋体"/>
                <w:kern w:val="0"/>
                <w:szCs w:val="21"/>
              </w:rPr>
              <w:t>万元</w:t>
            </w:r>
          </w:p>
        </w:tc>
        <w:tc>
          <w:tcPr>
            <w:tcW w:w="1249" w:type="pct"/>
            <w:vAlign w:val="center"/>
          </w:tcPr>
          <w:p w14:paraId="5E81639C">
            <w:pPr>
              <w:pStyle w:val="23"/>
              <w:jc w:val="center"/>
              <w:rPr>
                <w:rFonts w:ascii="宋体" w:hAnsi="宋体"/>
                <w:kern w:val="0"/>
                <w:szCs w:val="21"/>
              </w:rPr>
            </w:pPr>
            <w:r>
              <w:rPr>
                <w:rFonts w:ascii="宋体" w:hAnsi="宋体"/>
                <w:kern w:val="0"/>
                <w:szCs w:val="21"/>
              </w:rPr>
              <w:t>190424</w:t>
            </w:r>
          </w:p>
        </w:tc>
        <w:tc>
          <w:tcPr>
            <w:tcW w:w="1251" w:type="pct"/>
            <w:vAlign w:val="center"/>
          </w:tcPr>
          <w:p w14:paraId="7A0162C8">
            <w:pPr>
              <w:pStyle w:val="23"/>
              <w:jc w:val="center"/>
              <w:rPr>
                <w:rFonts w:ascii="宋体" w:hAnsi="宋体"/>
                <w:kern w:val="0"/>
                <w:szCs w:val="21"/>
              </w:rPr>
            </w:pPr>
            <w:r>
              <w:rPr>
                <w:rFonts w:ascii="宋体" w:hAnsi="宋体"/>
                <w:kern w:val="0"/>
                <w:szCs w:val="21"/>
              </w:rPr>
              <w:t>275320</w:t>
            </w:r>
          </w:p>
        </w:tc>
      </w:tr>
      <w:tr w14:paraId="5C88C80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461" w:type="pct"/>
            <w:vAlign w:val="center"/>
          </w:tcPr>
          <w:p w14:paraId="16C6BC77">
            <w:pPr>
              <w:pStyle w:val="23"/>
              <w:rPr>
                <w:rFonts w:ascii="宋体" w:hAnsi="宋体"/>
                <w:kern w:val="0"/>
                <w:szCs w:val="21"/>
              </w:rPr>
            </w:pPr>
            <w:r>
              <w:rPr>
                <w:rFonts w:ascii="宋体" w:hAnsi="宋体"/>
                <w:kern w:val="0"/>
                <w:szCs w:val="21"/>
              </w:rPr>
              <w:t>民营经济</w:t>
            </w:r>
          </w:p>
        </w:tc>
        <w:tc>
          <w:tcPr>
            <w:tcW w:w="1039" w:type="pct"/>
            <w:vAlign w:val="center"/>
          </w:tcPr>
          <w:p w14:paraId="2FBA1BA6">
            <w:pPr>
              <w:pStyle w:val="23"/>
              <w:jc w:val="center"/>
              <w:rPr>
                <w:rFonts w:ascii="宋体" w:hAnsi="宋体"/>
                <w:kern w:val="0"/>
                <w:szCs w:val="21"/>
              </w:rPr>
            </w:pPr>
            <w:r>
              <w:rPr>
                <w:rFonts w:ascii="宋体" w:hAnsi="宋体"/>
                <w:kern w:val="0"/>
                <w:szCs w:val="21"/>
              </w:rPr>
              <w:t>万元</w:t>
            </w:r>
          </w:p>
        </w:tc>
        <w:tc>
          <w:tcPr>
            <w:tcW w:w="1249" w:type="pct"/>
            <w:vAlign w:val="center"/>
          </w:tcPr>
          <w:p w14:paraId="1F24C41A">
            <w:pPr>
              <w:pStyle w:val="23"/>
              <w:jc w:val="center"/>
              <w:rPr>
                <w:rFonts w:ascii="宋体" w:hAnsi="宋体"/>
                <w:kern w:val="0"/>
                <w:szCs w:val="21"/>
              </w:rPr>
            </w:pPr>
            <w:r>
              <w:rPr>
                <w:rFonts w:ascii="宋体" w:hAnsi="宋体"/>
                <w:kern w:val="0"/>
                <w:szCs w:val="21"/>
              </w:rPr>
              <w:t>436916</w:t>
            </w:r>
          </w:p>
        </w:tc>
        <w:tc>
          <w:tcPr>
            <w:tcW w:w="1251" w:type="pct"/>
            <w:vAlign w:val="center"/>
          </w:tcPr>
          <w:p w14:paraId="55C506AE">
            <w:pPr>
              <w:pStyle w:val="23"/>
              <w:jc w:val="center"/>
              <w:rPr>
                <w:rFonts w:ascii="宋体" w:hAnsi="宋体"/>
                <w:kern w:val="0"/>
                <w:szCs w:val="21"/>
              </w:rPr>
            </w:pPr>
            <w:r>
              <w:rPr>
                <w:rFonts w:ascii="宋体" w:hAnsi="宋体"/>
                <w:kern w:val="0"/>
                <w:szCs w:val="21"/>
              </w:rPr>
              <w:t>240720</w:t>
            </w:r>
          </w:p>
        </w:tc>
      </w:tr>
      <w:tr w14:paraId="5D84EE7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461" w:type="pct"/>
            <w:vAlign w:val="center"/>
          </w:tcPr>
          <w:p w14:paraId="4A97B99A">
            <w:pPr>
              <w:pStyle w:val="23"/>
              <w:rPr>
                <w:rFonts w:ascii="宋体" w:hAnsi="宋体"/>
                <w:kern w:val="0"/>
                <w:szCs w:val="21"/>
              </w:rPr>
            </w:pPr>
            <w:r>
              <w:rPr>
                <w:rFonts w:ascii="宋体" w:hAnsi="宋体"/>
                <w:kern w:val="0"/>
                <w:szCs w:val="21"/>
              </w:rPr>
              <w:t>外商及港澳台经济</w:t>
            </w:r>
          </w:p>
        </w:tc>
        <w:tc>
          <w:tcPr>
            <w:tcW w:w="1039" w:type="pct"/>
            <w:vAlign w:val="center"/>
          </w:tcPr>
          <w:p w14:paraId="20ECD2A7">
            <w:pPr>
              <w:pStyle w:val="23"/>
              <w:jc w:val="center"/>
              <w:rPr>
                <w:rFonts w:ascii="宋体" w:hAnsi="宋体"/>
                <w:kern w:val="0"/>
                <w:szCs w:val="21"/>
              </w:rPr>
            </w:pPr>
            <w:r>
              <w:rPr>
                <w:rFonts w:ascii="宋体" w:hAnsi="宋体"/>
                <w:kern w:val="0"/>
                <w:szCs w:val="21"/>
              </w:rPr>
              <w:t>万元</w:t>
            </w:r>
          </w:p>
        </w:tc>
        <w:tc>
          <w:tcPr>
            <w:tcW w:w="1249" w:type="pct"/>
            <w:vAlign w:val="center"/>
          </w:tcPr>
          <w:p w14:paraId="25C0905F">
            <w:pPr>
              <w:pStyle w:val="23"/>
              <w:jc w:val="center"/>
              <w:rPr>
                <w:rFonts w:ascii="宋体" w:hAnsi="宋体"/>
                <w:kern w:val="0"/>
                <w:szCs w:val="21"/>
              </w:rPr>
            </w:pPr>
            <w:r>
              <w:rPr>
                <w:rFonts w:ascii="宋体" w:hAnsi="宋体"/>
                <w:kern w:val="0"/>
                <w:szCs w:val="21"/>
              </w:rPr>
              <w:t>0</w:t>
            </w:r>
          </w:p>
        </w:tc>
        <w:tc>
          <w:tcPr>
            <w:tcW w:w="1251" w:type="pct"/>
            <w:vAlign w:val="center"/>
          </w:tcPr>
          <w:p w14:paraId="2DC0D4E0">
            <w:pPr>
              <w:pStyle w:val="23"/>
              <w:jc w:val="center"/>
              <w:rPr>
                <w:rFonts w:ascii="宋体" w:hAnsi="宋体"/>
                <w:kern w:val="0"/>
                <w:szCs w:val="21"/>
              </w:rPr>
            </w:pPr>
            <w:r>
              <w:rPr>
                <w:rFonts w:ascii="宋体" w:hAnsi="宋体"/>
                <w:kern w:val="0"/>
                <w:szCs w:val="21"/>
              </w:rPr>
              <w:t>0</w:t>
            </w:r>
          </w:p>
        </w:tc>
      </w:tr>
      <w:tr w14:paraId="42FB250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461" w:type="pct"/>
            <w:vAlign w:val="center"/>
          </w:tcPr>
          <w:p w14:paraId="1D73D4BE">
            <w:pPr>
              <w:pStyle w:val="23"/>
              <w:rPr>
                <w:rFonts w:ascii="宋体" w:hAnsi="宋体"/>
                <w:kern w:val="0"/>
                <w:szCs w:val="21"/>
              </w:rPr>
            </w:pPr>
            <w:r>
              <w:rPr>
                <w:rFonts w:ascii="宋体" w:hAnsi="宋体"/>
                <w:kern w:val="0"/>
                <w:szCs w:val="21"/>
              </w:rPr>
              <w:t>2011年韶关市政府重点项目</w:t>
            </w:r>
          </w:p>
        </w:tc>
        <w:tc>
          <w:tcPr>
            <w:tcW w:w="1039" w:type="pct"/>
            <w:vAlign w:val="center"/>
          </w:tcPr>
          <w:p w14:paraId="68B596DE">
            <w:pPr>
              <w:pStyle w:val="23"/>
              <w:jc w:val="center"/>
              <w:rPr>
                <w:rFonts w:ascii="宋体" w:hAnsi="宋体"/>
                <w:kern w:val="0"/>
                <w:szCs w:val="21"/>
              </w:rPr>
            </w:pPr>
            <w:r>
              <w:rPr>
                <w:rFonts w:ascii="宋体" w:hAnsi="宋体"/>
                <w:kern w:val="0"/>
                <w:szCs w:val="21"/>
              </w:rPr>
              <w:t>万元</w:t>
            </w:r>
          </w:p>
        </w:tc>
        <w:tc>
          <w:tcPr>
            <w:tcW w:w="1249" w:type="pct"/>
            <w:vAlign w:val="center"/>
          </w:tcPr>
          <w:p w14:paraId="4731C112">
            <w:pPr>
              <w:pStyle w:val="23"/>
              <w:jc w:val="center"/>
              <w:rPr>
                <w:rFonts w:ascii="宋体" w:hAnsi="宋体"/>
                <w:kern w:val="0"/>
                <w:szCs w:val="21"/>
              </w:rPr>
            </w:pPr>
            <w:r>
              <w:rPr>
                <w:rFonts w:ascii="宋体" w:hAnsi="宋体"/>
                <w:kern w:val="0"/>
                <w:szCs w:val="21"/>
              </w:rPr>
              <w:t>286183</w:t>
            </w:r>
          </w:p>
        </w:tc>
        <w:tc>
          <w:tcPr>
            <w:tcW w:w="1251" w:type="pct"/>
            <w:vAlign w:val="center"/>
          </w:tcPr>
          <w:p w14:paraId="176E9618">
            <w:pPr>
              <w:pStyle w:val="23"/>
              <w:jc w:val="center"/>
              <w:rPr>
                <w:rFonts w:ascii="宋体" w:hAnsi="宋体"/>
                <w:kern w:val="0"/>
                <w:szCs w:val="21"/>
              </w:rPr>
            </w:pPr>
            <w:r>
              <w:rPr>
                <w:rFonts w:ascii="宋体" w:hAnsi="宋体"/>
                <w:kern w:val="0"/>
                <w:szCs w:val="21"/>
              </w:rPr>
              <w:t>62172</w:t>
            </w:r>
          </w:p>
        </w:tc>
      </w:tr>
      <w:tr w14:paraId="7AFDEF8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461" w:type="pct"/>
            <w:vAlign w:val="center"/>
          </w:tcPr>
          <w:p w14:paraId="001ED022">
            <w:pPr>
              <w:pStyle w:val="23"/>
              <w:rPr>
                <w:rFonts w:ascii="宋体" w:hAnsi="宋体"/>
                <w:kern w:val="0"/>
                <w:szCs w:val="21"/>
              </w:rPr>
            </w:pPr>
            <w:r>
              <w:rPr>
                <w:rFonts w:ascii="宋体" w:hAnsi="宋体"/>
                <w:kern w:val="0"/>
                <w:szCs w:val="21"/>
              </w:rPr>
              <w:t>东莞大岭山(南雄)产业转移园</w:t>
            </w:r>
          </w:p>
        </w:tc>
        <w:tc>
          <w:tcPr>
            <w:tcW w:w="1039" w:type="pct"/>
            <w:vAlign w:val="center"/>
          </w:tcPr>
          <w:p w14:paraId="504C2DCF">
            <w:pPr>
              <w:pStyle w:val="23"/>
              <w:jc w:val="center"/>
              <w:rPr>
                <w:rFonts w:ascii="宋体" w:hAnsi="宋体"/>
                <w:kern w:val="0"/>
                <w:szCs w:val="21"/>
              </w:rPr>
            </w:pPr>
            <w:r>
              <w:rPr>
                <w:rFonts w:ascii="宋体" w:hAnsi="宋体"/>
                <w:kern w:val="0"/>
                <w:szCs w:val="21"/>
              </w:rPr>
              <w:t>万元</w:t>
            </w:r>
          </w:p>
        </w:tc>
        <w:tc>
          <w:tcPr>
            <w:tcW w:w="1249" w:type="pct"/>
            <w:vAlign w:val="center"/>
          </w:tcPr>
          <w:p w14:paraId="230923E1">
            <w:pPr>
              <w:pStyle w:val="23"/>
              <w:jc w:val="center"/>
              <w:rPr>
                <w:rFonts w:ascii="宋体" w:hAnsi="宋体"/>
                <w:kern w:val="0"/>
                <w:szCs w:val="21"/>
              </w:rPr>
            </w:pPr>
            <w:r>
              <w:rPr>
                <w:rFonts w:ascii="宋体" w:hAnsi="宋体"/>
                <w:kern w:val="0"/>
                <w:szCs w:val="21"/>
              </w:rPr>
              <w:t>244543</w:t>
            </w:r>
          </w:p>
        </w:tc>
        <w:tc>
          <w:tcPr>
            <w:tcW w:w="1251" w:type="pct"/>
            <w:vAlign w:val="center"/>
          </w:tcPr>
          <w:p w14:paraId="24EF5E70">
            <w:pPr>
              <w:pStyle w:val="23"/>
              <w:jc w:val="center"/>
              <w:rPr>
                <w:rFonts w:ascii="宋体" w:hAnsi="宋体"/>
                <w:kern w:val="0"/>
                <w:szCs w:val="21"/>
              </w:rPr>
            </w:pPr>
            <w:r>
              <w:rPr>
                <w:rFonts w:ascii="宋体" w:hAnsi="宋体"/>
                <w:kern w:val="0"/>
                <w:szCs w:val="21"/>
              </w:rPr>
              <w:t>220859</w:t>
            </w:r>
          </w:p>
        </w:tc>
      </w:tr>
      <w:tr w14:paraId="2B877FC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461" w:type="pct"/>
            <w:vAlign w:val="center"/>
          </w:tcPr>
          <w:p w14:paraId="76E5476C">
            <w:pPr>
              <w:pStyle w:val="23"/>
              <w:rPr>
                <w:rFonts w:ascii="宋体" w:hAnsi="宋体"/>
                <w:kern w:val="0"/>
                <w:szCs w:val="21"/>
              </w:rPr>
            </w:pPr>
            <w:r>
              <w:rPr>
                <w:rFonts w:ascii="宋体" w:hAnsi="宋体"/>
                <w:kern w:val="0"/>
                <w:szCs w:val="21"/>
              </w:rPr>
              <w:t>其中</w:t>
            </w:r>
            <w:r>
              <w:rPr>
                <w:rFonts w:hint="eastAsia" w:ascii="宋体" w:hAnsi="宋体"/>
                <w:kern w:val="0"/>
                <w:szCs w:val="21"/>
              </w:rPr>
              <w:t>：</w:t>
            </w:r>
            <w:r>
              <w:rPr>
                <w:rFonts w:ascii="宋体" w:hAnsi="宋体"/>
                <w:kern w:val="0"/>
                <w:szCs w:val="21"/>
              </w:rPr>
              <w:t>工业投资完成额</w:t>
            </w:r>
          </w:p>
        </w:tc>
        <w:tc>
          <w:tcPr>
            <w:tcW w:w="1039" w:type="pct"/>
            <w:vAlign w:val="center"/>
          </w:tcPr>
          <w:p w14:paraId="5DDECA20">
            <w:pPr>
              <w:pStyle w:val="23"/>
              <w:jc w:val="center"/>
              <w:rPr>
                <w:rFonts w:ascii="宋体" w:hAnsi="宋体"/>
                <w:kern w:val="0"/>
                <w:szCs w:val="21"/>
              </w:rPr>
            </w:pPr>
            <w:r>
              <w:rPr>
                <w:rFonts w:ascii="宋体" w:hAnsi="宋体"/>
                <w:kern w:val="0"/>
                <w:szCs w:val="21"/>
              </w:rPr>
              <w:t>万元</w:t>
            </w:r>
          </w:p>
        </w:tc>
        <w:tc>
          <w:tcPr>
            <w:tcW w:w="1249" w:type="pct"/>
            <w:vAlign w:val="center"/>
          </w:tcPr>
          <w:p w14:paraId="01106337">
            <w:pPr>
              <w:pStyle w:val="23"/>
              <w:jc w:val="center"/>
              <w:rPr>
                <w:rFonts w:ascii="宋体" w:hAnsi="宋体"/>
                <w:kern w:val="0"/>
                <w:szCs w:val="21"/>
              </w:rPr>
            </w:pPr>
            <w:r>
              <w:rPr>
                <w:rFonts w:ascii="宋体" w:hAnsi="宋体"/>
                <w:kern w:val="0"/>
                <w:szCs w:val="21"/>
              </w:rPr>
              <w:t>214351</w:t>
            </w:r>
          </w:p>
        </w:tc>
        <w:tc>
          <w:tcPr>
            <w:tcW w:w="1251" w:type="pct"/>
            <w:vAlign w:val="center"/>
          </w:tcPr>
          <w:p w14:paraId="5A37B5FE">
            <w:pPr>
              <w:pStyle w:val="23"/>
              <w:jc w:val="center"/>
              <w:rPr>
                <w:rFonts w:ascii="宋体" w:hAnsi="宋体"/>
                <w:kern w:val="0"/>
                <w:szCs w:val="21"/>
              </w:rPr>
            </w:pPr>
            <w:r>
              <w:rPr>
                <w:rFonts w:ascii="宋体" w:hAnsi="宋体"/>
                <w:kern w:val="0"/>
                <w:szCs w:val="21"/>
              </w:rPr>
              <w:t>160452</w:t>
            </w:r>
          </w:p>
        </w:tc>
      </w:tr>
      <w:tr w14:paraId="6F47821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461" w:type="pct"/>
            <w:vAlign w:val="center"/>
          </w:tcPr>
          <w:p w14:paraId="69B18F32">
            <w:pPr>
              <w:pStyle w:val="23"/>
              <w:ind w:firstLine="630" w:firstLineChars="300"/>
              <w:rPr>
                <w:rFonts w:ascii="宋体" w:hAnsi="宋体"/>
                <w:kern w:val="0"/>
                <w:szCs w:val="21"/>
              </w:rPr>
            </w:pPr>
            <w:r>
              <w:rPr>
                <w:rFonts w:ascii="宋体" w:hAnsi="宋体"/>
                <w:kern w:val="0"/>
                <w:szCs w:val="21"/>
              </w:rPr>
              <w:t>基础设施完成额</w:t>
            </w:r>
          </w:p>
        </w:tc>
        <w:tc>
          <w:tcPr>
            <w:tcW w:w="1039" w:type="pct"/>
            <w:vAlign w:val="center"/>
          </w:tcPr>
          <w:p w14:paraId="48F5C66D">
            <w:pPr>
              <w:pStyle w:val="23"/>
              <w:jc w:val="center"/>
              <w:rPr>
                <w:rFonts w:ascii="宋体" w:hAnsi="宋体"/>
                <w:kern w:val="0"/>
                <w:szCs w:val="21"/>
              </w:rPr>
            </w:pPr>
            <w:r>
              <w:rPr>
                <w:rFonts w:ascii="宋体" w:hAnsi="宋体"/>
                <w:kern w:val="0"/>
                <w:szCs w:val="21"/>
              </w:rPr>
              <w:t>万元</w:t>
            </w:r>
          </w:p>
        </w:tc>
        <w:tc>
          <w:tcPr>
            <w:tcW w:w="1249" w:type="pct"/>
            <w:vAlign w:val="center"/>
          </w:tcPr>
          <w:p w14:paraId="440F055D">
            <w:pPr>
              <w:pStyle w:val="23"/>
              <w:jc w:val="center"/>
              <w:rPr>
                <w:rFonts w:ascii="宋体" w:hAnsi="宋体"/>
                <w:kern w:val="0"/>
                <w:szCs w:val="21"/>
              </w:rPr>
            </w:pPr>
            <w:r>
              <w:rPr>
                <w:rFonts w:ascii="宋体" w:hAnsi="宋体"/>
                <w:kern w:val="0"/>
                <w:szCs w:val="21"/>
              </w:rPr>
              <w:t>30192</w:t>
            </w:r>
          </w:p>
        </w:tc>
        <w:tc>
          <w:tcPr>
            <w:tcW w:w="1251" w:type="pct"/>
            <w:vAlign w:val="center"/>
          </w:tcPr>
          <w:p w14:paraId="766A9755">
            <w:pPr>
              <w:pStyle w:val="23"/>
              <w:jc w:val="center"/>
              <w:rPr>
                <w:rFonts w:ascii="宋体" w:hAnsi="宋体"/>
                <w:kern w:val="0"/>
                <w:szCs w:val="21"/>
              </w:rPr>
            </w:pPr>
            <w:r>
              <w:rPr>
                <w:rFonts w:ascii="宋体" w:hAnsi="宋体"/>
                <w:kern w:val="0"/>
                <w:szCs w:val="21"/>
              </w:rPr>
              <w:t>60407</w:t>
            </w:r>
          </w:p>
        </w:tc>
      </w:tr>
    </w:tbl>
    <w:p w14:paraId="6FB505C5">
      <w:pPr>
        <w:ind w:firstLine="0" w:firstLineChars="0"/>
        <w:jc w:val="center"/>
        <w:rPr>
          <w:rFonts w:ascii="宋体" w:hAnsi="宋体"/>
          <w:b/>
          <w:szCs w:val="21"/>
        </w:rPr>
      </w:pPr>
      <w:r>
        <w:rPr>
          <w:rFonts w:hint="eastAsia" w:ascii="宋体" w:hAnsi="宋体"/>
          <w:b/>
          <w:szCs w:val="21"/>
        </w:rPr>
        <w:t>表76 房地产投资、施工、竣工情况</w:t>
      </w:r>
    </w:p>
    <w:tbl>
      <w:tblPr>
        <w:tblStyle w:val="14"/>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30" w:type="dxa"/>
          <w:bottom w:w="0" w:type="dxa"/>
          <w:right w:w="30" w:type="dxa"/>
        </w:tblCellMar>
      </w:tblPr>
      <w:tblGrid>
        <w:gridCol w:w="2450"/>
        <w:gridCol w:w="2453"/>
        <w:gridCol w:w="2450"/>
        <w:gridCol w:w="2453"/>
      </w:tblGrid>
      <w:tr w14:paraId="66EE294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249" w:type="pct"/>
            <w:vAlign w:val="center"/>
          </w:tcPr>
          <w:p w14:paraId="19C8FE69">
            <w:pPr>
              <w:pStyle w:val="23"/>
              <w:jc w:val="center"/>
              <w:rPr>
                <w:rFonts w:ascii="宋体" w:hAnsi="宋体"/>
                <w:b/>
                <w:kern w:val="0"/>
                <w:szCs w:val="21"/>
              </w:rPr>
            </w:pPr>
            <w:r>
              <w:rPr>
                <w:rFonts w:ascii="宋体" w:hAnsi="宋体"/>
                <w:b/>
                <w:kern w:val="0"/>
                <w:szCs w:val="21"/>
              </w:rPr>
              <w:t>指标名称</w:t>
            </w:r>
          </w:p>
        </w:tc>
        <w:tc>
          <w:tcPr>
            <w:tcW w:w="1251" w:type="pct"/>
            <w:vAlign w:val="center"/>
          </w:tcPr>
          <w:p w14:paraId="258743EC">
            <w:pPr>
              <w:pStyle w:val="23"/>
              <w:jc w:val="center"/>
              <w:rPr>
                <w:rFonts w:ascii="宋体" w:hAnsi="宋体"/>
                <w:b/>
                <w:kern w:val="0"/>
                <w:szCs w:val="21"/>
              </w:rPr>
            </w:pPr>
            <w:r>
              <w:rPr>
                <w:rFonts w:ascii="宋体" w:hAnsi="宋体"/>
                <w:b/>
                <w:kern w:val="0"/>
                <w:szCs w:val="21"/>
              </w:rPr>
              <w:t>单位</w:t>
            </w:r>
          </w:p>
        </w:tc>
        <w:tc>
          <w:tcPr>
            <w:tcW w:w="1249" w:type="pct"/>
            <w:vAlign w:val="center"/>
          </w:tcPr>
          <w:p w14:paraId="0AD5832E">
            <w:pPr>
              <w:pStyle w:val="23"/>
              <w:jc w:val="center"/>
              <w:rPr>
                <w:rFonts w:ascii="宋体" w:hAnsi="宋体"/>
                <w:b/>
                <w:kern w:val="0"/>
                <w:szCs w:val="21"/>
              </w:rPr>
            </w:pPr>
            <w:r>
              <w:rPr>
                <w:rFonts w:ascii="宋体" w:hAnsi="宋体"/>
                <w:b/>
                <w:kern w:val="0"/>
                <w:szCs w:val="21"/>
              </w:rPr>
              <w:t>2011年</w:t>
            </w:r>
          </w:p>
        </w:tc>
        <w:tc>
          <w:tcPr>
            <w:tcW w:w="1251" w:type="pct"/>
            <w:vAlign w:val="center"/>
          </w:tcPr>
          <w:p w14:paraId="26E6B8AB">
            <w:pPr>
              <w:pStyle w:val="23"/>
              <w:jc w:val="center"/>
              <w:rPr>
                <w:rFonts w:ascii="宋体" w:hAnsi="宋体"/>
                <w:b/>
                <w:kern w:val="0"/>
                <w:szCs w:val="21"/>
              </w:rPr>
            </w:pPr>
            <w:r>
              <w:rPr>
                <w:rFonts w:ascii="宋体" w:hAnsi="宋体"/>
                <w:b/>
                <w:kern w:val="0"/>
                <w:szCs w:val="21"/>
              </w:rPr>
              <w:t>2010年</w:t>
            </w:r>
          </w:p>
        </w:tc>
      </w:tr>
      <w:tr w14:paraId="3D0112B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249" w:type="pct"/>
            <w:vAlign w:val="center"/>
          </w:tcPr>
          <w:p w14:paraId="280D5550">
            <w:pPr>
              <w:pStyle w:val="23"/>
              <w:rPr>
                <w:rFonts w:ascii="宋体" w:hAnsi="宋体"/>
                <w:kern w:val="0"/>
                <w:szCs w:val="21"/>
              </w:rPr>
            </w:pPr>
            <w:r>
              <w:rPr>
                <w:rFonts w:ascii="宋体" w:hAnsi="宋体"/>
                <w:kern w:val="0"/>
                <w:szCs w:val="21"/>
              </w:rPr>
              <w:t>房地产投资</w:t>
            </w:r>
          </w:p>
        </w:tc>
        <w:tc>
          <w:tcPr>
            <w:tcW w:w="1251" w:type="pct"/>
            <w:vAlign w:val="center"/>
          </w:tcPr>
          <w:p w14:paraId="37ECEDC4">
            <w:pPr>
              <w:pStyle w:val="23"/>
              <w:jc w:val="center"/>
              <w:rPr>
                <w:rFonts w:ascii="宋体" w:hAnsi="宋体"/>
                <w:kern w:val="0"/>
                <w:szCs w:val="21"/>
              </w:rPr>
            </w:pPr>
            <w:r>
              <w:rPr>
                <w:rFonts w:ascii="宋体" w:hAnsi="宋体"/>
                <w:kern w:val="0"/>
                <w:szCs w:val="21"/>
              </w:rPr>
              <w:t>万元</w:t>
            </w:r>
          </w:p>
        </w:tc>
        <w:tc>
          <w:tcPr>
            <w:tcW w:w="1249" w:type="pct"/>
            <w:vAlign w:val="center"/>
          </w:tcPr>
          <w:p w14:paraId="511ABAC7">
            <w:pPr>
              <w:pStyle w:val="23"/>
              <w:jc w:val="center"/>
              <w:rPr>
                <w:rFonts w:ascii="宋体" w:hAnsi="宋体"/>
                <w:kern w:val="0"/>
                <w:szCs w:val="21"/>
              </w:rPr>
            </w:pPr>
            <w:r>
              <w:rPr>
                <w:rFonts w:ascii="宋体" w:hAnsi="宋体"/>
                <w:kern w:val="0"/>
                <w:szCs w:val="21"/>
              </w:rPr>
              <w:t>41262</w:t>
            </w:r>
          </w:p>
        </w:tc>
        <w:tc>
          <w:tcPr>
            <w:tcW w:w="1251" w:type="pct"/>
            <w:vAlign w:val="center"/>
          </w:tcPr>
          <w:p w14:paraId="5095C372">
            <w:pPr>
              <w:pStyle w:val="23"/>
              <w:jc w:val="center"/>
              <w:rPr>
                <w:rFonts w:ascii="宋体" w:hAnsi="宋体"/>
                <w:kern w:val="0"/>
                <w:szCs w:val="21"/>
              </w:rPr>
            </w:pPr>
            <w:r>
              <w:rPr>
                <w:rFonts w:ascii="宋体" w:hAnsi="宋体"/>
                <w:kern w:val="0"/>
                <w:szCs w:val="21"/>
              </w:rPr>
              <w:t>33155</w:t>
            </w:r>
          </w:p>
        </w:tc>
      </w:tr>
      <w:tr w14:paraId="585E5E2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249" w:type="pct"/>
            <w:vAlign w:val="center"/>
          </w:tcPr>
          <w:p w14:paraId="7F7642A1">
            <w:pPr>
              <w:pStyle w:val="23"/>
              <w:rPr>
                <w:rFonts w:ascii="宋体" w:hAnsi="宋体"/>
                <w:kern w:val="0"/>
                <w:szCs w:val="21"/>
              </w:rPr>
            </w:pPr>
            <w:r>
              <w:rPr>
                <w:rFonts w:ascii="宋体" w:hAnsi="宋体"/>
                <w:kern w:val="0"/>
                <w:szCs w:val="21"/>
              </w:rPr>
              <w:t>房屋施工面积</w:t>
            </w:r>
          </w:p>
        </w:tc>
        <w:tc>
          <w:tcPr>
            <w:tcW w:w="1251" w:type="pct"/>
            <w:vAlign w:val="center"/>
          </w:tcPr>
          <w:p w14:paraId="098BE697">
            <w:pPr>
              <w:pStyle w:val="23"/>
              <w:jc w:val="center"/>
              <w:rPr>
                <w:rFonts w:ascii="宋体" w:hAnsi="宋体"/>
                <w:kern w:val="0"/>
                <w:szCs w:val="21"/>
              </w:rPr>
            </w:pPr>
            <w:r>
              <w:rPr>
                <w:rFonts w:ascii="宋体" w:hAnsi="宋体"/>
                <w:kern w:val="0"/>
                <w:szCs w:val="21"/>
              </w:rPr>
              <w:t>平方米</w:t>
            </w:r>
          </w:p>
        </w:tc>
        <w:tc>
          <w:tcPr>
            <w:tcW w:w="1249" w:type="pct"/>
            <w:vAlign w:val="center"/>
          </w:tcPr>
          <w:p w14:paraId="162C927E">
            <w:pPr>
              <w:pStyle w:val="23"/>
              <w:jc w:val="center"/>
              <w:rPr>
                <w:rFonts w:ascii="宋体" w:hAnsi="宋体"/>
                <w:kern w:val="0"/>
                <w:szCs w:val="21"/>
              </w:rPr>
            </w:pPr>
            <w:r>
              <w:rPr>
                <w:rFonts w:ascii="宋体" w:hAnsi="宋体"/>
                <w:kern w:val="0"/>
                <w:szCs w:val="21"/>
              </w:rPr>
              <w:t>50.03</w:t>
            </w:r>
          </w:p>
        </w:tc>
        <w:tc>
          <w:tcPr>
            <w:tcW w:w="1251" w:type="pct"/>
            <w:vAlign w:val="center"/>
          </w:tcPr>
          <w:p w14:paraId="4C466097">
            <w:pPr>
              <w:pStyle w:val="23"/>
              <w:jc w:val="center"/>
              <w:rPr>
                <w:rFonts w:ascii="宋体" w:hAnsi="宋体"/>
                <w:kern w:val="0"/>
                <w:szCs w:val="21"/>
              </w:rPr>
            </w:pPr>
            <w:r>
              <w:rPr>
                <w:rFonts w:ascii="宋体" w:hAnsi="宋体"/>
                <w:kern w:val="0"/>
                <w:szCs w:val="21"/>
              </w:rPr>
              <w:t>48.09</w:t>
            </w:r>
          </w:p>
        </w:tc>
      </w:tr>
      <w:tr w14:paraId="565969D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249" w:type="pct"/>
            <w:vAlign w:val="center"/>
          </w:tcPr>
          <w:p w14:paraId="31706D22">
            <w:pPr>
              <w:pStyle w:val="23"/>
              <w:ind w:firstLine="420" w:firstLineChars="200"/>
              <w:rPr>
                <w:rFonts w:ascii="宋体" w:hAnsi="宋体"/>
                <w:kern w:val="0"/>
                <w:szCs w:val="21"/>
              </w:rPr>
            </w:pPr>
            <w:r>
              <w:rPr>
                <w:rFonts w:ascii="宋体" w:hAnsi="宋体"/>
                <w:kern w:val="0"/>
                <w:szCs w:val="21"/>
              </w:rPr>
              <w:t>其中：新开工面积</w:t>
            </w:r>
          </w:p>
        </w:tc>
        <w:tc>
          <w:tcPr>
            <w:tcW w:w="1251" w:type="pct"/>
            <w:vAlign w:val="center"/>
          </w:tcPr>
          <w:p w14:paraId="19D4892B">
            <w:pPr>
              <w:pStyle w:val="23"/>
              <w:jc w:val="center"/>
              <w:rPr>
                <w:rFonts w:ascii="宋体" w:hAnsi="宋体"/>
                <w:kern w:val="0"/>
                <w:szCs w:val="21"/>
              </w:rPr>
            </w:pPr>
            <w:r>
              <w:rPr>
                <w:rFonts w:ascii="宋体" w:hAnsi="宋体"/>
                <w:kern w:val="0"/>
                <w:szCs w:val="21"/>
              </w:rPr>
              <w:t>平方米</w:t>
            </w:r>
          </w:p>
        </w:tc>
        <w:tc>
          <w:tcPr>
            <w:tcW w:w="1249" w:type="pct"/>
            <w:vAlign w:val="center"/>
          </w:tcPr>
          <w:p w14:paraId="2B6E6DC4">
            <w:pPr>
              <w:pStyle w:val="23"/>
              <w:jc w:val="center"/>
              <w:rPr>
                <w:rFonts w:ascii="宋体" w:hAnsi="宋体"/>
                <w:kern w:val="0"/>
                <w:szCs w:val="21"/>
              </w:rPr>
            </w:pPr>
            <w:r>
              <w:rPr>
                <w:rFonts w:ascii="宋体" w:hAnsi="宋体"/>
                <w:kern w:val="0"/>
                <w:szCs w:val="21"/>
              </w:rPr>
              <w:t>42.76</w:t>
            </w:r>
          </w:p>
        </w:tc>
        <w:tc>
          <w:tcPr>
            <w:tcW w:w="1251" w:type="pct"/>
            <w:vAlign w:val="center"/>
          </w:tcPr>
          <w:p w14:paraId="11724CEF">
            <w:pPr>
              <w:pStyle w:val="23"/>
              <w:jc w:val="center"/>
              <w:rPr>
                <w:rFonts w:ascii="宋体" w:hAnsi="宋体"/>
                <w:kern w:val="0"/>
                <w:szCs w:val="21"/>
              </w:rPr>
            </w:pPr>
            <w:r>
              <w:rPr>
                <w:rFonts w:ascii="宋体" w:hAnsi="宋体"/>
                <w:kern w:val="0"/>
                <w:szCs w:val="21"/>
              </w:rPr>
              <w:t>31.35</w:t>
            </w:r>
          </w:p>
        </w:tc>
      </w:tr>
      <w:tr w14:paraId="007C9BC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249" w:type="pct"/>
            <w:vAlign w:val="center"/>
          </w:tcPr>
          <w:p w14:paraId="73134D51">
            <w:pPr>
              <w:pStyle w:val="23"/>
              <w:rPr>
                <w:rFonts w:ascii="宋体" w:hAnsi="宋体"/>
                <w:kern w:val="0"/>
                <w:szCs w:val="21"/>
              </w:rPr>
            </w:pPr>
            <w:r>
              <w:rPr>
                <w:rFonts w:ascii="宋体" w:hAnsi="宋体"/>
                <w:kern w:val="0"/>
                <w:szCs w:val="21"/>
              </w:rPr>
              <w:t>房屋竣工面积</w:t>
            </w:r>
          </w:p>
        </w:tc>
        <w:tc>
          <w:tcPr>
            <w:tcW w:w="1251" w:type="pct"/>
            <w:vAlign w:val="center"/>
          </w:tcPr>
          <w:p w14:paraId="0DF7916B">
            <w:pPr>
              <w:pStyle w:val="23"/>
              <w:jc w:val="center"/>
              <w:rPr>
                <w:rFonts w:ascii="宋体" w:hAnsi="宋体"/>
                <w:kern w:val="0"/>
                <w:szCs w:val="21"/>
              </w:rPr>
            </w:pPr>
            <w:r>
              <w:rPr>
                <w:rFonts w:ascii="宋体" w:hAnsi="宋体"/>
                <w:kern w:val="0"/>
                <w:szCs w:val="21"/>
              </w:rPr>
              <w:t>平方米</w:t>
            </w:r>
          </w:p>
        </w:tc>
        <w:tc>
          <w:tcPr>
            <w:tcW w:w="1249" w:type="pct"/>
            <w:vAlign w:val="center"/>
          </w:tcPr>
          <w:p w14:paraId="46B8E08C">
            <w:pPr>
              <w:pStyle w:val="23"/>
              <w:jc w:val="center"/>
              <w:rPr>
                <w:rFonts w:ascii="宋体" w:hAnsi="宋体"/>
                <w:kern w:val="0"/>
                <w:szCs w:val="21"/>
              </w:rPr>
            </w:pPr>
            <w:r>
              <w:rPr>
                <w:rFonts w:ascii="宋体" w:hAnsi="宋体"/>
                <w:kern w:val="0"/>
                <w:szCs w:val="21"/>
              </w:rPr>
              <w:t>16.46</w:t>
            </w:r>
          </w:p>
        </w:tc>
        <w:tc>
          <w:tcPr>
            <w:tcW w:w="1251" w:type="pct"/>
            <w:vAlign w:val="center"/>
          </w:tcPr>
          <w:p w14:paraId="41283FC6">
            <w:pPr>
              <w:pStyle w:val="23"/>
              <w:jc w:val="center"/>
              <w:rPr>
                <w:rFonts w:ascii="宋体" w:hAnsi="宋体"/>
                <w:kern w:val="0"/>
                <w:szCs w:val="21"/>
              </w:rPr>
            </w:pPr>
            <w:r>
              <w:rPr>
                <w:rFonts w:ascii="宋体" w:hAnsi="宋体"/>
                <w:kern w:val="0"/>
                <w:szCs w:val="21"/>
              </w:rPr>
              <w:t>23.19</w:t>
            </w:r>
          </w:p>
        </w:tc>
      </w:tr>
      <w:tr w14:paraId="7C71078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249" w:type="pct"/>
            <w:vAlign w:val="center"/>
          </w:tcPr>
          <w:p w14:paraId="0F52788B">
            <w:pPr>
              <w:pStyle w:val="23"/>
              <w:rPr>
                <w:rFonts w:ascii="宋体" w:hAnsi="宋体"/>
                <w:kern w:val="0"/>
                <w:szCs w:val="21"/>
              </w:rPr>
            </w:pPr>
            <w:r>
              <w:rPr>
                <w:rFonts w:ascii="宋体" w:hAnsi="宋体"/>
                <w:kern w:val="0"/>
                <w:szCs w:val="21"/>
              </w:rPr>
              <w:t>商品房销售面积</w:t>
            </w:r>
          </w:p>
        </w:tc>
        <w:tc>
          <w:tcPr>
            <w:tcW w:w="1251" w:type="pct"/>
            <w:vAlign w:val="center"/>
          </w:tcPr>
          <w:p w14:paraId="7E9C5378">
            <w:pPr>
              <w:pStyle w:val="23"/>
              <w:jc w:val="center"/>
              <w:rPr>
                <w:rFonts w:ascii="宋体" w:hAnsi="宋体"/>
                <w:kern w:val="0"/>
                <w:szCs w:val="21"/>
              </w:rPr>
            </w:pPr>
            <w:r>
              <w:rPr>
                <w:rFonts w:ascii="宋体" w:hAnsi="宋体"/>
                <w:kern w:val="0"/>
                <w:szCs w:val="21"/>
              </w:rPr>
              <w:t>平方米</w:t>
            </w:r>
          </w:p>
        </w:tc>
        <w:tc>
          <w:tcPr>
            <w:tcW w:w="1249" w:type="pct"/>
            <w:vAlign w:val="center"/>
          </w:tcPr>
          <w:p w14:paraId="45D25B18">
            <w:pPr>
              <w:pStyle w:val="23"/>
              <w:jc w:val="center"/>
              <w:rPr>
                <w:rFonts w:ascii="宋体" w:hAnsi="宋体"/>
                <w:kern w:val="0"/>
                <w:szCs w:val="21"/>
              </w:rPr>
            </w:pPr>
            <w:r>
              <w:rPr>
                <w:rFonts w:ascii="宋体" w:hAnsi="宋体"/>
                <w:kern w:val="0"/>
                <w:szCs w:val="21"/>
              </w:rPr>
              <w:t>28.91</w:t>
            </w:r>
          </w:p>
        </w:tc>
        <w:tc>
          <w:tcPr>
            <w:tcW w:w="1251" w:type="pct"/>
            <w:vAlign w:val="center"/>
          </w:tcPr>
          <w:p w14:paraId="1B3A0D66">
            <w:pPr>
              <w:pStyle w:val="23"/>
              <w:jc w:val="center"/>
              <w:rPr>
                <w:rFonts w:ascii="宋体" w:hAnsi="宋体"/>
                <w:kern w:val="0"/>
                <w:szCs w:val="21"/>
              </w:rPr>
            </w:pPr>
            <w:r>
              <w:rPr>
                <w:rFonts w:ascii="宋体" w:hAnsi="宋体"/>
                <w:kern w:val="0"/>
                <w:szCs w:val="21"/>
              </w:rPr>
              <w:t>27.26</w:t>
            </w:r>
          </w:p>
        </w:tc>
      </w:tr>
      <w:tr w14:paraId="490BD62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249" w:type="pct"/>
            <w:vAlign w:val="center"/>
          </w:tcPr>
          <w:p w14:paraId="5A371C44">
            <w:pPr>
              <w:pStyle w:val="23"/>
              <w:ind w:firstLine="420" w:firstLineChars="200"/>
              <w:rPr>
                <w:rFonts w:ascii="宋体" w:hAnsi="宋体"/>
                <w:kern w:val="0"/>
                <w:szCs w:val="21"/>
              </w:rPr>
            </w:pPr>
            <w:r>
              <w:rPr>
                <w:rFonts w:ascii="宋体" w:hAnsi="宋体"/>
                <w:kern w:val="0"/>
                <w:szCs w:val="21"/>
              </w:rPr>
              <w:t>其中：住宅面积</w:t>
            </w:r>
          </w:p>
        </w:tc>
        <w:tc>
          <w:tcPr>
            <w:tcW w:w="1251" w:type="pct"/>
            <w:vAlign w:val="center"/>
          </w:tcPr>
          <w:p w14:paraId="5F778AC3">
            <w:pPr>
              <w:pStyle w:val="23"/>
              <w:jc w:val="center"/>
              <w:rPr>
                <w:rFonts w:ascii="宋体" w:hAnsi="宋体"/>
                <w:kern w:val="0"/>
                <w:szCs w:val="21"/>
              </w:rPr>
            </w:pPr>
            <w:r>
              <w:rPr>
                <w:rFonts w:ascii="宋体" w:hAnsi="宋体"/>
                <w:kern w:val="0"/>
                <w:szCs w:val="21"/>
              </w:rPr>
              <w:t>平方米</w:t>
            </w:r>
          </w:p>
        </w:tc>
        <w:tc>
          <w:tcPr>
            <w:tcW w:w="1249" w:type="pct"/>
            <w:vAlign w:val="center"/>
          </w:tcPr>
          <w:p w14:paraId="53CD49D0">
            <w:pPr>
              <w:pStyle w:val="23"/>
              <w:jc w:val="center"/>
              <w:rPr>
                <w:rFonts w:ascii="宋体" w:hAnsi="宋体"/>
                <w:kern w:val="0"/>
                <w:szCs w:val="21"/>
              </w:rPr>
            </w:pPr>
            <w:r>
              <w:rPr>
                <w:rFonts w:ascii="宋体" w:hAnsi="宋体"/>
                <w:kern w:val="0"/>
                <w:szCs w:val="21"/>
              </w:rPr>
              <w:t>26.48</w:t>
            </w:r>
          </w:p>
        </w:tc>
        <w:tc>
          <w:tcPr>
            <w:tcW w:w="1251" w:type="pct"/>
            <w:vAlign w:val="center"/>
          </w:tcPr>
          <w:p w14:paraId="30B18FF2">
            <w:pPr>
              <w:pStyle w:val="23"/>
              <w:jc w:val="center"/>
              <w:rPr>
                <w:rFonts w:ascii="宋体" w:hAnsi="宋体"/>
                <w:kern w:val="0"/>
                <w:szCs w:val="21"/>
              </w:rPr>
            </w:pPr>
            <w:r>
              <w:rPr>
                <w:rFonts w:ascii="宋体" w:hAnsi="宋体"/>
                <w:kern w:val="0"/>
                <w:szCs w:val="21"/>
              </w:rPr>
              <w:t>25.33</w:t>
            </w:r>
          </w:p>
        </w:tc>
      </w:tr>
      <w:tr w14:paraId="1DC9524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249" w:type="pct"/>
            <w:vAlign w:val="center"/>
          </w:tcPr>
          <w:p w14:paraId="21A5B1E6">
            <w:pPr>
              <w:pStyle w:val="23"/>
              <w:rPr>
                <w:rFonts w:ascii="宋体" w:hAnsi="宋体"/>
                <w:kern w:val="0"/>
                <w:szCs w:val="21"/>
              </w:rPr>
            </w:pPr>
            <w:r>
              <w:rPr>
                <w:rFonts w:ascii="宋体" w:hAnsi="宋体"/>
                <w:kern w:val="0"/>
                <w:szCs w:val="21"/>
              </w:rPr>
              <w:t>商品房空置面积</w:t>
            </w:r>
          </w:p>
        </w:tc>
        <w:tc>
          <w:tcPr>
            <w:tcW w:w="1251" w:type="pct"/>
            <w:vAlign w:val="center"/>
          </w:tcPr>
          <w:p w14:paraId="6C44106D">
            <w:pPr>
              <w:pStyle w:val="23"/>
              <w:jc w:val="center"/>
              <w:rPr>
                <w:rFonts w:ascii="宋体" w:hAnsi="宋体"/>
                <w:kern w:val="0"/>
                <w:szCs w:val="21"/>
              </w:rPr>
            </w:pPr>
            <w:r>
              <w:rPr>
                <w:rFonts w:ascii="宋体" w:hAnsi="宋体"/>
                <w:kern w:val="0"/>
                <w:szCs w:val="21"/>
              </w:rPr>
              <w:t>平方米</w:t>
            </w:r>
          </w:p>
        </w:tc>
        <w:tc>
          <w:tcPr>
            <w:tcW w:w="1249" w:type="pct"/>
            <w:vAlign w:val="center"/>
          </w:tcPr>
          <w:p w14:paraId="054B2795">
            <w:pPr>
              <w:pStyle w:val="23"/>
              <w:jc w:val="center"/>
              <w:rPr>
                <w:rFonts w:ascii="宋体" w:hAnsi="宋体"/>
                <w:kern w:val="0"/>
                <w:szCs w:val="21"/>
              </w:rPr>
            </w:pPr>
            <w:r>
              <w:rPr>
                <w:rFonts w:ascii="宋体" w:hAnsi="宋体"/>
                <w:kern w:val="0"/>
                <w:szCs w:val="21"/>
              </w:rPr>
              <w:t>0.13</w:t>
            </w:r>
          </w:p>
        </w:tc>
        <w:tc>
          <w:tcPr>
            <w:tcW w:w="1251" w:type="pct"/>
            <w:vAlign w:val="center"/>
          </w:tcPr>
          <w:p w14:paraId="452075CC">
            <w:pPr>
              <w:pStyle w:val="23"/>
              <w:jc w:val="center"/>
              <w:rPr>
                <w:rFonts w:ascii="宋体" w:hAnsi="宋体"/>
                <w:kern w:val="0"/>
                <w:szCs w:val="21"/>
              </w:rPr>
            </w:pPr>
            <w:r>
              <w:rPr>
                <w:rFonts w:ascii="宋体" w:hAnsi="宋体"/>
                <w:kern w:val="0"/>
                <w:szCs w:val="21"/>
              </w:rPr>
              <w:t>0.09</w:t>
            </w:r>
          </w:p>
        </w:tc>
      </w:tr>
    </w:tbl>
    <w:p w14:paraId="5F083BB2">
      <w:pPr>
        <w:ind w:firstLine="0" w:firstLineChars="0"/>
        <w:jc w:val="center"/>
        <w:rPr>
          <w:rFonts w:ascii="宋体" w:hAnsi="宋体"/>
          <w:b/>
          <w:szCs w:val="21"/>
        </w:rPr>
      </w:pPr>
      <w:r>
        <w:rPr>
          <w:rFonts w:hint="eastAsia" w:ascii="宋体" w:hAnsi="宋体"/>
          <w:b/>
          <w:szCs w:val="21"/>
        </w:rPr>
        <w:t>表77 社会从业人员情况</w:t>
      </w:r>
    </w:p>
    <w:tbl>
      <w:tblPr>
        <w:tblStyle w:val="14"/>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30" w:type="dxa"/>
          <w:bottom w:w="0" w:type="dxa"/>
          <w:right w:w="30" w:type="dxa"/>
        </w:tblCellMar>
      </w:tblPr>
      <w:tblGrid>
        <w:gridCol w:w="3573"/>
        <w:gridCol w:w="1330"/>
        <w:gridCol w:w="2924"/>
        <w:gridCol w:w="1979"/>
      </w:tblGrid>
      <w:tr w14:paraId="084B27A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822" w:type="pct"/>
            <w:vAlign w:val="center"/>
          </w:tcPr>
          <w:p w14:paraId="1FA94DDC">
            <w:pPr>
              <w:pStyle w:val="23"/>
              <w:jc w:val="center"/>
              <w:rPr>
                <w:rFonts w:ascii="宋体" w:hAnsi="宋体"/>
                <w:b/>
                <w:kern w:val="0"/>
                <w:szCs w:val="21"/>
              </w:rPr>
            </w:pPr>
            <w:r>
              <w:rPr>
                <w:rFonts w:ascii="宋体" w:hAnsi="宋体"/>
                <w:b/>
                <w:kern w:val="0"/>
                <w:szCs w:val="21"/>
              </w:rPr>
              <w:t>指标名称</w:t>
            </w:r>
          </w:p>
        </w:tc>
        <w:tc>
          <w:tcPr>
            <w:tcW w:w="678" w:type="pct"/>
            <w:vAlign w:val="center"/>
          </w:tcPr>
          <w:p w14:paraId="0F5853CA">
            <w:pPr>
              <w:pStyle w:val="23"/>
              <w:jc w:val="center"/>
              <w:rPr>
                <w:rFonts w:ascii="宋体" w:hAnsi="宋体"/>
                <w:b/>
                <w:kern w:val="0"/>
                <w:szCs w:val="21"/>
              </w:rPr>
            </w:pPr>
            <w:r>
              <w:rPr>
                <w:rFonts w:ascii="宋体" w:hAnsi="宋体"/>
                <w:b/>
                <w:kern w:val="0"/>
                <w:szCs w:val="21"/>
              </w:rPr>
              <w:t>从业人员期末人数(人)</w:t>
            </w:r>
          </w:p>
        </w:tc>
        <w:tc>
          <w:tcPr>
            <w:tcW w:w="1491" w:type="pct"/>
            <w:vAlign w:val="center"/>
          </w:tcPr>
          <w:p w14:paraId="72902844">
            <w:pPr>
              <w:pStyle w:val="23"/>
              <w:jc w:val="center"/>
              <w:rPr>
                <w:rFonts w:ascii="宋体" w:hAnsi="宋体"/>
                <w:b/>
                <w:kern w:val="0"/>
                <w:szCs w:val="21"/>
              </w:rPr>
            </w:pPr>
            <w:r>
              <w:rPr>
                <w:rFonts w:ascii="宋体" w:hAnsi="宋体"/>
                <w:b/>
                <w:kern w:val="0"/>
                <w:szCs w:val="21"/>
              </w:rPr>
              <w:t>指标名称</w:t>
            </w:r>
          </w:p>
        </w:tc>
        <w:tc>
          <w:tcPr>
            <w:tcW w:w="1009" w:type="pct"/>
            <w:vAlign w:val="center"/>
          </w:tcPr>
          <w:p w14:paraId="272558C9">
            <w:pPr>
              <w:pStyle w:val="23"/>
              <w:jc w:val="center"/>
              <w:rPr>
                <w:rFonts w:ascii="宋体" w:hAnsi="宋体"/>
                <w:b/>
                <w:kern w:val="0"/>
                <w:szCs w:val="21"/>
              </w:rPr>
            </w:pPr>
            <w:r>
              <w:rPr>
                <w:rFonts w:ascii="宋体" w:hAnsi="宋体"/>
                <w:b/>
                <w:kern w:val="0"/>
                <w:szCs w:val="21"/>
              </w:rPr>
              <w:t>从业人员期末人数(人)</w:t>
            </w:r>
          </w:p>
        </w:tc>
      </w:tr>
      <w:tr w14:paraId="44EA9CD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822" w:type="pct"/>
            <w:vAlign w:val="center"/>
          </w:tcPr>
          <w:p w14:paraId="71D1075E">
            <w:pPr>
              <w:pStyle w:val="23"/>
              <w:rPr>
                <w:rFonts w:ascii="宋体" w:hAnsi="宋体"/>
                <w:kern w:val="0"/>
                <w:szCs w:val="21"/>
              </w:rPr>
            </w:pPr>
            <w:r>
              <w:rPr>
                <w:rFonts w:ascii="宋体" w:hAnsi="宋体"/>
                <w:kern w:val="0"/>
                <w:szCs w:val="21"/>
              </w:rPr>
              <w:t>总计</w:t>
            </w:r>
          </w:p>
        </w:tc>
        <w:tc>
          <w:tcPr>
            <w:tcW w:w="678" w:type="pct"/>
            <w:vAlign w:val="center"/>
          </w:tcPr>
          <w:p w14:paraId="07939CC5">
            <w:pPr>
              <w:pStyle w:val="23"/>
              <w:jc w:val="center"/>
              <w:rPr>
                <w:rFonts w:ascii="宋体" w:hAnsi="宋体"/>
                <w:kern w:val="0"/>
                <w:szCs w:val="21"/>
              </w:rPr>
            </w:pPr>
            <w:r>
              <w:rPr>
                <w:rFonts w:ascii="宋体" w:hAnsi="宋体"/>
                <w:kern w:val="0"/>
                <w:szCs w:val="21"/>
              </w:rPr>
              <w:t>177068</w:t>
            </w:r>
          </w:p>
        </w:tc>
        <w:tc>
          <w:tcPr>
            <w:tcW w:w="1491" w:type="pct"/>
            <w:vAlign w:val="center"/>
          </w:tcPr>
          <w:p w14:paraId="1A3EE1B0">
            <w:pPr>
              <w:pStyle w:val="23"/>
              <w:rPr>
                <w:rFonts w:ascii="宋体" w:hAnsi="宋体"/>
                <w:kern w:val="0"/>
                <w:szCs w:val="21"/>
              </w:rPr>
            </w:pPr>
            <w:r>
              <w:rPr>
                <w:rFonts w:ascii="宋体" w:hAnsi="宋体"/>
                <w:kern w:val="0"/>
                <w:szCs w:val="21"/>
              </w:rPr>
              <w:t>10、金融业</w:t>
            </w:r>
          </w:p>
        </w:tc>
        <w:tc>
          <w:tcPr>
            <w:tcW w:w="1009" w:type="pct"/>
            <w:vAlign w:val="center"/>
          </w:tcPr>
          <w:p w14:paraId="5B890BDC">
            <w:pPr>
              <w:pStyle w:val="23"/>
              <w:jc w:val="center"/>
              <w:rPr>
                <w:rFonts w:ascii="宋体" w:hAnsi="宋体"/>
                <w:kern w:val="0"/>
                <w:szCs w:val="21"/>
              </w:rPr>
            </w:pPr>
            <w:r>
              <w:rPr>
                <w:rFonts w:ascii="宋体" w:hAnsi="宋体"/>
                <w:kern w:val="0"/>
                <w:szCs w:val="21"/>
              </w:rPr>
              <w:t>625</w:t>
            </w:r>
          </w:p>
        </w:tc>
      </w:tr>
      <w:tr w14:paraId="562E1E2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822" w:type="pct"/>
            <w:vAlign w:val="center"/>
          </w:tcPr>
          <w:p w14:paraId="7393996C">
            <w:pPr>
              <w:pStyle w:val="23"/>
              <w:rPr>
                <w:rFonts w:ascii="宋体" w:hAnsi="宋体"/>
                <w:kern w:val="0"/>
                <w:szCs w:val="21"/>
              </w:rPr>
            </w:pPr>
            <w:r>
              <w:rPr>
                <w:rFonts w:ascii="宋体" w:hAnsi="宋体"/>
                <w:kern w:val="0"/>
                <w:szCs w:val="21"/>
              </w:rPr>
              <w:t>1、农、林、牧、渔业</w:t>
            </w:r>
          </w:p>
        </w:tc>
        <w:tc>
          <w:tcPr>
            <w:tcW w:w="678" w:type="pct"/>
            <w:vAlign w:val="center"/>
          </w:tcPr>
          <w:p w14:paraId="3666CAE1">
            <w:pPr>
              <w:pStyle w:val="23"/>
              <w:jc w:val="center"/>
              <w:rPr>
                <w:rFonts w:ascii="宋体" w:hAnsi="宋体"/>
                <w:kern w:val="0"/>
                <w:szCs w:val="21"/>
              </w:rPr>
            </w:pPr>
            <w:r>
              <w:rPr>
                <w:rFonts w:ascii="宋体" w:hAnsi="宋体"/>
                <w:kern w:val="0"/>
                <w:szCs w:val="21"/>
              </w:rPr>
              <w:t>99223</w:t>
            </w:r>
          </w:p>
        </w:tc>
        <w:tc>
          <w:tcPr>
            <w:tcW w:w="1491" w:type="pct"/>
            <w:vAlign w:val="center"/>
          </w:tcPr>
          <w:p w14:paraId="53B4F92B">
            <w:pPr>
              <w:pStyle w:val="23"/>
              <w:rPr>
                <w:rFonts w:ascii="宋体" w:hAnsi="宋体"/>
                <w:kern w:val="0"/>
                <w:szCs w:val="21"/>
              </w:rPr>
            </w:pPr>
            <w:r>
              <w:rPr>
                <w:rFonts w:ascii="宋体" w:hAnsi="宋体"/>
                <w:kern w:val="0"/>
                <w:szCs w:val="21"/>
              </w:rPr>
              <w:t>11、房地产</w:t>
            </w:r>
          </w:p>
        </w:tc>
        <w:tc>
          <w:tcPr>
            <w:tcW w:w="1009" w:type="pct"/>
            <w:vAlign w:val="center"/>
          </w:tcPr>
          <w:p w14:paraId="6FF9B594">
            <w:pPr>
              <w:pStyle w:val="23"/>
              <w:jc w:val="center"/>
              <w:rPr>
                <w:rFonts w:ascii="宋体" w:hAnsi="宋体"/>
                <w:kern w:val="0"/>
                <w:szCs w:val="21"/>
              </w:rPr>
            </w:pPr>
            <w:r>
              <w:rPr>
                <w:rFonts w:ascii="宋体" w:hAnsi="宋体"/>
                <w:kern w:val="0"/>
                <w:szCs w:val="21"/>
              </w:rPr>
              <w:t>723</w:t>
            </w:r>
          </w:p>
        </w:tc>
      </w:tr>
      <w:tr w14:paraId="34AB64F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822" w:type="pct"/>
            <w:vAlign w:val="center"/>
          </w:tcPr>
          <w:p w14:paraId="0005E300">
            <w:pPr>
              <w:pStyle w:val="23"/>
              <w:rPr>
                <w:rFonts w:ascii="宋体" w:hAnsi="宋体"/>
                <w:kern w:val="0"/>
                <w:szCs w:val="21"/>
              </w:rPr>
            </w:pPr>
            <w:r>
              <w:rPr>
                <w:rFonts w:ascii="宋体" w:hAnsi="宋体"/>
                <w:kern w:val="0"/>
                <w:szCs w:val="21"/>
              </w:rPr>
              <w:t>2、采矿业</w:t>
            </w:r>
          </w:p>
        </w:tc>
        <w:tc>
          <w:tcPr>
            <w:tcW w:w="678" w:type="pct"/>
            <w:vAlign w:val="center"/>
          </w:tcPr>
          <w:p w14:paraId="34C292FA">
            <w:pPr>
              <w:pStyle w:val="23"/>
              <w:jc w:val="center"/>
              <w:rPr>
                <w:rFonts w:ascii="宋体" w:hAnsi="宋体"/>
                <w:kern w:val="0"/>
                <w:szCs w:val="21"/>
              </w:rPr>
            </w:pPr>
            <w:r>
              <w:rPr>
                <w:rFonts w:ascii="宋体" w:hAnsi="宋体"/>
                <w:kern w:val="0"/>
                <w:szCs w:val="21"/>
              </w:rPr>
              <w:t>1183</w:t>
            </w:r>
          </w:p>
        </w:tc>
        <w:tc>
          <w:tcPr>
            <w:tcW w:w="1491" w:type="pct"/>
            <w:vAlign w:val="center"/>
          </w:tcPr>
          <w:p w14:paraId="734E78D8">
            <w:pPr>
              <w:pStyle w:val="23"/>
              <w:rPr>
                <w:rFonts w:ascii="宋体" w:hAnsi="宋体"/>
                <w:kern w:val="0"/>
                <w:szCs w:val="21"/>
              </w:rPr>
            </w:pPr>
            <w:r>
              <w:rPr>
                <w:rFonts w:ascii="宋体" w:hAnsi="宋体"/>
                <w:kern w:val="0"/>
                <w:szCs w:val="21"/>
              </w:rPr>
              <w:t>12、租赁和设备服务业</w:t>
            </w:r>
          </w:p>
        </w:tc>
        <w:tc>
          <w:tcPr>
            <w:tcW w:w="1009" w:type="pct"/>
            <w:vAlign w:val="center"/>
          </w:tcPr>
          <w:p w14:paraId="2D399D65">
            <w:pPr>
              <w:pStyle w:val="23"/>
              <w:jc w:val="center"/>
              <w:rPr>
                <w:rFonts w:ascii="宋体" w:hAnsi="宋体"/>
                <w:kern w:val="0"/>
                <w:szCs w:val="21"/>
              </w:rPr>
            </w:pPr>
            <w:r>
              <w:rPr>
                <w:rFonts w:ascii="宋体" w:hAnsi="宋体"/>
                <w:kern w:val="0"/>
                <w:szCs w:val="21"/>
              </w:rPr>
              <w:t>1886</w:t>
            </w:r>
          </w:p>
        </w:tc>
      </w:tr>
      <w:tr w14:paraId="1A6F0DD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822" w:type="pct"/>
            <w:vAlign w:val="center"/>
          </w:tcPr>
          <w:p w14:paraId="3C9A9D26">
            <w:pPr>
              <w:pStyle w:val="23"/>
              <w:rPr>
                <w:rFonts w:ascii="宋体" w:hAnsi="宋体"/>
                <w:kern w:val="0"/>
                <w:szCs w:val="21"/>
              </w:rPr>
            </w:pPr>
            <w:r>
              <w:rPr>
                <w:rFonts w:ascii="宋体" w:hAnsi="宋体"/>
                <w:kern w:val="0"/>
                <w:szCs w:val="21"/>
              </w:rPr>
              <w:t>3、制造业</w:t>
            </w:r>
          </w:p>
        </w:tc>
        <w:tc>
          <w:tcPr>
            <w:tcW w:w="678" w:type="pct"/>
            <w:vAlign w:val="center"/>
          </w:tcPr>
          <w:p w14:paraId="6B070A04">
            <w:pPr>
              <w:pStyle w:val="23"/>
              <w:jc w:val="center"/>
              <w:rPr>
                <w:rFonts w:ascii="宋体" w:hAnsi="宋体"/>
                <w:kern w:val="0"/>
                <w:szCs w:val="21"/>
              </w:rPr>
            </w:pPr>
            <w:r>
              <w:rPr>
                <w:rFonts w:ascii="宋体" w:hAnsi="宋体"/>
                <w:kern w:val="0"/>
                <w:szCs w:val="21"/>
              </w:rPr>
              <w:t>13957</w:t>
            </w:r>
          </w:p>
        </w:tc>
        <w:tc>
          <w:tcPr>
            <w:tcW w:w="1491" w:type="pct"/>
            <w:vAlign w:val="center"/>
          </w:tcPr>
          <w:p w14:paraId="4D4D7196">
            <w:pPr>
              <w:pStyle w:val="23"/>
              <w:rPr>
                <w:rFonts w:ascii="宋体" w:hAnsi="宋体"/>
                <w:kern w:val="0"/>
                <w:szCs w:val="21"/>
              </w:rPr>
            </w:pPr>
            <w:r>
              <w:rPr>
                <w:rFonts w:ascii="宋体" w:hAnsi="宋体"/>
                <w:kern w:val="0"/>
                <w:szCs w:val="21"/>
              </w:rPr>
              <w:t>13、科学研究、技术服务和地质勘探业</w:t>
            </w:r>
          </w:p>
        </w:tc>
        <w:tc>
          <w:tcPr>
            <w:tcW w:w="1009" w:type="pct"/>
            <w:vAlign w:val="center"/>
          </w:tcPr>
          <w:p w14:paraId="6812EAC3">
            <w:pPr>
              <w:pStyle w:val="23"/>
              <w:jc w:val="center"/>
              <w:rPr>
                <w:rFonts w:ascii="宋体" w:hAnsi="宋体"/>
                <w:kern w:val="0"/>
                <w:szCs w:val="21"/>
              </w:rPr>
            </w:pPr>
            <w:r>
              <w:rPr>
                <w:rFonts w:ascii="宋体" w:hAnsi="宋体"/>
                <w:kern w:val="0"/>
                <w:szCs w:val="21"/>
              </w:rPr>
              <w:t>571</w:t>
            </w:r>
          </w:p>
        </w:tc>
      </w:tr>
      <w:tr w14:paraId="65CA69D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822" w:type="pct"/>
            <w:vAlign w:val="center"/>
          </w:tcPr>
          <w:p w14:paraId="5294469A">
            <w:pPr>
              <w:pStyle w:val="23"/>
              <w:rPr>
                <w:rFonts w:ascii="宋体" w:hAnsi="宋体"/>
                <w:kern w:val="0"/>
                <w:szCs w:val="21"/>
              </w:rPr>
            </w:pPr>
            <w:r>
              <w:rPr>
                <w:rFonts w:ascii="宋体" w:hAnsi="宋体"/>
                <w:kern w:val="0"/>
                <w:szCs w:val="21"/>
              </w:rPr>
              <w:t>4、电力、燃气及水生产和供应业</w:t>
            </w:r>
          </w:p>
        </w:tc>
        <w:tc>
          <w:tcPr>
            <w:tcW w:w="678" w:type="pct"/>
            <w:vAlign w:val="center"/>
          </w:tcPr>
          <w:p w14:paraId="06A0DE60">
            <w:pPr>
              <w:pStyle w:val="23"/>
              <w:jc w:val="center"/>
              <w:rPr>
                <w:rFonts w:ascii="宋体" w:hAnsi="宋体"/>
                <w:kern w:val="0"/>
                <w:szCs w:val="21"/>
              </w:rPr>
            </w:pPr>
            <w:r>
              <w:rPr>
                <w:rFonts w:ascii="宋体" w:hAnsi="宋体"/>
                <w:kern w:val="0"/>
                <w:szCs w:val="21"/>
              </w:rPr>
              <w:t>2370</w:t>
            </w:r>
          </w:p>
        </w:tc>
        <w:tc>
          <w:tcPr>
            <w:tcW w:w="1491" w:type="pct"/>
            <w:vAlign w:val="center"/>
          </w:tcPr>
          <w:p w14:paraId="05C44BBA">
            <w:pPr>
              <w:pStyle w:val="23"/>
              <w:rPr>
                <w:rFonts w:ascii="宋体" w:hAnsi="宋体"/>
                <w:kern w:val="0"/>
                <w:szCs w:val="21"/>
              </w:rPr>
            </w:pPr>
            <w:r>
              <w:rPr>
                <w:rFonts w:ascii="宋体" w:hAnsi="宋体"/>
                <w:kern w:val="0"/>
                <w:szCs w:val="21"/>
              </w:rPr>
              <w:t>14、水利、环境和公共设施管理</w:t>
            </w:r>
          </w:p>
        </w:tc>
        <w:tc>
          <w:tcPr>
            <w:tcW w:w="1009" w:type="pct"/>
            <w:vAlign w:val="center"/>
          </w:tcPr>
          <w:p w14:paraId="389B9E36">
            <w:pPr>
              <w:pStyle w:val="23"/>
              <w:jc w:val="center"/>
              <w:rPr>
                <w:rFonts w:ascii="宋体" w:hAnsi="宋体"/>
                <w:kern w:val="0"/>
                <w:szCs w:val="21"/>
              </w:rPr>
            </w:pPr>
            <w:r>
              <w:rPr>
                <w:rFonts w:ascii="宋体" w:hAnsi="宋体"/>
                <w:kern w:val="0"/>
                <w:szCs w:val="21"/>
              </w:rPr>
              <w:t>477</w:t>
            </w:r>
          </w:p>
        </w:tc>
      </w:tr>
      <w:tr w14:paraId="41AE621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822" w:type="pct"/>
            <w:vAlign w:val="center"/>
          </w:tcPr>
          <w:p w14:paraId="47034AA0">
            <w:pPr>
              <w:pStyle w:val="23"/>
              <w:rPr>
                <w:rFonts w:ascii="宋体" w:hAnsi="宋体"/>
                <w:kern w:val="0"/>
                <w:szCs w:val="21"/>
              </w:rPr>
            </w:pPr>
            <w:r>
              <w:rPr>
                <w:rFonts w:ascii="宋体" w:hAnsi="宋体"/>
                <w:kern w:val="0"/>
                <w:szCs w:val="21"/>
              </w:rPr>
              <w:t>5、建筑业</w:t>
            </w:r>
          </w:p>
        </w:tc>
        <w:tc>
          <w:tcPr>
            <w:tcW w:w="678" w:type="pct"/>
            <w:vAlign w:val="center"/>
          </w:tcPr>
          <w:p w14:paraId="3434AA6E">
            <w:pPr>
              <w:pStyle w:val="23"/>
              <w:jc w:val="center"/>
              <w:rPr>
                <w:rFonts w:ascii="宋体" w:hAnsi="宋体"/>
                <w:kern w:val="0"/>
                <w:szCs w:val="21"/>
              </w:rPr>
            </w:pPr>
            <w:r>
              <w:rPr>
                <w:rFonts w:ascii="宋体" w:hAnsi="宋体"/>
                <w:kern w:val="0"/>
                <w:szCs w:val="21"/>
              </w:rPr>
              <w:t>9768</w:t>
            </w:r>
          </w:p>
        </w:tc>
        <w:tc>
          <w:tcPr>
            <w:tcW w:w="1491" w:type="pct"/>
            <w:vAlign w:val="center"/>
          </w:tcPr>
          <w:p w14:paraId="1BF84034">
            <w:pPr>
              <w:pStyle w:val="23"/>
              <w:rPr>
                <w:rFonts w:ascii="宋体" w:hAnsi="宋体"/>
                <w:kern w:val="0"/>
                <w:szCs w:val="21"/>
              </w:rPr>
            </w:pPr>
            <w:r>
              <w:rPr>
                <w:rFonts w:ascii="宋体" w:hAnsi="宋体"/>
                <w:kern w:val="0"/>
                <w:szCs w:val="21"/>
              </w:rPr>
              <w:t>15、居民服务和其他服务业</w:t>
            </w:r>
          </w:p>
        </w:tc>
        <w:tc>
          <w:tcPr>
            <w:tcW w:w="1009" w:type="pct"/>
            <w:vAlign w:val="center"/>
          </w:tcPr>
          <w:p w14:paraId="43B39836">
            <w:pPr>
              <w:pStyle w:val="23"/>
              <w:jc w:val="center"/>
              <w:rPr>
                <w:rFonts w:ascii="宋体" w:hAnsi="宋体"/>
                <w:kern w:val="0"/>
                <w:szCs w:val="21"/>
              </w:rPr>
            </w:pPr>
            <w:r>
              <w:rPr>
                <w:rFonts w:ascii="宋体" w:hAnsi="宋体"/>
                <w:kern w:val="0"/>
                <w:szCs w:val="21"/>
              </w:rPr>
              <w:t>1312</w:t>
            </w:r>
          </w:p>
        </w:tc>
      </w:tr>
      <w:tr w14:paraId="00996C6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822" w:type="pct"/>
            <w:vAlign w:val="center"/>
          </w:tcPr>
          <w:p w14:paraId="4F7D63CD">
            <w:pPr>
              <w:pStyle w:val="23"/>
              <w:rPr>
                <w:rFonts w:ascii="宋体" w:hAnsi="宋体"/>
                <w:kern w:val="0"/>
                <w:szCs w:val="21"/>
              </w:rPr>
            </w:pPr>
            <w:r>
              <w:rPr>
                <w:rFonts w:ascii="宋体" w:hAnsi="宋体"/>
                <w:kern w:val="0"/>
                <w:szCs w:val="21"/>
              </w:rPr>
              <w:t>6、交通运输、仓储和邮政业</w:t>
            </w:r>
          </w:p>
        </w:tc>
        <w:tc>
          <w:tcPr>
            <w:tcW w:w="678" w:type="pct"/>
            <w:vAlign w:val="center"/>
          </w:tcPr>
          <w:p w14:paraId="56F553AA">
            <w:pPr>
              <w:pStyle w:val="23"/>
              <w:jc w:val="center"/>
              <w:rPr>
                <w:rFonts w:ascii="宋体" w:hAnsi="宋体"/>
                <w:kern w:val="0"/>
                <w:szCs w:val="21"/>
              </w:rPr>
            </w:pPr>
            <w:r>
              <w:rPr>
                <w:rFonts w:ascii="宋体" w:hAnsi="宋体"/>
                <w:kern w:val="0"/>
                <w:szCs w:val="21"/>
              </w:rPr>
              <w:t>4931</w:t>
            </w:r>
          </w:p>
        </w:tc>
        <w:tc>
          <w:tcPr>
            <w:tcW w:w="1491" w:type="pct"/>
            <w:vAlign w:val="center"/>
          </w:tcPr>
          <w:p w14:paraId="40F5F9F8">
            <w:pPr>
              <w:pStyle w:val="23"/>
              <w:rPr>
                <w:rFonts w:ascii="宋体" w:hAnsi="宋体"/>
                <w:kern w:val="0"/>
                <w:szCs w:val="21"/>
              </w:rPr>
            </w:pPr>
            <w:r>
              <w:rPr>
                <w:rFonts w:ascii="宋体" w:hAnsi="宋体"/>
                <w:kern w:val="0"/>
                <w:szCs w:val="21"/>
              </w:rPr>
              <w:t>16、教育</w:t>
            </w:r>
          </w:p>
        </w:tc>
        <w:tc>
          <w:tcPr>
            <w:tcW w:w="1009" w:type="pct"/>
            <w:vAlign w:val="center"/>
          </w:tcPr>
          <w:p w14:paraId="34F6D31A">
            <w:pPr>
              <w:pStyle w:val="23"/>
              <w:jc w:val="center"/>
              <w:rPr>
                <w:rFonts w:ascii="宋体" w:hAnsi="宋体"/>
                <w:kern w:val="0"/>
                <w:szCs w:val="21"/>
              </w:rPr>
            </w:pPr>
            <w:r>
              <w:rPr>
                <w:rFonts w:ascii="宋体" w:hAnsi="宋体"/>
                <w:kern w:val="0"/>
                <w:szCs w:val="21"/>
              </w:rPr>
              <w:t>5594</w:t>
            </w:r>
          </w:p>
        </w:tc>
      </w:tr>
      <w:tr w14:paraId="60FDD5A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822" w:type="pct"/>
            <w:vAlign w:val="center"/>
          </w:tcPr>
          <w:p w14:paraId="6257DB60">
            <w:pPr>
              <w:pStyle w:val="23"/>
              <w:rPr>
                <w:rFonts w:ascii="宋体" w:hAnsi="宋体"/>
                <w:kern w:val="0"/>
                <w:szCs w:val="21"/>
              </w:rPr>
            </w:pPr>
            <w:r>
              <w:rPr>
                <w:rFonts w:ascii="宋体" w:hAnsi="宋体"/>
                <w:kern w:val="0"/>
                <w:szCs w:val="21"/>
              </w:rPr>
              <w:t>7、信息传输、计算机服务和软件业</w:t>
            </w:r>
          </w:p>
        </w:tc>
        <w:tc>
          <w:tcPr>
            <w:tcW w:w="678" w:type="pct"/>
            <w:vAlign w:val="center"/>
          </w:tcPr>
          <w:p w14:paraId="21407FF9">
            <w:pPr>
              <w:pStyle w:val="23"/>
              <w:jc w:val="center"/>
              <w:rPr>
                <w:rFonts w:ascii="宋体" w:hAnsi="宋体"/>
                <w:kern w:val="0"/>
                <w:szCs w:val="21"/>
              </w:rPr>
            </w:pPr>
            <w:r>
              <w:rPr>
                <w:rFonts w:ascii="宋体" w:hAnsi="宋体"/>
                <w:kern w:val="0"/>
                <w:szCs w:val="21"/>
              </w:rPr>
              <w:t>1391</w:t>
            </w:r>
          </w:p>
        </w:tc>
        <w:tc>
          <w:tcPr>
            <w:tcW w:w="1491" w:type="pct"/>
            <w:vAlign w:val="center"/>
          </w:tcPr>
          <w:p w14:paraId="261D2316">
            <w:pPr>
              <w:pStyle w:val="23"/>
              <w:rPr>
                <w:rFonts w:ascii="宋体" w:hAnsi="宋体"/>
                <w:kern w:val="0"/>
                <w:szCs w:val="21"/>
              </w:rPr>
            </w:pPr>
            <w:r>
              <w:rPr>
                <w:rFonts w:ascii="宋体" w:hAnsi="宋体"/>
                <w:kern w:val="0"/>
                <w:szCs w:val="21"/>
              </w:rPr>
              <w:t>17、卫生、社会保障和社会福利</w:t>
            </w:r>
          </w:p>
        </w:tc>
        <w:tc>
          <w:tcPr>
            <w:tcW w:w="1009" w:type="pct"/>
            <w:vAlign w:val="center"/>
          </w:tcPr>
          <w:p w14:paraId="74FDD1AE">
            <w:pPr>
              <w:pStyle w:val="23"/>
              <w:jc w:val="center"/>
              <w:rPr>
                <w:rFonts w:ascii="宋体" w:hAnsi="宋体"/>
                <w:kern w:val="0"/>
                <w:szCs w:val="21"/>
              </w:rPr>
            </w:pPr>
            <w:r>
              <w:rPr>
                <w:rFonts w:ascii="宋体" w:hAnsi="宋体"/>
                <w:kern w:val="0"/>
                <w:szCs w:val="21"/>
              </w:rPr>
              <w:t>1829</w:t>
            </w:r>
          </w:p>
        </w:tc>
      </w:tr>
      <w:tr w14:paraId="29ED94A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822" w:type="pct"/>
            <w:vAlign w:val="center"/>
          </w:tcPr>
          <w:p w14:paraId="4728A2A3">
            <w:pPr>
              <w:pStyle w:val="23"/>
              <w:rPr>
                <w:rFonts w:ascii="宋体" w:hAnsi="宋体"/>
                <w:kern w:val="0"/>
                <w:szCs w:val="21"/>
              </w:rPr>
            </w:pPr>
            <w:r>
              <w:rPr>
                <w:rFonts w:ascii="宋体" w:hAnsi="宋体"/>
                <w:kern w:val="0"/>
                <w:szCs w:val="21"/>
              </w:rPr>
              <w:t>8、批发和零售业</w:t>
            </w:r>
          </w:p>
        </w:tc>
        <w:tc>
          <w:tcPr>
            <w:tcW w:w="678" w:type="pct"/>
            <w:vAlign w:val="center"/>
          </w:tcPr>
          <w:p w14:paraId="2044810B">
            <w:pPr>
              <w:pStyle w:val="23"/>
              <w:jc w:val="center"/>
              <w:rPr>
                <w:rFonts w:ascii="宋体" w:hAnsi="宋体"/>
                <w:kern w:val="0"/>
                <w:szCs w:val="21"/>
              </w:rPr>
            </w:pPr>
            <w:r>
              <w:rPr>
                <w:rFonts w:ascii="宋体" w:hAnsi="宋体"/>
                <w:kern w:val="0"/>
                <w:szCs w:val="21"/>
              </w:rPr>
              <w:t>20052</w:t>
            </w:r>
          </w:p>
        </w:tc>
        <w:tc>
          <w:tcPr>
            <w:tcW w:w="1491" w:type="pct"/>
            <w:vAlign w:val="center"/>
          </w:tcPr>
          <w:p w14:paraId="5EFDECCE">
            <w:pPr>
              <w:pStyle w:val="23"/>
              <w:rPr>
                <w:rFonts w:ascii="宋体" w:hAnsi="宋体"/>
                <w:kern w:val="0"/>
                <w:szCs w:val="21"/>
              </w:rPr>
            </w:pPr>
            <w:r>
              <w:rPr>
                <w:rFonts w:ascii="宋体" w:hAnsi="宋体"/>
                <w:kern w:val="0"/>
                <w:szCs w:val="21"/>
              </w:rPr>
              <w:t>18、文化、体育和娱乐业</w:t>
            </w:r>
          </w:p>
        </w:tc>
        <w:tc>
          <w:tcPr>
            <w:tcW w:w="1009" w:type="pct"/>
            <w:vAlign w:val="center"/>
          </w:tcPr>
          <w:p w14:paraId="7C1908DE">
            <w:pPr>
              <w:pStyle w:val="23"/>
              <w:jc w:val="center"/>
              <w:rPr>
                <w:rFonts w:ascii="宋体" w:hAnsi="宋体"/>
                <w:kern w:val="0"/>
                <w:szCs w:val="21"/>
              </w:rPr>
            </w:pPr>
            <w:r>
              <w:rPr>
                <w:rFonts w:ascii="宋体" w:hAnsi="宋体"/>
                <w:kern w:val="0"/>
                <w:szCs w:val="21"/>
              </w:rPr>
              <w:t>1496</w:t>
            </w:r>
          </w:p>
        </w:tc>
      </w:tr>
      <w:tr w14:paraId="6B9527A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822" w:type="pct"/>
            <w:vAlign w:val="center"/>
          </w:tcPr>
          <w:p w14:paraId="18DBFECA">
            <w:pPr>
              <w:pStyle w:val="23"/>
              <w:rPr>
                <w:rFonts w:ascii="宋体" w:hAnsi="宋体"/>
                <w:kern w:val="0"/>
                <w:szCs w:val="21"/>
              </w:rPr>
            </w:pPr>
            <w:r>
              <w:rPr>
                <w:rFonts w:ascii="宋体" w:hAnsi="宋体"/>
                <w:kern w:val="0"/>
                <w:szCs w:val="21"/>
              </w:rPr>
              <w:t>9、住宿和餐饮业</w:t>
            </w:r>
          </w:p>
        </w:tc>
        <w:tc>
          <w:tcPr>
            <w:tcW w:w="678" w:type="pct"/>
            <w:vAlign w:val="center"/>
          </w:tcPr>
          <w:p w14:paraId="3D67E0A5">
            <w:pPr>
              <w:pStyle w:val="23"/>
              <w:jc w:val="center"/>
              <w:rPr>
                <w:rFonts w:ascii="宋体" w:hAnsi="宋体"/>
                <w:kern w:val="0"/>
                <w:szCs w:val="21"/>
              </w:rPr>
            </w:pPr>
            <w:r>
              <w:rPr>
                <w:rFonts w:ascii="宋体" w:hAnsi="宋体"/>
                <w:kern w:val="0"/>
                <w:szCs w:val="21"/>
              </w:rPr>
              <w:t>3295</w:t>
            </w:r>
          </w:p>
        </w:tc>
        <w:tc>
          <w:tcPr>
            <w:tcW w:w="1491" w:type="pct"/>
            <w:vAlign w:val="center"/>
          </w:tcPr>
          <w:p w14:paraId="409C9740">
            <w:pPr>
              <w:pStyle w:val="23"/>
              <w:rPr>
                <w:rFonts w:ascii="宋体" w:hAnsi="宋体"/>
                <w:kern w:val="0"/>
                <w:szCs w:val="21"/>
              </w:rPr>
            </w:pPr>
            <w:r>
              <w:rPr>
                <w:rFonts w:ascii="宋体" w:hAnsi="宋体"/>
                <w:kern w:val="0"/>
                <w:szCs w:val="21"/>
              </w:rPr>
              <w:t>19、公共管理和社会组织</w:t>
            </w:r>
          </w:p>
        </w:tc>
        <w:tc>
          <w:tcPr>
            <w:tcW w:w="1009" w:type="pct"/>
            <w:vAlign w:val="center"/>
          </w:tcPr>
          <w:p w14:paraId="2674F37A">
            <w:pPr>
              <w:pStyle w:val="23"/>
              <w:jc w:val="center"/>
              <w:rPr>
                <w:rFonts w:ascii="宋体" w:hAnsi="宋体"/>
                <w:kern w:val="0"/>
                <w:szCs w:val="21"/>
              </w:rPr>
            </w:pPr>
            <w:r>
              <w:rPr>
                <w:rFonts w:ascii="宋体" w:hAnsi="宋体"/>
                <w:kern w:val="0"/>
                <w:szCs w:val="21"/>
              </w:rPr>
              <w:t>6385</w:t>
            </w:r>
          </w:p>
        </w:tc>
      </w:tr>
    </w:tbl>
    <w:p w14:paraId="2EAE2FAF">
      <w:pPr>
        <w:ind w:firstLine="0" w:firstLineChars="0"/>
        <w:jc w:val="center"/>
        <w:rPr>
          <w:rFonts w:ascii="宋体" w:hAnsi="宋体"/>
          <w:b/>
          <w:szCs w:val="21"/>
        </w:rPr>
      </w:pPr>
      <w:r>
        <w:rPr>
          <w:rFonts w:hint="eastAsia" w:ascii="宋体" w:hAnsi="宋体"/>
          <w:b/>
          <w:szCs w:val="21"/>
        </w:rPr>
        <w:t>表78 在岗职工年均人数与工资</w:t>
      </w:r>
    </w:p>
    <w:tbl>
      <w:tblPr>
        <w:tblStyle w:val="14"/>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220"/>
        <w:gridCol w:w="2132"/>
        <w:gridCol w:w="2267"/>
        <w:gridCol w:w="1343"/>
      </w:tblGrid>
      <w:tr w14:paraId="1A54BCA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118" w:type="pct"/>
            <w:shd w:val="clear" w:color="auto" w:fill="auto"/>
            <w:noWrap/>
            <w:vAlign w:val="center"/>
          </w:tcPr>
          <w:p w14:paraId="7E89F798">
            <w:pPr>
              <w:pStyle w:val="23"/>
              <w:jc w:val="center"/>
              <w:rPr>
                <w:rFonts w:ascii="宋体" w:hAnsi="宋体"/>
                <w:b/>
                <w:kern w:val="0"/>
                <w:szCs w:val="21"/>
              </w:rPr>
            </w:pPr>
            <w:r>
              <w:rPr>
                <w:rFonts w:ascii="宋体" w:hAnsi="宋体"/>
                <w:b/>
                <w:kern w:val="0"/>
                <w:szCs w:val="21"/>
              </w:rPr>
              <w:t>指标名称</w:t>
            </w:r>
          </w:p>
        </w:tc>
        <w:tc>
          <w:tcPr>
            <w:tcW w:w="1069" w:type="pct"/>
            <w:shd w:val="clear" w:color="auto" w:fill="auto"/>
            <w:noWrap/>
            <w:vAlign w:val="center"/>
          </w:tcPr>
          <w:p w14:paraId="10B08614">
            <w:pPr>
              <w:pStyle w:val="23"/>
              <w:jc w:val="center"/>
              <w:rPr>
                <w:rFonts w:ascii="宋体" w:hAnsi="宋体"/>
                <w:b/>
                <w:kern w:val="0"/>
                <w:szCs w:val="21"/>
              </w:rPr>
            </w:pPr>
            <w:r>
              <w:rPr>
                <w:rFonts w:ascii="宋体" w:hAnsi="宋体"/>
                <w:b/>
                <w:kern w:val="0"/>
                <w:szCs w:val="21"/>
              </w:rPr>
              <w:t>在岗职工平均人数(人)</w:t>
            </w:r>
          </w:p>
        </w:tc>
        <w:tc>
          <w:tcPr>
            <w:tcW w:w="1138" w:type="pct"/>
            <w:shd w:val="clear" w:color="auto" w:fill="auto"/>
            <w:noWrap/>
            <w:vAlign w:val="center"/>
          </w:tcPr>
          <w:p w14:paraId="4B2CF10D">
            <w:pPr>
              <w:pStyle w:val="23"/>
              <w:jc w:val="center"/>
              <w:rPr>
                <w:rFonts w:ascii="宋体" w:hAnsi="宋体"/>
                <w:b/>
                <w:kern w:val="0"/>
                <w:szCs w:val="21"/>
              </w:rPr>
            </w:pPr>
            <w:r>
              <w:rPr>
                <w:rFonts w:ascii="宋体" w:hAnsi="宋体"/>
                <w:b/>
                <w:kern w:val="0"/>
                <w:szCs w:val="21"/>
              </w:rPr>
              <w:t>在岗职工工资总额(千元)</w:t>
            </w:r>
          </w:p>
        </w:tc>
        <w:tc>
          <w:tcPr>
            <w:tcW w:w="675" w:type="pct"/>
            <w:shd w:val="clear" w:color="auto" w:fill="auto"/>
            <w:noWrap/>
            <w:vAlign w:val="center"/>
          </w:tcPr>
          <w:p w14:paraId="57144DA2">
            <w:pPr>
              <w:pStyle w:val="23"/>
              <w:jc w:val="center"/>
              <w:rPr>
                <w:rFonts w:ascii="宋体" w:hAnsi="宋体"/>
                <w:b/>
                <w:kern w:val="0"/>
                <w:szCs w:val="21"/>
              </w:rPr>
            </w:pPr>
            <w:r>
              <w:rPr>
                <w:rFonts w:ascii="宋体" w:hAnsi="宋体"/>
                <w:b/>
                <w:kern w:val="0"/>
                <w:szCs w:val="21"/>
              </w:rPr>
              <w:t>年人均工资(元)</w:t>
            </w:r>
          </w:p>
        </w:tc>
      </w:tr>
      <w:tr w14:paraId="04A3787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118" w:type="pct"/>
            <w:shd w:val="clear" w:color="auto" w:fill="auto"/>
            <w:noWrap/>
            <w:vAlign w:val="center"/>
          </w:tcPr>
          <w:p w14:paraId="7BB9399E">
            <w:pPr>
              <w:pStyle w:val="23"/>
              <w:rPr>
                <w:rFonts w:ascii="宋体" w:hAnsi="宋体"/>
                <w:kern w:val="0"/>
                <w:szCs w:val="21"/>
              </w:rPr>
            </w:pPr>
            <w:r>
              <w:rPr>
                <w:rFonts w:ascii="宋体" w:hAnsi="宋体"/>
                <w:kern w:val="0"/>
                <w:szCs w:val="21"/>
              </w:rPr>
              <w:t>总计</w:t>
            </w:r>
          </w:p>
        </w:tc>
        <w:tc>
          <w:tcPr>
            <w:tcW w:w="1070" w:type="pct"/>
            <w:shd w:val="clear" w:color="auto" w:fill="auto"/>
            <w:noWrap/>
            <w:vAlign w:val="center"/>
          </w:tcPr>
          <w:p w14:paraId="1AEC6554">
            <w:pPr>
              <w:pStyle w:val="23"/>
              <w:jc w:val="center"/>
              <w:rPr>
                <w:rFonts w:ascii="宋体" w:hAnsi="宋体"/>
                <w:kern w:val="0"/>
                <w:szCs w:val="21"/>
              </w:rPr>
            </w:pPr>
            <w:r>
              <w:rPr>
                <w:rFonts w:ascii="宋体" w:hAnsi="宋体"/>
                <w:kern w:val="0"/>
                <w:szCs w:val="21"/>
              </w:rPr>
              <w:t>25211</w:t>
            </w:r>
          </w:p>
        </w:tc>
        <w:tc>
          <w:tcPr>
            <w:tcW w:w="1138" w:type="pct"/>
            <w:shd w:val="clear" w:color="auto" w:fill="auto"/>
            <w:noWrap/>
            <w:vAlign w:val="center"/>
          </w:tcPr>
          <w:p w14:paraId="4525C811">
            <w:pPr>
              <w:pStyle w:val="23"/>
              <w:jc w:val="center"/>
              <w:rPr>
                <w:rFonts w:ascii="宋体" w:hAnsi="宋体"/>
                <w:kern w:val="0"/>
                <w:szCs w:val="21"/>
              </w:rPr>
            </w:pPr>
            <w:r>
              <w:rPr>
                <w:rFonts w:ascii="宋体" w:hAnsi="宋体"/>
                <w:kern w:val="0"/>
                <w:szCs w:val="21"/>
              </w:rPr>
              <w:t>732023</w:t>
            </w:r>
          </w:p>
        </w:tc>
        <w:tc>
          <w:tcPr>
            <w:tcW w:w="675" w:type="pct"/>
            <w:shd w:val="clear" w:color="auto" w:fill="auto"/>
            <w:noWrap/>
            <w:vAlign w:val="center"/>
          </w:tcPr>
          <w:p w14:paraId="10770435">
            <w:pPr>
              <w:pStyle w:val="23"/>
              <w:jc w:val="center"/>
              <w:rPr>
                <w:rFonts w:ascii="宋体" w:hAnsi="宋体"/>
                <w:kern w:val="0"/>
                <w:szCs w:val="21"/>
              </w:rPr>
            </w:pPr>
            <w:r>
              <w:rPr>
                <w:rFonts w:ascii="宋体" w:hAnsi="宋体"/>
                <w:kern w:val="0"/>
                <w:szCs w:val="21"/>
              </w:rPr>
              <w:t>29036</w:t>
            </w:r>
          </w:p>
        </w:tc>
      </w:tr>
      <w:tr w14:paraId="4249ABD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118" w:type="pct"/>
            <w:shd w:val="clear" w:color="auto" w:fill="auto"/>
            <w:noWrap/>
            <w:vAlign w:val="center"/>
          </w:tcPr>
          <w:p w14:paraId="0BBE2F27">
            <w:pPr>
              <w:pStyle w:val="23"/>
              <w:rPr>
                <w:rFonts w:ascii="宋体" w:hAnsi="宋体"/>
                <w:kern w:val="0"/>
                <w:szCs w:val="21"/>
              </w:rPr>
            </w:pPr>
            <w:r>
              <w:rPr>
                <w:rFonts w:ascii="宋体" w:hAnsi="宋体"/>
                <w:kern w:val="0"/>
                <w:szCs w:val="21"/>
              </w:rPr>
              <w:t>一、国有经济单位</w:t>
            </w:r>
          </w:p>
        </w:tc>
        <w:tc>
          <w:tcPr>
            <w:tcW w:w="1070" w:type="pct"/>
            <w:shd w:val="clear" w:color="auto" w:fill="auto"/>
            <w:noWrap/>
            <w:vAlign w:val="center"/>
          </w:tcPr>
          <w:p w14:paraId="2A36A3BE">
            <w:pPr>
              <w:pStyle w:val="23"/>
              <w:jc w:val="center"/>
              <w:rPr>
                <w:rFonts w:ascii="宋体" w:hAnsi="宋体"/>
                <w:kern w:val="0"/>
                <w:szCs w:val="21"/>
              </w:rPr>
            </w:pPr>
            <w:r>
              <w:rPr>
                <w:rFonts w:ascii="宋体" w:hAnsi="宋体"/>
                <w:kern w:val="0"/>
                <w:szCs w:val="21"/>
              </w:rPr>
              <w:t>12504</w:t>
            </w:r>
          </w:p>
        </w:tc>
        <w:tc>
          <w:tcPr>
            <w:tcW w:w="1138" w:type="pct"/>
            <w:shd w:val="clear" w:color="auto" w:fill="auto"/>
            <w:noWrap/>
            <w:vAlign w:val="center"/>
          </w:tcPr>
          <w:p w14:paraId="5BFC961F">
            <w:pPr>
              <w:pStyle w:val="23"/>
              <w:jc w:val="center"/>
              <w:rPr>
                <w:rFonts w:ascii="宋体" w:hAnsi="宋体"/>
                <w:kern w:val="0"/>
                <w:szCs w:val="21"/>
              </w:rPr>
            </w:pPr>
            <w:r>
              <w:rPr>
                <w:rFonts w:ascii="宋体" w:hAnsi="宋体"/>
                <w:kern w:val="0"/>
                <w:szCs w:val="21"/>
              </w:rPr>
              <w:t>421748</w:t>
            </w:r>
          </w:p>
        </w:tc>
        <w:tc>
          <w:tcPr>
            <w:tcW w:w="675" w:type="pct"/>
            <w:shd w:val="clear" w:color="auto" w:fill="auto"/>
            <w:noWrap/>
            <w:vAlign w:val="center"/>
          </w:tcPr>
          <w:p w14:paraId="57E80EC8">
            <w:pPr>
              <w:pStyle w:val="23"/>
              <w:jc w:val="center"/>
              <w:rPr>
                <w:rFonts w:ascii="宋体" w:hAnsi="宋体"/>
                <w:kern w:val="0"/>
                <w:szCs w:val="21"/>
              </w:rPr>
            </w:pPr>
            <w:r>
              <w:rPr>
                <w:rFonts w:ascii="宋体" w:hAnsi="宋体"/>
                <w:kern w:val="0"/>
                <w:szCs w:val="21"/>
              </w:rPr>
              <w:t>33729</w:t>
            </w:r>
          </w:p>
        </w:tc>
      </w:tr>
      <w:tr w14:paraId="0D9AB5F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118" w:type="pct"/>
            <w:shd w:val="clear" w:color="auto" w:fill="auto"/>
            <w:noWrap/>
            <w:vAlign w:val="center"/>
          </w:tcPr>
          <w:p w14:paraId="107F3ADC">
            <w:pPr>
              <w:pStyle w:val="23"/>
              <w:ind w:firstLine="420" w:firstLineChars="200"/>
              <w:rPr>
                <w:rFonts w:ascii="宋体" w:hAnsi="宋体"/>
                <w:kern w:val="0"/>
                <w:szCs w:val="21"/>
              </w:rPr>
            </w:pPr>
            <w:r>
              <w:rPr>
                <w:rFonts w:ascii="宋体" w:hAnsi="宋体"/>
                <w:kern w:val="0"/>
                <w:szCs w:val="21"/>
              </w:rPr>
              <w:t>1、农、林、渔、牧业</w:t>
            </w:r>
          </w:p>
        </w:tc>
        <w:tc>
          <w:tcPr>
            <w:tcW w:w="1070" w:type="pct"/>
            <w:shd w:val="clear" w:color="auto" w:fill="auto"/>
            <w:noWrap/>
            <w:vAlign w:val="center"/>
          </w:tcPr>
          <w:p w14:paraId="37A9766E">
            <w:pPr>
              <w:pStyle w:val="23"/>
              <w:jc w:val="center"/>
              <w:rPr>
                <w:rFonts w:ascii="宋体" w:hAnsi="宋体"/>
                <w:kern w:val="0"/>
                <w:szCs w:val="21"/>
              </w:rPr>
            </w:pPr>
            <w:r>
              <w:rPr>
                <w:rFonts w:ascii="宋体" w:hAnsi="宋体"/>
                <w:kern w:val="0"/>
                <w:szCs w:val="21"/>
              </w:rPr>
              <w:t>389</w:t>
            </w:r>
          </w:p>
        </w:tc>
        <w:tc>
          <w:tcPr>
            <w:tcW w:w="1138" w:type="pct"/>
            <w:shd w:val="clear" w:color="auto" w:fill="auto"/>
            <w:noWrap/>
            <w:vAlign w:val="center"/>
          </w:tcPr>
          <w:p w14:paraId="1189E6CC">
            <w:pPr>
              <w:pStyle w:val="23"/>
              <w:jc w:val="center"/>
              <w:rPr>
                <w:rFonts w:ascii="宋体" w:hAnsi="宋体"/>
                <w:kern w:val="0"/>
                <w:szCs w:val="21"/>
              </w:rPr>
            </w:pPr>
            <w:r>
              <w:rPr>
                <w:rFonts w:ascii="宋体" w:hAnsi="宋体"/>
                <w:kern w:val="0"/>
                <w:szCs w:val="21"/>
              </w:rPr>
              <w:t>6237</w:t>
            </w:r>
          </w:p>
        </w:tc>
        <w:tc>
          <w:tcPr>
            <w:tcW w:w="675" w:type="pct"/>
            <w:shd w:val="clear" w:color="auto" w:fill="auto"/>
            <w:noWrap/>
            <w:vAlign w:val="center"/>
          </w:tcPr>
          <w:p w14:paraId="67F7F3B6">
            <w:pPr>
              <w:pStyle w:val="23"/>
              <w:jc w:val="center"/>
              <w:rPr>
                <w:rFonts w:ascii="宋体" w:hAnsi="宋体"/>
                <w:kern w:val="0"/>
                <w:szCs w:val="21"/>
              </w:rPr>
            </w:pPr>
            <w:r>
              <w:rPr>
                <w:rFonts w:ascii="宋体" w:hAnsi="宋体"/>
                <w:kern w:val="0"/>
                <w:szCs w:val="21"/>
              </w:rPr>
              <w:t>16033</w:t>
            </w:r>
          </w:p>
        </w:tc>
      </w:tr>
      <w:tr w14:paraId="53BFEE4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118" w:type="pct"/>
            <w:shd w:val="clear" w:color="auto" w:fill="auto"/>
            <w:noWrap/>
            <w:vAlign w:val="center"/>
          </w:tcPr>
          <w:p w14:paraId="6804F48C">
            <w:pPr>
              <w:pStyle w:val="23"/>
              <w:ind w:firstLine="420" w:firstLineChars="200"/>
              <w:rPr>
                <w:rFonts w:ascii="宋体" w:hAnsi="宋体"/>
                <w:kern w:val="0"/>
                <w:szCs w:val="21"/>
              </w:rPr>
            </w:pPr>
            <w:r>
              <w:rPr>
                <w:rFonts w:ascii="宋体" w:hAnsi="宋体"/>
                <w:kern w:val="0"/>
                <w:szCs w:val="21"/>
              </w:rPr>
              <w:t>2、采矿业</w:t>
            </w:r>
          </w:p>
        </w:tc>
        <w:tc>
          <w:tcPr>
            <w:tcW w:w="1070" w:type="pct"/>
            <w:shd w:val="clear" w:color="auto" w:fill="auto"/>
            <w:noWrap/>
            <w:vAlign w:val="center"/>
          </w:tcPr>
          <w:p w14:paraId="29E84579">
            <w:pPr>
              <w:pStyle w:val="23"/>
              <w:jc w:val="center"/>
              <w:rPr>
                <w:rFonts w:ascii="宋体" w:hAnsi="宋体"/>
                <w:kern w:val="0"/>
                <w:szCs w:val="21"/>
              </w:rPr>
            </w:pPr>
            <w:r>
              <w:rPr>
                <w:rFonts w:ascii="宋体" w:hAnsi="宋体"/>
                <w:kern w:val="0"/>
                <w:szCs w:val="21"/>
              </w:rPr>
              <w:t>233</w:t>
            </w:r>
          </w:p>
        </w:tc>
        <w:tc>
          <w:tcPr>
            <w:tcW w:w="1138" w:type="pct"/>
            <w:shd w:val="clear" w:color="auto" w:fill="auto"/>
            <w:noWrap/>
            <w:vAlign w:val="center"/>
          </w:tcPr>
          <w:p w14:paraId="5B5D1A84">
            <w:pPr>
              <w:pStyle w:val="23"/>
              <w:jc w:val="center"/>
              <w:rPr>
                <w:rFonts w:ascii="宋体" w:hAnsi="宋体"/>
                <w:kern w:val="0"/>
                <w:szCs w:val="21"/>
              </w:rPr>
            </w:pPr>
            <w:r>
              <w:rPr>
                <w:rFonts w:ascii="宋体" w:hAnsi="宋体"/>
                <w:kern w:val="0"/>
                <w:szCs w:val="21"/>
              </w:rPr>
              <w:t>6933</w:t>
            </w:r>
          </w:p>
        </w:tc>
        <w:tc>
          <w:tcPr>
            <w:tcW w:w="675" w:type="pct"/>
            <w:shd w:val="clear" w:color="auto" w:fill="auto"/>
            <w:noWrap/>
            <w:vAlign w:val="center"/>
          </w:tcPr>
          <w:p w14:paraId="563D2ED0">
            <w:pPr>
              <w:pStyle w:val="23"/>
              <w:jc w:val="center"/>
              <w:rPr>
                <w:rFonts w:ascii="宋体" w:hAnsi="宋体"/>
                <w:kern w:val="0"/>
                <w:szCs w:val="21"/>
              </w:rPr>
            </w:pPr>
            <w:r>
              <w:rPr>
                <w:rFonts w:ascii="宋体" w:hAnsi="宋体"/>
                <w:kern w:val="0"/>
                <w:szCs w:val="21"/>
              </w:rPr>
              <w:t>29755</w:t>
            </w:r>
          </w:p>
        </w:tc>
      </w:tr>
      <w:tr w14:paraId="6C3BDC7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118" w:type="pct"/>
            <w:shd w:val="clear" w:color="auto" w:fill="auto"/>
            <w:noWrap/>
            <w:vAlign w:val="center"/>
          </w:tcPr>
          <w:p w14:paraId="5896925C">
            <w:pPr>
              <w:pStyle w:val="23"/>
              <w:ind w:firstLine="420" w:firstLineChars="200"/>
              <w:rPr>
                <w:rFonts w:ascii="宋体" w:hAnsi="宋体"/>
                <w:kern w:val="0"/>
                <w:szCs w:val="21"/>
              </w:rPr>
            </w:pPr>
            <w:r>
              <w:rPr>
                <w:rFonts w:ascii="宋体" w:hAnsi="宋体"/>
                <w:kern w:val="0"/>
                <w:szCs w:val="21"/>
              </w:rPr>
              <w:t>3、制造业</w:t>
            </w:r>
          </w:p>
        </w:tc>
        <w:tc>
          <w:tcPr>
            <w:tcW w:w="1070" w:type="pct"/>
            <w:shd w:val="clear" w:color="auto" w:fill="auto"/>
            <w:noWrap/>
            <w:vAlign w:val="center"/>
          </w:tcPr>
          <w:p w14:paraId="5D1B62A5">
            <w:pPr>
              <w:pStyle w:val="23"/>
              <w:jc w:val="center"/>
              <w:rPr>
                <w:rFonts w:ascii="宋体" w:hAnsi="宋体"/>
                <w:kern w:val="0"/>
                <w:szCs w:val="21"/>
              </w:rPr>
            </w:pPr>
            <w:r>
              <w:rPr>
                <w:rFonts w:ascii="宋体" w:hAnsi="宋体"/>
                <w:kern w:val="0"/>
                <w:szCs w:val="21"/>
              </w:rPr>
              <w:t>34</w:t>
            </w:r>
          </w:p>
        </w:tc>
        <w:tc>
          <w:tcPr>
            <w:tcW w:w="1138" w:type="pct"/>
            <w:shd w:val="clear" w:color="auto" w:fill="auto"/>
            <w:noWrap/>
            <w:vAlign w:val="center"/>
          </w:tcPr>
          <w:p w14:paraId="7D9D11B0">
            <w:pPr>
              <w:pStyle w:val="23"/>
              <w:jc w:val="center"/>
              <w:rPr>
                <w:rFonts w:ascii="宋体" w:hAnsi="宋体"/>
                <w:kern w:val="0"/>
                <w:szCs w:val="21"/>
              </w:rPr>
            </w:pPr>
            <w:r>
              <w:rPr>
                <w:rFonts w:ascii="宋体" w:hAnsi="宋体"/>
                <w:kern w:val="0"/>
                <w:szCs w:val="21"/>
              </w:rPr>
              <w:t>764</w:t>
            </w:r>
          </w:p>
        </w:tc>
        <w:tc>
          <w:tcPr>
            <w:tcW w:w="675" w:type="pct"/>
            <w:shd w:val="clear" w:color="auto" w:fill="auto"/>
            <w:noWrap/>
            <w:vAlign w:val="center"/>
          </w:tcPr>
          <w:p w14:paraId="32075755">
            <w:pPr>
              <w:pStyle w:val="23"/>
              <w:jc w:val="center"/>
              <w:rPr>
                <w:rFonts w:ascii="宋体" w:hAnsi="宋体"/>
                <w:kern w:val="0"/>
                <w:szCs w:val="21"/>
              </w:rPr>
            </w:pPr>
            <w:r>
              <w:rPr>
                <w:rFonts w:ascii="宋体" w:hAnsi="宋体"/>
                <w:kern w:val="0"/>
                <w:szCs w:val="21"/>
              </w:rPr>
              <w:t>22471</w:t>
            </w:r>
          </w:p>
        </w:tc>
      </w:tr>
      <w:tr w14:paraId="1C83FCF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118" w:type="pct"/>
            <w:shd w:val="clear" w:color="auto" w:fill="auto"/>
            <w:noWrap/>
            <w:vAlign w:val="center"/>
          </w:tcPr>
          <w:p w14:paraId="19425F06">
            <w:pPr>
              <w:pStyle w:val="23"/>
              <w:ind w:firstLine="420" w:firstLineChars="200"/>
              <w:rPr>
                <w:rFonts w:ascii="宋体" w:hAnsi="宋体"/>
                <w:kern w:val="0"/>
                <w:szCs w:val="21"/>
              </w:rPr>
            </w:pPr>
            <w:r>
              <w:rPr>
                <w:rFonts w:ascii="宋体" w:hAnsi="宋体"/>
                <w:kern w:val="0"/>
                <w:szCs w:val="21"/>
              </w:rPr>
              <w:t>4、电力、燃气及水生产和供应业</w:t>
            </w:r>
          </w:p>
        </w:tc>
        <w:tc>
          <w:tcPr>
            <w:tcW w:w="1070" w:type="pct"/>
            <w:shd w:val="clear" w:color="auto" w:fill="auto"/>
            <w:noWrap/>
            <w:vAlign w:val="center"/>
          </w:tcPr>
          <w:p w14:paraId="75DA2AA0">
            <w:pPr>
              <w:pStyle w:val="23"/>
              <w:jc w:val="center"/>
              <w:rPr>
                <w:rFonts w:ascii="宋体" w:hAnsi="宋体"/>
                <w:kern w:val="0"/>
                <w:szCs w:val="21"/>
              </w:rPr>
            </w:pPr>
            <w:r>
              <w:rPr>
                <w:rFonts w:ascii="宋体" w:hAnsi="宋体"/>
                <w:kern w:val="0"/>
                <w:szCs w:val="21"/>
              </w:rPr>
              <w:t>544</w:t>
            </w:r>
          </w:p>
        </w:tc>
        <w:tc>
          <w:tcPr>
            <w:tcW w:w="1138" w:type="pct"/>
            <w:shd w:val="clear" w:color="auto" w:fill="auto"/>
            <w:noWrap/>
            <w:vAlign w:val="center"/>
          </w:tcPr>
          <w:p w14:paraId="43EBE3D1">
            <w:pPr>
              <w:pStyle w:val="23"/>
              <w:jc w:val="center"/>
              <w:rPr>
                <w:rFonts w:ascii="宋体" w:hAnsi="宋体"/>
                <w:kern w:val="0"/>
                <w:szCs w:val="21"/>
              </w:rPr>
            </w:pPr>
            <w:r>
              <w:rPr>
                <w:rFonts w:ascii="宋体" w:hAnsi="宋体"/>
                <w:kern w:val="0"/>
                <w:szCs w:val="21"/>
              </w:rPr>
              <w:t>31324</w:t>
            </w:r>
          </w:p>
        </w:tc>
        <w:tc>
          <w:tcPr>
            <w:tcW w:w="675" w:type="pct"/>
            <w:shd w:val="clear" w:color="auto" w:fill="auto"/>
            <w:noWrap/>
            <w:vAlign w:val="center"/>
          </w:tcPr>
          <w:p w14:paraId="1AF4C1CD">
            <w:pPr>
              <w:pStyle w:val="23"/>
              <w:jc w:val="center"/>
              <w:rPr>
                <w:rFonts w:ascii="宋体" w:hAnsi="宋体"/>
                <w:kern w:val="0"/>
                <w:szCs w:val="21"/>
              </w:rPr>
            </w:pPr>
            <w:r>
              <w:rPr>
                <w:rFonts w:ascii="宋体" w:hAnsi="宋体"/>
                <w:kern w:val="0"/>
                <w:szCs w:val="21"/>
              </w:rPr>
              <w:t>57581</w:t>
            </w:r>
          </w:p>
        </w:tc>
      </w:tr>
      <w:tr w14:paraId="25B60C2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118" w:type="pct"/>
            <w:shd w:val="clear" w:color="auto" w:fill="auto"/>
            <w:noWrap/>
            <w:vAlign w:val="center"/>
          </w:tcPr>
          <w:p w14:paraId="68BDFBDA">
            <w:pPr>
              <w:pStyle w:val="23"/>
              <w:ind w:firstLine="420" w:firstLineChars="200"/>
              <w:rPr>
                <w:rFonts w:ascii="宋体" w:hAnsi="宋体"/>
                <w:kern w:val="0"/>
                <w:szCs w:val="21"/>
              </w:rPr>
            </w:pPr>
            <w:r>
              <w:rPr>
                <w:rFonts w:ascii="宋体" w:hAnsi="宋体"/>
                <w:kern w:val="0"/>
                <w:szCs w:val="21"/>
              </w:rPr>
              <w:t>5、建筑业</w:t>
            </w:r>
          </w:p>
        </w:tc>
        <w:tc>
          <w:tcPr>
            <w:tcW w:w="1070" w:type="pct"/>
            <w:shd w:val="clear" w:color="auto" w:fill="auto"/>
            <w:noWrap/>
            <w:vAlign w:val="center"/>
          </w:tcPr>
          <w:p w14:paraId="075F99B3">
            <w:pPr>
              <w:pStyle w:val="23"/>
              <w:jc w:val="center"/>
              <w:rPr>
                <w:rFonts w:ascii="宋体" w:hAnsi="宋体"/>
                <w:kern w:val="0"/>
                <w:szCs w:val="21"/>
              </w:rPr>
            </w:pPr>
          </w:p>
        </w:tc>
        <w:tc>
          <w:tcPr>
            <w:tcW w:w="1138" w:type="pct"/>
            <w:shd w:val="clear" w:color="auto" w:fill="auto"/>
            <w:noWrap/>
            <w:vAlign w:val="center"/>
          </w:tcPr>
          <w:p w14:paraId="227267A1">
            <w:pPr>
              <w:pStyle w:val="23"/>
              <w:jc w:val="center"/>
              <w:rPr>
                <w:rFonts w:ascii="宋体" w:hAnsi="宋体"/>
                <w:kern w:val="0"/>
                <w:szCs w:val="21"/>
              </w:rPr>
            </w:pPr>
          </w:p>
        </w:tc>
        <w:tc>
          <w:tcPr>
            <w:tcW w:w="675" w:type="pct"/>
            <w:shd w:val="clear" w:color="auto" w:fill="auto"/>
            <w:noWrap/>
            <w:vAlign w:val="center"/>
          </w:tcPr>
          <w:p w14:paraId="1641D330">
            <w:pPr>
              <w:pStyle w:val="23"/>
              <w:jc w:val="center"/>
              <w:rPr>
                <w:rFonts w:ascii="宋体" w:hAnsi="宋体"/>
                <w:kern w:val="0"/>
                <w:szCs w:val="21"/>
              </w:rPr>
            </w:pPr>
          </w:p>
        </w:tc>
      </w:tr>
      <w:tr w14:paraId="2BEE68A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118" w:type="pct"/>
            <w:shd w:val="clear" w:color="auto" w:fill="auto"/>
            <w:noWrap/>
            <w:vAlign w:val="center"/>
          </w:tcPr>
          <w:p w14:paraId="3419FB9D">
            <w:pPr>
              <w:pStyle w:val="23"/>
              <w:ind w:firstLine="420" w:firstLineChars="200"/>
              <w:rPr>
                <w:rFonts w:ascii="宋体" w:hAnsi="宋体"/>
                <w:kern w:val="0"/>
                <w:szCs w:val="21"/>
              </w:rPr>
            </w:pPr>
            <w:r>
              <w:rPr>
                <w:rFonts w:ascii="宋体" w:hAnsi="宋体"/>
                <w:kern w:val="0"/>
                <w:szCs w:val="21"/>
              </w:rPr>
              <w:t>6、交通运输、仓储和邮政业</w:t>
            </w:r>
          </w:p>
        </w:tc>
        <w:tc>
          <w:tcPr>
            <w:tcW w:w="1070" w:type="pct"/>
            <w:shd w:val="clear" w:color="auto" w:fill="auto"/>
            <w:noWrap/>
            <w:vAlign w:val="center"/>
          </w:tcPr>
          <w:p w14:paraId="28641689">
            <w:pPr>
              <w:pStyle w:val="23"/>
              <w:jc w:val="center"/>
              <w:rPr>
                <w:rFonts w:ascii="宋体" w:hAnsi="宋体"/>
                <w:kern w:val="0"/>
                <w:szCs w:val="21"/>
              </w:rPr>
            </w:pPr>
            <w:r>
              <w:rPr>
                <w:rFonts w:ascii="宋体" w:hAnsi="宋体"/>
                <w:kern w:val="0"/>
                <w:szCs w:val="21"/>
              </w:rPr>
              <w:t>160</w:t>
            </w:r>
          </w:p>
        </w:tc>
        <w:tc>
          <w:tcPr>
            <w:tcW w:w="1138" w:type="pct"/>
            <w:shd w:val="clear" w:color="auto" w:fill="auto"/>
            <w:noWrap/>
            <w:vAlign w:val="center"/>
          </w:tcPr>
          <w:p w14:paraId="020D0548">
            <w:pPr>
              <w:pStyle w:val="23"/>
              <w:jc w:val="center"/>
              <w:rPr>
                <w:rFonts w:ascii="宋体" w:hAnsi="宋体"/>
                <w:kern w:val="0"/>
                <w:szCs w:val="21"/>
              </w:rPr>
            </w:pPr>
            <w:r>
              <w:rPr>
                <w:rFonts w:ascii="宋体" w:hAnsi="宋体"/>
                <w:kern w:val="0"/>
                <w:szCs w:val="21"/>
              </w:rPr>
              <w:t>3946</w:t>
            </w:r>
          </w:p>
        </w:tc>
        <w:tc>
          <w:tcPr>
            <w:tcW w:w="675" w:type="pct"/>
            <w:shd w:val="clear" w:color="auto" w:fill="auto"/>
            <w:noWrap/>
            <w:vAlign w:val="center"/>
          </w:tcPr>
          <w:p w14:paraId="38D35B41">
            <w:pPr>
              <w:pStyle w:val="23"/>
              <w:jc w:val="center"/>
              <w:rPr>
                <w:rFonts w:ascii="宋体" w:hAnsi="宋体"/>
                <w:kern w:val="0"/>
                <w:szCs w:val="21"/>
              </w:rPr>
            </w:pPr>
            <w:r>
              <w:rPr>
                <w:rFonts w:ascii="宋体" w:hAnsi="宋体"/>
                <w:kern w:val="0"/>
                <w:szCs w:val="21"/>
              </w:rPr>
              <w:t>24663</w:t>
            </w:r>
          </w:p>
        </w:tc>
      </w:tr>
      <w:tr w14:paraId="1870DE3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118" w:type="pct"/>
            <w:shd w:val="clear" w:color="auto" w:fill="auto"/>
            <w:noWrap/>
            <w:vAlign w:val="center"/>
          </w:tcPr>
          <w:p w14:paraId="3905225E">
            <w:pPr>
              <w:pStyle w:val="23"/>
              <w:ind w:firstLine="420" w:firstLineChars="200"/>
              <w:rPr>
                <w:rFonts w:ascii="宋体" w:hAnsi="宋体"/>
                <w:kern w:val="0"/>
                <w:szCs w:val="21"/>
              </w:rPr>
            </w:pPr>
            <w:r>
              <w:rPr>
                <w:rFonts w:ascii="宋体" w:hAnsi="宋体"/>
                <w:kern w:val="0"/>
                <w:szCs w:val="21"/>
              </w:rPr>
              <w:t>7、信息传输、计算机服务和软件业</w:t>
            </w:r>
          </w:p>
        </w:tc>
        <w:tc>
          <w:tcPr>
            <w:tcW w:w="1070" w:type="pct"/>
            <w:shd w:val="clear" w:color="auto" w:fill="auto"/>
            <w:noWrap/>
            <w:vAlign w:val="center"/>
          </w:tcPr>
          <w:p w14:paraId="3202CFC3">
            <w:pPr>
              <w:pStyle w:val="23"/>
              <w:jc w:val="center"/>
              <w:rPr>
                <w:rFonts w:ascii="宋体" w:hAnsi="宋体"/>
                <w:kern w:val="0"/>
                <w:szCs w:val="21"/>
              </w:rPr>
            </w:pPr>
          </w:p>
        </w:tc>
        <w:tc>
          <w:tcPr>
            <w:tcW w:w="1138" w:type="pct"/>
            <w:shd w:val="clear" w:color="auto" w:fill="auto"/>
            <w:noWrap/>
            <w:vAlign w:val="center"/>
          </w:tcPr>
          <w:p w14:paraId="48C20C84">
            <w:pPr>
              <w:pStyle w:val="23"/>
              <w:jc w:val="center"/>
              <w:rPr>
                <w:rFonts w:ascii="宋体" w:hAnsi="宋体"/>
                <w:kern w:val="0"/>
                <w:szCs w:val="21"/>
              </w:rPr>
            </w:pPr>
          </w:p>
        </w:tc>
        <w:tc>
          <w:tcPr>
            <w:tcW w:w="675" w:type="pct"/>
            <w:shd w:val="clear" w:color="auto" w:fill="auto"/>
            <w:noWrap/>
            <w:vAlign w:val="center"/>
          </w:tcPr>
          <w:p w14:paraId="2B0C9B5B">
            <w:pPr>
              <w:pStyle w:val="23"/>
              <w:jc w:val="center"/>
              <w:rPr>
                <w:rFonts w:ascii="宋体" w:hAnsi="宋体"/>
                <w:kern w:val="0"/>
                <w:szCs w:val="21"/>
              </w:rPr>
            </w:pPr>
          </w:p>
        </w:tc>
      </w:tr>
      <w:tr w14:paraId="373F3FF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118" w:type="pct"/>
            <w:shd w:val="clear" w:color="auto" w:fill="auto"/>
            <w:noWrap/>
            <w:vAlign w:val="center"/>
          </w:tcPr>
          <w:p w14:paraId="76407B5C">
            <w:pPr>
              <w:pStyle w:val="23"/>
              <w:ind w:firstLine="420" w:firstLineChars="200"/>
              <w:rPr>
                <w:rFonts w:ascii="宋体" w:hAnsi="宋体"/>
                <w:kern w:val="0"/>
                <w:szCs w:val="21"/>
              </w:rPr>
            </w:pPr>
            <w:r>
              <w:rPr>
                <w:rFonts w:ascii="宋体" w:hAnsi="宋体"/>
                <w:kern w:val="0"/>
                <w:szCs w:val="21"/>
              </w:rPr>
              <w:t>8、批发和零售业</w:t>
            </w:r>
          </w:p>
        </w:tc>
        <w:tc>
          <w:tcPr>
            <w:tcW w:w="1070" w:type="pct"/>
            <w:shd w:val="clear" w:color="auto" w:fill="auto"/>
            <w:noWrap/>
            <w:vAlign w:val="center"/>
          </w:tcPr>
          <w:p w14:paraId="59B8EB2E">
            <w:pPr>
              <w:pStyle w:val="23"/>
              <w:jc w:val="center"/>
              <w:rPr>
                <w:rFonts w:ascii="宋体" w:hAnsi="宋体"/>
                <w:kern w:val="0"/>
                <w:szCs w:val="21"/>
              </w:rPr>
            </w:pPr>
            <w:r>
              <w:rPr>
                <w:rFonts w:ascii="宋体" w:hAnsi="宋体"/>
                <w:kern w:val="0"/>
                <w:szCs w:val="21"/>
              </w:rPr>
              <w:t>22</w:t>
            </w:r>
          </w:p>
        </w:tc>
        <w:tc>
          <w:tcPr>
            <w:tcW w:w="1138" w:type="pct"/>
            <w:shd w:val="clear" w:color="auto" w:fill="auto"/>
            <w:noWrap/>
            <w:vAlign w:val="center"/>
          </w:tcPr>
          <w:p w14:paraId="7A4FBD53">
            <w:pPr>
              <w:pStyle w:val="23"/>
              <w:jc w:val="center"/>
              <w:rPr>
                <w:rFonts w:ascii="宋体" w:hAnsi="宋体"/>
                <w:kern w:val="0"/>
                <w:szCs w:val="21"/>
              </w:rPr>
            </w:pPr>
            <w:r>
              <w:rPr>
                <w:rFonts w:ascii="宋体" w:hAnsi="宋体"/>
                <w:kern w:val="0"/>
                <w:szCs w:val="21"/>
              </w:rPr>
              <w:t>507</w:t>
            </w:r>
          </w:p>
        </w:tc>
        <w:tc>
          <w:tcPr>
            <w:tcW w:w="675" w:type="pct"/>
            <w:shd w:val="clear" w:color="auto" w:fill="auto"/>
            <w:noWrap/>
            <w:vAlign w:val="center"/>
          </w:tcPr>
          <w:p w14:paraId="592A0723">
            <w:pPr>
              <w:pStyle w:val="23"/>
              <w:jc w:val="center"/>
              <w:rPr>
                <w:rFonts w:ascii="宋体" w:hAnsi="宋体"/>
                <w:kern w:val="0"/>
                <w:szCs w:val="21"/>
              </w:rPr>
            </w:pPr>
            <w:r>
              <w:rPr>
                <w:rFonts w:ascii="宋体" w:hAnsi="宋体"/>
                <w:kern w:val="0"/>
                <w:szCs w:val="21"/>
              </w:rPr>
              <w:t>23045</w:t>
            </w:r>
          </w:p>
        </w:tc>
      </w:tr>
      <w:tr w14:paraId="5813BCD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118" w:type="pct"/>
            <w:shd w:val="clear" w:color="auto" w:fill="auto"/>
            <w:noWrap/>
            <w:vAlign w:val="center"/>
          </w:tcPr>
          <w:p w14:paraId="32664777">
            <w:pPr>
              <w:pStyle w:val="23"/>
              <w:ind w:firstLine="420" w:firstLineChars="200"/>
              <w:rPr>
                <w:rFonts w:ascii="宋体" w:hAnsi="宋体"/>
                <w:kern w:val="0"/>
                <w:szCs w:val="21"/>
              </w:rPr>
            </w:pPr>
            <w:r>
              <w:rPr>
                <w:rFonts w:ascii="宋体" w:hAnsi="宋体"/>
                <w:kern w:val="0"/>
                <w:szCs w:val="21"/>
              </w:rPr>
              <w:t>9、住宿和餐饮业</w:t>
            </w:r>
          </w:p>
        </w:tc>
        <w:tc>
          <w:tcPr>
            <w:tcW w:w="1070" w:type="pct"/>
            <w:shd w:val="clear" w:color="auto" w:fill="auto"/>
            <w:noWrap/>
            <w:vAlign w:val="center"/>
          </w:tcPr>
          <w:p w14:paraId="036CEA73">
            <w:pPr>
              <w:pStyle w:val="23"/>
              <w:jc w:val="center"/>
              <w:rPr>
                <w:rFonts w:ascii="宋体" w:hAnsi="宋体"/>
                <w:kern w:val="0"/>
                <w:szCs w:val="21"/>
              </w:rPr>
            </w:pPr>
            <w:r>
              <w:rPr>
                <w:rFonts w:ascii="宋体" w:hAnsi="宋体"/>
                <w:kern w:val="0"/>
                <w:szCs w:val="21"/>
              </w:rPr>
              <w:t>159</w:t>
            </w:r>
          </w:p>
        </w:tc>
        <w:tc>
          <w:tcPr>
            <w:tcW w:w="1138" w:type="pct"/>
            <w:shd w:val="clear" w:color="auto" w:fill="auto"/>
            <w:noWrap/>
            <w:vAlign w:val="center"/>
          </w:tcPr>
          <w:p w14:paraId="79AF538A">
            <w:pPr>
              <w:pStyle w:val="23"/>
              <w:jc w:val="center"/>
              <w:rPr>
                <w:rFonts w:ascii="宋体" w:hAnsi="宋体"/>
                <w:kern w:val="0"/>
                <w:szCs w:val="21"/>
              </w:rPr>
            </w:pPr>
            <w:r>
              <w:rPr>
                <w:rFonts w:ascii="宋体" w:hAnsi="宋体"/>
                <w:kern w:val="0"/>
                <w:szCs w:val="21"/>
              </w:rPr>
              <w:t>4615</w:t>
            </w:r>
          </w:p>
        </w:tc>
        <w:tc>
          <w:tcPr>
            <w:tcW w:w="675" w:type="pct"/>
            <w:shd w:val="clear" w:color="auto" w:fill="auto"/>
            <w:noWrap/>
            <w:vAlign w:val="center"/>
          </w:tcPr>
          <w:p w14:paraId="67048392">
            <w:pPr>
              <w:pStyle w:val="23"/>
              <w:jc w:val="center"/>
              <w:rPr>
                <w:rFonts w:ascii="宋体" w:hAnsi="宋体"/>
                <w:kern w:val="0"/>
                <w:szCs w:val="21"/>
              </w:rPr>
            </w:pPr>
            <w:r>
              <w:rPr>
                <w:rFonts w:ascii="宋体" w:hAnsi="宋体"/>
                <w:kern w:val="0"/>
                <w:szCs w:val="21"/>
              </w:rPr>
              <w:t>29025</w:t>
            </w:r>
          </w:p>
        </w:tc>
      </w:tr>
      <w:tr w14:paraId="3921937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118" w:type="pct"/>
            <w:shd w:val="clear" w:color="auto" w:fill="auto"/>
            <w:noWrap/>
            <w:vAlign w:val="center"/>
          </w:tcPr>
          <w:p w14:paraId="1FFB59F2">
            <w:pPr>
              <w:pStyle w:val="23"/>
              <w:ind w:firstLine="420" w:firstLineChars="200"/>
              <w:rPr>
                <w:rFonts w:ascii="宋体" w:hAnsi="宋体"/>
                <w:kern w:val="0"/>
                <w:szCs w:val="21"/>
              </w:rPr>
            </w:pPr>
            <w:r>
              <w:rPr>
                <w:rFonts w:ascii="宋体" w:hAnsi="宋体"/>
                <w:kern w:val="0"/>
                <w:szCs w:val="21"/>
              </w:rPr>
              <w:t>10、金融业</w:t>
            </w:r>
          </w:p>
        </w:tc>
        <w:tc>
          <w:tcPr>
            <w:tcW w:w="1070" w:type="pct"/>
            <w:shd w:val="clear" w:color="auto" w:fill="auto"/>
            <w:noWrap/>
            <w:vAlign w:val="center"/>
          </w:tcPr>
          <w:p w14:paraId="5331CE5D">
            <w:pPr>
              <w:pStyle w:val="23"/>
              <w:jc w:val="center"/>
              <w:rPr>
                <w:rFonts w:ascii="宋体" w:hAnsi="宋体"/>
                <w:kern w:val="0"/>
                <w:szCs w:val="21"/>
              </w:rPr>
            </w:pPr>
            <w:r>
              <w:rPr>
                <w:rFonts w:ascii="宋体" w:hAnsi="宋体"/>
                <w:kern w:val="0"/>
                <w:szCs w:val="21"/>
              </w:rPr>
              <w:t>108</w:t>
            </w:r>
          </w:p>
        </w:tc>
        <w:tc>
          <w:tcPr>
            <w:tcW w:w="1138" w:type="pct"/>
            <w:shd w:val="clear" w:color="auto" w:fill="auto"/>
            <w:noWrap/>
            <w:vAlign w:val="center"/>
          </w:tcPr>
          <w:p w14:paraId="6206BA6A">
            <w:pPr>
              <w:pStyle w:val="23"/>
              <w:jc w:val="center"/>
              <w:rPr>
                <w:rFonts w:ascii="宋体" w:hAnsi="宋体"/>
                <w:kern w:val="0"/>
                <w:szCs w:val="21"/>
              </w:rPr>
            </w:pPr>
            <w:r>
              <w:rPr>
                <w:rFonts w:ascii="宋体" w:hAnsi="宋体"/>
                <w:kern w:val="0"/>
                <w:szCs w:val="21"/>
              </w:rPr>
              <w:t>7904</w:t>
            </w:r>
          </w:p>
        </w:tc>
        <w:tc>
          <w:tcPr>
            <w:tcW w:w="675" w:type="pct"/>
            <w:shd w:val="clear" w:color="auto" w:fill="auto"/>
            <w:noWrap/>
            <w:vAlign w:val="center"/>
          </w:tcPr>
          <w:p w14:paraId="0A757D03">
            <w:pPr>
              <w:pStyle w:val="23"/>
              <w:jc w:val="center"/>
              <w:rPr>
                <w:rFonts w:ascii="宋体" w:hAnsi="宋体"/>
                <w:kern w:val="0"/>
                <w:szCs w:val="21"/>
              </w:rPr>
            </w:pPr>
            <w:r>
              <w:rPr>
                <w:rFonts w:ascii="宋体" w:hAnsi="宋体"/>
                <w:kern w:val="0"/>
                <w:szCs w:val="21"/>
              </w:rPr>
              <w:t>73185</w:t>
            </w:r>
          </w:p>
        </w:tc>
      </w:tr>
      <w:tr w14:paraId="202360C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118" w:type="pct"/>
            <w:shd w:val="clear" w:color="auto" w:fill="auto"/>
            <w:noWrap/>
            <w:vAlign w:val="center"/>
          </w:tcPr>
          <w:p w14:paraId="4EA4EACA">
            <w:pPr>
              <w:pStyle w:val="23"/>
              <w:ind w:firstLine="420" w:firstLineChars="200"/>
              <w:rPr>
                <w:rFonts w:ascii="宋体" w:hAnsi="宋体"/>
                <w:kern w:val="0"/>
                <w:szCs w:val="21"/>
              </w:rPr>
            </w:pPr>
            <w:r>
              <w:rPr>
                <w:rFonts w:ascii="宋体" w:hAnsi="宋体"/>
                <w:kern w:val="0"/>
                <w:szCs w:val="21"/>
              </w:rPr>
              <w:t>11、房地产业</w:t>
            </w:r>
          </w:p>
        </w:tc>
        <w:tc>
          <w:tcPr>
            <w:tcW w:w="1070" w:type="pct"/>
            <w:shd w:val="clear" w:color="auto" w:fill="auto"/>
            <w:noWrap/>
            <w:vAlign w:val="center"/>
          </w:tcPr>
          <w:p w14:paraId="33AD885D">
            <w:pPr>
              <w:pStyle w:val="23"/>
              <w:jc w:val="center"/>
              <w:rPr>
                <w:rFonts w:ascii="宋体" w:hAnsi="宋体"/>
                <w:kern w:val="0"/>
                <w:szCs w:val="21"/>
              </w:rPr>
            </w:pPr>
            <w:r>
              <w:rPr>
                <w:rFonts w:ascii="宋体" w:hAnsi="宋体"/>
                <w:kern w:val="0"/>
                <w:szCs w:val="21"/>
              </w:rPr>
              <w:t>62</w:t>
            </w:r>
          </w:p>
        </w:tc>
        <w:tc>
          <w:tcPr>
            <w:tcW w:w="1138" w:type="pct"/>
            <w:shd w:val="clear" w:color="auto" w:fill="auto"/>
            <w:noWrap/>
            <w:vAlign w:val="center"/>
          </w:tcPr>
          <w:p w14:paraId="57A74705">
            <w:pPr>
              <w:pStyle w:val="23"/>
              <w:jc w:val="center"/>
              <w:rPr>
                <w:rFonts w:ascii="宋体" w:hAnsi="宋体"/>
                <w:kern w:val="0"/>
                <w:szCs w:val="21"/>
              </w:rPr>
            </w:pPr>
            <w:r>
              <w:rPr>
                <w:rFonts w:ascii="宋体" w:hAnsi="宋体"/>
                <w:kern w:val="0"/>
                <w:szCs w:val="21"/>
              </w:rPr>
              <w:t>2906</w:t>
            </w:r>
          </w:p>
        </w:tc>
        <w:tc>
          <w:tcPr>
            <w:tcW w:w="675" w:type="pct"/>
            <w:shd w:val="clear" w:color="auto" w:fill="auto"/>
            <w:noWrap/>
            <w:vAlign w:val="center"/>
          </w:tcPr>
          <w:p w14:paraId="47491A7A">
            <w:pPr>
              <w:pStyle w:val="23"/>
              <w:jc w:val="center"/>
              <w:rPr>
                <w:rFonts w:ascii="宋体" w:hAnsi="宋体"/>
                <w:kern w:val="0"/>
                <w:szCs w:val="21"/>
              </w:rPr>
            </w:pPr>
            <w:r>
              <w:rPr>
                <w:rFonts w:ascii="宋体" w:hAnsi="宋体"/>
                <w:kern w:val="0"/>
                <w:szCs w:val="21"/>
              </w:rPr>
              <w:t>46871</w:t>
            </w:r>
          </w:p>
        </w:tc>
      </w:tr>
      <w:tr w14:paraId="6F18B02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118" w:type="pct"/>
            <w:shd w:val="clear" w:color="auto" w:fill="auto"/>
            <w:noWrap/>
            <w:vAlign w:val="center"/>
          </w:tcPr>
          <w:p w14:paraId="52FF60E7">
            <w:pPr>
              <w:pStyle w:val="23"/>
              <w:ind w:firstLine="420" w:firstLineChars="200"/>
              <w:rPr>
                <w:rFonts w:ascii="宋体" w:hAnsi="宋体"/>
                <w:kern w:val="0"/>
                <w:szCs w:val="21"/>
              </w:rPr>
            </w:pPr>
            <w:r>
              <w:rPr>
                <w:rFonts w:ascii="宋体" w:hAnsi="宋体"/>
                <w:kern w:val="0"/>
                <w:szCs w:val="21"/>
              </w:rPr>
              <w:t>12、租赁和商务服务业</w:t>
            </w:r>
          </w:p>
        </w:tc>
        <w:tc>
          <w:tcPr>
            <w:tcW w:w="1070" w:type="pct"/>
            <w:shd w:val="clear" w:color="auto" w:fill="auto"/>
            <w:noWrap/>
            <w:vAlign w:val="center"/>
          </w:tcPr>
          <w:p w14:paraId="2E0B548C">
            <w:pPr>
              <w:pStyle w:val="23"/>
              <w:jc w:val="center"/>
              <w:rPr>
                <w:rFonts w:ascii="宋体" w:hAnsi="宋体"/>
                <w:kern w:val="0"/>
                <w:szCs w:val="21"/>
              </w:rPr>
            </w:pPr>
            <w:r>
              <w:rPr>
                <w:rFonts w:ascii="宋体" w:hAnsi="宋体"/>
                <w:kern w:val="0"/>
                <w:szCs w:val="21"/>
              </w:rPr>
              <w:t>121</w:t>
            </w:r>
          </w:p>
        </w:tc>
        <w:tc>
          <w:tcPr>
            <w:tcW w:w="1138" w:type="pct"/>
            <w:shd w:val="clear" w:color="auto" w:fill="auto"/>
            <w:noWrap/>
            <w:vAlign w:val="center"/>
          </w:tcPr>
          <w:p w14:paraId="31B5FA51">
            <w:pPr>
              <w:pStyle w:val="23"/>
              <w:jc w:val="center"/>
              <w:rPr>
                <w:rFonts w:ascii="宋体" w:hAnsi="宋体"/>
                <w:kern w:val="0"/>
                <w:szCs w:val="21"/>
              </w:rPr>
            </w:pPr>
            <w:r>
              <w:rPr>
                <w:rFonts w:ascii="宋体" w:hAnsi="宋体"/>
                <w:kern w:val="0"/>
                <w:szCs w:val="21"/>
              </w:rPr>
              <w:t>2789</w:t>
            </w:r>
          </w:p>
        </w:tc>
        <w:tc>
          <w:tcPr>
            <w:tcW w:w="675" w:type="pct"/>
            <w:shd w:val="clear" w:color="auto" w:fill="auto"/>
            <w:noWrap/>
            <w:vAlign w:val="center"/>
          </w:tcPr>
          <w:p w14:paraId="74AB210A">
            <w:pPr>
              <w:pStyle w:val="23"/>
              <w:jc w:val="center"/>
              <w:rPr>
                <w:rFonts w:ascii="宋体" w:hAnsi="宋体"/>
                <w:kern w:val="0"/>
                <w:szCs w:val="21"/>
              </w:rPr>
            </w:pPr>
            <w:r>
              <w:rPr>
                <w:rFonts w:ascii="宋体" w:hAnsi="宋体"/>
                <w:kern w:val="0"/>
                <w:szCs w:val="21"/>
              </w:rPr>
              <w:t>23050</w:t>
            </w:r>
          </w:p>
        </w:tc>
      </w:tr>
      <w:tr w14:paraId="7C01AAF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118" w:type="pct"/>
            <w:shd w:val="clear" w:color="auto" w:fill="auto"/>
            <w:noWrap/>
            <w:vAlign w:val="center"/>
          </w:tcPr>
          <w:p w14:paraId="0DBC5693">
            <w:pPr>
              <w:pStyle w:val="23"/>
              <w:ind w:firstLine="420" w:firstLineChars="200"/>
              <w:rPr>
                <w:rFonts w:ascii="宋体" w:hAnsi="宋体"/>
                <w:kern w:val="0"/>
                <w:szCs w:val="21"/>
              </w:rPr>
            </w:pPr>
            <w:r>
              <w:rPr>
                <w:rFonts w:ascii="宋体" w:hAnsi="宋体"/>
                <w:kern w:val="0"/>
                <w:szCs w:val="21"/>
              </w:rPr>
              <w:t>13、科学研究、技术服务和地质勘探业</w:t>
            </w:r>
          </w:p>
        </w:tc>
        <w:tc>
          <w:tcPr>
            <w:tcW w:w="1070" w:type="pct"/>
            <w:shd w:val="clear" w:color="auto" w:fill="auto"/>
            <w:noWrap/>
            <w:vAlign w:val="center"/>
          </w:tcPr>
          <w:p w14:paraId="531CEB64">
            <w:pPr>
              <w:pStyle w:val="23"/>
              <w:jc w:val="center"/>
              <w:rPr>
                <w:rFonts w:ascii="宋体" w:hAnsi="宋体"/>
                <w:kern w:val="0"/>
                <w:szCs w:val="21"/>
              </w:rPr>
            </w:pPr>
            <w:r>
              <w:rPr>
                <w:rFonts w:ascii="宋体" w:hAnsi="宋体"/>
                <w:kern w:val="0"/>
                <w:szCs w:val="21"/>
              </w:rPr>
              <w:t>158</w:t>
            </w:r>
          </w:p>
        </w:tc>
        <w:tc>
          <w:tcPr>
            <w:tcW w:w="1138" w:type="pct"/>
            <w:shd w:val="clear" w:color="auto" w:fill="auto"/>
            <w:noWrap/>
            <w:vAlign w:val="center"/>
          </w:tcPr>
          <w:p w14:paraId="378911B4">
            <w:pPr>
              <w:pStyle w:val="23"/>
              <w:jc w:val="center"/>
              <w:rPr>
                <w:rFonts w:ascii="宋体" w:hAnsi="宋体"/>
                <w:kern w:val="0"/>
                <w:szCs w:val="21"/>
              </w:rPr>
            </w:pPr>
            <w:r>
              <w:rPr>
                <w:rFonts w:ascii="宋体" w:hAnsi="宋体"/>
                <w:kern w:val="0"/>
                <w:szCs w:val="21"/>
              </w:rPr>
              <w:t>9835</w:t>
            </w:r>
          </w:p>
        </w:tc>
        <w:tc>
          <w:tcPr>
            <w:tcW w:w="675" w:type="pct"/>
            <w:shd w:val="clear" w:color="auto" w:fill="auto"/>
            <w:noWrap/>
            <w:vAlign w:val="center"/>
          </w:tcPr>
          <w:p w14:paraId="58F588B4">
            <w:pPr>
              <w:pStyle w:val="23"/>
              <w:jc w:val="center"/>
              <w:rPr>
                <w:rFonts w:ascii="宋体" w:hAnsi="宋体"/>
                <w:kern w:val="0"/>
                <w:szCs w:val="21"/>
              </w:rPr>
            </w:pPr>
            <w:r>
              <w:rPr>
                <w:rFonts w:ascii="宋体" w:hAnsi="宋体"/>
                <w:kern w:val="0"/>
                <w:szCs w:val="21"/>
              </w:rPr>
              <w:t>62247</w:t>
            </w:r>
          </w:p>
        </w:tc>
      </w:tr>
      <w:tr w14:paraId="72B595E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118" w:type="pct"/>
            <w:shd w:val="clear" w:color="auto" w:fill="auto"/>
            <w:noWrap/>
            <w:vAlign w:val="center"/>
          </w:tcPr>
          <w:p w14:paraId="77D7EDFA">
            <w:pPr>
              <w:pStyle w:val="23"/>
              <w:ind w:firstLine="420" w:firstLineChars="200"/>
              <w:rPr>
                <w:rFonts w:ascii="宋体" w:hAnsi="宋体"/>
                <w:kern w:val="0"/>
                <w:szCs w:val="21"/>
              </w:rPr>
            </w:pPr>
            <w:r>
              <w:rPr>
                <w:rFonts w:ascii="宋体" w:hAnsi="宋体"/>
                <w:kern w:val="0"/>
                <w:szCs w:val="21"/>
              </w:rPr>
              <w:t>14、水利、环境和公共设施管理业</w:t>
            </w:r>
          </w:p>
        </w:tc>
        <w:tc>
          <w:tcPr>
            <w:tcW w:w="1070" w:type="pct"/>
            <w:shd w:val="clear" w:color="auto" w:fill="auto"/>
            <w:noWrap/>
            <w:vAlign w:val="center"/>
          </w:tcPr>
          <w:p w14:paraId="052BC6A7">
            <w:pPr>
              <w:pStyle w:val="23"/>
              <w:jc w:val="center"/>
              <w:rPr>
                <w:rFonts w:ascii="宋体" w:hAnsi="宋体"/>
                <w:kern w:val="0"/>
                <w:szCs w:val="21"/>
              </w:rPr>
            </w:pPr>
            <w:r>
              <w:rPr>
                <w:rFonts w:ascii="宋体" w:hAnsi="宋体"/>
                <w:kern w:val="0"/>
                <w:szCs w:val="21"/>
              </w:rPr>
              <w:t>565</w:t>
            </w:r>
          </w:p>
        </w:tc>
        <w:tc>
          <w:tcPr>
            <w:tcW w:w="1138" w:type="pct"/>
            <w:shd w:val="clear" w:color="auto" w:fill="auto"/>
            <w:noWrap/>
            <w:vAlign w:val="center"/>
          </w:tcPr>
          <w:p w14:paraId="6D942CF4">
            <w:pPr>
              <w:pStyle w:val="23"/>
              <w:jc w:val="center"/>
              <w:rPr>
                <w:rFonts w:ascii="宋体" w:hAnsi="宋体"/>
                <w:kern w:val="0"/>
                <w:szCs w:val="21"/>
              </w:rPr>
            </w:pPr>
            <w:r>
              <w:rPr>
                <w:rFonts w:ascii="宋体" w:hAnsi="宋体"/>
                <w:kern w:val="0"/>
                <w:szCs w:val="21"/>
              </w:rPr>
              <w:t>11598</w:t>
            </w:r>
          </w:p>
        </w:tc>
        <w:tc>
          <w:tcPr>
            <w:tcW w:w="675" w:type="pct"/>
            <w:shd w:val="clear" w:color="auto" w:fill="auto"/>
            <w:noWrap/>
            <w:vAlign w:val="center"/>
          </w:tcPr>
          <w:p w14:paraId="770C5543">
            <w:pPr>
              <w:pStyle w:val="23"/>
              <w:jc w:val="center"/>
              <w:rPr>
                <w:rFonts w:ascii="宋体" w:hAnsi="宋体"/>
                <w:kern w:val="0"/>
                <w:szCs w:val="21"/>
              </w:rPr>
            </w:pPr>
            <w:r>
              <w:rPr>
                <w:rFonts w:ascii="宋体" w:hAnsi="宋体"/>
                <w:kern w:val="0"/>
                <w:szCs w:val="21"/>
              </w:rPr>
              <w:t>20527</w:t>
            </w:r>
          </w:p>
        </w:tc>
      </w:tr>
      <w:tr w14:paraId="61B96E8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118" w:type="pct"/>
            <w:shd w:val="clear" w:color="auto" w:fill="auto"/>
            <w:noWrap/>
            <w:vAlign w:val="center"/>
          </w:tcPr>
          <w:p w14:paraId="2DDB0CB3">
            <w:pPr>
              <w:pStyle w:val="23"/>
              <w:ind w:firstLine="420" w:firstLineChars="200"/>
              <w:rPr>
                <w:rFonts w:ascii="宋体" w:hAnsi="宋体"/>
                <w:kern w:val="0"/>
                <w:szCs w:val="21"/>
              </w:rPr>
            </w:pPr>
            <w:r>
              <w:rPr>
                <w:rFonts w:ascii="宋体" w:hAnsi="宋体"/>
                <w:kern w:val="0"/>
                <w:szCs w:val="21"/>
              </w:rPr>
              <w:t>15、居民服务和其他服务业</w:t>
            </w:r>
          </w:p>
        </w:tc>
        <w:tc>
          <w:tcPr>
            <w:tcW w:w="1070" w:type="pct"/>
            <w:shd w:val="clear" w:color="auto" w:fill="auto"/>
            <w:noWrap/>
            <w:vAlign w:val="center"/>
          </w:tcPr>
          <w:p w14:paraId="0DD9ABF7">
            <w:pPr>
              <w:pStyle w:val="23"/>
              <w:jc w:val="center"/>
              <w:rPr>
                <w:rFonts w:ascii="宋体" w:hAnsi="宋体"/>
                <w:kern w:val="0"/>
                <w:szCs w:val="21"/>
              </w:rPr>
            </w:pPr>
            <w:r>
              <w:rPr>
                <w:rFonts w:ascii="宋体" w:hAnsi="宋体"/>
                <w:kern w:val="0"/>
                <w:szCs w:val="21"/>
              </w:rPr>
              <w:t>25</w:t>
            </w:r>
          </w:p>
        </w:tc>
        <w:tc>
          <w:tcPr>
            <w:tcW w:w="1138" w:type="pct"/>
            <w:shd w:val="clear" w:color="auto" w:fill="auto"/>
            <w:noWrap/>
            <w:vAlign w:val="center"/>
          </w:tcPr>
          <w:p w14:paraId="08EE8DE4">
            <w:pPr>
              <w:pStyle w:val="23"/>
              <w:jc w:val="center"/>
              <w:rPr>
                <w:rFonts w:ascii="宋体" w:hAnsi="宋体"/>
                <w:kern w:val="0"/>
                <w:szCs w:val="21"/>
              </w:rPr>
            </w:pPr>
            <w:r>
              <w:rPr>
                <w:rFonts w:ascii="宋体" w:hAnsi="宋体"/>
                <w:kern w:val="0"/>
                <w:szCs w:val="21"/>
              </w:rPr>
              <w:t>421</w:t>
            </w:r>
          </w:p>
        </w:tc>
        <w:tc>
          <w:tcPr>
            <w:tcW w:w="675" w:type="pct"/>
            <w:shd w:val="clear" w:color="auto" w:fill="auto"/>
            <w:noWrap/>
            <w:vAlign w:val="center"/>
          </w:tcPr>
          <w:p w14:paraId="31B6D289">
            <w:pPr>
              <w:pStyle w:val="23"/>
              <w:jc w:val="center"/>
              <w:rPr>
                <w:rFonts w:ascii="宋体" w:hAnsi="宋体"/>
                <w:kern w:val="0"/>
                <w:szCs w:val="21"/>
              </w:rPr>
            </w:pPr>
            <w:r>
              <w:rPr>
                <w:rFonts w:ascii="宋体" w:hAnsi="宋体"/>
                <w:kern w:val="0"/>
                <w:szCs w:val="21"/>
              </w:rPr>
              <w:t>16840</w:t>
            </w:r>
          </w:p>
        </w:tc>
      </w:tr>
      <w:tr w14:paraId="3B5BE70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118" w:type="pct"/>
            <w:shd w:val="clear" w:color="auto" w:fill="auto"/>
            <w:noWrap/>
            <w:vAlign w:val="center"/>
          </w:tcPr>
          <w:p w14:paraId="3F0B9CA4">
            <w:pPr>
              <w:pStyle w:val="23"/>
              <w:ind w:firstLine="420" w:firstLineChars="200"/>
              <w:rPr>
                <w:rFonts w:ascii="宋体" w:hAnsi="宋体"/>
                <w:kern w:val="0"/>
                <w:szCs w:val="21"/>
              </w:rPr>
            </w:pPr>
            <w:r>
              <w:rPr>
                <w:rFonts w:ascii="宋体" w:hAnsi="宋体"/>
                <w:kern w:val="0"/>
                <w:szCs w:val="21"/>
              </w:rPr>
              <w:t>16、教育</w:t>
            </w:r>
          </w:p>
        </w:tc>
        <w:tc>
          <w:tcPr>
            <w:tcW w:w="1070" w:type="pct"/>
            <w:shd w:val="clear" w:color="auto" w:fill="auto"/>
            <w:noWrap/>
            <w:vAlign w:val="center"/>
          </w:tcPr>
          <w:p w14:paraId="12F0801D">
            <w:pPr>
              <w:pStyle w:val="23"/>
              <w:jc w:val="center"/>
              <w:rPr>
                <w:rFonts w:ascii="宋体" w:hAnsi="宋体"/>
                <w:kern w:val="0"/>
                <w:szCs w:val="21"/>
              </w:rPr>
            </w:pPr>
            <w:r>
              <w:rPr>
                <w:rFonts w:ascii="宋体" w:hAnsi="宋体"/>
                <w:kern w:val="0"/>
                <w:szCs w:val="21"/>
              </w:rPr>
              <w:t>4730</w:t>
            </w:r>
          </w:p>
        </w:tc>
        <w:tc>
          <w:tcPr>
            <w:tcW w:w="1138" w:type="pct"/>
            <w:shd w:val="clear" w:color="auto" w:fill="auto"/>
            <w:noWrap/>
            <w:vAlign w:val="center"/>
          </w:tcPr>
          <w:p w14:paraId="2B1A16F7">
            <w:pPr>
              <w:pStyle w:val="23"/>
              <w:jc w:val="center"/>
              <w:rPr>
                <w:rFonts w:ascii="宋体" w:hAnsi="宋体"/>
                <w:kern w:val="0"/>
                <w:szCs w:val="21"/>
              </w:rPr>
            </w:pPr>
            <w:r>
              <w:rPr>
                <w:rFonts w:ascii="宋体" w:hAnsi="宋体"/>
                <w:kern w:val="0"/>
                <w:szCs w:val="21"/>
              </w:rPr>
              <w:t>157898</w:t>
            </w:r>
          </w:p>
        </w:tc>
        <w:tc>
          <w:tcPr>
            <w:tcW w:w="675" w:type="pct"/>
            <w:shd w:val="clear" w:color="auto" w:fill="auto"/>
            <w:noWrap/>
            <w:vAlign w:val="center"/>
          </w:tcPr>
          <w:p w14:paraId="1E8F6895">
            <w:pPr>
              <w:pStyle w:val="23"/>
              <w:jc w:val="center"/>
              <w:rPr>
                <w:rFonts w:ascii="宋体" w:hAnsi="宋体"/>
                <w:kern w:val="0"/>
                <w:szCs w:val="21"/>
              </w:rPr>
            </w:pPr>
            <w:r>
              <w:rPr>
                <w:rFonts w:ascii="宋体" w:hAnsi="宋体"/>
                <w:kern w:val="0"/>
                <w:szCs w:val="21"/>
              </w:rPr>
              <w:t>33382</w:t>
            </w:r>
          </w:p>
        </w:tc>
      </w:tr>
      <w:tr w14:paraId="555BD8D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118" w:type="pct"/>
            <w:shd w:val="clear" w:color="auto" w:fill="auto"/>
            <w:noWrap/>
            <w:vAlign w:val="center"/>
          </w:tcPr>
          <w:p w14:paraId="506F1121">
            <w:pPr>
              <w:pStyle w:val="23"/>
              <w:ind w:firstLine="420" w:firstLineChars="200"/>
              <w:rPr>
                <w:rFonts w:ascii="宋体" w:hAnsi="宋体"/>
                <w:kern w:val="0"/>
                <w:szCs w:val="21"/>
              </w:rPr>
            </w:pPr>
            <w:r>
              <w:rPr>
                <w:rFonts w:ascii="宋体" w:hAnsi="宋体"/>
                <w:kern w:val="0"/>
                <w:szCs w:val="21"/>
              </w:rPr>
              <w:t>17、卫生、社会保障和社会福利业</w:t>
            </w:r>
          </w:p>
        </w:tc>
        <w:tc>
          <w:tcPr>
            <w:tcW w:w="1070" w:type="pct"/>
            <w:shd w:val="clear" w:color="auto" w:fill="auto"/>
            <w:noWrap/>
            <w:vAlign w:val="center"/>
          </w:tcPr>
          <w:p w14:paraId="0CD8047A">
            <w:pPr>
              <w:pStyle w:val="23"/>
              <w:jc w:val="center"/>
              <w:rPr>
                <w:rFonts w:ascii="宋体" w:hAnsi="宋体"/>
                <w:kern w:val="0"/>
                <w:szCs w:val="21"/>
              </w:rPr>
            </w:pPr>
            <w:r>
              <w:rPr>
                <w:rFonts w:ascii="宋体" w:hAnsi="宋体"/>
                <w:kern w:val="0"/>
                <w:szCs w:val="21"/>
              </w:rPr>
              <w:t>1443</w:t>
            </w:r>
          </w:p>
        </w:tc>
        <w:tc>
          <w:tcPr>
            <w:tcW w:w="1138" w:type="pct"/>
            <w:shd w:val="clear" w:color="auto" w:fill="auto"/>
            <w:noWrap/>
            <w:vAlign w:val="center"/>
          </w:tcPr>
          <w:p w14:paraId="4B429700">
            <w:pPr>
              <w:pStyle w:val="23"/>
              <w:jc w:val="center"/>
              <w:rPr>
                <w:rFonts w:ascii="宋体" w:hAnsi="宋体"/>
                <w:kern w:val="0"/>
                <w:szCs w:val="21"/>
              </w:rPr>
            </w:pPr>
            <w:r>
              <w:rPr>
                <w:rFonts w:ascii="宋体" w:hAnsi="宋体"/>
                <w:kern w:val="0"/>
                <w:szCs w:val="21"/>
              </w:rPr>
              <w:t>50370</w:t>
            </w:r>
          </w:p>
        </w:tc>
        <w:tc>
          <w:tcPr>
            <w:tcW w:w="675" w:type="pct"/>
            <w:shd w:val="clear" w:color="auto" w:fill="auto"/>
            <w:noWrap/>
            <w:vAlign w:val="center"/>
          </w:tcPr>
          <w:p w14:paraId="6114713D">
            <w:pPr>
              <w:pStyle w:val="23"/>
              <w:jc w:val="center"/>
              <w:rPr>
                <w:rFonts w:ascii="宋体" w:hAnsi="宋体"/>
                <w:kern w:val="0"/>
                <w:szCs w:val="21"/>
              </w:rPr>
            </w:pPr>
            <w:r>
              <w:rPr>
                <w:rFonts w:ascii="宋体" w:hAnsi="宋体"/>
                <w:kern w:val="0"/>
                <w:szCs w:val="21"/>
              </w:rPr>
              <w:t>34906</w:t>
            </w:r>
          </w:p>
        </w:tc>
      </w:tr>
      <w:tr w14:paraId="6F0480E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118" w:type="pct"/>
            <w:shd w:val="clear" w:color="auto" w:fill="auto"/>
            <w:noWrap/>
            <w:vAlign w:val="center"/>
          </w:tcPr>
          <w:p w14:paraId="5897E9AD">
            <w:pPr>
              <w:pStyle w:val="23"/>
              <w:ind w:firstLine="420" w:firstLineChars="200"/>
              <w:rPr>
                <w:rFonts w:ascii="宋体" w:hAnsi="宋体"/>
                <w:kern w:val="0"/>
                <w:szCs w:val="21"/>
              </w:rPr>
            </w:pPr>
            <w:r>
              <w:rPr>
                <w:rFonts w:ascii="宋体" w:hAnsi="宋体"/>
                <w:kern w:val="0"/>
                <w:szCs w:val="21"/>
              </w:rPr>
              <w:t>18、文化、体育和娱乐业</w:t>
            </w:r>
          </w:p>
        </w:tc>
        <w:tc>
          <w:tcPr>
            <w:tcW w:w="1070" w:type="pct"/>
            <w:shd w:val="clear" w:color="auto" w:fill="auto"/>
            <w:noWrap/>
            <w:vAlign w:val="center"/>
          </w:tcPr>
          <w:p w14:paraId="74FFC49A">
            <w:pPr>
              <w:pStyle w:val="23"/>
              <w:jc w:val="center"/>
              <w:rPr>
                <w:rFonts w:ascii="宋体" w:hAnsi="宋体"/>
                <w:kern w:val="0"/>
                <w:szCs w:val="21"/>
              </w:rPr>
            </w:pPr>
            <w:r>
              <w:rPr>
                <w:rFonts w:ascii="宋体" w:hAnsi="宋体"/>
                <w:kern w:val="0"/>
                <w:szCs w:val="21"/>
              </w:rPr>
              <w:t>139</w:t>
            </w:r>
          </w:p>
        </w:tc>
        <w:tc>
          <w:tcPr>
            <w:tcW w:w="1138" w:type="pct"/>
            <w:shd w:val="clear" w:color="auto" w:fill="auto"/>
            <w:noWrap/>
            <w:vAlign w:val="center"/>
          </w:tcPr>
          <w:p w14:paraId="2664AFD5">
            <w:pPr>
              <w:pStyle w:val="23"/>
              <w:jc w:val="center"/>
              <w:rPr>
                <w:rFonts w:ascii="宋体" w:hAnsi="宋体"/>
                <w:kern w:val="0"/>
                <w:szCs w:val="21"/>
              </w:rPr>
            </w:pPr>
            <w:r>
              <w:rPr>
                <w:rFonts w:ascii="宋体" w:hAnsi="宋体"/>
                <w:kern w:val="0"/>
                <w:szCs w:val="21"/>
              </w:rPr>
              <w:t>3857</w:t>
            </w:r>
          </w:p>
        </w:tc>
        <w:tc>
          <w:tcPr>
            <w:tcW w:w="675" w:type="pct"/>
            <w:shd w:val="clear" w:color="auto" w:fill="auto"/>
            <w:noWrap/>
            <w:vAlign w:val="center"/>
          </w:tcPr>
          <w:p w14:paraId="6F13EDA4">
            <w:pPr>
              <w:pStyle w:val="23"/>
              <w:jc w:val="center"/>
              <w:rPr>
                <w:rFonts w:ascii="宋体" w:hAnsi="宋体"/>
                <w:kern w:val="0"/>
                <w:szCs w:val="21"/>
              </w:rPr>
            </w:pPr>
            <w:r>
              <w:rPr>
                <w:rFonts w:ascii="宋体" w:hAnsi="宋体"/>
                <w:kern w:val="0"/>
                <w:szCs w:val="21"/>
              </w:rPr>
              <w:t>27748</w:t>
            </w:r>
          </w:p>
        </w:tc>
      </w:tr>
      <w:tr w14:paraId="51E8B67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118" w:type="pct"/>
            <w:shd w:val="clear" w:color="auto" w:fill="auto"/>
            <w:noWrap/>
            <w:vAlign w:val="center"/>
          </w:tcPr>
          <w:p w14:paraId="25AA2419">
            <w:pPr>
              <w:pStyle w:val="23"/>
              <w:ind w:firstLine="420" w:firstLineChars="200"/>
              <w:rPr>
                <w:rFonts w:ascii="宋体" w:hAnsi="宋体"/>
                <w:kern w:val="0"/>
                <w:szCs w:val="21"/>
              </w:rPr>
            </w:pPr>
            <w:r>
              <w:rPr>
                <w:rFonts w:ascii="宋体" w:hAnsi="宋体"/>
                <w:kern w:val="0"/>
                <w:szCs w:val="21"/>
              </w:rPr>
              <w:t>19、公共管理和社会组织</w:t>
            </w:r>
          </w:p>
        </w:tc>
        <w:tc>
          <w:tcPr>
            <w:tcW w:w="1070" w:type="pct"/>
            <w:shd w:val="clear" w:color="auto" w:fill="auto"/>
            <w:noWrap/>
            <w:vAlign w:val="center"/>
          </w:tcPr>
          <w:p w14:paraId="4684A3DC">
            <w:pPr>
              <w:pStyle w:val="23"/>
              <w:jc w:val="center"/>
              <w:rPr>
                <w:rFonts w:ascii="宋体" w:hAnsi="宋体"/>
                <w:kern w:val="0"/>
                <w:szCs w:val="21"/>
              </w:rPr>
            </w:pPr>
            <w:r>
              <w:rPr>
                <w:rFonts w:ascii="宋体" w:hAnsi="宋体"/>
                <w:kern w:val="0"/>
                <w:szCs w:val="21"/>
              </w:rPr>
              <w:t>3612</w:t>
            </w:r>
          </w:p>
        </w:tc>
        <w:tc>
          <w:tcPr>
            <w:tcW w:w="1138" w:type="pct"/>
            <w:shd w:val="clear" w:color="auto" w:fill="auto"/>
            <w:noWrap/>
            <w:vAlign w:val="center"/>
          </w:tcPr>
          <w:p w14:paraId="1FEC65AB">
            <w:pPr>
              <w:pStyle w:val="23"/>
              <w:jc w:val="center"/>
              <w:rPr>
                <w:rFonts w:ascii="宋体" w:hAnsi="宋体"/>
                <w:kern w:val="0"/>
                <w:szCs w:val="21"/>
              </w:rPr>
            </w:pPr>
            <w:r>
              <w:rPr>
                <w:rFonts w:ascii="宋体" w:hAnsi="宋体"/>
                <w:kern w:val="0"/>
                <w:szCs w:val="21"/>
              </w:rPr>
              <w:t>119844</w:t>
            </w:r>
          </w:p>
        </w:tc>
        <w:tc>
          <w:tcPr>
            <w:tcW w:w="675" w:type="pct"/>
            <w:shd w:val="clear" w:color="auto" w:fill="auto"/>
            <w:noWrap/>
            <w:vAlign w:val="center"/>
          </w:tcPr>
          <w:p w14:paraId="7DD59F92">
            <w:pPr>
              <w:pStyle w:val="23"/>
              <w:jc w:val="center"/>
              <w:rPr>
                <w:rFonts w:ascii="宋体" w:hAnsi="宋体"/>
                <w:kern w:val="0"/>
                <w:szCs w:val="21"/>
              </w:rPr>
            </w:pPr>
            <w:r>
              <w:rPr>
                <w:rFonts w:ascii="宋体" w:hAnsi="宋体"/>
                <w:kern w:val="0"/>
                <w:szCs w:val="21"/>
              </w:rPr>
              <w:t>33179</w:t>
            </w:r>
          </w:p>
        </w:tc>
      </w:tr>
      <w:tr w14:paraId="6E8EF92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118" w:type="pct"/>
            <w:shd w:val="clear" w:color="auto" w:fill="auto"/>
            <w:noWrap/>
            <w:vAlign w:val="center"/>
          </w:tcPr>
          <w:p w14:paraId="3E74810A">
            <w:pPr>
              <w:pStyle w:val="23"/>
              <w:rPr>
                <w:rFonts w:ascii="宋体" w:hAnsi="宋体"/>
                <w:kern w:val="0"/>
                <w:szCs w:val="21"/>
              </w:rPr>
            </w:pPr>
            <w:r>
              <w:rPr>
                <w:rFonts w:ascii="宋体" w:hAnsi="宋体"/>
                <w:kern w:val="0"/>
                <w:szCs w:val="21"/>
              </w:rPr>
              <w:t>二、城镇集体单位</w:t>
            </w:r>
          </w:p>
        </w:tc>
        <w:tc>
          <w:tcPr>
            <w:tcW w:w="1070" w:type="pct"/>
            <w:shd w:val="clear" w:color="auto" w:fill="auto"/>
            <w:noWrap/>
            <w:vAlign w:val="center"/>
          </w:tcPr>
          <w:p w14:paraId="64D5096D">
            <w:pPr>
              <w:pStyle w:val="23"/>
              <w:jc w:val="center"/>
              <w:rPr>
                <w:rFonts w:ascii="宋体" w:hAnsi="宋体"/>
                <w:kern w:val="0"/>
                <w:szCs w:val="21"/>
              </w:rPr>
            </w:pPr>
            <w:r>
              <w:rPr>
                <w:rFonts w:ascii="宋体" w:hAnsi="宋体"/>
                <w:kern w:val="0"/>
                <w:szCs w:val="21"/>
              </w:rPr>
              <w:t>4067</w:t>
            </w:r>
          </w:p>
        </w:tc>
        <w:tc>
          <w:tcPr>
            <w:tcW w:w="1138" w:type="pct"/>
            <w:shd w:val="clear" w:color="auto" w:fill="auto"/>
            <w:noWrap/>
            <w:vAlign w:val="center"/>
          </w:tcPr>
          <w:p w14:paraId="0BF02D08">
            <w:pPr>
              <w:pStyle w:val="23"/>
              <w:jc w:val="center"/>
              <w:rPr>
                <w:rFonts w:ascii="宋体" w:hAnsi="宋体"/>
                <w:kern w:val="0"/>
                <w:szCs w:val="21"/>
              </w:rPr>
            </w:pPr>
            <w:r>
              <w:rPr>
                <w:rFonts w:ascii="宋体" w:hAnsi="宋体"/>
                <w:kern w:val="0"/>
                <w:szCs w:val="21"/>
              </w:rPr>
              <w:t>81790</w:t>
            </w:r>
          </w:p>
        </w:tc>
        <w:tc>
          <w:tcPr>
            <w:tcW w:w="675" w:type="pct"/>
            <w:shd w:val="clear" w:color="auto" w:fill="auto"/>
            <w:noWrap/>
            <w:vAlign w:val="center"/>
          </w:tcPr>
          <w:p w14:paraId="588A69C4">
            <w:pPr>
              <w:pStyle w:val="23"/>
              <w:jc w:val="center"/>
              <w:rPr>
                <w:rFonts w:ascii="宋体" w:hAnsi="宋体"/>
                <w:kern w:val="0"/>
                <w:szCs w:val="21"/>
              </w:rPr>
            </w:pPr>
            <w:r>
              <w:rPr>
                <w:rFonts w:ascii="宋体" w:hAnsi="宋体"/>
                <w:kern w:val="0"/>
                <w:szCs w:val="21"/>
              </w:rPr>
              <w:t>20111</w:t>
            </w:r>
          </w:p>
        </w:tc>
      </w:tr>
      <w:tr w14:paraId="09BD9D9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118" w:type="pct"/>
            <w:shd w:val="clear" w:color="auto" w:fill="auto"/>
            <w:noWrap/>
            <w:vAlign w:val="center"/>
          </w:tcPr>
          <w:p w14:paraId="6C3874A3">
            <w:pPr>
              <w:pStyle w:val="23"/>
              <w:ind w:firstLine="420" w:firstLineChars="200"/>
              <w:rPr>
                <w:rFonts w:ascii="宋体" w:hAnsi="宋体"/>
                <w:kern w:val="0"/>
                <w:szCs w:val="21"/>
              </w:rPr>
            </w:pPr>
            <w:r>
              <w:rPr>
                <w:rFonts w:ascii="宋体" w:hAnsi="宋体"/>
                <w:kern w:val="0"/>
                <w:szCs w:val="21"/>
              </w:rPr>
              <w:t>1、农业</w:t>
            </w:r>
          </w:p>
        </w:tc>
        <w:tc>
          <w:tcPr>
            <w:tcW w:w="1070" w:type="pct"/>
            <w:shd w:val="clear" w:color="auto" w:fill="auto"/>
            <w:noWrap/>
            <w:vAlign w:val="center"/>
          </w:tcPr>
          <w:p w14:paraId="195F1861">
            <w:pPr>
              <w:pStyle w:val="23"/>
              <w:jc w:val="center"/>
              <w:rPr>
                <w:rFonts w:ascii="宋体" w:hAnsi="宋体"/>
                <w:kern w:val="0"/>
                <w:szCs w:val="21"/>
              </w:rPr>
            </w:pPr>
            <w:r>
              <w:rPr>
                <w:rFonts w:ascii="宋体" w:hAnsi="宋体"/>
                <w:kern w:val="0"/>
                <w:szCs w:val="21"/>
              </w:rPr>
              <w:t>104</w:t>
            </w:r>
          </w:p>
        </w:tc>
        <w:tc>
          <w:tcPr>
            <w:tcW w:w="1138" w:type="pct"/>
            <w:shd w:val="clear" w:color="auto" w:fill="auto"/>
            <w:noWrap/>
            <w:vAlign w:val="center"/>
          </w:tcPr>
          <w:p w14:paraId="4477E239">
            <w:pPr>
              <w:pStyle w:val="23"/>
              <w:jc w:val="center"/>
              <w:rPr>
                <w:rFonts w:ascii="宋体" w:hAnsi="宋体"/>
                <w:kern w:val="0"/>
                <w:szCs w:val="21"/>
              </w:rPr>
            </w:pPr>
            <w:r>
              <w:rPr>
                <w:rFonts w:ascii="宋体" w:hAnsi="宋体"/>
                <w:kern w:val="0"/>
                <w:szCs w:val="21"/>
              </w:rPr>
              <w:t>2022</w:t>
            </w:r>
          </w:p>
        </w:tc>
        <w:tc>
          <w:tcPr>
            <w:tcW w:w="675" w:type="pct"/>
            <w:shd w:val="clear" w:color="auto" w:fill="auto"/>
            <w:noWrap/>
            <w:vAlign w:val="center"/>
          </w:tcPr>
          <w:p w14:paraId="05C85643">
            <w:pPr>
              <w:pStyle w:val="23"/>
              <w:jc w:val="center"/>
              <w:rPr>
                <w:rFonts w:ascii="宋体" w:hAnsi="宋体"/>
                <w:kern w:val="0"/>
                <w:szCs w:val="21"/>
              </w:rPr>
            </w:pPr>
            <w:r>
              <w:rPr>
                <w:rFonts w:ascii="宋体" w:hAnsi="宋体"/>
                <w:kern w:val="0"/>
                <w:szCs w:val="21"/>
              </w:rPr>
              <w:t>19442</w:t>
            </w:r>
          </w:p>
        </w:tc>
      </w:tr>
      <w:tr w14:paraId="1F4CD49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118" w:type="pct"/>
            <w:shd w:val="clear" w:color="auto" w:fill="auto"/>
            <w:noWrap/>
            <w:vAlign w:val="center"/>
          </w:tcPr>
          <w:p w14:paraId="1063042A">
            <w:pPr>
              <w:pStyle w:val="23"/>
              <w:ind w:firstLine="420" w:firstLineChars="200"/>
              <w:rPr>
                <w:rFonts w:ascii="宋体" w:hAnsi="宋体"/>
                <w:kern w:val="0"/>
                <w:szCs w:val="21"/>
              </w:rPr>
            </w:pPr>
            <w:r>
              <w:rPr>
                <w:rFonts w:ascii="宋体" w:hAnsi="宋体"/>
                <w:kern w:val="0"/>
                <w:szCs w:val="21"/>
              </w:rPr>
              <w:t>2、制造业</w:t>
            </w:r>
          </w:p>
        </w:tc>
        <w:tc>
          <w:tcPr>
            <w:tcW w:w="1070" w:type="pct"/>
            <w:shd w:val="clear" w:color="auto" w:fill="auto"/>
            <w:noWrap/>
            <w:vAlign w:val="center"/>
          </w:tcPr>
          <w:p w14:paraId="2C63796D">
            <w:pPr>
              <w:pStyle w:val="23"/>
              <w:jc w:val="center"/>
              <w:rPr>
                <w:rFonts w:ascii="宋体" w:hAnsi="宋体"/>
                <w:kern w:val="0"/>
                <w:szCs w:val="21"/>
              </w:rPr>
            </w:pPr>
            <w:r>
              <w:rPr>
                <w:rFonts w:ascii="宋体" w:hAnsi="宋体"/>
                <w:kern w:val="0"/>
                <w:szCs w:val="21"/>
              </w:rPr>
              <w:t>19</w:t>
            </w:r>
          </w:p>
        </w:tc>
        <w:tc>
          <w:tcPr>
            <w:tcW w:w="1138" w:type="pct"/>
            <w:shd w:val="clear" w:color="auto" w:fill="auto"/>
            <w:noWrap/>
            <w:vAlign w:val="center"/>
          </w:tcPr>
          <w:p w14:paraId="2856F5CB">
            <w:pPr>
              <w:pStyle w:val="23"/>
              <w:jc w:val="center"/>
              <w:rPr>
                <w:rFonts w:ascii="宋体" w:hAnsi="宋体"/>
                <w:kern w:val="0"/>
                <w:szCs w:val="21"/>
              </w:rPr>
            </w:pPr>
            <w:r>
              <w:rPr>
                <w:rFonts w:ascii="宋体" w:hAnsi="宋体"/>
                <w:kern w:val="0"/>
                <w:szCs w:val="21"/>
              </w:rPr>
              <w:t>233</w:t>
            </w:r>
          </w:p>
        </w:tc>
        <w:tc>
          <w:tcPr>
            <w:tcW w:w="675" w:type="pct"/>
            <w:shd w:val="clear" w:color="auto" w:fill="auto"/>
            <w:noWrap/>
            <w:vAlign w:val="center"/>
          </w:tcPr>
          <w:p w14:paraId="75DDCFCE">
            <w:pPr>
              <w:pStyle w:val="23"/>
              <w:jc w:val="center"/>
              <w:rPr>
                <w:rFonts w:ascii="宋体" w:hAnsi="宋体"/>
                <w:kern w:val="0"/>
                <w:szCs w:val="21"/>
              </w:rPr>
            </w:pPr>
            <w:r>
              <w:rPr>
                <w:rFonts w:ascii="宋体" w:hAnsi="宋体"/>
                <w:kern w:val="0"/>
                <w:szCs w:val="21"/>
              </w:rPr>
              <w:t>12263</w:t>
            </w:r>
          </w:p>
        </w:tc>
      </w:tr>
      <w:tr w14:paraId="097A41F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118" w:type="pct"/>
            <w:shd w:val="clear" w:color="auto" w:fill="auto"/>
            <w:noWrap/>
            <w:vAlign w:val="center"/>
          </w:tcPr>
          <w:p w14:paraId="1C1434C9">
            <w:pPr>
              <w:pStyle w:val="23"/>
              <w:ind w:firstLine="420" w:firstLineChars="200"/>
              <w:rPr>
                <w:rFonts w:ascii="宋体" w:hAnsi="宋体"/>
                <w:kern w:val="0"/>
                <w:szCs w:val="21"/>
              </w:rPr>
            </w:pPr>
            <w:r>
              <w:rPr>
                <w:rFonts w:ascii="宋体" w:hAnsi="宋体"/>
                <w:kern w:val="0"/>
                <w:szCs w:val="21"/>
              </w:rPr>
              <w:t>3、建筑业</w:t>
            </w:r>
          </w:p>
        </w:tc>
        <w:tc>
          <w:tcPr>
            <w:tcW w:w="1070" w:type="pct"/>
            <w:shd w:val="clear" w:color="auto" w:fill="auto"/>
            <w:noWrap/>
            <w:vAlign w:val="center"/>
          </w:tcPr>
          <w:p w14:paraId="3C4B4737">
            <w:pPr>
              <w:pStyle w:val="23"/>
              <w:jc w:val="center"/>
              <w:rPr>
                <w:rFonts w:ascii="宋体" w:hAnsi="宋体"/>
                <w:kern w:val="0"/>
                <w:szCs w:val="21"/>
              </w:rPr>
            </w:pPr>
            <w:r>
              <w:rPr>
                <w:rFonts w:ascii="宋体" w:hAnsi="宋体"/>
                <w:kern w:val="0"/>
                <w:szCs w:val="21"/>
              </w:rPr>
              <w:t>3895</w:t>
            </w:r>
          </w:p>
        </w:tc>
        <w:tc>
          <w:tcPr>
            <w:tcW w:w="1138" w:type="pct"/>
            <w:shd w:val="clear" w:color="auto" w:fill="auto"/>
            <w:noWrap/>
            <w:vAlign w:val="center"/>
          </w:tcPr>
          <w:p w14:paraId="2B4FB41B">
            <w:pPr>
              <w:pStyle w:val="23"/>
              <w:jc w:val="center"/>
              <w:rPr>
                <w:rFonts w:ascii="宋体" w:hAnsi="宋体"/>
                <w:kern w:val="0"/>
                <w:szCs w:val="21"/>
              </w:rPr>
            </w:pPr>
            <w:r>
              <w:rPr>
                <w:rFonts w:ascii="宋体" w:hAnsi="宋体"/>
                <w:kern w:val="0"/>
                <w:szCs w:val="21"/>
              </w:rPr>
              <w:t>78443</w:t>
            </w:r>
          </w:p>
        </w:tc>
        <w:tc>
          <w:tcPr>
            <w:tcW w:w="675" w:type="pct"/>
            <w:shd w:val="clear" w:color="auto" w:fill="auto"/>
            <w:noWrap/>
            <w:vAlign w:val="center"/>
          </w:tcPr>
          <w:p w14:paraId="03AEF562">
            <w:pPr>
              <w:pStyle w:val="23"/>
              <w:jc w:val="center"/>
              <w:rPr>
                <w:rFonts w:ascii="宋体" w:hAnsi="宋体"/>
                <w:kern w:val="0"/>
                <w:szCs w:val="21"/>
              </w:rPr>
            </w:pPr>
            <w:r>
              <w:rPr>
                <w:rFonts w:ascii="宋体" w:hAnsi="宋体"/>
                <w:kern w:val="0"/>
                <w:szCs w:val="21"/>
              </w:rPr>
              <w:t>20139</w:t>
            </w:r>
          </w:p>
        </w:tc>
      </w:tr>
      <w:tr w14:paraId="0C4CA98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118" w:type="pct"/>
            <w:shd w:val="clear" w:color="auto" w:fill="auto"/>
            <w:noWrap/>
            <w:vAlign w:val="center"/>
          </w:tcPr>
          <w:p w14:paraId="279B37A9">
            <w:pPr>
              <w:pStyle w:val="23"/>
              <w:ind w:firstLine="420" w:firstLineChars="200"/>
              <w:rPr>
                <w:rFonts w:ascii="宋体" w:hAnsi="宋体"/>
                <w:kern w:val="0"/>
                <w:szCs w:val="21"/>
              </w:rPr>
            </w:pPr>
            <w:r>
              <w:rPr>
                <w:rFonts w:ascii="宋体" w:hAnsi="宋体"/>
                <w:kern w:val="0"/>
                <w:szCs w:val="21"/>
              </w:rPr>
              <w:t>4、交通运输、仓储和邮政业</w:t>
            </w:r>
          </w:p>
        </w:tc>
        <w:tc>
          <w:tcPr>
            <w:tcW w:w="1070" w:type="pct"/>
            <w:shd w:val="clear" w:color="auto" w:fill="auto"/>
            <w:noWrap/>
            <w:vAlign w:val="center"/>
          </w:tcPr>
          <w:p w14:paraId="6C6CDA25">
            <w:pPr>
              <w:pStyle w:val="23"/>
              <w:jc w:val="center"/>
              <w:rPr>
                <w:rFonts w:ascii="宋体" w:hAnsi="宋体"/>
                <w:kern w:val="0"/>
                <w:szCs w:val="21"/>
              </w:rPr>
            </w:pPr>
            <w:r>
              <w:rPr>
                <w:rFonts w:ascii="宋体" w:hAnsi="宋体"/>
                <w:kern w:val="0"/>
                <w:szCs w:val="21"/>
              </w:rPr>
              <w:t>20</w:t>
            </w:r>
          </w:p>
        </w:tc>
        <w:tc>
          <w:tcPr>
            <w:tcW w:w="1138" w:type="pct"/>
            <w:shd w:val="clear" w:color="auto" w:fill="auto"/>
            <w:noWrap/>
            <w:vAlign w:val="center"/>
          </w:tcPr>
          <w:p w14:paraId="06A2A626">
            <w:pPr>
              <w:pStyle w:val="23"/>
              <w:jc w:val="center"/>
              <w:rPr>
                <w:rFonts w:ascii="宋体" w:hAnsi="宋体"/>
                <w:kern w:val="0"/>
                <w:szCs w:val="21"/>
              </w:rPr>
            </w:pPr>
            <w:r>
              <w:rPr>
                <w:rFonts w:ascii="宋体" w:hAnsi="宋体"/>
                <w:kern w:val="0"/>
                <w:szCs w:val="21"/>
              </w:rPr>
              <w:t>446</w:t>
            </w:r>
          </w:p>
        </w:tc>
        <w:tc>
          <w:tcPr>
            <w:tcW w:w="675" w:type="pct"/>
            <w:shd w:val="clear" w:color="auto" w:fill="auto"/>
            <w:noWrap/>
            <w:vAlign w:val="center"/>
          </w:tcPr>
          <w:p w14:paraId="1503D371">
            <w:pPr>
              <w:pStyle w:val="23"/>
              <w:jc w:val="center"/>
              <w:rPr>
                <w:rFonts w:ascii="宋体" w:hAnsi="宋体"/>
                <w:kern w:val="0"/>
                <w:szCs w:val="21"/>
              </w:rPr>
            </w:pPr>
            <w:r>
              <w:rPr>
                <w:rFonts w:ascii="宋体" w:hAnsi="宋体"/>
                <w:kern w:val="0"/>
                <w:szCs w:val="21"/>
              </w:rPr>
              <w:t>22300</w:t>
            </w:r>
          </w:p>
        </w:tc>
      </w:tr>
      <w:tr w14:paraId="6584AE3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118" w:type="pct"/>
            <w:shd w:val="clear" w:color="auto" w:fill="auto"/>
            <w:noWrap/>
            <w:vAlign w:val="center"/>
          </w:tcPr>
          <w:p w14:paraId="7668EA61">
            <w:pPr>
              <w:pStyle w:val="23"/>
              <w:ind w:firstLine="420" w:firstLineChars="200"/>
              <w:rPr>
                <w:rFonts w:ascii="宋体" w:hAnsi="宋体"/>
                <w:kern w:val="0"/>
                <w:szCs w:val="21"/>
              </w:rPr>
            </w:pPr>
            <w:r>
              <w:rPr>
                <w:rFonts w:ascii="宋体" w:hAnsi="宋体"/>
                <w:kern w:val="0"/>
                <w:szCs w:val="21"/>
              </w:rPr>
              <w:t>5、批发和零售业</w:t>
            </w:r>
          </w:p>
        </w:tc>
        <w:tc>
          <w:tcPr>
            <w:tcW w:w="1070" w:type="pct"/>
            <w:shd w:val="clear" w:color="auto" w:fill="auto"/>
            <w:noWrap/>
            <w:vAlign w:val="center"/>
          </w:tcPr>
          <w:p w14:paraId="55AC5818">
            <w:pPr>
              <w:pStyle w:val="23"/>
              <w:jc w:val="center"/>
              <w:rPr>
                <w:rFonts w:ascii="宋体" w:hAnsi="宋体"/>
                <w:kern w:val="0"/>
                <w:szCs w:val="21"/>
              </w:rPr>
            </w:pPr>
          </w:p>
        </w:tc>
        <w:tc>
          <w:tcPr>
            <w:tcW w:w="1138" w:type="pct"/>
            <w:shd w:val="clear" w:color="auto" w:fill="auto"/>
            <w:noWrap/>
            <w:vAlign w:val="center"/>
          </w:tcPr>
          <w:p w14:paraId="4717770A">
            <w:pPr>
              <w:pStyle w:val="23"/>
              <w:jc w:val="center"/>
              <w:rPr>
                <w:rFonts w:ascii="宋体" w:hAnsi="宋体"/>
                <w:kern w:val="0"/>
                <w:szCs w:val="21"/>
              </w:rPr>
            </w:pPr>
          </w:p>
        </w:tc>
        <w:tc>
          <w:tcPr>
            <w:tcW w:w="675" w:type="pct"/>
            <w:shd w:val="clear" w:color="auto" w:fill="auto"/>
            <w:noWrap/>
            <w:vAlign w:val="center"/>
          </w:tcPr>
          <w:p w14:paraId="7D5211A2">
            <w:pPr>
              <w:pStyle w:val="23"/>
              <w:jc w:val="center"/>
              <w:rPr>
                <w:rFonts w:ascii="宋体" w:hAnsi="宋体"/>
                <w:kern w:val="0"/>
                <w:szCs w:val="21"/>
              </w:rPr>
            </w:pPr>
          </w:p>
        </w:tc>
      </w:tr>
      <w:tr w14:paraId="6B2D72C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118" w:type="pct"/>
            <w:shd w:val="clear" w:color="auto" w:fill="auto"/>
            <w:noWrap/>
            <w:vAlign w:val="center"/>
          </w:tcPr>
          <w:p w14:paraId="1C905427">
            <w:pPr>
              <w:pStyle w:val="23"/>
              <w:ind w:firstLine="420" w:firstLineChars="200"/>
              <w:rPr>
                <w:rFonts w:ascii="宋体" w:hAnsi="宋体"/>
                <w:kern w:val="0"/>
                <w:szCs w:val="21"/>
              </w:rPr>
            </w:pPr>
            <w:r>
              <w:rPr>
                <w:rFonts w:ascii="宋体" w:hAnsi="宋体"/>
                <w:kern w:val="0"/>
                <w:szCs w:val="21"/>
              </w:rPr>
              <w:t>6、金融业</w:t>
            </w:r>
          </w:p>
        </w:tc>
        <w:tc>
          <w:tcPr>
            <w:tcW w:w="1070" w:type="pct"/>
            <w:shd w:val="clear" w:color="auto" w:fill="auto"/>
            <w:noWrap/>
            <w:vAlign w:val="center"/>
          </w:tcPr>
          <w:p w14:paraId="5F272FD0">
            <w:pPr>
              <w:pStyle w:val="23"/>
              <w:jc w:val="center"/>
              <w:rPr>
                <w:rFonts w:ascii="宋体" w:hAnsi="宋体"/>
                <w:kern w:val="0"/>
                <w:szCs w:val="21"/>
              </w:rPr>
            </w:pPr>
          </w:p>
        </w:tc>
        <w:tc>
          <w:tcPr>
            <w:tcW w:w="1138" w:type="pct"/>
            <w:shd w:val="clear" w:color="auto" w:fill="auto"/>
            <w:noWrap/>
            <w:vAlign w:val="center"/>
          </w:tcPr>
          <w:p w14:paraId="66638DC2">
            <w:pPr>
              <w:pStyle w:val="23"/>
              <w:jc w:val="center"/>
              <w:rPr>
                <w:rFonts w:ascii="宋体" w:hAnsi="宋体"/>
                <w:kern w:val="0"/>
                <w:szCs w:val="21"/>
              </w:rPr>
            </w:pPr>
          </w:p>
        </w:tc>
        <w:tc>
          <w:tcPr>
            <w:tcW w:w="675" w:type="pct"/>
            <w:shd w:val="clear" w:color="auto" w:fill="auto"/>
            <w:noWrap/>
            <w:vAlign w:val="center"/>
          </w:tcPr>
          <w:p w14:paraId="146B9B59">
            <w:pPr>
              <w:pStyle w:val="23"/>
              <w:jc w:val="center"/>
              <w:rPr>
                <w:rFonts w:ascii="宋体" w:hAnsi="宋体"/>
                <w:kern w:val="0"/>
                <w:szCs w:val="21"/>
              </w:rPr>
            </w:pPr>
          </w:p>
        </w:tc>
      </w:tr>
      <w:tr w14:paraId="241DE8A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118" w:type="pct"/>
            <w:shd w:val="clear" w:color="auto" w:fill="auto"/>
            <w:noWrap/>
            <w:vAlign w:val="center"/>
          </w:tcPr>
          <w:p w14:paraId="6C162A16">
            <w:pPr>
              <w:pStyle w:val="23"/>
              <w:ind w:firstLine="420" w:firstLineChars="200"/>
              <w:rPr>
                <w:rFonts w:ascii="宋体" w:hAnsi="宋体"/>
                <w:kern w:val="0"/>
                <w:szCs w:val="21"/>
              </w:rPr>
            </w:pPr>
            <w:r>
              <w:rPr>
                <w:rFonts w:ascii="宋体" w:hAnsi="宋体"/>
                <w:kern w:val="0"/>
                <w:szCs w:val="21"/>
              </w:rPr>
              <w:t>7、房地产业</w:t>
            </w:r>
          </w:p>
        </w:tc>
        <w:tc>
          <w:tcPr>
            <w:tcW w:w="1070" w:type="pct"/>
            <w:shd w:val="clear" w:color="auto" w:fill="auto"/>
            <w:noWrap/>
            <w:vAlign w:val="center"/>
          </w:tcPr>
          <w:p w14:paraId="0250B87E">
            <w:pPr>
              <w:pStyle w:val="23"/>
              <w:jc w:val="center"/>
              <w:rPr>
                <w:rFonts w:ascii="宋体" w:hAnsi="宋体"/>
                <w:kern w:val="0"/>
                <w:szCs w:val="21"/>
              </w:rPr>
            </w:pPr>
            <w:r>
              <w:rPr>
                <w:rFonts w:ascii="宋体" w:hAnsi="宋体"/>
                <w:kern w:val="0"/>
                <w:szCs w:val="21"/>
              </w:rPr>
              <w:t>17</w:t>
            </w:r>
          </w:p>
        </w:tc>
        <w:tc>
          <w:tcPr>
            <w:tcW w:w="1138" w:type="pct"/>
            <w:shd w:val="clear" w:color="auto" w:fill="auto"/>
            <w:noWrap/>
            <w:vAlign w:val="center"/>
          </w:tcPr>
          <w:p w14:paraId="139E3BDB">
            <w:pPr>
              <w:pStyle w:val="23"/>
              <w:jc w:val="center"/>
              <w:rPr>
                <w:rFonts w:ascii="宋体" w:hAnsi="宋体"/>
                <w:kern w:val="0"/>
                <w:szCs w:val="21"/>
              </w:rPr>
            </w:pPr>
            <w:r>
              <w:rPr>
                <w:rFonts w:ascii="宋体" w:hAnsi="宋体"/>
                <w:kern w:val="0"/>
                <w:szCs w:val="21"/>
              </w:rPr>
              <w:t>410</w:t>
            </w:r>
          </w:p>
        </w:tc>
        <w:tc>
          <w:tcPr>
            <w:tcW w:w="675" w:type="pct"/>
            <w:shd w:val="clear" w:color="auto" w:fill="auto"/>
            <w:noWrap/>
            <w:vAlign w:val="center"/>
          </w:tcPr>
          <w:p w14:paraId="46F03367">
            <w:pPr>
              <w:pStyle w:val="23"/>
              <w:jc w:val="center"/>
              <w:rPr>
                <w:rFonts w:ascii="宋体" w:hAnsi="宋体"/>
                <w:kern w:val="0"/>
                <w:szCs w:val="21"/>
              </w:rPr>
            </w:pPr>
            <w:r>
              <w:rPr>
                <w:rFonts w:ascii="宋体" w:hAnsi="宋体"/>
                <w:kern w:val="0"/>
                <w:szCs w:val="21"/>
              </w:rPr>
              <w:t>24118</w:t>
            </w:r>
          </w:p>
        </w:tc>
      </w:tr>
      <w:tr w14:paraId="4674AEA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118" w:type="pct"/>
            <w:shd w:val="clear" w:color="auto" w:fill="auto"/>
            <w:noWrap/>
            <w:vAlign w:val="center"/>
          </w:tcPr>
          <w:p w14:paraId="545501D3">
            <w:pPr>
              <w:pStyle w:val="23"/>
              <w:ind w:firstLine="420" w:firstLineChars="200"/>
              <w:rPr>
                <w:rFonts w:ascii="宋体" w:hAnsi="宋体"/>
                <w:kern w:val="0"/>
                <w:szCs w:val="21"/>
              </w:rPr>
            </w:pPr>
            <w:r>
              <w:rPr>
                <w:rFonts w:ascii="宋体" w:hAnsi="宋体"/>
                <w:kern w:val="0"/>
                <w:szCs w:val="21"/>
              </w:rPr>
              <w:t>8、租赁和商务服务业</w:t>
            </w:r>
          </w:p>
        </w:tc>
        <w:tc>
          <w:tcPr>
            <w:tcW w:w="1070" w:type="pct"/>
            <w:shd w:val="clear" w:color="auto" w:fill="auto"/>
            <w:noWrap/>
            <w:vAlign w:val="center"/>
          </w:tcPr>
          <w:p w14:paraId="6B5FA906">
            <w:pPr>
              <w:pStyle w:val="23"/>
              <w:jc w:val="center"/>
              <w:rPr>
                <w:rFonts w:ascii="宋体" w:hAnsi="宋体"/>
                <w:kern w:val="0"/>
                <w:szCs w:val="21"/>
              </w:rPr>
            </w:pPr>
            <w:r>
              <w:rPr>
                <w:rFonts w:ascii="宋体" w:hAnsi="宋体"/>
                <w:kern w:val="0"/>
                <w:szCs w:val="21"/>
              </w:rPr>
              <w:t>12</w:t>
            </w:r>
          </w:p>
        </w:tc>
        <w:tc>
          <w:tcPr>
            <w:tcW w:w="1138" w:type="pct"/>
            <w:shd w:val="clear" w:color="auto" w:fill="auto"/>
            <w:noWrap/>
            <w:vAlign w:val="center"/>
          </w:tcPr>
          <w:p w14:paraId="3F8B62AF">
            <w:pPr>
              <w:pStyle w:val="23"/>
              <w:jc w:val="center"/>
              <w:rPr>
                <w:rFonts w:ascii="宋体" w:hAnsi="宋体"/>
                <w:kern w:val="0"/>
                <w:szCs w:val="21"/>
              </w:rPr>
            </w:pPr>
            <w:r>
              <w:rPr>
                <w:rFonts w:ascii="宋体" w:hAnsi="宋体"/>
                <w:kern w:val="0"/>
                <w:szCs w:val="21"/>
              </w:rPr>
              <w:t>236</w:t>
            </w:r>
          </w:p>
        </w:tc>
        <w:tc>
          <w:tcPr>
            <w:tcW w:w="675" w:type="pct"/>
            <w:shd w:val="clear" w:color="auto" w:fill="auto"/>
            <w:noWrap/>
            <w:vAlign w:val="center"/>
          </w:tcPr>
          <w:p w14:paraId="2417D633">
            <w:pPr>
              <w:pStyle w:val="23"/>
              <w:jc w:val="center"/>
              <w:rPr>
                <w:rFonts w:ascii="宋体" w:hAnsi="宋体"/>
                <w:kern w:val="0"/>
                <w:szCs w:val="21"/>
              </w:rPr>
            </w:pPr>
            <w:r>
              <w:rPr>
                <w:rFonts w:ascii="宋体" w:hAnsi="宋体"/>
                <w:kern w:val="0"/>
                <w:szCs w:val="21"/>
              </w:rPr>
              <w:t>19667</w:t>
            </w:r>
          </w:p>
        </w:tc>
      </w:tr>
      <w:tr w14:paraId="2F6044C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118" w:type="pct"/>
            <w:shd w:val="clear" w:color="auto" w:fill="auto"/>
            <w:noWrap/>
            <w:vAlign w:val="center"/>
          </w:tcPr>
          <w:p w14:paraId="43EB6D34">
            <w:pPr>
              <w:pStyle w:val="23"/>
              <w:rPr>
                <w:rFonts w:ascii="宋体" w:hAnsi="宋体"/>
                <w:kern w:val="0"/>
                <w:szCs w:val="21"/>
              </w:rPr>
            </w:pPr>
            <w:r>
              <w:rPr>
                <w:rFonts w:ascii="宋体" w:hAnsi="宋体"/>
                <w:kern w:val="0"/>
                <w:szCs w:val="21"/>
              </w:rPr>
              <w:t>三、其他类型单位</w:t>
            </w:r>
          </w:p>
        </w:tc>
        <w:tc>
          <w:tcPr>
            <w:tcW w:w="1070" w:type="pct"/>
            <w:shd w:val="clear" w:color="auto" w:fill="auto"/>
            <w:noWrap/>
            <w:vAlign w:val="center"/>
          </w:tcPr>
          <w:p w14:paraId="70AE7917">
            <w:pPr>
              <w:pStyle w:val="23"/>
              <w:jc w:val="center"/>
              <w:rPr>
                <w:rFonts w:ascii="宋体" w:hAnsi="宋体"/>
                <w:kern w:val="0"/>
                <w:szCs w:val="21"/>
              </w:rPr>
            </w:pPr>
            <w:r>
              <w:rPr>
                <w:rFonts w:ascii="宋体" w:hAnsi="宋体"/>
                <w:kern w:val="0"/>
                <w:szCs w:val="21"/>
              </w:rPr>
              <w:t>8640</w:t>
            </w:r>
          </w:p>
        </w:tc>
        <w:tc>
          <w:tcPr>
            <w:tcW w:w="1138" w:type="pct"/>
            <w:shd w:val="clear" w:color="auto" w:fill="auto"/>
            <w:noWrap/>
            <w:vAlign w:val="center"/>
          </w:tcPr>
          <w:p w14:paraId="19B2A1C5">
            <w:pPr>
              <w:pStyle w:val="23"/>
              <w:jc w:val="center"/>
              <w:rPr>
                <w:rFonts w:ascii="宋体" w:hAnsi="宋体"/>
                <w:kern w:val="0"/>
                <w:szCs w:val="21"/>
              </w:rPr>
            </w:pPr>
            <w:r>
              <w:rPr>
                <w:rFonts w:ascii="宋体" w:hAnsi="宋体"/>
                <w:kern w:val="0"/>
                <w:szCs w:val="21"/>
              </w:rPr>
              <w:t>228485</w:t>
            </w:r>
          </w:p>
        </w:tc>
        <w:tc>
          <w:tcPr>
            <w:tcW w:w="675" w:type="pct"/>
            <w:shd w:val="clear" w:color="auto" w:fill="auto"/>
            <w:noWrap/>
            <w:vAlign w:val="center"/>
          </w:tcPr>
          <w:p w14:paraId="32F9F578">
            <w:pPr>
              <w:pStyle w:val="23"/>
              <w:jc w:val="center"/>
              <w:rPr>
                <w:rFonts w:ascii="宋体" w:hAnsi="宋体"/>
                <w:kern w:val="0"/>
                <w:szCs w:val="21"/>
              </w:rPr>
            </w:pPr>
            <w:r>
              <w:rPr>
                <w:rFonts w:ascii="宋体" w:hAnsi="宋体"/>
                <w:kern w:val="0"/>
                <w:szCs w:val="21"/>
              </w:rPr>
              <w:t>26445</w:t>
            </w:r>
          </w:p>
        </w:tc>
      </w:tr>
      <w:tr w14:paraId="4F188A3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118" w:type="pct"/>
            <w:shd w:val="clear" w:color="auto" w:fill="auto"/>
            <w:noWrap/>
            <w:vAlign w:val="center"/>
          </w:tcPr>
          <w:p w14:paraId="2D2027CD">
            <w:pPr>
              <w:pStyle w:val="23"/>
              <w:ind w:firstLine="420" w:firstLineChars="200"/>
              <w:rPr>
                <w:rFonts w:ascii="宋体" w:hAnsi="宋体"/>
                <w:kern w:val="0"/>
                <w:szCs w:val="21"/>
              </w:rPr>
            </w:pPr>
            <w:r>
              <w:rPr>
                <w:rFonts w:ascii="宋体" w:hAnsi="宋体"/>
                <w:kern w:val="0"/>
                <w:szCs w:val="21"/>
              </w:rPr>
              <w:t>1、农、林、鱼、牧业</w:t>
            </w:r>
          </w:p>
        </w:tc>
        <w:tc>
          <w:tcPr>
            <w:tcW w:w="1070" w:type="pct"/>
            <w:shd w:val="clear" w:color="auto" w:fill="auto"/>
            <w:noWrap/>
            <w:vAlign w:val="center"/>
          </w:tcPr>
          <w:p w14:paraId="176ACC97">
            <w:pPr>
              <w:pStyle w:val="23"/>
              <w:jc w:val="center"/>
              <w:rPr>
                <w:rFonts w:ascii="宋体" w:hAnsi="宋体"/>
                <w:kern w:val="0"/>
                <w:szCs w:val="21"/>
              </w:rPr>
            </w:pPr>
            <w:r>
              <w:rPr>
                <w:rFonts w:ascii="宋体" w:hAnsi="宋体"/>
                <w:kern w:val="0"/>
                <w:szCs w:val="21"/>
              </w:rPr>
              <w:t>33</w:t>
            </w:r>
          </w:p>
        </w:tc>
        <w:tc>
          <w:tcPr>
            <w:tcW w:w="1138" w:type="pct"/>
            <w:shd w:val="clear" w:color="auto" w:fill="auto"/>
            <w:noWrap/>
            <w:vAlign w:val="center"/>
          </w:tcPr>
          <w:p w14:paraId="09E23572">
            <w:pPr>
              <w:pStyle w:val="23"/>
              <w:jc w:val="center"/>
              <w:rPr>
                <w:rFonts w:ascii="宋体" w:hAnsi="宋体"/>
                <w:kern w:val="0"/>
                <w:szCs w:val="21"/>
              </w:rPr>
            </w:pPr>
            <w:r>
              <w:rPr>
                <w:rFonts w:ascii="宋体" w:hAnsi="宋体"/>
                <w:kern w:val="0"/>
                <w:szCs w:val="21"/>
              </w:rPr>
              <w:t>551</w:t>
            </w:r>
          </w:p>
        </w:tc>
        <w:tc>
          <w:tcPr>
            <w:tcW w:w="675" w:type="pct"/>
            <w:shd w:val="clear" w:color="auto" w:fill="auto"/>
            <w:noWrap/>
            <w:vAlign w:val="center"/>
          </w:tcPr>
          <w:p w14:paraId="145FE8A9">
            <w:pPr>
              <w:pStyle w:val="23"/>
              <w:jc w:val="center"/>
              <w:rPr>
                <w:rFonts w:ascii="宋体" w:hAnsi="宋体"/>
                <w:kern w:val="0"/>
                <w:szCs w:val="21"/>
              </w:rPr>
            </w:pPr>
            <w:r>
              <w:rPr>
                <w:rFonts w:ascii="宋体" w:hAnsi="宋体"/>
                <w:kern w:val="0"/>
                <w:szCs w:val="21"/>
              </w:rPr>
              <w:t>16697</w:t>
            </w:r>
          </w:p>
        </w:tc>
      </w:tr>
      <w:tr w14:paraId="0516F3B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118" w:type="pct"/>
            <w:shd w:val="clear" w:color="auto" w:fill="auto"/>
            <w:noWrap/>
            <w:vAlign w:val="center"/>
          </w:tcPr>
          <w:p w14:paraId="2DABAE3B">
            <w:pPr>
              <w:pStyle w:val="23"/>
              <w:ind w:firstLine="420" w:firstLineChars="200"/>
              <w:rPr>
                <w:rFonts w:ascii="宋体" w:hAnsi="宋体"/>
                <w:kern w:val="0"/>
                <w:szCs w:val="21"/>
              </w:rPr>
            </w:pPr>
            <w:r>
              <w:rPr>
                <w:rFonts w:ascii="宋体" w:hAnsi="宋体"/>
                <w:kern w:val="0"/>
                <w:szCs w:val="21"/>
              </w:rPr>
              <w:t>2、采矿业</w:t>
            </w:r>
          </w:p>
        </w:tc>
        <w:tc>
          <w:tcPr>
            <w:tcW w:w="1070" w:type="pct"/>
            <w:shd w:val="clear" w:color="auto" w:fill="auto"/>
            <w:noWrap/>
            <w:vAlign w:val="center"/>
          </w:tcPr>
          <w:p w14:paraId="7ECD5538">
            <w:pPr>
              <w:pStyle w:val="23"/>
              <w:jc w:val="center"/>
              <w:rPr>
                <w:rFonts w:ascii="宋体" w:hAnsi="宋体"/>
                <w:kern w:val="0"/>
                <w:szCs w:val="21"/>
              </w:rPr>
            </w:pPr>
            <w:r>
              <w:rPr>
                <w:rFonts w:ascii="宋体" w:hAnsi="宋体"/>
                <w:kern w:val="0"/>
                <w:szCs w:val="21"/>
              </w:rPr>
              <w:t>272</w:t>
            </w:r>
          </w:p>
        </w:tc>
        <w:tc>
          <w:tcPr>
            <w:tcW w:w="1138" w:type="pct"/>
            <w:shd w:val="clear" w:color="auto" w:fill="auto"/>
            <w:noWrap/>
            <w:vAlign w:val="center"/>
          </w:tcPr>
          <w:p w14:paraId="0E242F1E">
            <w:pPr>
              <w:pStyle w:val="23"/>
              <w:jc w:val="center"/>
              <w:rPr>
                <w:rFonts w:ascii="宋体" w:hAnsi="宋体"/>
                <w:kern w:val="0"/>
                <w:szCs w:val="21"/>
              </w:rPr>
            </w:pPr>
            <w:r>
              <w:rPr>
                <w:rFonts w:ascii="宋体" w:hAnsi="宋体"/>
                <w:kern w:val="0"/>
                <w:szCs w:val="21"/>
              </w:rPr>
              <w:t>13825</w:t>
            </w:r>
          </w:p>
        </w:tc>
        <w:tc>
          <w:tcPr>
            <w:tcW w:w="675" w:type="pct"/>
            <w:shd w:val="clear" w:color="auto" w:fill="auto"/>
            <w:noWrap/>
            <w:vAlign w:val="center"/>
          </w:tcPr>
          <w:p w14:paraId="1A78C558">
            <w:pPr>
              <w:pStyle w:val="23"/>
              <w:jc w:val="center"/>
              <w:rPr>
                <w:rFonts w:ascii="宋体" w:hAnsi="宋体"/>
                <w:kern w:val="0"/>
                <w:szCs w:val="21"/>
              </w:rPr>
            </w:pPr>
            <w:r>
              <w:rPr>
                <w:rFonts w:ascii="宋体" w:hAnsi="宋体"/>
                <w:kern w:val="0"/>
                <w:szCs w:val="21"/>
              </w:rPr>
              <w:t>50827</w:t>
            </w:r>
          </w:p>
        </w:tc>
      </w:tr>
      <w:tr w14:paraId="5FDF860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118" w:type="pct"/>
            <w:shd w:val="clear" w:color="auto" w:fill="auto"/>
            <w:noWrap/>
            <w:vAlign w:val="center"/>
          </w:tcPr>
          <w:p w14:paraId="6BB5D0F1">
            <w:pPr>
              <w:pStyle w:val="23"/>
              <w:ind w:firstLine="420" w:firstLineChars="200"/>
              <w:rPr>
                <w:rFonts w:ascii="宋体" w:hAnsi="宋体"/>
                <w:kern w:val="0"/>
                <w:szCs w:val="21"/>
              </w:rPr>
            </w:pPr>
            <w:r>
              <w:rPr>
                <w:rFonts w:ascii="宋体" w:hAnsi="宋体"/>
                <w:kern w:val="0"/>
                <w:szCs w:val="21"/>
              </w:rPr>
              <w:t>3、制造业</w:t>
            </w:r>
          </w:p>
        </w:tc>
        <w:tc>
          <w:tcPr>
            <w:tcW w:w="1070" w:type="pct"/>
            <w:shd w:val="clear" w:color="auto" w:fill="auto"/>
            <w:noWrap/>
            <w:vAlign w:val="center"/>
          </w:tcPr>
          <w:p w14:paraId="299C6EB8">
            <w:pPr>
              <w:pStyle w:val="23"/>
              <w:jc w:val="center"/>
              <w:rPr>
                <w:rFonts w:ascii="宋体" w:hAnsi="宋体"/>
                <w:kern w:val="0"/>
                <w:szCs w:val="21"/>
              </w:rPr>
            </w:pPr>
            <w:r>
              <w:rPr>
                <w:rFonts w:ascii="宋体" w:hAnsi="宋体"/>
                <w:kern w:val="0"/>
                <w:szCs w:val="21"/>
              </w:rPr>
              <w:t>3861</w:t>
            </w:r>
          </w:p>
        </w:tc>
        <w:tc>
          <w:tcPr>
            <w:tcW w:w="1138" w:type="pct"/>
            <w:shd w:val="clear" w:color="auto" w:fill="auto"/>
            <w:noWrap/>
            <w:vAlign w:val="center"/>
          </w:tcPr>
          <w:p w14:paraId="1CC88379">
            <w:pPr>
              <w:pStyle w:val="23"/>
              <w:jc w:val="center"/>
              <w:rPr>
                <w:rFonts w:ascii="宋体" w:hAnsi="宋体"/>
                <w:kern w:val="0"/>
                <w:szCs w:val="21"/>
              </w:rPr>
            </w:pPr>
            <w:r>
              <w:rPr>
                <w:rFonts w:ascii="宋体" w:hAnsi="宋体"/>
                <w:kern w:val="0"/>
                <w:szCs w:val="21"/>
              </w:rPr>
              <w:t>96329</w:t>
            </w:r>
          </w:p>
        </w:tc>
        <w:tc>
          <w:tcPr>
            <w:tcW w:w="675" w:type="pct"/>
            <w:shd w:val="clear" w:color="auto" w:fill="auto"/>
            <w:noWrap/>
            <w:vAlign w:val="center"/>
          </w:tcPr>
          <w:p w14:paraId="44E90772">
            <w:pPr>
              <w:pStyle w:val="23"/>
              <w:jc w:val="center"/>
              <w:rPr>
                <w:rFonts w:ascii="宋体" w:hAnsi="宋体"/>
                <w:kern w:val="0"/>
                <w:szCs w:val="21"/>
              </w:rPr>
            </w:pPr>
            <w:r>
              <w:rPr>
                <w:rFonts w:ascii="宋体" w:hAnsi="宋体"/>
                <w:kern w:val="0"/>
                <w:szCs w:val="21"/>
              </w:rPr>
              <w:t>24949</w:t>
            </w:r>
          </w:p>
        </w:tc>
      </w:tr>
      <w:tr w14:paraId="08FBDF2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118" w:type="pct"/>
            <w:shd w:val="clear" w:color="auto" w:fill="auto"/>
            <w:noWrap/>
            <w:vAlign w:val="center"/>
          </w:tcPr>
          <w:p w14:paraId="07F71566">
            <w:pPr>
              <w:pStyle w:val="23"/>
              <w:ind w:firstLine="420" w:firstLineChars="200"/>
              <w:rPr>
                <w:rFonts w:ascii="宋体" w:hAnsi="宋体"/>
                <w:kern w:val="0"/>
                <w:szCs w:val="21"/>
              </w:rPr>
            </w:pPr>
            <w:r>
              <w:rPr>
                <w:rFonts w:ascii="宋体" w:hAnsi="宋体"/>
                <w:kern w:val="0"/>
                <w:szCs w:val="21"/>
              </w:rPr>
              <w:t>4、电力、燃气及水生产和供应业</w:t>
            </w:r>
          </w:p>
        </w:tc>
        <w:tc>
          <w:tcPr>
            <w:tcW w:w="1070" w:type="pct"/>
            <w:shd w:val="clear" w:color="auto" w:fill="auto"/>
            <w:noWrap/>
            <w:vAlign w:val="center"/>
          </w:tcPr>
          <w:p w14:paraId="424CFA8A">
            <w:pPr>
              <w:pStyle w:val="23"/>
              <w:jc w:val="center"/>
              <w:rPr>
                <w:rFonts w:ascii="宋体" w:hAnsi="宋体"/>
                <w:kern w:val="0"/>
                <w:szCs w:val="21"/>
              </w:rPr>
            </w:pPr>
            <w:r>
              <w:rPr>
                <w:rFonts w:ascii="宋体" w:hAnsi="宋体"/>
                <w:kern w:val="0"/>
                <w:szCs w:val="21"/>
              </w:rPr>
              <w:t>360</w:t>
            </w:r>
          </w:p>
        </w:tc>
        <w:tc>
          <w:tcPr>
            <w:tcW w:w="1138" w:type="pct"/>
            <w:shd w:val="clear" w:color="auto" w:fill="auto"/>
            <w:noWrap/>
            <w:vAlign w:val="center"/>
          </w:tcPr>
          <w:p w14:paraId="2942BE9D">
            <w:pPr>
              <w:pStyle w:val="23"/>
              <w:jc w:val="center"/>
              <w:rPr>
                <w:rFonts w:ascii="宋体" w:hAnsi="宋体"/>
                <w:kern w:val="0"/>
                <w:szCs w:val="21"/>
              </w:rPr>
            </w:pPr>
            <w:r>
              <w:rPr>
                <w:rFonts w:ascii="宋体" w:hAnsi="宋体"/>
                <w:kern w:val="0"/>
                <w:szCs w:val="21"/>
              </w:rPr>
              <w:t>9287</w:t>
            </w:r>
          </w:p>
        </w:tc>
        <w:tc>
          <w:tcPr>
            <w:tcW w:w="675" w:type="pct"/>
            <w:shd w:val="clear" w:color="auto" w:fill="auto"/>
            <w:noWrap/>
            <w:vAlign w:val="center"/>
          </w:tcPr>
          <w:p w14:paraId="1DF8D5AF">
            <w:pPr>
              <w:pStyle w:val="23"/>
              <w:jc w:val="center"/>
              <w:rPr>
                <w:rFonts w:ascii="宋体" w:hAnsi="宋体"/>
                <w:kern w:val="0"/>
                <w:szCs w:val="21"/>
              </w:rPr>
            </w:pPr>
            <w:r>
              <w:rPr>
                <w:rFonts w:ascii="宋体" w:hAnsi="宋体"/>
                <w:kern w:val="0"/>
                <w:szCs w:val="21"/>
              </w:rPr>
              <w:t>25797</w:t>
            </w:r>
          </w:p>
        </w:tc>
      </w:tr>
      <w:tr w14:paraId="20B1B3C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118" w:type="pct"/>
            <w:shd w:val="clear" w:color="auto" w:fill="auto"/>
            <w:noWrap/>
            <w:vAlign w:val="center"/>
          </w:tcPr>
          <w:p w14:paraId="3DE72C0F">
            <w:pPr>
              <w:pStyle w:val="23"/>
              <w:ind w:firstLine="420" w:firstLineChars="200"/>
              <w:rPr>
                <w:rFonts w:ascii="宋体" w:hAnsi="宋体"/>
                <w:kern w:val="0"/>
                <w:szCs w:val="21"/>
              </w:rPr>
            </w:pPr>
            <w:r>
              <w:rPr>
                <w:rFonts w:ascii="宋体" w:hAnsi="宋体"/>
                <w:kern w:val="0"/>
                <w:szCs w:val="21"/>
              </w:rPr>
              <w:t>5、建筑业</w:t>
            </w:r>
          </w:p>
        </w:tc>
        <w:tc>
          <w:tcPr>
            <w:tcW w:w="1070" w:type="pct"/>
            <w:shd w:val="clear" w:color="auto" w:fill="auto"/>
            <w:noWrap/>
            <w:vAlign w:val="center"/>
          </w:tcPr>
          <w:p w14:paraId="78047927">
            <w:pPr>
              <w:pStyle w:val="23"/>
              <w:jc w:val="center"/>
              <w:rPr>
                <w:rFonts w:ascii="宋体" w:hAnsi="宋体"/>
                <w:kern w:val="0"/>
                <w:szCs w:val="21"/>
              </w:rPr>
            </w:pPr>
            <w:r>
              <w:rPr>
                <w:rFonts w:ascii="宋体" w:hAnsi="宋体"/>
                <w:kern w:val="0"/>
                <w:szCs w:val="21"/>
              </w:rPr>
              <w:t>2755</w:t>
            </w:r>
          </w:p>
        </w:tc>
        <w:tc>
          <w:tcPr>
            <w:tcW w:w="1138" w:type="pct"/>
            <w:shd w:val="clear" w:color="auto" w:fill="auto"/>
            <w:noWrap/>
            <w:vAlign w:val="center"/>
          </w:tcPr>
          <w:p w14:paraId="4B0B73A1">
            <w:pPr>
              <w:pStyle w:val="23"/>
              <w:jc w:val="center"/>
              <w:rPr>
                <w:rFonts w:ascii="宋体" w:hAnsi="宋体"/>
                <w:kern w:val="0"/>
                <w:szCs w:val="21"/>
              </w:rPr>
            </w:pPr>
            <w:r>
              <w:rPr>
                <w:rFonts w:ascii="宋体" w:hAnsi="宋体"/>
                <w:kern w:val="0"/>
                <w:szCs w:val="21"/>
              </w:rPr>
              <w:t>55420</w:t>
            </w:r>
          </w:p>
        </w:tc>
        <w:tc>
          <w:tcPr>
            <w:tcW w:w="675" w:type="pct"/>
            <w:shd w:val="clear" w:color="auto" w:fill="auto"/>
            <w:noWrap/>
            <w:vAlign w:val="center"/>
          </w:tcPr>
          <w:p w14:paraId="71668C17">
            <w:pPr>
              <w:pStyle w:val="23"/>
              <w:jc w:val="center"/>
              <w:rPr>
                <w:rFonts w:ascii="宋体" w:hAnsi="宋体"/>
                <w:kern w:val="0"/>
                <w:szCs w:val="21"/>
              </w:rPr>
            </w:pPr>
            <w:r>
              <w:rPr>
                <w:rFonts w:ascii="宋体" w:hAnsi="宋体"/>
                <w:kern w:val="0"/>
                <w:szCs w:val="21"/>
              </w:rPr>
              <w:t>20116</w:t>
            </w:r>
          </w:p>
        </w:tc>
      </w:tr>
      <w:tr w14:paraId="70F1018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118" w:type="pct"/>
            <w:shd w:val="clear" w:color="auto" w:fill="auto"/>
            <w:noWrap/>
            <w:vAlign w:val="center"/>
          </w:tcPr>
          <w:p w14:paraId="46DF20BB">
            <w:pPr>
              <w:pStyle w:val="23"/>
              <w:ind w:firstLine="420" w:firstLineChars="200"/>
              <w:rPr>
                <w:rFonts w:ascii="宋体" w:hAnsi="宋体"/>
                <w:kern w:val="0"/>
                <w:szCs w:val="21"/>
              </w:rPr>
            </w:pPr>
            <w:r>
              <w:rPr>
                <w:rFonts w:ascii="宋体" w:hAnsi="宋体"/>
                <w:kern w:val="0"/>
                <w:szCs w:val="21"/>
              </w:rPr>
              <w:t>6、交通运输、仓储和邮政业</w:t>
            </w:r>
          </w:p>
        </w:tc>
        <w:tc>
          <w:tcPr>
            <w:tcW w:w="1070" w:type="pct"/>
            <w:shd w:val="clear" w:color="auto" w:fill="auto"/>
            <w:noWrap/>
            <w:vAlign w:val="center"/>
          </w:tcPr>
          <w:p w14:paraId="3816E676">
            <w:pPr>
              <w:pStyle w:val="23"/>
              <w:jc w:val="center"/>
              <w:rPr>
                <w:rFonts w:ascii="宋体" w:hAnsi="宋体"/>
                <w:kern w:val="0"/>
                <w:szCs w:val="21"/>
              </w:rPr>
            </w:pPr>
            <w:r>
              <w:rPr>
                <w:rFonts w:ascii="宋体" w:hAnsi="宋体"/>
                <w:kern w:val="0"/>
                <w:szCs w:val="21"/>
              </w:rPr>
              <w:t>65</w:t>
            </w:r>
          </w:p>
        </w:tc>
        <w:tc>
          <w:tcPr>
            <w:tcW w:w="1138" w:type="pct"/>
            <w:shd w:val="clear" w:color="auto" w:fill="auto"/>
            <w:noWrap/>
            <w:vAlign w:val="center"/>
          </w:tcPr>
          <w:p w14:paraId="50C413A9">
            <w:pPr>
              <w:pStyle w:val="23"/>
              <w:jc w:val="center"/>
              <w:rPr>
                <w:rFonts w:ascii="宋体" w:hAnsi="宋体"/>
                <w:kern w:val="0"/>
                <w:szCs w:val="21"/>
              </w:rPr>
            </w:pPr>
            <w:r>
              <w:rPr>
                <w:rFonts w:ascii="宋体" w:hAnsi="宋体"/>
                <w:kern w:val="0"/>
                <w:szCs w:val="21"/>
              </w:rPr>
              <w:t>1578</w:t>
            </w:r>
          </w:p>
        </w:tc>
        <w:tc>
          <w:tcPr>
            <w:tcW w:w="675" w:type="pct"/>
            <w:shd w:val="clear" w:color="auto" w:fill="auto"/>
            <w:noWrap/>
            <w:vAlign w:val="center"/>
          </w:tcPr>
          <w:p w14:paraId="4DA89086">
            <w:pPr>
              <w:pStyle w:val="23"/>
              <w:jc w:val="center"/>
              <w:rPr>
                <w:rFonts w:ascii="宋体" w:hAnsi="宋体"/>
                <w:kern w:val="0"/>
                <w:szCs w:val="21"/>
              </w:rPr>
            </w:pPr>
            <w:r>
              <w:rPr>
                <w:rFonts w:ascii="宋体" w:hAnsi="宋体"/>
                <w:kern w:val="0"/>
                <w:szCs w:val="21"/>
              </w:rPr>
              <w:t>24277</w:t>
            </w:r>
          </w:p>
        </w:tc>
      </w:tr>
      <w:tr w14:paraId="1F9759B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118" w:type="pct"/>
            <w:shd w:val="clear" w:color="auto" w:fill="auto"/>
            <w:noWrap/>
            <w:vAlign w:val="center"/>
          </w:tcPr>
          <w:p w14:paraId="076CD696">
            <w:pPr>
              <w:pStyle w:val="23"/>
              <w:ind w:firstLine="420" w:firstLineChars="200"/>
              <w:rPr>
                <w:rFonts w:ascii="宋体" w:hAnsi="宋体"/>
                <w:kern w:val="0"/>
                <w:szCs w:val="21"/>
              </w:rPr>
            </w:pPr>
            <w:r>
              <w:rPr>
                <w:rFonts w:ascii="宋体" w:hAnsi="宋体"/>
                <w:kern w:val="0"/>
                <w:szCs w:val="21"/>
              </w:rPr>
              <w:t>7、信息传输、计算机服务和软件业</w:t>
            </w:r>
          </w:p>
        </w:tc>
        <w:tc>
          <w:tcPr>
            <w:tcW w:w="1070" w:type="pct"/>
            <w:shd w:val="clear" w:color="auto" w:fill="auto"/>
            <w:noWrap/>
            <w:vAlign w:val="center"/>
          </w:tcPr>
          <w:p w14:paraId="2C47C435">
            <w:pPr>
              <w:pStyle w:val="23"/>
              <w:jc w:val="center"/>
              <w:rPr>
                <w:rFonts w:ascii="宋体" w:hAnsi="宋体"/>
                <w:kern w:val="0"/>
                <w:szCs w:val="21"/>
              </w:rPr>
            </w:pPr>
            <w:r>
              <w:rPr>
                <w:rFonts w:ascii="宋体" w:hAnsi="宋体"/>
                <w:kern w:val="0"/>
                <w:szCs w:val="21"/>
              </w:rPr>
              <w:t>150</w:t>
            </w:r>
          </w:p>
        </w:tc>
        <w:tc>
          <w:tcPr>
            <w:tcW w:w="1138" w:type="pct"/>
            <w:shd w:val="clear" w:color="auto" w:fill="auto"/>
            <w:noWrap/>
            <w:vAlign w:val="center"/>
          </w:tcPr>
          <w:p w14:paraId="1590947B">
            <w:pPr>
              <w:pStyle w:val="23"/>
              <w:jc w:val="center"/>
              <w:rPr>
                <w:rFonts w:ascii="宋体" w:hAnsi="宋体"/>
                <w:kern w:val="0"/>
                <w:szCs w:val="21"/>
              </w:rPr>
            </w:pPr>
            <w:r>
              <w:rPr>
                <w:rFonts w:ascii="宋体" w:hAnsi="宋体"/>
                <w:kern w:val="0"/>
                <w:szCs w:val="21"/>
              </w:rPr>
              <w:t>7270</w:t>
            </w:r>
          </w:p>
        </w:tc>
        <w:tc>
          <w:tcPr>
            <w:tcW w:w="675" w:type="pct"/>
            <w:shd w:val="clear" w:color="auto" w:fill="auto"/>
            <w:noWrap/>
            <w:vAlign w:val="center"/>
          </w:tcPr>
          <w:p w14:paraId="7D0D4FAE">
            <w:pPr>
              <w:pStyle w:val="23"/>
              <w:jc w:val="center"/>
              <w:rPr>
                <w:rFonts w:ascii="宋体" w:hAnsi="宋体"/>
                <w:kern w:val="0"/>
                <w:szCs w:val="21"/>
              </w:rPr>
            </w:pPr>
            <w:r>
              <w:rPr>
                <w:rFonts w:ascii="宋体" w:hAnsi="宋体"/>
                <w:kern w:val="0"/>
                <w:szCs w:val="21"/>
              </w:rPr>
              <w:t>48467</w:t>
            </w:r>
          </w:p>
        </w:tc>
      </w:tr>
      <w:tr w14:paraId="4FE0248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118" w:type="pct"/>
            <w:shd w:val="clear" w:color="auto" w:fill="auto"/>
            <w:noWrap/>
            <w:vAlign w:val="center"/>
          </w:tcPr>
          <w:p w14:paraId="545B1299">
            <w:pPr>
              <w:pStyle w:val="23"/>
              <w:ind w:firstLine="420" w:firstLineChars="200"/>
              <w:rPr>
                <w:rFonts w:ascii="宋体" w:hAnsi="宋体"/>
                <w:kern w:val="0"/>
                <w:szCs w:val="21"/>
              </w:rPr>
            </w:pPr>
            <w:r>
              <w:rPr>
                <w:rFonts w:ascii="宋体" w:hAnsi="宋体"/>
                <w:kern w:val="0"/>
                <w:szCs w:val="21"/>
              </w:rPr>
              <w:t>8、批发和零售业</w:t>
            </w:r>
          </w:p>
        </w:tc>
        <w:tc>
          <w:tcPr>
            <w:tcW w:w="1070" w:type="pct"/>
            <w:shd w:val="clear" w:color="auto" w:fill="auto"/>
            <w:noWrap/>
            <w:vAlign w:val="center"/>
          </w:tcPr>
          <w:p w14:paraId="6411F6C2">
            <w:pPr>
              <w:pStyle w:val="23"/>
              <w:jc w:val="center"/>
              <w:rPr>
                <w:rFonts w:ascii="宋体" w:hAnsi="宋体"/>
                <w:kern w:val="0"/>
                <w:szCs w:val="21"/>
              </w:rPr>
            </w:pPr>
            <w:r>
              <w:rPr>
                <w:rFonts w:ascii="宋体" w:hAnsi="宋体"/>
                <w:kern w:val="0"/>
                <w:szCs w:val="21"/>
              </w:rPr>
              <w:t>620</w:t>
            </w:r>
          </w:p>
        </w:tc>
        <w:tc>
          <w:tcPr>
            <w:tcW w:w="1138" w:type="pct"/>
            <w:shd w:val="clear" w:color="auto" w:fill="auto"/>
            <w:noWrap/>
            <w:vAlign w:val="center"/>
          </w:tcPr>
          <w:p w14:paraId="2CEF8785">
            <w:pPr>
              <w:pStyle w:val="23"/>
              <w:jc w:val="center"/>
              <w:rPr>
                <w:rFonts w:ascii="宋体" w:hAnsi="宋体"/>
                <w:kern w:val="0"/>
                <w:szCs w:val="21"/>
              </w:rPr>
            </w:pPr>
            <w:r>
              <w:rPr>
                <w:rFonts w:ascii="宋体" w:hAnsi="宋体"/>
                <w:kern w:val="0"/>
                <w:szCs w:val="21"/>
              </w:rPr>
              <w:t>25071</w:t>
            </w:r>
          </w:p>
        </w:tc>
        <w:tc>
          <w:tcPr>
            <w:tcW w:w="675" w:type="pct"/>
            <w:shd w:val="clear" w:color="auto" w:fill="auto"/>
            <w:noWrap/>
            <w:vAlign w:val="center"/>
          </w:tcPr>
          <w:p w14:paraId="780C251F">
            <w:pPr>
              <w:pStyle w:val="23"/>
              <w:jc w:val="center"/>
              <w:rPr>
                <w:rFonts w:ascii="宋体" w:hAnsi="宋体"/>
                <w:kern w:val="0"/>
                <w:szCs w:val="21"/>
              </w:rPr>
            </w:pPr>
            <w:r>
              <w:rPr>
                <w:rFonts w:ascii="宋体" w:hAnsi="宋体"/>
                <w:kern w:val="0"/>
                <w:szCs w:val="21"/>
              </w:rPr>
              <w:t>40437</w:t>
            </w:r>
          </w:p>
        </w:tc>
      </w:tr>
      <w:tr w14:paraId="6DCF9FD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118" w:type="pct"/>
            <w:shd w:val="clear" w:color="auto" w:fill="auto"/>
            <w:noWrap/>
            <w:vAlign w:val="center"/>
          </w:tcPr>
          <w:p w14:paraId="09A3333B">
            <w:pPr>
              <w:pStyle w:val="23"/>
              <w:ind w:firstLine="420" w:firstLineChars="200"/>
              <w:rPr>
                <w:rFonts w:ascii="宋体" w:hAnsi="宋体"/>
                <w:kern w:val="0"/>
                <w:szCs w:val="21"/>
              </w:rPr>
            </w:pPr>
            <w:r>
              <w:rPr>
                <w:rFonts w:ascii="宋体" w:hAnsi="宋体"/>
                <w:kern w:val="0"/>
                <w:szCs w:val="21"/>
              </w:rPr>
              <w:t>9、住宿和餐饮业</w:t>
            </w:r>
          </w:p>
        </w:tc>
        <w:tc>
          <w:tcPr>
            <w:tcW w:w="1070" w:type="pct"/>
            <w:shd w:val="clear" w:color="auto" w:fill="auto"/>
            <w:noWrap/>
            <w:vAlign w:val="center"/>
          </w:tcPr>
          <w:p w14:paraId="71D5E5BE">
            <w:pPr>
              <w:pStyle w:val="23"/>
              <w:jc w:val="center"/>
              <w:rPr>
                <w:rFonts w:ascii="宋体" w:hAnsi="宋体"/>
                <w:kern w:val="0"/>
                <w:szCs w:val="21"/>
              </w:rPr>
            </w:pPr>
            <w:r>
              <w:rPr>
                <w:rFonts w:ascii="宋体" w:hAnsi="宋体"/>
                <w:kern w:val="0"/>
                <w:szCs w:val="21"/>
              </w:rPr>
              <w:t>0</w:t>
            </w:r>
          </w:p>
        </w:tc>
        <w:tc>
          <w:tcPr>
            <w:tcW w:w="1138" w:type="pct"/>
            <w:shd w:val="clear" w:color="auto" w:fill="auto"/>
            <w:noWrap/>
            <w:vAlign w:val="center"/>
          </w:tcPr>
          <w:p w14:paraId="6398B1E6">
            <w:pPr>
              <w:pStyle w:val="23"/>
              <w:jc w:val="center"/>
              <w:rPr>
                <w:rFonts w:ascii="宋体" w:hAnsi="宋体"/>
                <w:kern w:val="0"/>
                <w:szCs w:val="21"/>
              </w:rPr>
            </w:pPr>
            <w:r>
              <w:rPr>
                <w:rFonts w:ascii="宋体" w:hAnsi="宋体"/>
                <w:kern w:val="0"/>
                <w:szCs w:val="21"/>
              </w:rPr>
              <w:t>0</w:t>
            </w:r>
          </w:p>
        </w:tc>
        <w:tc>
          <w:tcPr>
            <w:tcW w:w="675" w:type="pct"/>
            <w:shd w:val="clear" w:color="auto" w:fill="auto"/>
            <w:noWrap/>
            <w:vAlign w:val="center"/>
          </w:tcPr>
          <w:p w14:paraId="47377CC2">
            <w:pPr>
              <w:pStyle w:val="23"/>
              <w:jc w:val="center"/>
              <w:rPr>
                <w:rFonts w:ascii="宋体" w:hAnsi="宋体"/>
                <w:kern w:val="0"/>
                <w:szCs w:val="21"/>
              </w:rPr>
            </w:pPr>
          </w:p>
        </w:tc>
      </w:tr>
      <w:tr w14:paraId="78F65E3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118" w:type="pct"/>
            <w:shd w:val="clear" w:color="auto" w:fill="auto"/>
            <w:noWrap/>
            <w:vAlign w:val="center"/>
          </w:tcPr>
          <w:p w14:paraId="590CD111">
            <w:pPr>
              <w:pStyle w:val="23"/>
              <w:ind w:firstLine="420" w:firstLineChars="200"/>
              <w:rPr>
                <w:rFonts w:ascii="宋体" w:hAnsi="宋体"/>
                <w:kern w:val="0"/>
                <w:szCs w:val="21"/>
              </w:rPr>
            </w:pPr>
            <w:r>
              <w:rPr>
                <w:rFonts w:ascii="宋体" w:hAnsi="宋体"/>
                <w:kern w:val="0"/>
                <w:szCs w:val="21"/>
              </w:rPr>
              <w:t>10、金融业</w:t>
            </w:r>
          </w:p>
        </w:tc>
        <w:tc>
          <w:tcPr>
            <w:tcW w:w="1070" w:type="pct"/>
            <w:shd w:val="clear" w:color="auto" w:fill="auto"/>
            <w:noWrap/>
            <w:vAlign w:val="center"/>
          </w:tcPr>
          <w:p w14:paraId="7464F270">
            <w:pPr>
              <w:pStyle w:val="23"/>
              <w:jc w:val="center"/>
              <w:rPr>
                <w:rFonts w:ascii="宋体" w:hAnsi="宋体"/>
                <w:kern w:val="0"/>
                <w:szCs w:val="21"/>
              </w:rPr>
            </w:pPr>
            <w:r>
              <w:rPr>
                <w:rFonts w:ascii="宋体" w:hAnsi="宋体"/>
                <w:kern w:val="0"/>
                <w:szCs w:val="21"/>
              </w:rPr>
              <w:t>374</w:t>
            </w:r>
          </w:p>
        </w:tc>
        <w:tc>
          <w:tcPr>
            <w:tcW w:w="1138" w:type="pct"/>
            <w:shd w:val="clear" w:color="auto" w:fill="auto"/>
            <w:noWrap/>
            <w:vAlign w:val="center"/>
          </w:tcPr>
          <w:p w14:paraId="4AABC017">
            <w:pPr>
              <w:pStyle w:val="23"/>
              <w:jc w:val="center"/>
              <w:rPr>
                <w:rFonts w:ascii="宋体" w:hAnsi="宋体"/>
                <w:kern w:val="0"/>
                <w:szCs w:val="21"/>
              </w:rPr>
            </w:pPr>
            <w:r>
              <w:rPr>
                <w:rFonts w:ascii="宋体" w:hAnsi="宋体"/>
                <w:kern w:val="0"/>
                <w:szCs w:val="21"/>
              </w:rPr>
              <w:t>15528</w:t>
            </w:r>
          </w:p>
        </w:tc>
        <w:tc>
          <w:tcPr>
            <w:tcW w:w="675" w:type="pct"/>
            <w:shd w:val="clear" w:color="auto" w:fill="auto"/>
            <w:noWrap/>
            <w:vAlign w:val="center"/>
          </w:tcPr>
          <w:p w14:paraId="6DF9726D">
            <w:pPr>
              <w:pStyle w:val="23"/>
              <w:jc w:val="center"/>
              <w:rPr>
                <w:rFonts w:ascii="宋体" w:hAnsi="宋体"/>
                <w:kern w:val="0"/>
                <w:szCs w:val="21"/>
              </w:rPr>
            </w:pPr>
            <w:r>
              <w:rPr>
                <w:rFonts w:ascii="宋体" w:hAnsi="宋体"/>
                <w:kern w:val="0"/>
                <w:szCs w:val="21"/>
              </w:rPr>
              <w:t>41519</w:t>
            </w:r>
          </w:p>
        </w:tc>
      </w:tr>
      <w:tr w14:paraId="135272A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118" w:type="pct"/>
            <w:shd w:val="clear" w:color="auto" w:fill="auto"/>
            <w:noWrap/>
            <w:vAlign w:val="center"/>
          </w:tcPr>
          <w:p w14:paraId="04467B98">
            <w:pPr>
              <w:pStyle w:val="23"/>
              <w:ind w:firstLine="420" w:firstLineChars="200"/>
              <w:rPr>
                <w:rFonts w:ascii="宋体" w:hAnsi="宋体"/>
                <w:kern w:val="0"/>
                <w:szCs w:val="21"/>
              </w:rPr>
            </w:pPr>
            <w:r>
              <w:rPr>
                <w:rFonts w:ascii="宋体" w:hAnsi="宋体"/>
                <w:kern w:val="0"/>
                <w:szCs w:val="21"/>
              </w:rPr>
              <w:t>11、房地产业</w:t>
            </w:r>
          </w:p>
        </w:tc>
        <w:tc>
          <w:tcPr>
            <w:tcW w:w="1070" w:type="pct"/>
            <w:shd w:val="clear" w:color="auto" w:fill="auto"/>
            <w:noWrap/>
            <w:vAlign w:val="center"/>
          </w:tcPr>
          <w:p w14:paraId="2880595D">
            <w:pPr>
              <w:pStyle w:val="23"/>
              <w:jc w:val="center"/>
              <w:rPr>
                <w:rFonts w:ascii="宋体" w:hAnsi="宋体"/>
                <w:kern w:val="0"/>
                <w:szCs w:val="21"/>
              </w:rPr>
            </w:pPr>
            <w:r>
              <w:rPr>
                <w:rFonts w:ascii="宋体" w:hAnsi="宋体"/>
                <w:kern w:val="0"/>
                <w:szCs w:val="21"/>
              </w:rPr>
              <w:t>133</w:t>
            </w:r>
          </w:p>
        </w:tc>
        <w:tc>
          <w:tcPr>
            <w:tcW w:w="1138" w:type="pct"/>
            <w:shd w:val="clear" w:color="auto" w:fill="auto"/>
            <w:noWrap/>
            <w:vAlign w:val="center"/>
          </w:tcPr>
          <w:p w14:paraId="24B440FB">
            <w:pPr>
              <w:pStyle w:val="23"/>
              <w:jc w:val="center"/>
              <w:rPr>
                <w:rFonts w:ascii="宋体" w:hAnsi="宋体"/>
                <w:kern w:val="0"/>
                <w:szCs w:val="21"/>
              </w:rPr>
            </w:pPr>
            <w:r>
              <w:rPr>
                <w:rFonts w:ascii="宋体" w:hAnsi="宋体"/>
                <w:kern w:val="0"/>
                <w:szCs w:val="21"/>
              </w:rPr>
              <w:t>3266</w:t>
            </w:r>
          </w:p>
        </w:tc>
        <w:tc>
          <w:tcPr>
            <w:tcW w:w="675" w:type="pct"/>
            <w:shd w:val="clear" w:color="auto" w:fill="auto"/>
            <w:noWrap/>
            <w:vAlign w:val="center"/>
          </w:tcPr>
          <w:p w14:paraId="02C765D8">
            <w:pPr>
              <w:pStyle w:val="23"/>
              <w:jc w:val="center"/>
              <w:rPr>
                <w:rFonts w:ascii="宋体" w:hAnsi="宋体"/>
                <w:kern w:val="0"/>
                <w:szCs w:val="21"/>
              </w:rPr>
            </w:pPr>
            <w:r>
              <w:rPr>
                <w:rFonts w:ascii="宋体" w:hAnsi="宋体"/>
                <w:kern w:val="0"/>
                <w:szCs w:val="21"/>
              </w:rPr>
              <w:t>24556</w:t>
            </w:r>
          </w:p>
        </w:tc>
      </w:tr>
      <w:tr w14:paraId="11C6FAA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118" w:type="pct"/>
            <w:shd w:val="clear" w:color="auto" w:fill="auto"/>
            <w:noWrap/>
            <w:vAlign w:val="center"/>
          </w:tcPr>
          <w:p w14:paraId="0B928D82">
            <w:pPr>
              <w:pStyle w:val="23"/>
              <w:ind w:firstLine="420" w:firstLineChars="200"/>
              <w:rPr>
                <w:rFonts w:ascii="宋体" w:hAnsi="宋体"/>
                <w:kern w:val="0"/>
                <w:szCs w:val="21"/>
              </w:rPr>
            </w:pPr>
            <w:r>
              <w:rPr>
                <w:rFonts w:ascii="宋体" w:hAnsi="宋体"/>
                <w:kern w:val="0"/>
                <w:szCs w:val="21"/>
              </w:rPr>
              <w:t>12、科学研究、技术服务和地质勘探业</w:t>
            </w:r>
          </w:p>
        </w:tc>
        <w:tc>
          <w:tcPr>
            <w:tcW w:w="1070" w:type="pct"/>
            <w:shd w:val="clear" w:color="auto" w:fill="auto"/>
            <w:noWrap/>
            <w:vAlign w:val="center"/>
          </w:tcPr>
          <w:p w14:paraId="18914EE1">
            <w:pPr>
              <w:pStyle w:val="23"/>
              <w:jc w:val="center"/>
              <w:rPr>
                <w:rFonts w:ascii="宋体" w:hAnsi="宋体"/>
                <w:kern w:val="0"/>
                <w:szCs w:val="21"/>
              </w:rPr>
            </w:pPr>
            <w:r>
              <w:rPr>
                <w:rFonts w:ascii="宋体" w:hAnsi="宋体"/>
                <w:kern w:val="0"/>
                <w:szCs w:val="21"/>
              </w:rPr>
              <w:t>17</w:t>
            </w:r>
          </w:p>
        </w:tc>
        <w:tc>
          <w:tcPr>
            <w:tcW w:w="1138" w:type="pct"/>
            <w:shd w:val="clear" w:color="auto" w:fill="auto"/>
            <w:noWrap/>
            <w:vAlign w:val="center"/>
          </w:tcPr>
          <w:p w14:paraId="609A46A7">
            <w:pPr>
              <w:pStyle w:val="23"/>
              <w:jc w:val="center"/>
              <w:rPr>
                <w:rFonts w:ascii="宋体" w:hAnsi="宋体"/>
                <w:kern w:val="0"/>
                <w:szCs w:val="21"/>
              </w:rPr>
            </w:pPr>
            <w:r>
              <w:rPr>
                <w:rFonts w:ascii="宋体" w:hAnsi="宋体"/>
                <w:kern w:val="0"/>
                <w:szCs w:val="21"/>
              </w:rPr>
              <w:t>360</w:t>
            </w:r>
          </w:p>
        </w:tc>
        <w:tc>
          <w:tcPr>
            <w:tcW w:w="675" w:type="pct"/>
            <w:shd w:val="clear" w:color="auto" w:fill="auto"/>
            <w:noWrap/>
            <w:vAlign w:val="center"/>
          </w:tcPr>
          <w:p w14:paraId="1980A74E">
            <w:pPr>
              <w:pStyle w:val="23"/>
              <w:jc w:val="center"/>
              <w:rPr>
                <w:rFonts w:ascii="宋体" w:hAnsi="宋体"/>
                <w:kern w:val="0"/>
                <w:szCs w:val="21"/>
              </w:rPr>
            </w:pPr>
            <w:r>
              <w:rPr>
                <w:rFonts w:ascii="宋体" w:hAnsi="宋体"/>
                <w:kern w:val="0"/>
                <w:szCs w:val="21"/>
              </w:rPr>
              <w:t>21176</w:t>
            </w:r>
          </w:p>
        </w:tc>
      </w:tr>
    </w:tbl>
    <w:p w14:paraId="552400DC">
      <w:pPr>
        <w:ind w:firstLine="0" w:firstLineChars="0"/>
        <w:jc w:val="center"/>
        <w:rPr>
          <w:rFonts w:ascii="宋体" w:hAnsi="宋体"/>
          <w:b/>
          <w:szCs w:val="21"/>
        </w:rPr>
      </w:pPr>
      <w:r>
        <w:rPr>
          <w:rFonts w:hint="eastAsia" w:ascii="宋体" w:hAnsi="宋体"/>
          <w:b/>
          <w:szCs w:val="21"/>
        </w:rPr>
        <w:t>表79 财政收入决算表</w:t>
      </w:r>
    </w:p>
    <w:tbl>
      <w:tblPr>
        <w:tblStyle w:val="14"/>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30" w:type="dxa"/>
          <w:bottom w:w="0" w:type="dxa"/>
          <w:right w:w="30" w:type="dxa"/>
        </w:tblCellMar>
      </w:tblPr>
      <w:tblGrid>
        <w:gridCol w:w="3571"/>
        <w:gridCol w:w="2128"/>
        <w:gridCol w:w="2128"/>
        <w:gridCol w:w="1979"/>
      </w:tblGrid>
      <w:tr w14:paraId="454EC31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821" w:type="pct"/>
            <w:vAlign w:val="center"/>
          </w:tcPr>
          <w:p w14:paraId="76E6A1F5">
            <w:pPr>
              <w:pStyle w:val="23"/>
              <w:jc w:val="center"/>
              <w:rPr>
                <w:rFonts w:ascii="宋体" w:hAnsi="宋体"/>
                <w:b/>
                <w:kern w:val="0"/>
                <w:szCs w:val="21"/>
              </w:rPr>
            </w:pPr>
            <w:r>
              <w:rPr>
                <w:rFonts w:ascii="宋体" w:hAnsi="宋体"/>
                <w:b/>
                <w:kern w:val="0"/>
                <w:szCs w:val="21"/>
              </w:rPr>
              <w:t>指标名称</w:t>
            </w:r>
          </w:p>
        </w:tc>
        <w:tc>
          <w:tcPr>
            <w:tcW w:w="1085" w:type="pct"/>
            <w:vAlign w:val="center"/>
          </w:tcPr>
          <w:p w14:paraId="49F251FC">
            <w:pPr>
              <w:pStyle w:val="23"/>
              <w:jc w:val="center"/>
              <w:rPr>
                <w:rFonts w:ascii="宋体" w:hAnsi="宋体"/>
                <w:b/>
                <w:kern w:val="0"/>
                <w:szCs w:val="21"/>
              </w:rPr>
            </w:pPr>
            <w:r>
              <w:rPr>
                <w:rFonts w:ascii="宋体" w:hAnsi="宋体"/>
                <w:b/>
                <w:kern w:val="0"/>
                <w:szCs w:val="21"/>
              </w:rPr>
              <w:t>计算单位</w:t>
            </w:r>
          </w:p>
        </w:tc>
        <w:tc>
          <w:tcPr>
            <w:tcW w:w="1085" w:type="pct"/>
            <w:vAlign w:val="center"/>
          </w:tcPr>
          <w:p w14:paraId="509807E3">
            <w:pPr>
              <w:pStyle w:val="23"/>
              <w:jc w:val="center"/>
              <w:rPr>
                <w:rFonts w:ascii="宋体" w:hAnsi="宋体"/>
                <w:b/>
                <w:kern w:val="0"/>
                <w:szCs w:val="21"/>
              </w:rPr>
            </w:pPr>
            <w:r>
              <w:rPr>
                <w:rFonts w:ascii="宋体" w:hAnsi="宋体"/>
                <w:b/>
                <w:kern w:val="0"/>
                <w:szCs w:val="21"/>
              </w:rPr>
              <w:t>2011年</w:t>
            </w:r>
          </w:p>
        </w:tc>
        <w:tc>
          <w:tcPr>
            <w:tcW w:w="1009" w:type="pct"/>
            <w:vAlign w:val="center"/>
          </w:tcPr>
          <w:p w14:paraId="16DF0EEB">
            <w:pPr>
              <w:pStyle w:val="23"/>
              <w:jc w:val="center"/>
              <w:rPr>
                <w:rFonts w:ascii="宋体" w:hAnsi="宋体"/>
                <w:b/>
                <w:kern w:val="0"/>
                <w:szCs w:val="21"/>
              </w:rPr>
            </w:pPr>
            <w:r>
              <w:rPr>
                <w:rFonts w:ascii="宋体" w:hAnsi="宋体"/>
                <w:b/>
                <w:kern w:val="0"/>
                <w:szCs w:val="21"/>
              </w:rPr>
              <w:t>比上年±%</w:t>
            </w:r>
          </w:p>
        </w:tc>
      </w:tr>
      <w:tr w14:paraId="2F13116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821" w:type="pct"/>
            <w:vAlign w:val="center"/>
          </w:tcPr>
          <w:p w14:paraId="26AD0F2B">
            <w:pPr>
              <w:pStyle w:val="23"/>
              <w:rPr>
                <w:rFonts w:ascii="宋体" w:hAnsi="宋体"/>
                <w:kern w:val="0"/>
                <w:szCs w:val="21"/>
              </w:rPr>
            </w:pPr>
            <w:r>
              <w:rPr>
                <w:rFonts w:ascii="宋体" w:hAnsi="宋体"/>
                <w:kern w:val="0"/>
                <w:szCs w:val="21"/>
              </w:rPr>
              <w:t>全市总计</w:t>
            </w:r>
          </w:p>
        </w:tc>
        <w:tc>
          <w:tcPr>
            <w:tcW w:w="1085" w:type="pct"/>
            <w:vAlign w:val="center"/>
          </w:tcPr>
          <w:p w14:paraId="465B9F13">
            <w:pPr>
              <w:pStyle w:val="23"/>
              <w:jc w:val="center"/>
              <w:rPr>
                <w:rFonts w:ascii="宋体" w:hAnsi="宋体"/>
                <w:kern w:val="0"/>
                <w:szCs w:val="21"/>
              </w:rPr>
            </w:pPr>
            <w:r>
              <w:rPr>
                <w:rFonts w:ascii="宋体" w:hAnsi="宋体"/>
                <w:kern w:val="0"/>
                <w:szCs w:val="21"/>
              </w:rPr>
              <w:t>万元</w:t>
            </w:r>
          </w:p>
        </w:tc>
        <w:tc>
          <w:tcPr>
            <w:tcW w:w="1085" w:type="pct"/>
            <w:vAlign w:val="center"/>
          </w:tcPr>
          <w:p w14:paraId="51B33691">
            <w:pPr>
              <w:pStyle w:val="23"/>
              <w:jc w:val="center"/>
              <w:rPr>
                <w:rFonts w:ascii="宋体" w:hAnsi="宋体"/>
                <w:kern w:val="0"/>
                <w:szCs w:val="21"/>
              </w:rPr>
            </w:pPr>
            <w:r>
              <w:rPr>
                <w:rFonts w:ascii="宋体" w:hAnsi="宋体"/>
                <w:kern w:val="0"/>
                <w:szCs w:val="21"/>
              </w:rPr>
              <w:t>132178</w:t>
            </w:r>
          </w:p>
        </w:tc>
        <w:tc>
          <w:tcPr>
            <w:tcW w:w="1009" w:type="pct"/>
            <w:vAlign w:val="center"/>
          </w:tcPr>
          <w:p w14:paraId="2ADF8841">
            <w:pPr>
              <w:pStyle w:val="23"/>
              <w:jc w:val="center"/>
              <w:rPr>
                <w:rFonts w:ascii="宋体" w:hAnsi="宋体"/>
                <w:kern w:val="0"/>
                <w:szCs w:val="21"/>
              </w:rPr>
            </w:pPr>
            <w:r>
              <w:rPr>
                <w:rFonts w:ascii="宋体" w:hAnsi="宋体"/>
                <w:kern w:val="0"/>
                <w:szCs w:val="21"/>
              </w:rPr>
              <w:t>35.7</w:t>
            </w:r>
          </w:p>
        </w:tc>
      </w:tr>
      <w:tr w14:paraId="78912C7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821" w:type="pct"/>
            <w:vAlign w:val="center"/>
          </w:tcPr>
          <w:p w14:paraId="5C6CCB4D">
            <w:pPr>
              <w:pStyle w:val="23"/>
              <w:rPr>
                <w:rFonts w:ascii="宋体" w:hAnsi="宋体"/>
                <w:kern w:val="0"/>
                <w:szCs w:val="21"/>
              </w:rPr>
            </w:pPr>
            <w:r>
              <w:rPr>
                <w:rFonts w:ascii="宋体" w:hAnsi="宋体"/>
                <w:kern w:val="0"/>
                <w:szCs w:val="21"/>
              </w:rPr>
              <w:t>一、一般预算收入</w:t>
            </w:r>
          </w:p>
        </w:tc>
        <w:tc>
          <w:tcPr>
            <w:tcW w:w="1085" w:type="pct"/>
            <w:vAlign w:val="center"/>
          </w:tcPr>
          <w:p w14:paraId="383CEA8D">
            <w:pPr>
              <w:pStyle w:val="23"/>
              <w:jc w:val="center"/>
              <w:rPr>
                <w:rFonts w:ascii="宋体" w:hAnsi="宋体"/>
                <w:kern w:val="0"/>
                <w:szCs w:val="21"/>
              </w:rPr>
            </w:pPr>
            <w:r>
              <w:rPr>
                <w:rFonts w:ascii="宋体" w:hAnsi="宋体"/>
                <w:kern w:val="0"/>
                <w:szCs w:val="21"/>
              </w:rPr>
              <w:t>万元</w:t>
            </w:r>
          </w:p>
        </w:tc>
        <w:tc>
          <w:tcPr>
            <w:tcW w:w="1085" w:type="pct"/>
            <w:vAlign w:val="center"/>
          </w:tcPr>
          <w:p w14:paraId="3E3C018A">
            <w:pPr>
              <w:pStyle w:val="23"/>
              <w:jc w:val="center"/>
              <w:rPr>
                <w:rFonts w:ascii="宋体" w:hAnsi="宋体"/>
                <w:kern w:val="0"/>
                <w:szCs w:val="21"/>
              </w:rPr>
            </w:pPr>
            <w:r>
              <w:rPr>
                <w:rFonts w:ascii="宋体" w:hAnsi="宋体"/>
                <w:kern w:val="0"/>
                <w:szCs w:val="21"/>
              </w:rPr>
              <w:t>34015</w:t>
            </w:r>
          </w:p>
        </w:tc>
        <w:tc>
          <w:tcPr>
            <w:tcW w:w="1009" w:type="pct"/>
            <w:vAlign w:val="center"/>
          </w:tcPr>
          <w:p w14:paraId="28716358">
            <w:pPr>
              <w:pStyle w:val="23"/>
              <w:jc w:val="center"/>
              <w:rPr>
                <w:rFonts w:ascii="宋体" w:hAnsi="宋体"/>
                <w:kern w:val="0"/>
                <w:szCs w:val="21"/>
              </w:rPr>
            </w:pPr>
            <w:r>
              <w:rPr>
                <w:rFonts w:ascii="宋体" w:hAnsi="宋体"/>
                <w:kern w:val="0"/>
                <w:szCs w:val="21"/>
              </w:rPr>
              <w:t>20.2</w:t>
            </w:r>
          </w:p>
        </w:tc>
      </w:tr>
      <w:tr w14:paraId="1BEE5D5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821" w:type="pct"/>
            <w:vAlign w:val="center"/>
          </w:tcPr>
          <w:p w14:paraId="7F644281">
            <w:pPr>
              <w:pStyle w:val="23"/>
              <w:ind w:firstLine="420" w:firstLineChars="200"/>
              <w:rPr>
                <w:rFonts w:ascii="宋体" w:hAnsi="宋体"/>
                <w:kern w:val="0"/>
                <w:szCs w:val="21"/>
              </w:rPr>
            </w:pPr>
            <w:r>
              <w:rPr>
                <w:rFonts w:ascii="宋体" w:hAnsi="宋体"/>
                <w:kern w:val="0"/>
                <w:szCs w:val="21"/>
              </w:rPr>
              <w:t>增值税</w:t>
            </w:r>
          </w:p>
        </w:tc>
        <w:tc>
          <w:tcPr>
            <w:tcW w:w="1085" w:type="pct"/>
            <w:vAlign w:val="center"/>
          </w:tcPr>
          <w:p w14:paraId="4390D003">
            <w:pPr>
              <w:pStyle w:val="23"/>
              <w:jc w:val="center"/>
              <w:rPr>
                <w:rFonts w:ascii="宋体" w:hAnsi="宋体"/>
                <w:kern w:val="0"/>
                <w:szCs w:val="21"/>
              </w:rPr>
            </w:pPr>
            <w:r>
              <w:rPr>
                <w:rFonts w:ascii="宋体" w:hAnsi="宋体"/>
                <w:kern w:val="0"/>
                <w:szCs w:val="21"/>
              </w:rPr>
              <w:t>万元</w:t>
            </w:r>
          </w:p>
        </w:tc>
        <w:tc>
          <w:tcPr>
            <w:tcW w:w="1085" w:type="pct"/>
            <w:vAlign w:val="center"/>
          </w:tcPr>
          <w:p w14:paraId="37A77F4D">
            <w:pPr>
              <w:pStyle w:val="23"/>
              <w:jc w:val="center"/>
              <w:rPr>
                <w:rFonts w:ascii="宋体" w:hAnsi="宋体"/>
                <w:kern w:val="0"/>
                <w:szCs w:val="21"/>
              </w:rPr>
            </w:pPr>
            <w:r>
              <w:rPr>
                <w:rFonts w:ascii="宋体" w:hAnsi="宋体"/>
                <w:kern w:val="0"/>
                <w:szCs w:val="21"/>
              </w:rPr>
              <w:t>2535</w:t>
            </w:r>
          </w:p>
        </w:tc>
        <w:tc>
          <w:tcPr>
            <w:tcW w:w="1009" w:type="pct"/>
            <w:vAlign w:val="center"/>
          </w:tcPr>
          <w:p w14:paraId="529D9CE8">
            <w:pPr>
              <w:pStyle w:val="23"/>
              <w:jc w:val="center"/>
              <w:rPr>
                <w:rFonts w:ascii="宋体" w:hAnsi="宋体"/>
                <w:kern w:val="0"/>
                <w:szCs w:val="21"/>
              </w:rPr>
            </w:pPr>
            <w:r>
              <w:rPr>
                <w:rFonts w:ascii="宋体" w:hAnsi="宋体"/>
                <w:kern w:val="0"/>
                <w:szCs w:val="21"/>
              </w:rPr>
              <w:t>22.1</w:t>
            </w:r>
          </w:p>
        </w:tc>
      </w:tr>
      <w:tr w14:paraId="72F50C4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821" w:type="pct"/>
            <w:vAlign w:val="center"/>
          </w:tcPr>
          <w:p w14:paraId="59805673">
            <w:pPr>
              <w:pStyle w:val="23"/>
              <w:ind w:firstLine="420" w:firstLineChars="200"/>
              <w:rPr>
                <w:rFonts w:ascii="宋体" w:hAnsi="宋体"/>
                <w:kern w:val="0"/>
                <w:szCs w:val="21"/>
              </w:rPr>
            </w:pPr>
            <w:r>
              <w:rPr>
                <w:rFonts w:ascii="宋体" w:hAnsi="宋体"/>
                <w:kern w:val="0"/>
                <w:szCs w:val="21"/>
              </w:rPr>
              <w:t>营业税</w:t>
            </w:r>
          </w:p>
        </w:tc>
        <w:tc>
          <w:tcPr>
            <w:tcW w:w="1085" w:type="pct"/>
            <w:vAlign w:val="center"/>
          </w:tcPr>
          <w:p w14:paraId="15AAD806">
            <w:pPr>
              <w:pStyle w:val="23"/>
              <w:jc w:val="center"/>
              <w:rPr>
                <w:rFonts w:ascii="宋体" w:hAnsi="宋体"/>
                <w:kern w:val="0"/>
                <w:szCs w:val="21"/>
              </w:rPr>
            </w:pPr>
            <w:r>
              <w:rPr>
                <w:rFonts w:ascii="宋体" w:hAnsi="宋体"/>
                <w:kern w:val="0"/>
                <w:szCs w:val="21"/>
              </w:rPr>
              <w:t>万元</w:t>
            </w:r>
          </w:p>
        </w:tc>
        <w:tc>
          <w:tcPr>
            <w:tcW w:w="1085" w:type="pct"/>
            <w:vAlign w:val="center"/>
          </w:tcPr>
          <w:p w14:paraId="1B724707">
            <w:pPr>
              <w:pStyle w:val="23"/>
              <w:jc w:val="center"/>
              <w:rPr>
                <w:rFonts w:ascii="宋体" w:hAnsi="宋体"/>
                <w:kern w:val="0"/>
                <w:szCs w:val="21"/>
              </w:rPr>
            </w:pPr>
            <w:r>
              <w:rPr>
                <w:rFonts w:ascii="宋体" w:hAnsi="宋体"/>
                <w:kern w:val="0"/>
                <w:szCs w:val="21"/>
              </w:rPr>
              <w:t>3067</w:t>
            </w:r>
          </w:p>
        </w:tc>
        <w:tc>
          <w:tcPr>
            <w:tcW w:w="1009" w:type="pct"/>
            <w:vAlign w:val="center"/>
          </w:tcPr>
          <w:p w14:paraId="700A0BF0">
            <w:pPr>
              <w:pStyle w:val="23"/>
              <w:jc w:val="center"/>
              <w:rPr>
                <w:rFonts w:ascii="宋体" w:hAnsi="宋体"/>
                <w:kern w:val="0"/>
                <w:szCs w:val="21"/>
              </w:rPr>
            </w:pPr>
            <w:r>
              <w:rPr>
                <w:rFonts w:ascii="宋体" w:hAnsi="宋体"/>
                <w:kern w:val="0"/>
                <w:szCs w:val="21"/>
              </w:rPr>
              <w:t>38.7</w:t>
            </w:r>
          </w:p>
        </w:tc>
      </w:tr>
      <w:tr w14:paraId="7234B40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821" w:type="pct"/>
            <w:vAlign w:val="center"/>
          </w:tcPr>
          <w:p w14:paraId="2943976B">
            <w:pPr>
              <w:pStyle w:val="23"/>
              <w:ind w:firstLine="420" w:firstLineChars="200"/>
              <w:rPr>
                <w:rFonts w:ascii="宋体" w:hAnsi="宋体"/>
                <w:kern w:val="0"/>
                <w:szCs w:val="21"/>
              </w:rPr>
            </w:pPr>
            <w:r>
              <w:rPr>
                <w:rFonts w:ascii="宋体" w:hAnsi="宋体"/>
                <w:kern w:val="0"/>
                <w:szCs w:val="21"/>
              </w:rPr>
              <w:t>企业所得税</w:t>
            </w:r>
          </w:p>
        </w:tc>
        <w:tc>
          <w:tcPr>
            <w:tcW w:w="1085" w:type="pct"/>
            <w:vAlign w:val="center"/>
          </w:tcPr>
          <w:p w14:paraId="789B5A17">
            <w:pPr>
              <w:pStyle w:val="23"/>
              <w:jc w:val="center"/>
              <w:rPr>
                <w:rFonts w:ascii="宋体" w:hAnsi="宋体"/>
                <w:kern w:val="0"/>
                <w:szCs w:val="21"/>
              </w:rPr>
            </w:pPr>
            <w:r>
              <w:rPr>
                <w:rFonts w:ascii="宋体" w:hAnsi="宋体"/>
                <w:kern w:val="0"/>
                <w:szCs w:val="21"/>
              </w:rPr>
              <w:t>万元</w:t>
            </w:r>
          </w:p>
        </w:tc>
        <w:tc>
          <w:tcPr>
            <w:tcW w:w="1085" w:type="pct"/>
            <w:vAlign w:val="center"/>
          </w:tcPr>
          <w:p w14:paraId="4B4684A0">
            <w:pPr>
              <w:pStyle w:val="23"/>
              <w:jc w:val="center"/>
              <w:rPr>
                <w:rFonts w:ascii="宋体" w:hAnsi="宋体"/>
                <w:kern w:val="0"/>
                <w:szCs w:val="21"/>
              </w:rPr>
            </w:pPr>
            <w:r>
              <w:rPr>
                <w:rFonts w:ascii="宋体" w:hAnsi="宋体"/>
                <w:kern w:val="0"/>
                <w:szCs w:val="21"/>
              </w:rPr>
              <w:t>1305</w:t>
            </w:r>
          </w:p>
        </w:tc>
        <w:tc>
          <w:tcPr>
            <w:tcW w:w="1009" w:type="pct"/>
            <w:vAlign w:val="center"/>
          </w:tcPr>
          <w:p w14:paraId="0001E738">
            <w:pPr>
              <w:pStyle w:val="23"/>
              <w:jc w:val="center"/>
              <w:rPr>
                <w:rFonts w:ascii="宋体" w:hAnsi="宋体"/>
                <w:kern w:val="0"/>
                <w:szCs w:val="21"/>
              </w:rPr>
            </w:pPr>
            <w:r>
              <w:rPr>
                <w:rFonts w:ascii="宋体" w:hAnsi="宋体"/>
                <w:kern w:val="0"/>
                <w:szCs w:val="21"/>
              </w:rPr>
              <w:t>-10.1</w:t>
            </w:r>
          </w:p>
        </w:tc>
      </w:tr>
      <w:tr w14:paraId="6AA4359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821" w:type="pct"/>
            <w:vAlign w:val="center"/>
          </w:tcPr>
          <w:p w14:paraId="609055B3">
            <w:pPr>
              <w:pStyle w:val="23"/>
              <w:ind w:firstLine="420" w:firstLineChars="200"/>
              <w:rPr>
                <w:rFonts w:ascii="宋体" w:hAnsi="宋体"/>
                <w:kern w:val="0"/>
                <w:szCs w:val="21"/>
              </w:rPr>
            </w:pPr>
            <w:r>
              <w:rPr>
                <w:rFonts w:ascii="宋体" w:hAnsi="宋体"/>
                <w:kern w:val="0"/>
                <w:szCs w:val="21"/>
              </w:rPr>
              <w:t>个人所得税</w:t>
            </w:r>
          </w:p>
        </w:tc>
        <w:tc>
          <w:tcPr>
            <w:tcW w:w="1085" w:type="pct"/>
            <w:vAlign w:val="center"/>
          </w:tcPr>
          <w:p w14:paraId="11EF0E86">
            <w:pPr>
              <w:pStyle w:val="23"/>
              <w:jc w:val="center"/>
              <w:rPr>
                <w:rFonts w:ascii="宋体" w:hAnsi="宋体"/>
                <w:kern w:val="0"/>
                <w:szCs w:val="21"/>
              </w:rPr>
            </w:pPr>
            <w:r>
              <w:rPr>
                <w:rFonts w:ascii="宋体" w:hAnsi="宋体"/>
                <w:kern w:val="0"/>
                <w:szCs w:val="21"/>
              </w:rPr>
              <w:t>万元</w:t>
            </w:r>
          </w:p>
        </w:tc>
        <w:tc>
          <w:tcPr>
            <w:tcW w:w="1085" w:type="pct"/>
            <w:vAlign w:val="center"/>
          </w:tcPr>
          <w:p w14:paraId="2FEB2191">
            <w:pPr>
              <w:pStyle w:val="23"/>
              <w:jc w:val="center"/>
              <w:rPr>
                <w:rFonts w:ascii="宋体" w:hAnsi="宋体"/>
                <w:kern w:val="0"/>
                <w:szCs w:val="21"/>
              </w:rPr>
            </w:pPr>
            <w:r>
              <w:rPr>
                <w:rFonts w:ascii="宋体" w:hAnsi="宋体"/>
                <w:kern w:val="0"/>
                <w:szCs w:val="21"/>
              </w:rPr>
              <w:t>538</w:t>
            </w:r>
          </w:p>
        </w:tc>
        <w:tc>
          <w:tcPr>
            <w:tcW w:w="1009" w:type="pct"/>
            <w:vAlign w:val="center"/>
          </w:tcPr>
          <w:p w14:paraId="56CA0735">
            <w:pPr>
              <w:pStyle w:val="23"/>
              <w:jc w:val="center"/>
              <w:rPr>
                <w:rFonts w:ascii="宋体" w:hAnsi="宋体"/>
                <w:kern w:val="0"/>
                <w:szCs w:val="21"/>
              </w:rPr>
            </w:pPr>
            <w:r>
              <w:rPr>
                <w:rFonts w:ascii="宋体" w:hAnsi="宋体"/>
                <w:kern w:val="0"/>
                <w:szCs w:val="21"/>
              </w:rPr>
              <w:t>-10.2</w:t>
            </w:r>
          </w:p>
        </w:tc>
      </w:tr>
      <w:tr w14:paraId="3F5CA36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821" w:type="pct"/>
            <w:vAlign w:val="center"/>
          </w:tcPr>
          <w:p w14:paraId="438C78F9">
            <w:pPr>
              <w:pStyle w:val="23"/>
              <w:ind w:firstLine="420" w:firstLineChars="200"/>
              <w:rPr>
                <w:rFonts w:ascii="宋体" w:hAnsi="宋体"/>
                <w:kern w:val="0"/>
                <w:szCs w:val="21"/>
              </w:rPr>
            </w:pPr>
            <w:r>
              <w:rPr>
                <w:rFonts w:ascii="宋体" w:hAnsi="宋体"/>
                <w:kern w:val="0"/>
                <w:szCs w:val="21"/>
              </w:rPr>
              <w:t>城市维护建设税</w:t>
            </w:r>
          </w:p>
        </w:tc>
        <w:tc>
          <w:tcPr>
            <w:tcW w:w="1085" w:type="pct"/>
            <w:vAlign w:val="center"/>
          </w:tcPr>
          <w:p w14:paraId="27387BF0">
            <w:pPr>
              <w:pStyle w:val="23"/>
              <w:jc w:val="center"/>
              <w:rPr>
                <w:rFonts w:ascii="宋体" w:hAnsi="宋体"/>
                <w:kern w:val="0"/>
                <w:szCs w:val="21"/>
              </w:rPr>
            </w:pPr>
            <w:r>
              <w:rPr>
                <w:rFonts w:ascii="宋体" w:hAnsi="宋体"/>
                <w:kern w:val="0"/>
                <w:szCs w:val="21"/>
              </w:rPr>
              <w:t>万元</w:t>
            </w:r>
          </w:p>
        </w:tc>
        <w:tc>
          <w:tcPr>
            <w:tcW w:w="1085" w:type="pct"/>
            <w:vAlign w:val="center"/>
          </w:tcPr>
          <w:p w14:paraId="45DEA321">
            <w:pPr>
              <w:pStyle w:val="23"/>
              <w:jc w:val="center"/>
              <w:rPr>
                <w:rFonts w:ascii="宋体" w:hAnsi="宋体"/>
                <w:kern w:val="0"/>
                <w:szCs w:val="21"/>
              </w:rPr>
            </w:pPr>
            <w:r>
              <w:rPr>
                <w:rFonts w:ascii="宋体" w:hAnsi="宋体"/>
                <w:kern w:val="0"/>
                <w:szCs w:val="21"/>
              </w:rPr>
              <w:t>1220</w:t>
            </w:r>
          </w:p>
        </w:tc>
        <w:tc>
          <w:tcPr>
            <w:tcW w:w="1009" w:type="pct"/>
            <w:vAlign w:val="center"/>
          </w:tcPr>
          <w:p w14:paraId="16CAC60E">
            <w:pPr>
              <w:pStyle w:val="23"/>
              <w:jc w:val="center"/>
              <w:rPr>
                <w:rFonts w:ascii="宋体" w:hAnsi="宋体"/>
                <w:kern w:val="0"/>
                <w:szCs w:val="21"/>
              </w:rPr>
            </w:pPr>
            <w:r>
              <w:rPr>
                <w:rFonts w:ascii="宋体" w:hAnsi="宋体"/>
                <w:kern w:val="0"/>
                <w:szCs w:val="21"/>
              </w:rPr>
              <w:t>4.9</w:t>
            </w:r>
          </w:p>
        </w:tc>
      </w:tr>
      <w:tr w14:paraId="606DAC6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821" w:type="pct"/>
            <w:vAlign w:val="center"/>
          </w:tcPr>
          <w:p w14:paraId="463108E3">
            <w:pPr>
              <w:pStyle w:val="23"/>
              <w:ind w:firstLine="420" w:firstLineChars="200"/>
              <w:rPr>
                <w:rFonts w:ascii="宋体" w:hAnsi="宋体"/>
                <w:kern w:val="0"/>
                <w:szCs w:val="21"/>
              </w:rPr>
            </w:pPr>
            <w:r>
              <w:rPr>
                <w:rFonts w:ascii="宋体" w:hAnsi="宋体"/>
                <w:kern w:val="0"/>
                <w:szCs w:val="21"/>
              </w:rPr>
              <w:t>罚没收入、行政性收费及专项收入</w:t>
            </w:r>
          </w:p>
        </w:tc>
        <w:tc>
          <w:tcPr>
            <w:tcW w:w="1085" w:type="pct"/>
            <w:vAlign w:val="center"/>
          </w:tcPr>
          <w:p w14:paraId="1FBCE4D5">
            <w:pPr>
              <w:pStyle w:val="23"/>
              <w:jc w:val="center"/>
              <w:rPr>
                <w:rFonts w:ascii="宋体" w:hAnsi="宋体"/>
                <w:kern w:val="0"/>
                <w:szCs w:val="21"/>
              </w:rPr>
            </w:pPr>
            <w:r>
              <w:rPr>
                <w:rFonts w:ascii="宋体" w:hAnsi="宋体"/>
                <w:kern w:val="0"/>
                <w:szCs w:val="21"/>
              </w:rPr>
              <w:t>万元</w:t>
            </w:r>
          </w:p>
        </w:tc>
        <w:tc>
          <w:tcPr>
            <w:tcW w:w="1085" w:type="pct"/>
            <w:vAlign w:val="center"/>
          </w:tcPr>
          <w:p w14:paraId="1911491E">
            <w:pPr>
              <w:pStyle w:val="23"/>
              <w:jc w:val="center"/>
              <w:rPr>
                <w:rFonts w:ascii="宋体" w:hAnsi="宋体"/>
                <w:kern w:val="0"/>
                <w:szCs w:val="21"/>
              </w:rPr>
            </w:pPr>
            <w:r>
              <w:rPr>
                <w:rFonts w:ascii="宋体" w:hAnsi="宋体"/>
                <w:kern w:val="0"/>
                <w:szCs w:val="21"/>
              </w:rPr>
              <w:t>4650</w:t>
            </w:r>
          </w:p>
        </w:tc>
        <w:tc>
          <w:tcPr>
            <w:tcW w:w="1009" w:type="pct"/>
            <w:vAlign w:val="center"/>
          </w:tcPr>
          <w:p w14:paraId="518FE839">
            <w:pPr>
              <w:pStyle w:val="23"/>
              <w:jc w:val="center"/>
              <w:rPr>
                <w:rFonts w:ascii="宋体" w:hAnsi="宋体"/>
                <w:kern w:val="0"/>
                <w:szCs w:val="21"/>
              </w:rPr>
            </w:pPr>
            <w:r>
              <w:rPr>
                <w:rFonts w:ascii="宋体" w:hAnsi="宋体"/>
                <w:kern w:val="0"/>
                <w:szCs w:val="21"/>
              </w:rPr>
              <w:t>-2.1</w:t>
            </w:r>
          </w:p>
        </w:tc>
      </w:tr>
      <w:tr w14:paraId="45934AB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821" w:type="pct"/>
            <w:vAlign w:val="center"/>
          </w:tcPr>
          <w:p w14:paraId="6E5E7DFF">
            <w:pPr>
              <w:pStyle w:val="23"/>
              <w:rPr>
                <w:rFonts w:ascii="宋体" w:hAnsi="宋体"/>
                <w:kern w:val="0"/>
                <w:szCs w:val="21"/>
              </w:rPr>
            </w:pPr>
            <w:r>
              <w:rPr>
                <w:rFonts w:ascii="宋体" w:hAnsi="宋体"/>
                <w:kern w:val="0"/>
                <w:szCs w:val="21"/>
              </w:rPr>
              <w:t>二、上级补助收入</w:t>
            </w:r>
          </w:p>
        </w:tc>
        <w:tc>
          <w:tcPr>
            <w:tcW w:w="1085" w:type="pct"/>
            <w:vAlign w:val="center"/>
          </w:tcPr>
          <w:p w14:paraId="12B3E496">
            <w:pPr>
              <w:pStyle w:val="23"/>
              <w:jc w:val="center"/>
              <w:rPr>
                <w:rFonts w:ascii="宋体" w:hAnsi="宋体"/>
                <w:kern w:val="0"/>
                <w:szCs w:val="21"/>
              </w:rPr>
            </w:pPr>
            <w:r>
              <w:rPr>
                <w:rFonts w:ascii="宋体" w:hAnsi="宋体"/>
                <w:kern w:val="0"/>
                <w:szCs w:val="21"/>
              </w:rPr>
              <w:t>万元</w:t>
            </w:r>
          </w:p>
        </w:tc>
        <w:tc>
          <w:tcPr>
            <w:tcW w:w="1085" w:type="pct"/>
            <w:vAlign w:val="center"/>
          </w:tcPr>
          <w:p w14:paraId="2B7EB743">
            <w:pPr>
              <w:pStyle w:val="23"/>
              <w:jc w:val="center"/>
              <w:rPr>
                <w:rFonts w:ascii="宋体" w:hAnsi="宋体"/>
                <w:kern w:val="0"/>
                <w:szCs w:val="21"/>
              </w:rPr>
            </w:pPr>
            <w:r>
              <w:rPr>
                <w:rFonts w:ascii="宋体" w:hAnsi="宋体"/>
                <w:kern w:val="0"/>
                <w:szCs w:val="21"/>
              </w:rPr>
              <w:t>94211</w:t>
            </w:r>
          </w:p>
        </w:tc>
        <w:tc>
          <w:tcPr>
            <w:tcW w:w="1009" w:type="pct"/>
            <w:vAlign w:val="center"/>
          </w:tcPr>
          <w:p w14:paraId="56C58F67">
            <w:pPr>
              <w:pStyle w:val="23"/>
              <w:jc w:val="center"/>
              <w:rPr>
                <w:rFonts w:ascii="宋体" w:hAnsi="宋体"/>
                <w:kern w:val="0"/>
                <w:szCs w:val="21"/>
              </w:rPr>
            </w:pPr>
            <w:r>
              <w:rPr>
                <w:rFonts w:ascii="宋体" w:hAnsi="宋体"/>
                <w:kern w:val="0"/>
                <w:szCs w:val="21"/>
              </w:rPr>
              <w:t>43.8</w:t>
            </w:r>
          </w:p>
        </w:tc>
      </w:tr>
      <w:tr w14:paraId="168D646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821" w:type="pct"/>
            <w:vAlign w:val="center"/>
          </w:tcPr>
          <w:p w14:paraId="50DE13DD">
            <w:pPr>
              <w:pStyle w:val="23"/>
              <w:rPr>
                <w:rFonts w:ascii="宋体" w:hAnsi="宋体"/>
                <w:kern w:val="0"/>
                <w:szCs w:val="21"/>
              </w:rPr>
            </w:pPr>
            <w:r>
              <w:rPr>
                <w:rFonts w:ascii="宋体" w:hAnsi="宋体"/>
                <w:kern w:val="0"/>
                <w:szCs w:val="21"/>
              </w:rPr>
              <w:t>三、烟叶税</w:t>
            </w:r>
          </w:p>
        </w:tc>
        <w:tc>
          <w:tcPr>
            <w:tcW w:w="1085" w:type="pct"/>
            <w:vAlign w:val="center"/>
          </w:tcPr>
          <w:p w14:paraId="380EE804">
            <w:pPr>
              <w:pStyle w:val="23"/>
              <w:jc w:val="center"/>
              <w:rPr>
                <w:rFonts w:ascii="宋体" w:hAnsi="宋体"/>
                <w:kern w:val="0"/>
                <w:szCs w:val="21"/>
              </w:rPr>
            </w:pPr>
            <w:r>
              <w:rPr>
                <w:rFonts w:ascii="宋体" w:hAnsi="宋体"/>
                <w:kern w:val="0"/>
                <w:szCs w:val="21"/>
              </w:rPr>
              <w:t>万元</w:t>
            </w:r>
          </w:p>
        </w:tc>
        <w:tc>
          <w:tcPr>
            <w:tcW w:w="1085" w:type="pct"/>
            <w:vAlign w:val="center"/>
          </w:tcPr>
          <w:p w14:paraId="6AB2F4E7">
            <w:pPr>
              <w:pStyle w:val="23"/>
              <w:jc w:val="center"/>
              <w:rPr>
                <w:rFonts w:ascii="宋体" w:hAnsi="宋体"/>
                <w:kern w:val="0"/>
                <w:szCs w:val="21"/>
              </w:rPr>
            </w:pPr>
            <w:r>
              <w:rPr>
                <w:rFonts w:ascii="宋体" w:hAnsi="宋体"/>
                <w:kern w:val="0"/>
                <w:szCs w:val="21"/>
              </w:rPr>
              <w:t>6363</w:t>
            </w:r>
          </w:p>
        </w:tc>
        <w:tc>
          <w:tcPr>
            <w:tcW w:w="1009" w:type="pct"/>
            <w:vAlign w:val="center"/>
          </w:tcPr>
          <w:p w14:paraId="33DD6641">
            <w:pPr>
              <w:pStyle w:val="23"/>
              <w:jc w:val="center"/>
              <w:rPr>
                <w:rFonts w:ascii="宋体" w:hAnsi="宋体"/>
                <w:kern w:val="0"/>
                <w:szCs w:val="21"/>
              </w:rPr>
            </w:pPr>
            <w:r>
              <w:rPr>
                <w:rFonts w:ascii="宋体" w:hAnsi="宋体"/>
                <w:kern w:val="0"/>
                <w:szCs w:val="21"/>
              </w:rPr>
              <w:t>23.1</w:t>
            </w:r>
          </w:p>
        </w:tc>
      </w:tr>
      <w:tr w14:paraId="6A2DB9C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821" w:type="pct"/>
            <w:vAlign w:val="center"/>
          </w:tcPr>
          <w:p w14:paraId="2A0F24A4">
            <w:pPr>
              <w:pStyle w:val="23"/>
              <w:rPr>
                <w:rFonts w:ascii="宋体" w:hAnsi="宋体"/>
                <w:kern w:val="0"/>
                <w:szCs w:val="21"/>
              </w:rPr>
            </w:pPr>
            <w:r>
              <w:rPr>
                <w:rFonts w:ascii="宋体" w:hAnsi="宋体"/>
                <w:kern w:val="0"/>
                <w:szCs w:val="21"/>
              </w:rPr>
              <w:t>四、上年结余收入</w:t>
            </w:r>
          </w:p>
        </w:tc>
        <w:tc>
          <w:tcPr>
            <w:tcW w:w="1085" w:type="pct"/>
            <w:vAlign w:val="center"/>
          </w:tcPr>
          <w:p w14:paraId="4344838D">
            <w:pPr>
              <w:pStyle w:val="23"/>
              <w:jc w:val="center"/>
              <w:rPr>
                <w:rFonts w:ascii="宋体" w:hAnsi="宋体"/>
                <w:kern w:val="0"/>
                <w:szCs w:val="21"/>
              </w:rPr>
            </w:pPr>
            <w:r>
              <w:rPr>
                <w:rFonts w:ascii="宋体" w:hAnsi="宋体"/>
                <w:kern w:val="0"/>
                <w:szCs w:val="21"/>
              </w:rPr>
              <w:t>万元</w:t>
            </w:r>
          </w:p>
        </w:tc>
        <w:tc>
          <w:tcPr>
            <w:tcW w:w="1085" w:type="pct"/>
            <w:vAlign w:val="center"/>
          </w:tcPr>
          <w:p w14:paraId="75FD35BD">
            <w:pPr>
              <w:pStyle w:val="23"/>
              <w:jc w:val="center"/>
              <w:rPr>
                <w:rFonts w:ascii="宋体" w:hAnsi="宋体"/>
                <w:kern w:val="0"/>
                <w:szCs w:val="21"/>
              </w:rPr>
            </w:pPr>
            <w:r>
              <w:rPr>
                <w:rFonts w:ascii="宋体" w:hAnsi="宋体"/>
                <w:kern w:val="0"/>
                <w:szCs w:val="21"/>
              </w:rPr>
              <w:t>2172</w:t>
            </w:r>
          </w:p>
        </w:tc>
        <w:tc>
          <w:tcPr>
            <w:tcW w:w="1009" w:type="pct"/>
            <w:vAlign w:val="center"/>
          </w:tcPr>
          <w:p w14:paraId="74C20093">
            <w:pPr>
              <w:pStyle w:val="23"/>
              <w:jc w:val="center"/>
              <w:rPr>
                <w:rFonts w:ascii="宋体" w:hAnsi="宋体"/>
                <w:kern w:val="0"/>
                <w:szCs w:val="21"/>
              </w:rPr>
            </w:pPr>
          </w:p>
        </w:tc>
      </w:tr>
    </w:tbl>
    <w:p w14:paraId="24102753">
      <w:pPr>
        <w:ind w:firstLine="0" w:firstLineChars="0"/>
        <w:jc w:val="center"/>
        <w:rPr>
          <w:rFonts w:ascii="宋体" w:hAnsi="宋体"/>
          <w:b/>
          <w:szCs w:val="21"/>
        </w:rPr>
      </w:pPr>
      <w:r>
        <w:rPr>
          <w:rFonts w:hint="eastAsia" w:ascii="宋体" w:hAnsi="宋体"/>
          <w:b/>
          <w:szCs w:val="21"/>
        </w:rPr>
        <w:t>表80 财政支出决算表</w:t>
      </w:r>
    </w:p>
    <w:tbl>
      <w:tblPr>
        <w:tblStyle w:val="14"/>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30" w:type="dxa"/>
          <w:bottom w:w="0" w:type="dxa"/>
          <w:right w:w="30" w:type="dxa"/>
        </w:tblCellMar>
      </w:tblPr>
      <w:tblGrid>
        <w:gridCol w:w="3007"/>
        <w:gridCol w:w="1896"/>
        <w:gridCol w:w="2450"/>
        <w:gridCol w:w="2453"/>
      </w:tblGrid>
      <w:tr w14:paraId="2393257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533" w:type="pct"/>
            <w:vAlign w:val="center"/>
          </w:tcPr>
          <w:p w14:paraId="77E1AE4C">
            <w:pPr>
              <w:pStyle w:val="23"/>
              <w:jc w:val="center"/>
              <w:rPr>
                <w:rFonts w:ascii="宋体" w:hAnsi="宋体"/>
                <w:b/>
                <w:kern w:val="0"/>
                <w:szCs w:val="21"/>
              </w:rPr>
            </w:pPr>
            <w:r>
              <w:rPr>
                <w:rFonts w:ascii="宋体" w:hAnsi="宋体"/>
                <w:b/>
                <w:kern w:val="0"/>
                <w:szCs w:val="21"/>
              </w:rPr>
              <w:t>指标名称</w:t>
            </w:r>
          </w:p>
        </w:tc>
        <w:tc>
          <w:tcPr>
            <w:tcW w:w="967" w:type="pct"/>
            <w:vAlign w:val="center"/>
          </w:tcPr>
          <w:p w14:paraId="1F5FB828">
            <w:pPr>
              <w:pStyle w:val="23"/>
              <w:jc w:val="center"/>
              <w:rPr>
                <w:rFonts w:ascii="宋体" w:hAnsi="宋体"/>
                <w:b/>
                <w:kern w:val="0"/>
                <w:szCs w:val="21"/>
              </w:rPr>
            </w:pPr>
            <w:r>
              <w:rPr>
                <w:rFonts w:ascii="宋体" w:hAnsi="宋体"/>
                <w:b/>
                <w:kern w:val="0"/>
                <w:szCs w:val="21"/>
              </w:rPr>
              <w:t>计算单位</w:t>
            </w:r>
          </w:p>
        </w:tc>
        <w:tc>
          <w:tcPr>
            <w:tcW w:w="1249" w:type="pct"/>
            <w:vAlign w:val="center"/>
          </w:tcPr>
          <w:p w14:paraId="5D563460">
            <w:pPr>
              <w:pStyle w:val="23"/>
              <w:jc w:val="center"/>
              <w:rPr>
                <w:rFonts w:ascii="宋体" w:hAnsi="宋体"/>
                <w:b/>
                <w:kern w:val="0"/>
                <w:szCs w:val="21"/>
              </w:rPr>
            </w:pPr>
            <w:r>
              <w:rPr>
                <w:rFonts w:ascii="宋体" w:hAnsi="宋体"/>
                <w:b/>
                <w:kern w:val="0"/>
                <w:szCs w:val="21"/>
              </w:rPr>
              <w:t>2011年</w:t>
            </w:r>
          </w:p>
        </w:tc>
        <w:tc>
          <w:tcPr>
            <w:tcW w:w="1251" w:type="pct"/>
            <w:vAlign w:val="center"/>
          </w:tcPr>
          <w:p w14:paraId="0DB1D043">
            <w:pPr>
              <w:pStyle w:val="23"/>
              <w:jc w:val="center"/>
              <w:rPr>
                <w:rFonts w:ascii="宋体" w:hAnsi="宋体"/>
                <w:b/>
                <w:kern w:val="0"/>
                <w:szCs w:val="21"/>
              </w:rPr>
            </w:pPr>
            <w:r>
              <w:rPr>
                <w:rFonts w:ascii="宋体" w:hAnsi="宋体"/>
                <w:b/>
                <w:kern w:val="0"/>
                <w:szCs w:val="21"/>
              </w:rPr>
              <w:t>比上年±%</w:t>
            </w:r>
          </w:p>
        </w:tc>
      </w:tr>
      <w:tr w14:paraId="746366D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533" w:type="pct"/>
            <w:vAlign w:val="center"/>
          </w:tcPr>
          <w:p w14:paraId="55693F34">
            <w:pPr>
              <w:pStyle w:val="23"/>
              <w:rPr>
                <w:rFonts w:ascii="宋体" w:hAnsi="宋体"/>
                <w:kern w:val="0"/>
                <w:szCs w:val="21"/>
              </w:rPr>
            </w:pPr>
            <w:r>
              <w:rPr>
                <w:rFonts w:ascii="宋体" w:hAnsi="宋体"/>
                <w:kern w:val="0"/>
                <w:szCs w:val="21"/>
              </w:rPr>
              <w:t>全市总计</w:t>
            </w:r>
          </w:p>
        </w:tc>
        <w:tc>
          <w:tcPr>
            <w:tcW w:w="967" w:type="pct"/>
            <w:vAlign w:val="center"/>
          </w:tcPr>
          <w:p w14:paraId="318594A6">
            <w:pPr>
              <w:pStyle w:val="23"/>
              <w:jc w:val="center"/>
              <w:rPr>
                <w:rFonts w:ascii="宋体" w:hAnsi="宋体"/>
                <w:kern w:val="0"/>
                <w:szCs w:val="21"/>
              </w:rPr>
            </w:pPr>
            <w:r>
              <w:rPr>
                <w:rFonts w:ascii="宋体" w:hAnsi="宋体"/>
                <w:kern w:val="0"/>
                <w:szCs w:val="21"/>
              </w:rPr>
              <w:t>万元</w:t>
            </w:r>
          </w:p>
        </w:tc>
        <w:tc>
          <w:tcPr>
            <w:tcW w:w="1249" w:type="pct"/>
            <w:vAlign w:val="center"/>
          </w:tcPr>
          <w:p w14:paraId="6FD625EC">
            <w:pPr>
              <w:pStyle w:val="23"/>
              <w:jc w:val="center"/>
              <w:rPr>
                <w:rFonts w:ascii="宋体" w:hAnsi="宋体"/>
                <w:kern w:val="0"/>
                <w:szCs w:val="21"/>
              </w:rPr>
            </w:pPr>
            <w:r>
              <w:rPr>
                <w:rFonts w:ascii="宋体" w:hAnsi="宋体"/>
                <w:kern w:val="0"/>
                <w:szCs w:val="21"/>
              </w:rPr>
              <w:t>132078</w:t>
            </w:r>
          </w:p>
        </w:tc>
        <w:tc>
          <w:tcPr>
            <w:tcW w:w="1251" w:type="pct"/>
            <w:vAlign w:val="center"/>
          </w:tcPr>
          <w:p w14:paraId="6A651358">
            <w:pPr>
              <w:pStyle w:val="23"/>
              <w:jc w:val="center"/>
              <w:rPr>
                <w:rFonts w:ascii="宋体" w:hAnsi="宋体"/>
                <w:kern w:val="0"/>
                <w:szCs w:val="21"/>
              </w:rPr>
            </w:pPr>
            <w:r>
              <w:rPr>
                <w:rFonts w:ascii="宋体" w:hAnsi="宋体"/>
                <w:kern w:val="0"/>
                <w:szCs w:val="21"/>
              </w:rPr>
              <w:t>38.7</w:t>
            </w:r>
          </w:p>
        </w:tc>
      </w:tr>
      <w:tr w14:paraId="60BC805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533" w:type="pct"/>
            <w:vAlign w:val="center"/>
          </w:tcPr>
          <w:p w14:paraId="396866B9">
            <w:pPr>
              <w:pStyle w:val="23"/>
              <w:ind w:firstLine="420" w:firstLineChars="200"/>
              <w:rPr>
                <w:rFonts w:ascii="宋体" w:hAnsi="宋体"/>
                <w:kern w:val="0"/>
                <w:szCs w:val="21"/>
              </w:rPr>
            </w:pPr>
            <w:r>
              <w:rPr>
                <w:rFonts w:ascii="宋体" w:hAnsi="宋体"/>
                <w:kern w:val="0"/>
                <w:szCs w:val="21"/>
              </w:rPr>
              <w:t>其中：一般公共服务</w:t>
            </w:r>
          </w:p>
        </w:tc>
        <w:tc>
          <w:tcPr>
            <w:tcW w:w="967" w:type="pct"/>
            <w:vAlign w:val="center"/>
          </w:tcPr>
          <w:p w14:paraId="0055351F">
            <w:pPr>
              <w:pStyle w:val="23"/>
              <w:jc w:val="center"/>
              <w:rPr>
                <w:rFonts w:ascii="宋体" w:hAnsi="宋体"/>
                <w:kern w:val="0"/>
                <w:szCs w:val="21"/>
              </w:rPr>
            </w:pPr>
            <w:r>
              <w:rPr>
                <w:rFonts w:ascii="宋体" w:hAnsi="宋体"/>
                <w:kern w:val="0"/>
                <w:szCs w:val="21"/>
              </w:rPr>
              <w:t>万元</w:t>
            </w:r>
          </w:p>
        </w:tc>
        <w:tc>
          <w:tcPr>
            <w:tcW w:w="1249" w:type="pct"/>
            <w:vAlign w:val="center"/>
          </w:tcPr>
          <w:p w14:paraId="17E597F5">
            <w:pPr>
              <w:pStyle w:val="23"/>
              <w:jc w:val="center"/>
              <w:rPr>
                <w:rFonts w:ascii="宋体" w:hAnsi="宋体"/>
                <w:kern w:val="0"/>
                <w:szCs w:val="21"/>
              </w:rPr>
            </w:pPr>
            <w:r>
              <w:rPr>
                <w:rFonts w:ascii="宋体" w:hAnsi="宋体"/>
                <w:kern w:val="0"/>
                <w:szCs w:val="21"/>
              </w:rPr>
              <w:t>19970</w:t>
            </w:r>
          </w:p>
        </w:tc>
        <w:tc>
          <w:tcPr>
            <w:tcW w:w="1251" w:type="pct"/>
            <w:vAlign w:val="center"/>
          </w:tcPr>
          <w:p w14:paraId="4F91EBD7">
            <w:pPr>
              <w:pStyle w:val="23"/>
              <w:jc w:val="center"/>
              <w:rPr>
                <w:rFonts w:ascii="宋体" w:hAnsi="宋体"/>
                <w:kern w:val="0"/>
                <w:szCs w:val="21"/>
              </w:rPr>
            </w:pPr>
            <w:r>
              <w:rPr>
                <w:rFonts w:ascii="宋体" w:hAnsi="宋体"/>
                <w:kern w:val="0"/>
                <w:szCs w:val="21"/>
              </w:rPr>
              <w:t>32.8</w:t>
            </w:r>
          </w:p>
        </w:tc>
      </w:tr>
      <w:tr w14:paraId="7C2F34E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533" w:type="pct"/>
            <w:vAlign w:val="center"/>
          </w:tcPr>
          <w:p w14:paraId="287452DC">
            <w:pPr>
              <w:pStyle w:val="23"/>
              <w:ind w:firstLine="1050" w:firstLineChars="500"/>
              <w:rPr>
                <w:rFonts w:ascii="宋体" w:hAnsi="宋体"/>
                <w:kern w:val="0"/>
                <w:szCs w:val="21"/>
              </w:rPr>
            </w:pPr>
            <w:r>
              <w:rPr>
                <w:rFonts w:ascii="宋体" w:hAnsi="宋体"/>
                <w:kern w:val="0"/>
                <w:szCs w:val="21"/>
              </w:rPr>
              <w:t>国防</w:t>
            </w:r>
          </w:p>
        </w:tc>
        <w:tc>
          <w:tcPr>
            <w:tcW w:w="967" w:type="pct"/>
            <w:vAlign w:val="center"/>
          </w:tcPr>
          <w:p w14:paraId="7B56529A">
            <w:pPr>
              <w:pStyle w:val="23"/>
              <w:jc w:val="center"/>
              <w:rPr>
                <w:rFonts w:ascii="宋体" w:hAnsi="宋体"/>
                <w:kern w:val="0"/>
                <w:szCs w:val="21"/>
              </w:rPr>
            </w:pPr>
            <w:r>
              <w:rPr>
                <w:rFonts w:ascii="宋体" w:hAnsi="宋体"/>
                <w:kern w:val="0"/>
                <w:szCs w:val="21"/>
              </w:rPr>
              <w:t>万元</w:t>
            </w:r>
          </w:p>
        </w:tc>
        <w:tc>
          <w:tcPr>
            <w:tcW w:w="1249" w:type="pct"/>
            <w:vAlign w:val="center"/>
          </w:tcPr>
          <w:p w14:paraId="1B94893F">
            <w:pPr>
              <w:pStyle w:val="23"/>
              <w:jc w:val="center"/>
              <w:rPr>
                <w:rFonts w:ascii="宋体" w:hAnsi="宋体"/>
                <w:kern w:val="0"/>
                <w:szCs w:val="21"/>
              </w:rPr>
            </w:pPr>
            <w:r>
              <w:rPr>
                <w:rFonts w:ascii="宋体" w:hAnsi="宋体"/>
                <w:kern w:val="0"/>
                <w:szCs w:val="21"/>
              </w:rPr>
              <w:t>345</w:t>
            </w:r>
          </w:p>
        </w:tc>
        <w:tc>
          <w:tcPr>
            <w:tcW w:w="1251" w:type="pct"/>
            <w:vAlign w:val="center"/>
          </w:tcPr>
          <w:p w14:paraId="329AC4F6">
            <w:pPr>
              <w:pStyle w:val="23"/>
              <w:jc w:val="center"/>
              <w:rPr>
                <w:rFonts w:ascii="宋体" w:hAnsi="宋体"/>
                <w:kern w:val="0"/>
                <w:szCs w:val="21"/>
              </w:rPr>
            </w:pPr>
            <w:r>
              <w:rPr>
                <w:rFonts w:ascii="宋体" w:hAnsi="宋体"/>
                <w:kern w:val="0"/>
                <w:szCs w:val="21"/>
              </w:rPr>
              <w:t>3</w:t>
            </w:r>
          </w:p>
        </w:tc>
      </w:tr>
      <w:tr w14:paraId="38C31AF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533" w:type="pct"/>
            <w:vAlign w:val="center"/>
          </w:tcPr>
          <w:p w14:paraId="2EEE4645">
            <w:pPr>
              <w:pStyle w:val="23"/>
              <w:ind w:firstLine="1050" w:firstLineChars="500"/>
              <w:rPr>
                <w:rFonts w:ascii="宋体" w:hAnsi="宋体"/>
                <w:kern w:val="0"/>
                <w:szCs w:val="21"/>
              </w:rPr>
            </w:pPr>
            <w:r>
              <w:rPr>
                <w:rFonts w:ascii="宋体" w:hAnsi="宋体"/>
                <w:kern w:val="0"/>
                <w:szCs w:val="21"/>
              </w:rPr>
              <w:t>公共安全</w:t>
            </w:r>
          </w:p>
        </w:tc>
        <w:tc>
          <w:tcPr>
            <w:tcW w:w="967" w:type="pct"/>
            <w:vAlign w:val="center"/>
          </w:tcPr>
          <w:p w14:paraId="36A34F1A">
            <w:pPr>
              <w:pStyle w:val="23"/>
              <w:jc w:val="center"/>
              <w:rPr>
                <w:rFonts w:ascii="宋体" w:hAnsi="宋体"/>
                <w:kern w:val="0"/>
                <w:szCs w:val="21"/>
              </w:rPr>
            </w:pPr>
            <w:r>
              <w:rPr>
                <w:rFonts w:ascii="宋体" w:hAnsi="宋体"/>
                <w:kern w:val="0"/>
                <w:szCs w:val="21"/>
              </w:rPr>
              <w:t>万元</w:t>
            </w:r>
          </w:p>
        </w:tc>
        <w:tc>
          <w:tcPr>
            <w:tcW w:w="1249" w:type="pct"/>
            <w:vAlign w:val="center"/>
          </w:tcPr>
          <w:p w14:paraId="5D9DC6FB">
            <w:pPr>
              <w:pStyle w:val="23"/>
              <w:jc w:val="center"/>
              <w:rPr>
                <w:rFonts w:ascii="宋体" w:hAnsi="宋体"/>
                <w:kern w:val="0"/>
                <w:szCs w:val="21"/>
              </w:rPr>
            </w:pPr>
            <w:r>
              <w:rPr>
                <w:rFonts w:ascii="宋体" w:hAnsi="宋体"/>
                <w:kern w:val="0"/>
                <w:szCs w:val="21"/>
              </w:rPr>
              <w:t>6905</w:t>
            </w:r>
          </w:p>
        </w:tc>
        <w:tc>
          <w:tcPr>
            <w:tcW w:w="1251" w:type="pct"/>
            <w:vAlign w:val="center"/>
          </w:tcPr>
          <w:p w14:paraId="2488DDB1">
            <w:pPr>
              <w:pStyle w:val="23"/>
              <w:jc w:val="center"/>
              <w:rPr>
                <w:rFonts w:ascii="宋体" w:hAnsi="宋体"/>
                <w:kern w:val="0"/>
                <w:szCs w:val="21"/>
              </w:rPr>
            </w:pPr>
            <w:r>
              <w:rPr>
                <w:rFonts w:ascii="宋体" w:hAnsi="宋体"/>
                <w:kern w:val="0"/>
                <w:szCs w:val="21"/>
              </w:rPr>
              <w:t>22.4</w:t>
            </w:r>
          </w:p>
        </w:tc>
      </w:tr>
      <w:tr w14:paraId="7DF37CB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533" w:type="pct"/>
            <w:vAlign w:val="center"/>
          </w:tcPr>
          <w:p w14:paraId="43935601">
            <w:pPr>
              <w:pStyle w:val="23"/>
              <w:ind w:firstLine="1050" w:firstLineChars="500"/>
              <w:rPr>
                <w:rFonts w:ascii="宋体" w:hAnsi="宋体"/>
                <w:kern w:val="0"/>
                <w:szCs w:val="21"/>
              </w:rPr>
            </w:pPr>
            <w:r>
              <w:rPr>
                <w:rFonts w:ascii="宋体" w:hAnsi="宋体"/>
                <w:kern w:val="0"/>
                <w:szCs w:val="21"/>
              </w:rPr>
              <w:t>教育</w:t>
            </w:r>
          </w:p>
        </w:tc>
        <w:tc>
          <w:tcPr>
            <w:tcW w:w="967" w:type="pct"/>
            <w:vAlign w:val="center"/>
          </w:tcPr>
          <w:p w14:paraId="465FF022">
            <w:pPr>
              <w:pStyle w:val="23"/>
              <w:jc w:val="center"/>
              <w:rPr>
                <w:rFonts w:ascii="宋体" w:hAnsi="宋体"/>
                <w:kern w:val="0"/>
                <w:szCs w:val="21"/>
              </w:rPr>
            </w:pPr>
            <w:r>
              <w:rPr>
                <w:rFonts w:ascii="宋体" w:hAnsi="宋体"/>
                <w:kern w:val="0"/>
                <w:szCs w:val="21"/>
              </w:rPr>
              <w:t>万元</w:t>
            </w:r>
          </w:p>
        </w:tc>
        <w:tc>
          <w:tcPr>
            <w:tcW w:w="1249" w:type="pct"/>
            <w:vAlign w:val="center"/>
          </w:tcPr>
          <w:p w14:paraId="65C21084">
            <w:pPr>
              <w:pStyle w:val="23"/>
              <w:jc w:val="center"/>
              <w:rPr>
                <w:rFonts w:ascii="宋体" w:hAnsi="宋体"/>
                <w:kern w:val="0"/>
                <w:szCs w:val="21"/>
              </w:rPr>
            </w:pPr>
            <w:r>
              <w:rPr>
                <w:rFonts w:ascii="宋体" w:hAnsi="宋体"/>
                <w:kern w:val="0"/>
                <w:szCs w:val="21"/>
              </w:rPr>
              <w:t>26389</w:t>
            </w:r>
          </w:p>
        </w:tc>
        <w:tc>
          <w:tcPr>
            <w:tcW w:w="1251" w:type="pct"/>
            <w:vAlign w:val="center"/>
          </w:tcPr>
          <w:p w14:paraId="04A166ED">
            <w:pPr>
              <w:pStyle w:val="23"/>
              <w:jc w:val="center"/>
              <w:rPr>
                <w:rFonts w:ascii="宋体" w:hAnsi="宋体"/>
                <w:kern w:val="0"/>
                <w:szCs w:val="21"/>
              </w:rPr>
            </w:pPr>
            <w:r>
              <w:rPr>
                <w:rFonts w:ascii="宋体" w:hAnsi="宋体"/>
                <w:kern w:val="0"/>
                <w:szCs w:val="21"/>
              </w:rPr>
              <w:t>28.5</w:t>
            </w:r>
          </w:p>
        </w:tc>
      </w:tr>
      <w:tr w14:paraId="1D37AED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533" w:type="pct"/>
            <w:vAlign w:val="center"/>
          </w:tcPr>
          <w:p w14:paraId="295ADA8E">
            <w:pPr>
              <w:pStyle w:val="23"/>
              <w:ind w:firstLine="1050" w:firstLineChars="500"/>
              <w:rPr>
                <w:rFonts w:ascii="宋体" w:hAnsi="宋体"/>
                <w:kern w:val="0"/>
                <w:szCs w:val="21"/>
              </w:rPr>
            </w:pPr>
            <w:r>
              <w:rPr>
                <w:rFonts w:ascii="宋体" w:hAnsi="宋体"/>
                <w:kern w:val="0"/>
                <w:szCs w:val="21"/>
              </w:rPr>
              <w:t>科学技术</w:t>
            </w:r>
          </w:p>
        </w:tc>
        <w:tc>
          <w:tcPr>
            <w:tcW w:w="967" w:type="pct"/>
            <w:vAlign w:val="center"/>
          </w:tcPr>
          <w:p w14:paraId="63FA2648">
            <w:pPr>
              <w:pStyle w:val="23"/>
              <w:jc w:val="center"/>
              <w:rPr>
                <w:rFonts w:ascii="宋体" w:hAnsi="宋体"/>
                <w:kern w:val="0"/>
                <w:szCs w:val="21"/>
              </w:rPr>
            </w:pPr>
            <w:r>
              <w:rPr>
                <w:rFonts w:ascii="宋体" w:hAnsi="宋体"/>
                <w:kern w:val="0"/>
                <w:szCs w:val="21"/>
              </w:rPr>
              <w:t>万元</w:t>
            </w:r>
          </w:p>
        </w:tc>
        <w:tc>
          <w:tcPr>
            <w:tcW w:w="1249" w:type="pct"/>
            <w:vAlign w:val="center"/>
          </w:tcPr>
          <w:p w14:paraId="7E61D08C">
            <w:pPr>
              <w:pStyle w:val="23"/>
              <w:jc w:val="center"/>
              <w:rPr>
                <w:rFonts w:ascii="宋体" w:hAnsi="宋体"/>
                <w:kern w:val="0"/>
                <w:szCs w:val="21"/>
              </w:rPr>
            </w:pPr>
            <w:r>
              <w:rPr>
                <w:rFonts w:ascii="宋体" w:hAnsi="宋体"/>
                <w:kern w:val="0"/>
                <w:szCs w:val="21"/>
              </w:rPr>
              <w:t>1133</w:t>
            </w:r>
          </w:p>
        </w:tc>
        <w:tc>
          <w:tcPr>
            <w:tcW w:w="1251" w:type="pct"/>
            <w:vAlign w:val="center"/>
          </w:tcPr>
          <w:p w14:paraId="1A90C5D2">
            <w:pPr>
              <w:pStyle w:val="23"/>
              <w:jc w:val="center"/>
              <w:rPr>
                <w:rFonts w:ascii="宋体" w:hAnsi="宋体"/>
                <w:kern w:val="0"/>
                <w:szCs w:val="21"/>
              </w:rPr>
            </w:pPr>
            <w:r>
              <w:rPr>
                <w:rFonts w:ascii="宋体" w:hAnsi="宋体"/>
                <w:kern w:val="0"/>
                <w:szCs w:val="21"/>
              </w:rPr>
              <w:t>-1.5</w:t>
            </w:r>
          </w:p>
        </w:tc>
      </w:tr>
      <w:tr w14:paraId="1C2D943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533" w:type="pct"/>
            <w:vAlign w:val="center"/>
          </w:tcPr>
          <w:p w14:paraId="301BB3E6">
            <w:pPr>
              <w:pStyle w:val="23"/>
              <w:ind w:firstLine="1050" w:firstLineChars="500"/>
              <w:rPr>
                <w:rFonts w:ascii="宋体" w:hAnsi="宋体"/>
                <w:kern w:val="0"/>
                <w:szCs w:val="21"/>
              </w:rPr>
            </w:pPr>
            <w:r>
              <w:rPr>
                <w:rFonts w:ascii="宋体" w:hAnsi="宋体"/>
                <w:kern w:val="0"/>
                <w:szCs w:val="21"/>
              </w:rPr>
              <w:t>文化体育与传媒</w:t>
            </w:r>
          </w:p>
        </w:tc>
        <w:tc>
          <w:tcPr>
            <w:tcW w:w="967" w:type="pct"/>
            <w:vAlign w:val="center"/>
          </w:tcPr>
          <w:p w14:paraId="0CF4EBBA">
            <w:pPr>
              <w:pStyle w:val="23"/>
              <w:jc w:val="center"/>
              <w:rPr>
                <w:rFonts w:ascii="宋体" w:hAnsi="宋体"/>
                <w:kern w:val="0"/>
                <w:szCs w:val="21"/>
              </w:rPr>
            </w:pPr>
            <w:r>
              <w:rPr>
                <w:rFonts w:ascii="宋体" w:hAnsi="宋体"/>
                <w:kern w:val="0"/>
                <w:szCs w:val="21"/>
              </w:rPr>
              <w:t>万元</w:t>
            </w:r>
          </w:p>
        </w:tc>
        <w:tc>
          <w:tcPr>
            <w:tcW w:w="1249" w:type="pct"/>
            <w:vAlign w:val="center"/>
          </w:tcPr>
          <w:p w14:paraId="28FA5B3F">
            <w:pPr>
              <w:pStyle w:val="23"/>
              <w:jc w:val="center"/>
              <w:rPr>
                <w:rFonts w:ascii="宋体" w:hAnsi="宋体"/>
                <w:kern w:val="0"/>
                <w:szCs w:val="21"/>
              </w:rPr>
            </w:pPr>
            <w:r>
              <w:rPr>
                <w:rFonts w:ascii="宋体" w:hAnsi="宋体"/>
                <w:kern w:val="0"/>
                <w:szCs w:val="21"/>
              </w:rPr>
              <w:t>1480</w:t>
            </w:r>
          </w:p>
        </w:tc>
        <w:tc>
          <w:tcPr>
            <w:tcW w:w="1251" w:type="pct"/>
            <w:vAlign w:val="center"/>
          </w:tcPr>
          <w:p w14:paraId="17483248">
            <w:pPr>
              <w:pStyle w:val="23"/>
              <w:jc w:val="center"/>
              <w:rPr>
                <w:rFonts w:ascii="宋体" w:hAnsi="宋体"/>
                <w:kern w:val="0"/>
                <w:szCs w:val="21"/>
              </w:rPr>
            </w:pPr>
            <w:r>
              <w:rPr>
                <w:rFonts w:ascii="宋体" w:hAnsi="宋体"/>
                <w:kern w:val="0"/>
                <w:szCs w:val="21"/>
              </w:rPr>
              <w:t>40.2</w:t>
            </w:r>
          </w:p>
        </w:tc>
      </w:tr>
      <w:tr w14:paraId="3D35BA9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533" w:type="pct"/>
            <w:vAlign w:val="center"/>
          </w:tcPr>
          <w:p w14:paraId="2D4440C0">
            <w:pPr>
              <w:pStyle w:val="23"/>
              <w:rPr>
                <w:rFonts w:ascii="宋体" w:hAnsi="宋体"/>
                <w:kern w:val="0"/>
                <w:szCs w:val="21"/>
              </w:rPr>
            </w:pPr>
            <w:r>
              <w:rPr>
                <w:rFonts w:ascii="宋体" w:hAnsi="宋体"/>
                <w:kern w:val="0"/>
                <w:szCs w:val="21"/>
              </w:rPr>
              <w:t>社会保障和就业</w:t>
            </w:r>
          </w:p>
        </w:tc>
        <w:tc>
          <w:tcPr>
            <w:tcW w:w="967" w:type="pct"/>
            <w:vAlign w:val="center"/>
          </w:tcPr>
          <w:p w14:paraId="1E11F1C6">
            <w:pPr>
              <w:pStyle w:val="23"/>
              <w:jc w:val="center"/>
              <w:rPr>
                <w:rFonts w:ascii="宋体" w:hAnsi="宋体"/>
                <w:kern w:val="0"/>
                <w:szCs w:val="21"/>
              </w:rPr>
            </w:pPr>
            <w:r>
              <w:rPr>
                <w:rFonts w:ascii="宋体" w:hAnsi="宋体"/>
                <w:kern w:val="0"/>
                <w:szCs w:val="21"/>
              </w:rPr>
              <w:t>万元</w:t>
            </w:r>
          </w:p>
        </w:tc>
        <w:tc>
          <w:tcPr>
            <w:tcW w:w="1249" w:type="pct"/>
            <w:vAlign w:val="center"/>
          </w:tcPr>
          <w:p w14:paraId="08521097">
            <w:pPr>
              <w:pStyle w:val="23"/>
              <w:jc w:val="center"/>
              <w:rPr>
                <w:rFonts w:ascii="宋体" w:hAnsi="宋体"/>
                <w:kern w:val="0"/>
                <w:szCs w:val="21"/>
              </w:rPr>
            </w:pPr>
            <w:r>
              <w:rPr>
                <w:rFonts w:ascii="宋体" w:hAnsi="宋体"/>
                <w:kern w:val="0"/>
                <w:szCs w:val="21"/>
              </w:rPr>
              <w:t>9291</w:t>
            </w:r>
          </w:p>
        </w:tc>
        <w:tc>
          <w:tcPr>
            <w:tcW w:w="1251" w:type="pct"/>
            <w:vAlign w:val="center"/>
          </w:tcPr>
          <w:p w14:paraId="14F61137">
            <w:pPr>
              <w:pStyle w:val="23"/>
              <w:jc w:val="center"/>
              <w:rPr>
                <w:rFonts w:ascii="宋体" w:hAnsi="宋体"/>
                <w:kern w:val="0"/>
                <w:szCs w:val="21"/>
              </w:rPr>
            </w:pPr>
            <w:r>
              <w:rPr>
                <w:rFonts w:ascii="宋体" w:hAnsi="宋体"/>
                <w:kern w:val="0"/>
                <w:szCs w:val="21"/>
              </w:rPr>
              <w:t>73.2</w:t>
            </w:r>
          </w:p>
        </w:tc>
      </w:tr>
      <w:tr w14:paraId="5E2BA4C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533" w:type="pct"/>
            <w:vAlign w:val="center"/>
          </w:tcPr>
          <w:p w14:paraId="4C1E2F89">
            <w:pPr>
              <w:pStyle w:val="23"/>
              <w:rPr>
                <w:rFonts w:ascii="宋体" w:hAnsi="宋体"/>
                <w:kern w:val="0"/>
                <w:szCs w:val="21"/>
              </w:rPr>
            </w:pPr>
            <w:r>
              <w:rPr>
                <w:rFonts w:ascii="宋体" w:hAnsi="宋体"/>
                <w:kern w:val="0"/>
                <w:szCs w:val="21"/>
              </w:rPr>
              <w:t>医疗卫生</w:t>
            </w:r>
          </w:p>
        </w:tc>
        <w:tc>
          <w:tcPr>
            <w:tcW w:w="967" w:type="pct"/>
            <w:vAlign w:val="center"/>
          </w:tcPr>
          <w:p w14:paraId="1517F2CB">
            <w:pPr>
              <w:pStyle w:val="23"/>
              <w:jc w:val="center"/>
              <w:rPr>
                <w:rFonts w:ascii="宋体" w:hAnsi="宋体"/>
                <w:kern w:val="0"/>
                <w:szCs w:val="21"/>
              </w:rPr>
            </w:pPr>
            <w:r>
              <w:rPr>
                <w:rFonts w:ascii="宋体" w:hAnsi="宋体"/>
                <w:kern w:val="0"/>
                <w:szCs w:val="21"/>
              </w:rPr>
              <w:t>万元</w:t>
            </w:r>
          </w:p>
        </w:tc>
        <w:tc>
          <w:tcPr>
            <w:tcW w:w="1249" w:type="pct"/>
            <w:vAlign w:val="center"/>
          </w:tcPr>
          <w:p w14:paraId="56662802">
            <w:pPr>
              <w:pStyle w:val="23"/>
              <w:jc w:val="center"/>
              <w:rPr>
                <w:rFonts w:ascii="宋体" w:hAnsi="宋体"/>
                <w:kern w:val="0"/>
                <w:szCs w:val="21"/>
              </w:rPr>
            </w:pPr>
            <w:r>
              <w:rPr>
                <w:rFonts w:ascii="宋体" w:hAnsi="宋体"/>
                <w:kern w:val="0"/>
                <w:szCs w:val="21"/>
              </w:rPr>
              <w:t>14759</w:t>
            </w:r>
          </w:p>
        </w:tc>
        <w:tc>
          <w:tcPr>
            <w:tcW w:w="1251" w:type="pct"/>
            <w:vAlign w:val="center"/>
          </w:tcPr>
          <w:p w14:paraId="65D206BA">
            <w:pPr>
              <w:pStyle w:val="23"/>
              <w:jc w:val="center"/>
              <w:rPr>
                <w:rFonts w:ascii="宋体" w:hAnsi="宋体"/>
                <w:kern w:val="0"/>
                <w:szCs w:val="21"/>
              </w:rPr>
            </w:pPr>
            <w:r>
              <w:rPr>
                <w:rFonts w:ascii="宋体" w:hAnsi="宋体"/>
                <w:kern w:val="0"/>
                <w:szCs w:val="21"/>
              </w:rPr>
              <w:t>36.3</w:t>
            </w:r>
          </w:p>
        </w:tc>
      </w:tr>
      <w:tr w14:paraId="130DCBF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533" w:type="pct"/>
            <w:vAlign w:val="center"/>
          </w:tcPr>
          <w:p w14:paraId="49D5BD6D">
            <w:pPr>
              <w:pStyle w:val="23"/>
              <w:rPr>
                <w:rFonts w:ascii="宋体" w:hAnsi="宋体"/>
                <w:kern w:val="0"/>
                <w:szCs w:val="21"/>
              </w:rPr>
            </w:pPr>
            <w:r>
              <w:rPr>
                <w:rFonts w:ascii="宋体" w:hAnsi="宋体"/>
                <w:kern w:val="0"/>
                <w:szCs w:val="21"/>
              </w:rPr>
              <w:t>节能环保</w:t>
            </w:r>
          </w:p>
        </w:tc>
        <w:tc>
          <w:tcPr>
            <w:tcW w:w="967" w:type="pct"/>
            <w:vAlign w:val="center"/>
          </w:tcPr>
          <w:p w14:paraId="7B7A2F70">
            <w:pPr>
              <w:pStyle w:val="23"/>
              <w:jc w:val="center"/>
              <w:rPr>
                <w:rFonts w:ascii="宋体" w:hAnsi="宋体"/>
                <w:kern w:val="0"/>
                <w:szCs w:val="21"/>
              </w:rPr>
            </w:pPr>
            <w:r>
              <w:rPr>
                <w:rFonts w:ascii="宋体" w:hAnsi="宋体"/>
                <w:kern w:val="0"/>
                <w:szCs w:val="21"/>
              </w:rPr>
              <w:t>万元</w:t>
            </w:r>
          </w:p>
        </w:tc>
        <w:tc>
          <w:tcPr>
            <w:tcW w:w="1249" w:type="pct"/>
            <w:vAlign w:val="center"/>
          </w:tcPr>
          <w:p w14:paraId="14ECA4DF">
            <w:pPr>
              <w:pStyle w:val="23"/>
              <w:jc w:val="center"/>
              <w:rPr>
                <w:rFonts w:ascii="宋体" w:hAnsi="宋体"/>
                <w:kern w:val="0"/>
                <w:szCs w:val="21"/>
              </w:rPr>
            </w:pPr>
            <w:r>
              <w:rPr>
                <w:rFonts w:ascii="宋体" w:hAnsi="宋体"/>
                <w:kern w:val="0"/>
                <w:szCs w:val="21"/>
              </w:rPr>
              <w:t>4323</w:t>
            </w:r>
          </w:p>
        </w:tc>
        <w:tc>
          <w:tcPr>
            <w:tcW w:w="1251" w:type="pct"/>
            <w:vAlign w:val="center"/>
          </w:tcPr>
          <w:p w14:paraId="52C5F951">
            <w:pPr>
              <w:pStyle w:val="23"/>
              <w:jc w:val="center"/>
              <w:rPr>
                <w:rFonts w:ascii="宋体" w:hAnsi="宋体"/>
                <w:kern w:val="0"/>
                <w:szCs w:val="21"/>
              </w:rPr>
            </w:pPr>
            <w:r>
              <w:rPr>
                <w:rFonts w:ascii="宋体" w:hAnsi="宋体"/>
                <w:kern w:val="0"/>
                <w:szCs w:val="21"/>
              </w:rPr>
              <w:t>145.5</w:t>
            </w:r>
          </w:p>
        </w:tc>
      </w:tr>
      <w:tr w14:paraId="5694D79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533" w:type="pct"/>
            <w:vAlign w:val="center"/>
          </w:tcPr>
          <w:p w14:paraId="252DEFF4">
            <w:pPr>
              <w:pStyle w:val="23"/>
              <w:rPr>
                <w:rFonts w:ascii="宋体" w:hAnsi="宋体"/>
                <w:kern w:val="0"/>
                <w:szCs w:val="21"/>
              </w:rPr>
            </w:pPr>
            <w:r>
              <w:rPr>
                <w:rFonts w:ascii="宋体" w:hAnsi="宋体"/>
                <w:kern w:val="0"/>
                <w:szCs w:val="21"/>
              </w:rPr>
              <w:t>城乡社区事务</w:t>
            </w:r>
          </w:p>
        </w:tc>
        <w:tc>
          <w:tcPr>
            <w:tcW w:w="967" w:type="pct"/>
            <w:vAlign w:val="center"/>
          </w:tcPr>
          <w:p w14:paraId="12A075CB">
            <w:pPr>
              <w:pStyle w:val="23"/>
              <w:jc w:val="center"/>
              <w:rPr>
                <w:rFonts w:ascii="宋体" w:hAnsi="宋体"/>
                <w:kern w:val="0"/>
                <w:szCs w:val="21"/>
              </w:rPr>
            </w:pPr>
            <w:r>
              <w:rPr>
                <w:rFonts w:ascii="宋体" w:hAnsi="宋体"/>
                <w:kern w:val="0"/>
                <w:szCs w:val="21"/>
              </w:rPr>
              <w:t>万元</w:t>
            </w:r>
          </w:p>
        </w:tc>
        <w:tc>
          <w:tcPr>
            <w:tcW w:w="1249" w:type="pct"/>
            <w:vAlign w:val="center"/>
          </w:tcPr>
          <w:p w14:paraId="3A806781">
            <w:pPr>
              <w:pStyle w:val="23"/>
              <w:jc w:val="center"/>
              <w:rPr>
                <w:rFonts w:ascii="宋体" w:hAnsi="宋体"/>
                <w:kern w:val="0"/>
                <w:szCs w:val="21"/>
              </w:rPr>
            </w:pPr>
            <w:r>
              <w:rPr>
                <w:rFonts w:ascii="宋体" w:hAnsi="宋体"/>
                <w:kern w:val="0"/>
                <w:szCs w:val="21"/>
              </w:rPr>
              <w:t>3352</w:t>
            </w:r>
          </w:p>
        </w:tc>
        <w:tc>
          <w:tcPr>
            <w:tcW w:w="1251" w:type="pct"/>
            <w:vAlign w:val="center"/>
          </w:tcPr>
          <w:p w14:paraId="7E74B78B">
            <w:pPr>
              <w:pStyle w:val="23"/>
              <w:jc w:val="center"/>
              <w:rPr>
                <w:rFonts w:ascii="宋体" w:hAnsi="宋体"/>
                <w:kern w:val="0"/>
                <w:szCs w:val="21"/>
              </w:rPr>
            </w:pPr>
            <w:r>
              <w:rPr>
                <w:rFonts w:ascii="宋体" w:hAnsi="宋体"/>
                <w:kern w:val="0"/>
                <w:szCs w:val="21"/>
              </w:rPr>
              <w:t>107.7</w:t>
            </w:r>
          </w:p>
        </w:tc>
      </w:tr>
      <w:tr w14:paraId="217BD19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533" w:type="pct"/>
            <w:vAlign w:val="center"/>
          </w:tcPr>
          <w:p w14:paraId="70E28D52">
            <w:pPr>
              <w:pStyle w:val="23"/>
              <w:rPr>
                <w:rFonts w:ascii="宋体" w:hAnsi="宋体"/>
                <w:kern w:val="0"/>
                <w:szCs w:val="21"/>
              </w:rPr>
            </w:pPr>
            <w:r>
              <w:rPr>
                <w:rFonts w:ascii="宋体" w:hAnsi="宋体"/>
                <w:kern w:val="0"/>
                <w:szCs w:val="21"/>
              </w:rPr>
              <w:t>农林水事务</w:t>
            </w:r>
          </w:p>
        </w:tc>
        <w:tc>
          <w:tcPr>
            <w:tcW w:w="967" w:type="pct"/>
            <w:vAlign w:val="center"/>
          </w:tcPr>
          <w:p w14:paraId="2D0333D6">
            <w:pPr>
              <w:pStyle w:val="23"/>
              <w:jc w:val="center"/>
              <w:rPr>
                <w:rFonts w:ascii="宋体" w:hAnsi="宋体"/>
                <w:kern w:val="0"/>
                <w:szCs w:val="21"/>
              </w:rPr>
            </w:pPr>
            <w:r>
              <w:rPr>
                <w:rFonts w:ascii="宋体" w:hAnsi="宋体"/>
                <w:kern w:val="0"/>
                <w:szCs w:val="21"/>
              </w:rPr>
              <w:t>万元</w:t>
            </w:r>
          </w:p>
        </w:tc>
        <w:tc>
          <w:tcPr>
            <w:tcW w:w="1249" w:type="pct"/>
            <w:vAlign w:val="center"/>
          </w:tcPr>
          <w:p w14:paraId="788AB4C1">
            <w:pPr>
              <w:pStyle w:val="23"/>
              <w:jc w:val="center"/>
              <w:rPr>
                <w:rFonts w:ascii="宋体" w:hAnsi="宋体"/>
                <w:kern w:val="0"/>
                <w:szCs w:val="21"/>
              </w:rPr>
            </w:pPr>
            <w:r>
              <w:rPr>
                <w:rFonts w:ascii="宋体" w:hAnsi="宋体"/>
                <w:kern w:val="0"/>
                <w:szCs w:val="21"/>
              </w:rPr>
              <w:t>23172</w:t>
            </w:r>
          </w:p>
        </w:tc>
        <w:tc>
          <w:tcPr>
            <w:tcW w:w="1251" w:type="pct"/>
            <w:vAlign w:val="center"/>
          </w:tcPr>
          <w:p w14:paraId="08E4A3BA">
            <w:pPr>
              <w:pStyle w:val="23"/>
              <w:jc w:val="center"/>
              <w:rPr>
                <w:rFonts w:ascii="宋体" w:hAnsi="宋体"/>
                <w:kern w:val="0"/>
                <w:szCs w:val="21"/>
              </w:rPr>
            </w:pPr>
            <w:r>
              <w:rPr>
                <w:rFonts w:ascii="宋体" w:hAnsi="宋体"/>
                <w:kern w:val="0"/>
                <w:szCs w:val="21"/>
              </w:rPr>
              <w:t>47.6</w:t>
            </w:r>
          </w:p>
        </w:tc>
      </w:tr>
      <w:tr w14:paraId="6F2438A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533" w:type="pct"/>
            <w:vAlign w:val="center"/>
          </w:tcPr>
          <w:p w14:paraId="2E64D05C">
            <w:pPr>
              <w:pStyle w:val="23"/>
              <w:rPr>
                <w:rFonts w:ascii="宋体" w:hAnsi="宋体"/>
                <w:kern w:val="0"/>
                <w:szCs w:val="21"/>
              </w:rPr>
            </w:pPr>
            <w:r>
              <w:rPr>
                <w:rFonts w:ascii="宋体" w:hAnsi="宋体"/>
                <w:kern w:val="0"/>
                <w:szCs w:val="21"/>
              </w:rPr>
              <w:t>交通运输</w:t>
            </w:r>
          </w:p>
        </w:tc>
        <w:tc>
          <w:tcPr>
            <w:tcW w:w="967" w:type="pct"/>
            <w:vAlign w:val="center"/>
          </w:tcPr>
          <w:p w14:paraId="083C04C1">
            <w:pPr>
              <w:pStyle w:val="23"/>
              <w:jc w:val="center"/>
              <w:rPr>
                <w:rFonts w:ascii="宋体" w:hAnsi="宋体"/>
                <w:kern w:val="0"/>
                <w:szCs w:val="21"/>
              </w:rPr>
            </w:pPr>
            <w:r>
              <w:rPr>
                <w:rFonts w:ascii="宋体" w:hAnsi="宋体"/>
                <w:kern w:val="0"/>
                <w:szCs w:val="21"/>
              </w:rPr>
              <w:t>万元</w:t>
            </w:r>
          </w:p>
        </w:tc>
        <w:tc>
          <w:tcPr>
            <w:tcW w:w="1249" w:type="pct"/>
            <w:vAlign w:val="center"/>
          </w:tcPr>
          <w:p w14:paraId="729944DB">
            <w:pPr>
              <w:pStyle w:val="23"/>
              <w:jc w:val="center"/>
              <w:rPr>
                <w:rFonts w:ascii="宋体" w:hAnsi="宋体"/>
                <w:kern w:val="0"/>
                <w:szCs w:val="21"/>
              </w:rPr>
            </w:pPr>
            <w:r>
              <w:rPr>
                <w:rFonts w:ascii="宋体" w:hAnsi="宋体"/>
                <w:kern w:val="0"/>
                <w:szCs w:val="21"/>
              </w:rPr>
              <w:t>1475</w:t>
            </w:r>
          </w:p>
        </w:tc>
        <w:tc>
          <w:tcPr>
            <w:tcW w:w="1251" w:type="pct"/>
            <w:vAlign w:val="center"/>
          </w:tcPr>
          <w:p w14:paraId="5EDF2AF3">
            <w:pPr>
              <w:pStyle w:val="23"/>
              <w:jc w:val="center"/>
              <w:rPr>
                <w:rFonts w:ascii="宋体" w:hAnsi="宋体"/>
                <w:kern w:val="0"/>
                <w:szCs w:val="21"/>
              </w:rPr>
            </w:pPr>
            <w:r>
              <w:rPr>
                <w:rFonts w:ascii="宋体" w:hAnsi="宋体"/>
                <w:kern w:val="0"/>
                <w:szCs w:val="21"/>
              </w:rPr>
              <w:t>43.1</w:t>
            </w:r>
          </w:p>
        </w:tc>
      </w:tr>
      <w:tr w14:paraId="094CE8E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533" w:type="pct"/>
            <w:vAlign w:val="center"/>
          </w:tcPr>
          <w:p w14:paraId="4D54D045">
            <w:pPr>
              <w:pStyle w:val="23"/>
              <w:rPr>
                <w:rFonts w:ascii="宋体" w:hAnsi="宋体"/>
                <w:kern w:val="0"/>
                <w:szCs w:val="21"/>
              </w:rPr>
            </w:pPr>
            <w:r>
              <w:rPr>
                <w:rFonts w:ascii="宋体" w:hAnsi="宋体"/>
                <w:kern w:val="0"/>
                <w:szCs w:val="21"/>
              </w:rPr>
              <w:t>商业服务业等事务</w:t>
            </w:r>
          </w:p>
        </w:tc>
        <w:tc>
          <w:tcPr>
            <w:tcW w:w="967" w:type="pct"/>
            <w:vAlign w:val="center"/>
          </w:tcPr>
          <w:p w14:paraId="66D26DDF">
            <w:pPr>
              <w:pStyle w:val="23"/>
              <w:jc w:val="center"/>
              <w:rPr>
                <w:rFonts w:ascii="宋体" w:hAnsi="宋体"/>
                <w:kern w:val="0"/>
                <w:szCs w:val="21"/>
              </w:rPr>
            </w:pPr>
            <w:r>
              <w:rPr>
                <w:rFonts w:ascii="宋体" w:hAnsi="宋体"/>
                <w:kern w:val="0"/>
                <w:szCs w:val="21"/>
              </w:rPr>
              <w:t>万元</w:t>
            </w:r>
          </w:p>
        </w:tc>
        <w:tc>
          <w:tcPr>
            <w:tcW w:w="1249" w:type="pct"/>
            <w:vAlign w:val="center"/>
          </w:tcPr>
          <w:p w14:paraId="7635302B">
            <w:pPr>
              <w:pStyle w:val="23"/>
              <w:jc w:val="center"/>
              <w:rPr>
                <w:rFonts w:ascii="宋体" w:hAnsi="宋体"/>
                <w:kern w:val="0"/>
                <w:szCs w:val="21"/>
              </w:rPr>
            </w:pPr>
            <w:r>
              <w:rPr>
                <w:rFonts w:ascii="宋体" w:hAnsi="宋体"/>
                <w:kern w:val="0"/>
                <w:szCs w:val="21"/>
              </w:rPr>
              <w:t>2426</w:t>
            </w:r>
          </w:p>
        </w:tc>
        <w:tc>
          <w:tcPr>
            <w:tcW w:w="1251" w:type="pct"/>
            <w:vAlign w:val="center"/>
          </w:tcPr>
          <w:p w14:paraId="46C58868">
            <w:pPr>
              <w:pStyle w:val="23"/>
              <w:jc w:val="center"/>
              <w:rPr>
                <w:rFonts w:ascii="宋体" w:hAnsi="宋体"/>
                <w:kern w:val="0"/>
                <w:szCs w:val="21"/>
              </w:rPr>
            </w:pPr>
            <w:r>
              <w:rPr>
                <w:rFonts w:ascii="宋体" w:hAnsi="宋体"/>
                <w:kern w:val="0"/>
                <w:szCs w:val="21"/>
              </w:rPr>
              <w:t>64.3</w:t>
            </w:r>
          </w:p>
        </w:tc>
      </w:tr>
      <w:tr w14:paraId="10AB4C8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533" w:type="pct"/>
            <w:vAlign w:val="center"/>
          </w:tcPr>
          <w:p w14:paraId="54128B45">
            <w:pPr>
              <w:pStyle w:val="23"/>
              <w:rPr>
                <w:rFonts w:ascii="宋体" w:hAnsi="宋体"/>
                <w:kern w:val="0"/>
                <w:szCs w:val="21"/>
              </w:rPr>
            </w:pPr>
            <w:r>
              <w:rPr>
                <w:rFonts w:ascii="宋体" w:hAnsi="宋体"/>
                <w:kern w:val="0"/>
                <w:szCs w:val="21"/>
              </w:rPr>
              <w:t>国土资源气象等事务</w:t>
            </w:r>
          </w:p>
        </w:tc>
        <w:tc>
          <w:tcPr>
            <w:tcW w:w="967" w:type="pct"/>
            <w:vAlign w:val="center"/>
          </w:tcPr>
          <w:p w14:paraId="6F766CAD">
            <w:pPr>
              <w:pStyle w:val="23"/>
              <w:jc w:val="center"/>
              <w:rPr>
                <w:rFonts w:ascii="宋体" w:hAnsi="宋体"/>
                <w:kern w:val="0"/>
                <w:szCs w:val="21"/>
              </w:rPr>
            </w:pPr>
            <w:r>
              <w:rPr>
                <w:rFonts w:ascii="宋体" w:hAnsi="宋体"/>
                <w:kern w:val="0"/>
                <w:szCs w:val="21"/>
              </w:rPr>
              <w:t>万元</w:t>
            </w:r>
          </w:p>
        </w:tc>
        <w:tc>
          <w:tcPr>
            <w:tcW w:w="1249" w:type="pct"/>
            <w:vAlign w:val="center"/>
          </w:tcPr>
          <w:p w14:paraId="69B312ED">
            <w:pPr>
              <w:pStyle w:val="23"/>
              <w:jc w:val="center"/>
              <w:rPr>
                <w:rFonts w:ascii="宋体" w:hAnsi="宋体"/>
                <w:kern w:val="0"/>
                <w:szCs w:val="21"/>
              </w:rPr>
            </w:pPr>
            <w:r>
              <w:rPr>
                <w:rFonts w:ascii="宋体" w:hAnsi="宋体"/>
                <w:kern w:val="0"/>
                <w:szCs w:val="21"/>
              </w:rPr>
              <w:t>405</w:t>
            </w:r>
          </w:p>
        </w:tc>
        <w:tc>
          <w:tcPr>
            <w:tcW w:w="1251" w:type="pct"/>
            <w:vAlign w:val="center"/>
          </w:tcPr>
          <w:p w14:paraId="35626FD5">
            <w:pPr>
              <w:pStyle w:val="23"/>
              <w:jc w:val="center"/>
              <w:rPr>
                <w:rFonts w:ascii="宋体" w:hAnsi="宋体"/>
                <w:kern w:val="0"/>
                <w:szCs w:val="21"/>
              </w:rPr>
            </w:pPr>
            <w:r>
              <w:rPr>
                <w:rFonts w:ascii="宋体" w:hAnsi="宋体"/>
                <w:kern w:val="0"/>
                <w:szCs w:val="21"/>
              </w:rPr>
              <w:t>40.6</w:t>
            </w:r>
          </w:p>
        </w:tc>
      </w:tr>
    </w:tbl>
    <w:p w14:paraId="32BCA730">
      <w:pPr>
        <w:ind w:firstLine="0" w:firstLineChars="0"/>
        <w:jc w:val="center"/>
        <w:rPr>
          <w:rFonts w:ascii="宋体" w:hAnsi="宋体"/>
          <w:b/>
          <w:szCs w:val="21"/>
        </w:rPr>
      </w:pPr>
      <w:r>
        <w:rPr>
          <w:rFonts w:hint="eastAsia" w:ascii="宋体" w:hAnsi="宋体"/>
          <w:b/>
          <w:szCs w:val="21"/>
        </w:rPr>
        <w:t>表81 金融情况</w:t>
      </w:r>
    </w:p>
    <w:tbl>
      <w:tblPr>
        <w:tblStyle w:val="14"/>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30" w:type="dxa"/>
          <w:bottom w:w="0" w:type="dxa"/>
          <w:right w:w="30" w:type="dxa"/>
        </w:tblCellMar>
      </w:tblPr>
      <w:tblGrid>
        <w:gridCol w:w="2865"/>
        <w:gridCol w:w="2038"/>
        <w:gridCol w:w="2450"/>
        <w:gridCol w:w="2453"/>
      </w:tblGrid>
      <w:tr w14:paraId="2F0622B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461" w:type="pct"/>
            <w:vAlign w:val="center"/>
          </w:tcPr>
          <w:p w14:paraId="2B8B67B2">
            <w:pPr>
              <w:pStyle w:val="23"/>
              <w:jc w:val="center"/>
              <w:rPr>
                <w:rFonts w:ascii="宋体" w:hAnsi="宋体"/>
                <w:b/>
                <w:kern w:val="0"/>
                <w:szCs w:val="21"/>
              </w:rPr>
            </w:pPr>
            <w:r>
              <w:rPr>
                <w:rFonts w:ascii="宋体" w:hAnsi="宋体"/>
                <w:b/>
                <w:kern w:val="0"/>
                <w:szCs w:val="21"/>
              </w:rPr>
              <w:t>指标名称</w:t>
            </w:r>
          </w:p>
        </w:tc>
        <w:tc>
          <w:tcPr>
            <w:tcW w:w="1039" w:type="pct"/>
            <w:vAlign w:val="center"/>
          </w:tcPr>
          <w:p w14:paraId="1A611C89">
            <w:pPr>
              <w:pStyle w:val="23"/>
              <w:jc w:val="center"/>
              <w:rPr>
                <w:rFonts w:ascii="宋体" w:hAnsi="宋体"/>
                <w:b/>
                <w:kern w:val="0"/>
                <w:szCs w:val="21"/>
              </w:rPr>
            </w:pPr>
            <w:r>
              <w:rPr>
                <w:rFonts w:ascii="宋体" w:hAnsi="宋体"/>
                <w:b/>
                <w:kern w:val="0"/>
                <w:szCs w:val="21"/>
              </w:rPr>
              <w:t>计算单位</w:t>
            </w:r>
          </w:p>
        </w:tc>
        <w:tc>
          <w:tcPr>
            <w:tcW w:w="1249" w:type="pct"/>
            <w:vAlign w:val="center"/>
          </w:tcPr>
          <w:p w14:paraId="115A8773">
            <w:pPr>
              <w:pStyle w:val="23"/>
              <w:jc w:val="center"/>
              <w:rPr>
                <w:rFonts w:ascii="宋体" w:hAnsi="宋体"/>
                <w:b/>
                <w:kern w:val="0"/>
                <w:szCs w:val="21"/>
              </w:rPr>
            </w:pPr>
            <w:r>
              <w:rPr>
                <w:rFonts w:ascii="宋体" w:hAnsi="宋体"/>
                <w:b/>
                <w:kern w:val="0"/>
                <w:szCs w:val="21"/>
              </w:rPr>
              <w:t>2011年</w:t>
            </w:r>
          </w:p>
        </w:tc>
        <w:tc>
          <w:tcPr>
            <w:tcW w:w="1251" w:type="pct"/>
            <w:vAlign w:val="center"/>
          </w:tcPr>
          <w:p w14:paraId="051C1723">
            <w:pPr>
              <w:pStyle w:val="23"/>
              <w:jc w:val="center"/>
              <w:rPr>
                <w:rFonts w:ascii="宋体" w:hAnsi="宋体"/>
                <w:b/>
                <w:kern w:val="0"/>
                <w:szCs w:val="21"/>
              </w:rPr>
            </w:pPr>
            <w:r>
              <w:rPr>
                <w:rFonts w:ascii="宋体" w:hAnsi="宋体"/>
                <w:b/>
                <w:kern w:val="0"/>
                <w:szCs w:val="21"/>
              </w:rPr>
              <w:t>比上年±%</w:t>
            </w:r>
          </w:p>
        </w:tc>
      </w:tr>
      <w:tr w14:paraId="0EE7866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461" w:type="pct"/>
            <w:vAlign w:val="center"/>
          </w:tcPr>
          <w:p w14:paraId="3CACA757">
            <w:pPr>
              <w:pStyle w:val="23"/>
              <w:rPr>
                <w:rFonts w:ascii="宋体" w:hAnsi="宋体"/>
                <w:kern w:val="0"/>
                <w:szCs w:val="21"/>
              </w:rPr>
            </w:pPr>
            <w:r>
              <w:rPr>
                <w:rFonts w:ascii="宋体" w:hAnsi="宋体"/>
                <w:kern w:val="0"/>
                <w:szCs w:val="21"/>
              </w:rPr>
              <w:t>一、本外币存款年末余额</w:t>
            </w:r>
          </w:p>
        </w:tc>
        <w:tc>
          <w:tcPr>
            <w:tcW w:w="1039" w:type="pct"/>
            <w:vAlign w:val="center"/>
          </w:tcPr>
          <w:p w14:paraId="1933BC9A">
            <w:pPr>
              <w:pStyle w:val="23"/>
              <w:jc w:val="center"/>
              <w:rPr>
                <w:rFonts w:ascii="宋体" w:hAnsi="宋体"/>
                <w:kern w:val="0"/>
                <w:szCs w:val="21"/>
              </w:rPr>
            </w:pPr>
            <w:r>
              <w:rPr>
                <w:rFonts w:ascii="宋体" w:hAnsi="宋体"/>
                <w:kern w:val="0"/>
                <w:szCs w:val="21"/>
              </w:rPr>
              <w:t>万元</w:t>
            </w:r>
          </w:p>
        </w:tc>
        <w:tc>
          <w:tcPr>
            <w:tcW w:w="1249" w:type="pct"/>
            <w:vAlign w:val="center"/>
          </w:tcPr>
          <w:p w14:paraId="1E78F602">
            <w:pPr>
              <w:pStyle w:val="23"/>
              <w:jc w:val="center"/>
              <w:rPr>
                <w:rFonts w:ascii="宋体" w:hAnsi="宋体"/>
                <w:kern w:val="0"/>
                <w:szCs w:val="21"/>
              </w:rPr>
            </w:pPr>
            <w:r>
              <w:rPr>
                <w:rFonts w:ascii="宋体" w:hAnsi="宋体"/>
                <w:kern w:val="0"/>
                <w:szCs w:val="21"/>
              </w:rPr>
              <w:t>660320</w:t>
            </w:r>
          </w:p>
        </w:tc>
        <w:tc>
          <w:tcPr>
            <w:tcW w:w="1251" w:type="pct"/>
            <w:vAlign w:val="center"/>
          </w:tcPr>
          <w:p w14:paraId="740F2656">
            <w:pPr>
              <w:pStyle w:val="23"/>
              <w:jc w:val="center"/>
              <w:rPr>
                <w:rFonts w:ascii="宋体" w:hAnsi="宋体"/>
                <w:kern w:val="0"/>
                <w:szCs w:val="21"/>
              </w:rPr>
            </w:pPr>
            <w:r>
              <w:rPr>
                <w:rFonts w:ascii="宋体" w:hAnsi="宋体"/>
                <w:kern w:val="0"/>
                <w:szCs w:val="21"/>
              </w:rPr>
              <w:t>16.6</w:t>
            </w:r>
          </w:p>
        </w:tc>
      </w:tr>
      <w:tr w14:paraId="48F5A00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461" w:type="pct"/>
            <w:vAlign w:val="center"/>
          </w:tcPr>
          <w:p w14:paraId="71FB14D7">
            <w:pPr>
              <w:pStyle w:val="23"/>
              <w:ind w:firstLine="210" w:firstLineChars="100"/>
              <w:rPr>
                <w:rFonts w:ascii="宋体" w:hAnsi="宋体"/>
                <w:kern w:val="0"/>
                <w:szCs w:val="21"/>
              </w:rPr>
            </w:pPr>
            <w:r>
              <w:rPr>
                <w:rFonts w:ascii="宋体" w:hAnsi="宋体"/>
                <w:kern w:val="0"/>
                <w:szCs w:val="21"/>
              </w:rPr>
              <w:t>其中：储蓄存款余额</w:t>
            </w:r>
          </w:p>
        </w:tc>
        <w:tc>
          <w:tcPr>
            <w:tcW w:w="1039" w:type="pct"/>
            <w:vAlign w:val="center"/>
          </w:tcPr>
          <w:p w14:paraId="2BB5FCA2">
            <w:pPr>
              <w:pStyle w:val="23"/>
              <w:jc w:val="center"/>
              <w:rPr>
                <w:rFonts w:ascii="宋体" w:hAnsi="宋体"/>
                <w:kern w:val="0"/>
                <w:szCs w:val="21"/>
              </w:rPr>
            </w:pPr>
            <w:r>
              <w:rPr>
                <w:rFonts w:ascii="宋体" w:hAnsi="宋体"/>
                <w:kern w:val="0"/>
                <w:szCs w:val="21"/>
              </w:rPr>
              <w:t>万元</w:t>
            </w:r>
          </w:p>
        </w:tc>
        <w:tc>
          <w:tcPr>
            <w:tcW w:w="1249" w:type="pct"/>
            <w:vAlign w:val="center"/>
          </w:tcPr>
          <w:p w14:paraId="23744DF9">
            <w:pPr>
              <w:pStyle w:val="23"/>
              <w:jc w:val="center"/>
              <w:rPr>
                <w:rFonts w:ascii="宋体" w:hAnsi="宋体"/>
                <w:kern w:val="0"/>
                <w:szCs w:val="21"/>
              </w:rPr>
            </w:pPr>
            <w:r>
              <w:rPr>
                <w:rFonts w:ascii="宋体" w:hAnsi="宋体"/>
                <w:kern w:val="0"/>
                <w:szCs w:val="21"/>
              </w:rPr>
              <w:t>512627</w:t>
            </w:r>
          </w:p>
        </w:tc>
        <w:tc>
          <w:tcPr>
            <w:tcW w:w="1251" w:type="pct"/>
            <w:vAlign w:val="center"/>
          </w:tcPr>
          <w:p w14:paraId="743E4B36">
            <w:pPr>
              <w:pStyle w:val="23"/>
              <w:jc w:val="center"/>
              <w:rPr>
                <w:rFonts w:ascii="宋体" w:hAnsi="宋体"/>
                <w:kern w:val="0"/>
                <w:szCs w:val="21"/>
              </w:rPr>
            </w:pPr>
            <w:r>
              <w:rPr>
                <w:rFonts w:ascii="宋体" w:hAnsi="宋体"/>
                <w:kern w:val="0"/>
                <w:szCs w:val="21"/>
              </w:rPr>
              <w:t>14</w:t>
            </w:r>
          </w:p>
        </w:tc>
      </w:tr>
      <w:tr w14:paraId="793378A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461" w:type="pct"/>
            <w:vAlign w:val="center"/>
          </w:tcPr>
          <w:p w14:paraId="46CDB98F">
            <w:pPr>
              <w:pStyle w:val="23"/>
              <w:ind w:firstLine="840" w:firstLineChars="400"/>
              <w:rPr>
                <w:rFonts w:ascii="宋体" w:hAnsi="宋体"/>
                <w:kern w:val="0"/>
                <w:szCs w:val="21"/>
              </w:rPr>
            </w:pPr>
            <w:r>
              <w:rPr>
                <w:rFonts w:ascii="宋体" w:hAnsi="宋体"/>
                <w:kern w:val="0"/>
                <w:szCs w:val="21"/>
              </w:rPr>
              <w:t>单位存款</w:t>
            </w:r>
          </w:p>
        </w:tc>
        <w:tc>
          <w:tcPr>
            <w:tcW w:w="1039" w:type="pct"/>
            <w:vAlign w:val="center"/>
          </w:tcPr>
          <w:p w14:paraId="70F859C7">
            <w:pPr>
              <w:pStyle w:val="23"/>
              <w:jc w:val="center"/>
              <w:rPr>
                <w:rFonts w:ascii="宋体" w:hAnsi="宋体"/>
                <w:kern w:val="0"/>
                <w:szCs w:val="21"/>
              </w:rPr>
            </w:pPr>
            <w:r>
              <w:rPr>
                <w:rFonts w:ascii="宋体" w:hAnsi="宋体"/>
                <w:kern w:val="0"/>
                <w:szCs w:val="21"/>
              </w:rPr>
              <w:t>万元</w:t>
            </w:r>
          </w:p>
        </w:tc>
        <w:tc>
          <w:tcPr>
            <w:tcW w:w="1249" w:type="pct"/>
            <w:vAlign w:val="center"/>
          </w:tcPr>
          <w:p w14:paraId="451E51B1">
            <w:pPr>
              <w:pStyle w:val="23"/>
              <w:jc w:val="center"/>
              <w:rPr>
                <w:rFonts w:ascii="宋体" w:hAnsi="宋体"/>
                <w:kern w:val="0"/>
                <w:szCs w:val="21"/>
              </w:rPr>
            </w:pPr>
            <w:r>
              <w:rPr>
                <w:rFonts w:ascii="宋体" w:hAnsi="宋体"/>
                <w:kern w:val="0"/>
                <w:szCs w:val="21"/>
              </w:rPr>
              <w:t>118078</w:t>
            </w:r>
          </w:p>
        </w:tc>
        <w:tc>
          <w:tcPr>
            <w:tcW w:w="1251" w:type="pct"/>
            <w:vAlign w:val="center"/>
          </w:tcPr>
          <w:p w14:paraId="0374810D">
            <w:pPr>
              <w:pStyle w:val="23"/>
              <w:jc w:val="center"/>
              <w:rPr>
                <w:rFonts w:ascii="宋体" w:hAnsi="宋体"/>
                <w:kern w:val="0"/>
                <w:szCs w:val="21"/>
              </w:rPr>
            </w:pPr>
            <w:r>
              <w:rPr>
                <w:rFonts w:ascii="宋体" w:hAnsi="宋体"/>
                <w:kern w:val="0"/>
                <w:szCs w:val="21"/>
              </w:rPr>
              <w:t>10.8</w:t>
            </w:r>
          </w:p>
        </w:tc>
      </w:tr>
      <w:tr w14:paraId="0BCAB7B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461" w:type="pct"/>
            <w:vAlign w:val="center"/>
          </w:tcPr>
          <w:p w14:paraId="3222A6E6">
            <w:pPr>
              <w:pStyle w:val="23"/>
              <w:ind w:firstLine="840" w:firstLineChars="400"/>
              <w:rPr>
                <w:rFonts w:ascii="宋体" w:hAnsi="宋体"/>
                <w:kern w:val="0"/>
                <w:szCs w:val="21"/>
              </w:rPr>
            </w:pPr>
            <w:r>
              <w:rPr>
                <w:rFonts w:ascii="宋体" w:hAnsi="宋体"/>
                <w:kern w:val="0"/>
                <w:szCs w:val="21"/>
              </w:rPr>
              <w:t>个人存款</w:t>
            </w:r>
          </w:p>
        </w:tc>
        <w:tc>
          <w:tcPr>
            <w:tcW w:w="1039" w:type="pct"/>
            <w:vAlign w:val="center"/>
          </w:tcPr>
          <w:p w14:paraId="56E70F11">
            <w:pPr>
              <w:pStyle w:val="23"/>
              <w:jc w:val="center"/>
              <w:rPr>
                <w:rFonts w:ascii="宋体" w:hAnsi="宋体"/>
                <w:kern w:val="0"/>
                <w:szCs w:val="21"/>
              </w:rPr>
            </w:pPr>
            <w:r>
              <w:rPr>
                <w:rFonts w:ascii="宋体" w:hAnsi="宋体"/>
                <w:kern w:val="0"/>
                <w:szCs w:val="21"/>
              </w:rPr>
              <w:t>万元</w:t>
            </w:r>
          </w:p>
        </w:tc>
        <w:tc>
          <w:tcPr>
            <w:tcW w:w="1249" w:type="pct"/>
            <w:vAlign w:val="center"/>
          </w:tcPr>
          <w:p w14:paraId="05BA48BC">
            <w:pPr>
              <w:pStyle w:val="23"/>
              <w:jc w:val="center"/>
              <w:rPr>
                <w:rFonts w:ascii="宋体" w:hAnsi="宋体"/>
                <w:kern w:val="0"/>
                <w:szCs w:val="21"/>
              </w:rPr>
            </w:pPr>
            <w:r>
              <w:rPr>
                <w:rFonts w:ascii="宋体" w:hAnsi="宋体"/>
                <w:kern w:val="0"/>
                <w:szCs w:val="21"/>
              </w:rPr>
              <w:t>513072</w:t>
            </w:r>
          </w:p>
        </w:tc>
        <w:tc>
          <w:tcPr>
            <w:tcW w:w="1251" w:type="pct"/>
            <w:vAlign w:val="center"/>
          </w:tcPr>
          <w:p w14:paraId="0687D151">
            <w:pPr>
              <w:pStyle w:val="23"/>
              <w:jc w:val="center"/>
              <w:rPr>
                <w:rFonts w:ascii="宋体" w:hAnsi="宋体"/>
                <w:kern w:val="0"/>
                <w:szCs w:val="21"/>
              </w:rPr>
            </w:pPr>
            <w:r>
              <w:rPr>
                <w:rFonts w:ascii="宋体" w:hAnsi="宋体"/>
                <w:kern w:val="0"/>
                <w:szCs w:val="21"/>
              </w:rPr>
              <w:t>14.1</w:t>
            </w:r>
          </w:p>
        </w:tc>
      </w:tr>
      <w:tr w14:paraId="5C475BF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461" w:type="pct"/>
            <w:vAlign w:val="center"/>
          </w:tcPr>
          <w:p w14:paraId="0FE626D0">
            <w:pPr>
              <w:pStyle w:val="23"/>
              <w:ind w:firstLine="840" w:firstLineChars="400"/>
              <w:rPr>
                <w:rFonts w:ascii="宋体" w:hAnsi="宋体"/>
                <w:kern w:val="0"/>
                <w:szCs w:val="21"/>
              </w:rPr>
            </w:pPr>
            <w:r>
              <w:rPr>
                <w:rFonts w:ascii="宋体" w:hAnsi="宋体"/>
                <w:kern w:val="0"/>
                <w:szCs w:val="21"/>
              </w:rPr>
              <w:t>财政性存款</w:t>
            </w:r>
          </w:p>
        </w:tc>
        <w:tc>
          <w:tcPr>
            <w:tcW w:w="1039" w:type="pct"/>
            <w:vAlign w:val="center"/>
          </w:tcPr>
          <w:p w14:paraId="0CE33913">
            <w:pPr>
              <w:pStyle w:val="23"/>
              <w:jc w:val="center"/>
              <w:rPr>
                <w:rFonts w:ascii="宋体" w:hAnsi="宋体"/>
                <w:kern w:val="0"/>
                <w:szCs w:val="21"/>
              </w:rPr>
            </w:pPr>
            <w:r>
              <w:rPr>
                <w:rFonts w:ascii="宋体" w:hAnsi="宋体"/>
                <w:kern w:val="0"/>
                <w:szCs w:val="21"/>
              </w:rPr>
              <w:t>万元</w:t>
            </w:r>
          </w:p>
        </w:tc>
        <w:tc>
          <w:tcPr>
            <w:tcW w:w="1249" w:type="pct"/>
            <w:vAlign w:val="center"/>
          </w:tcPr>
          <w:p w14:paraId="578733A5">
            <w:pPr>
              <w:pStyle w:val="23"/>
              <w:jc w:val="center"/>
              <w:rPr>
                <w:rFonts w:ascii="宋体" w:hAnsi="宋体"/>
                <w:kern w:val="0"/>
                <w:szCs w:val="21"/>
              </w:rPr>
            </w:pPr>
            <w:r>
              <w:rPr>
                <w:rFonts w:ascii="宋体" w:hAnsi="宋体"/>
                <w:kern w:val="0"/>
                <w:szCs w:val="21"/>
              </w:rPr>
              <w:t>28764</w:t>
            </w:r>
          </w:p>
        </w:tc>
        <w:tc>
          <w:tcPr>
            <w:tcW w:w="1251" w:type="pct"/>
            <w:vAlign w:val="center"/>
          </w:tcPr>
          <w:p w14:paraId="20AA442F">
            <w:pPr>
              <w:pStyle w:val="23"/>
              <w:jc w:val="center"/>
              <w:rPr>
                <w:rFonts w:ascii="宋体" w:hAnsi="宋体"/>
                <w:kern w:val="0"/>
                <w:szCs w:val="21"/>
              </w:rPr>
            </w:pPr>
            <w:r>
              <w:rPr>
                <w:rFonts w:ascii="宋体" w:hAnsi="宋体"/>
                <w:kern w:val="0"/>
                <w:szCs w:val="21"/>
              </w:rPr>
              <w:t>205.2</w:t>
            </w:r>
          </w:p>
        </w:tc>
      </w:tr>
      <w:tr w14:paraId="64747B0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461" w:type="pct"/>
            <w:vAlign w:val="center"/>
          </w:tcPr>
          <w:p w14:paraId="42EB4D3A">
            <w:pPr>
              <w:pStyle w:val="23"/>
              <w:ind w:firstLine="840" w:firstLineChars="400"/>
              <w:rPr>
                <w:rFonts w:ascii="宋体" w:hAnsi="宋体"/>
                <w:kern w:val="0"/>
                <w:szCs w:val="21"/>
              </w:rPr>
            </w:pPr>
            <w:r>
              <w:rPr>
                <w:rFonts w:ascii="宋体" w:hAnsi="宋体"/>
                <w:kern w:val="0"/>
                <w:szCs w:val="21"/>
              </w:rPr>
              <w:t>临时性存款</w:t>
            </w:r>
          </w:p>
        </w:tc>
        <w:tc>
          <w:tcPr>
            <w:tcW w:w="1039" w:type="pct"/>
            <w:vAlign w:val="center"/>
          </w:tcPr>
          <w:p w14:paraId="35146AFA">
            <w:pPr>
              <w:pStyle w:val="23"/>
              <w:jc w:val="center"/>
              <w:rPr>
                <w:rFonts w:ascii="宋体" w:hAnsi="宋体"/>
                <w:kern w:val="0"/>
                <w:szCs w:val="21"/>
              </w:rPr>
            </w:pPr>
            <w:r>
              <w:rPr>
                <w:rFonts w:ascii="宋体" w:hAnsi="宋体"/>
                <w:kern w:val="0"/>
                <w:szCs w:val="21"/>
              </w:rPr>
              <w:t>万元</w:t>
            </w:r>
          </w:p>
        </w:tc>
        <w:tc>
          <w:tcPr>
            <w:tcW w:w="1249" w:type="pct"/>
            <w:vAlign w:val="center"/>
          </w:tcPr>
          <w:p w14:paraId="55908704">
            <w:pPr>
              <w:pStyle w:val="23"/>
              <w:jc w:val="center"/>
              <w:rPr>
                <w:rFonts w:ascii="宋体" w:hAnsi="宋体"/>
                <w:kern w:val="0"/>
                <w:szCs w:val="21"/>
              </w:rPr>
            </w:pPr>
            <w:r>
              <w:rPr>
                <w:rFonts w:ascii="宋体" w:hAnsi="宋体"/>
                <w:kern w:val="0"/>
                <w:szCs w:val="21"/>
              </w:rPr>
              <w:t>401</w:t>
            </w:r>
          </w:p>
        </w:tc>
        <w:tc>
          <w:tcPr>
            <w:tcW w:w="1251" w:type="pct"/>
            <w:vAlign w:val="center"/>
          </w:tcPr>
          <w:p w14:paraId="5B68A212">
            <w:pPr>
              <w:pStyle w:val="23"/>
              <w:jc w:val="center"/>
              <w:rPr>
                <w:rFonts w:ascii="宋体" w:hAnsi="宋体"/>
                <w:kern w:val="0"/>
                <w:szCs w:val="21"/>
              </w:rPr>
            </w:pPr>
            <w:r>
              <w:rPr>
                <w:rFonts w:ascii="宋体" w:hAnsi="宋体"/>
                <w:kern w:val="0"/>
                <w:szCs w:val="21"/>
              </w:rPr>
              <w:t>11</w:t>
            </w:r>
          </w:p>
        </w:tc>
      </w:tr>
      <w:tr w14:paraId="14F2585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461" w:type="pct"/>
            <w:vAlign w:val="center"/>
          </w:tcPr>
          <w:p w14:paraId="3249000D">
            <w:pPr>
              <w:pStyle w:val="23"/>
              <w:ind w:firstLine="840" w:firstLineChars="400"/>
              <w:rPr>
                <w:rFonts w:ascii="宋体" w:hAnsi="宋体"/>
                <w:kern w:val="0"/>
                <w:szCs w:val="21"/>
              </w:rPr>
            </w:pPr>
            <w:r>
              <w:rPr>
                <w:rFonts w:ascii="宋体" w:hAnsi="宋体"/>
                <w:kern w:val="0"/>
                <w:szCs w:val="21"/>
              </w:rPr>
              <w:t>委托存款</w:t>
            </w:r>
          </w:p>
        </w:tc>
        <w:tc>
          <w:tcPr>
            <w:tcW w:w="1039" w:type="pct"/>
            <w:vAlign w:val="center"/>
          </w:tcPr>
          <w:p w14:paraId="4E2D29BE">
            <w:pPr>
              <w:pStyle w:val="23"/>
              <w:jc w:val="center"/>
              <w:rPr>
                <w:rFonts w:ascii="宋体" w:hAnsi="宋体"/>
                <w:kern w:val="0"/>
                <w:szCs w:val="21"/>
              </w:rPr>
            </w:pPr>
            <w:r>
              <w:rPr>
                <w:rFonts w:ascii="宋体" w:hAnsi="宋体"/>
                <w:kern w:val="0"/>
                <w:szCs w:val="21"/>
              </w:rPr>
              <w:t>万元</w:t>
            </w:r>
          </w:p>
        </w:tc>
        <w:tc>
          <w:tcPr>
            <w:tcW w:w="1249" w:type="pct"/>
            <w:vAlign w:val="center"/>
          </w:tcPr>
          <w:p w14:paraId="79972F84">
            <w:pPr>
              <w:pStyle w:val="23"/>
              <w:jc w:val="center"/>
              <w:rPr>
                <w:rFonts w:ascii="宋体" w:hAnsi="宋体"/>
                <w:kern w:val="0"/>
                <w:szCs w:val="21"/>
              </w:rPr>
            </w:pPr>
            <w:r>
              <w:rPr>
                <w:rFonts w:ascii="宋体" w:hAnsi="宋体"/>
                <w:kern w:val="0"/>
                <w:szCs w:val="21"/>
              </w:rPr>
              <w:t>6</w:t>
            </w:r>
          </w:p>
        </w:tc>
        <w:tc>
          <w:tcPr>
            <w:tcW w:w="1251" w:type="pct"/>
            <w:vAlign w:val="center"/>
          </w:tcPr>
          <w:p w14:paraId="593804CF">
            <w:pPr>
              <w:pStyle w:val="23"/>
              <w:jc w:val="center"/>
              <w:rPr>
                <w:rFonts w:ascii="宋体" w:hAnsi="宋体"/>
                <w:kern w:val="0"/>
                <w:szCs w:val="21"/>
              </w:rPr>
            </w:pPr>
            <w:r>
              <w:rPr>
                <w:rFonts w:ascii="宋体" w:hAnsi="宋体"/>
                <w:kern w:val="0"/>
                <w:szCs w:val="21"/>
              </w:rPr>
              <w:t>-72.8</w:t>
            </w:r>
          </w:p>
        </w:tc>
      </w:tr>
      <w:tr w14:paraId="40F8008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461" w:type="pct"/>
            <w:vAlign w:val="center"/>
          </w:tcPr>
          <w:p w14:paraId="2C95D6A2">
            <w:pPr>
              <w:pStyle w:val="23"/>
              <w:rPr>
                <w:rFonts w:ascii="宋体" w:hAnsi="宋体"/>
                <w:kern w:val="0"/>
                <w:szCs w:val="21"/>
              </w:rPr>
            </w:pPr>
            <w:r>
              <w:rPr>
                <w:rFonts w:ascii="宋体" w:hAnsi="宋体"/>
                <w:kern w:val="0"/>
                <w:szCs w:val="21"/>
              </w:rPr>
              <w:t>二、金融机构各项贷款年末余额</w:t>
            </w:r>
          </w:p>
        </w:tc>
        <w:tc>
          <w:tcPr>
            <w:tcW w:w="1039" w:type="pct"/>
            <w:vAlign w:val="center"/>
          </w:tcPr>
          <w:p w14:paraId="6079BCC2">
            <w:pPr>
              <w:pStyle w:val="23"/>
              <w:jc w:val="center"/>
              <w:rPr>
                <w:rFonts w:ascii="宋体" w:hAnsi="宋体"/>
                <w:kern w:val="0"/>
                <w:szCs w:val="21"/>
              </w:rPr>
            </w:pPr>
            <w:r>
              <w:rPr>
                <w:rFonts w:ascii="宋体" w:hAnsi="宋体"/>
                <w:kern w:val="0"/>
                <w:szCs w:val="21"/>
              </w:rPr>
              <w:t>万元</w:t>
            </w:r>
          </w:p>
        </w:tc>
        <w:tc>
          <w:tcPr>
            <w:tcW w:w="1249" w:type="pct"/>
            <w:vAlign w:val="center"/>
          </w:tcPr>
          <w:p w14:paraId="073EDA75">
            <w:pPr>
              <w:pStyle w:val="23"/>
              <w:jc w:val="center"/>
              <w:rPr>
                <w:rFonts w:ascii="宋体" w:hAnsi="宋体"/>
                <w:kern w:val="0"/>
                <w:szCs w:val="21"/>
              </w:rPr>
            </w:pPr>
            <w:r>
              <w:rPr>
                <w:rFonts w:ascii="宋体" w:hAnsi="宋体"/>
                <w:kern w:val="0"/>
                <w:szCs w:val="21"/>
              </w:rPr>
              <w:t>187371</w:t>
            </w:r>
          </w:p>
        </w:tc>
        <w:tc>
          <w:tcPr>
            <w:tcW w:w="1251" w:type="pct"/>
            <w:vAlign w:val="center"/>
          </w:tcPr>
          <w:p w14:paraId="1EE12814">
            <w:pPr>
              <w:pStyle w:val="23"/>
              <w:jc w:val="center"/>
              <w:rPr>
                <w:rFonts w:ascii="宋体" w:hAnsi="宋体"/>
                <w:kern w:val="0"/>
                <w:szCs w:val="21"/>
              </w:rPr>
            </w:pPr>
            <w:r>
              <w:rPr>
                <w:rFonts w:ascii="宋体" w:hAnsi="宋体"/>
                <w:kern w:val="0"/>
                <w:szCs w:val="21"/>
              </w:rPr>
              <w:t>25.4</w:t>
            </w:r>
          </w:p>
        </w:tc>
      </w:tr>
      <w:tr w14:paraId="099F59F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461" w:type="pct"/>
            <w:vAlign w:val="center"/>
          </w:tcPr>
          <w:p w14:paraId="775E624F">
            <w:pPr>
              <w:pStyle w:val="23"/>
              <w:ind w:firstLine="210" w:firstLineChars="100"/>
              <w:rPr>
                <w:rFonts w:ascii="宋体" w:hAnsi="宋体"/>
                <w:kern w:val="0"/>
                <w:szCs w:val="21"/>
              </w:rPr>
            </w:pPr>
            <w:r>
              <w:rPr>
                <w:rFonts w:ascii="宋体" w:hAnsi="宋体"/>
                <w:kern w:val="0"/>
                <w:szCs w:val="21"/>
              </w:rPr>
              <w:t>其中：短期贷款</w:t>
            </w:r>
          </w:p>
        </w:tc>
        <w:tc>
          <w:tcPr>
            <w:tcW w:w="1039" w:type="pct"/>
            <w:vAlign w:val="center"/>
          </w:tcPr>
          <w:p w14:paraId="5970D332">
            <w:pPr>
              <w:pStyle w:val="23"/>
              <w:jc w:val="center"/>
              <w:rPr>
                <w:rFonts w:ascii="宋体" w:hAnsi="宋体"/>
                <w:kern w:val="0"/>
                <w:szCs w:val="21"/>
              </w:rPr>
            </w:pPr>
            <w:r>
              <w:rPr>
                <w:rFonts w:ascii="宋体" w:hAnsi="宋体"/>
                <w:kern w:val="0"/>
                <w:szCs w:val="21"/>
              </w:rPr>
              <w:t>万元</w:t>
            </w:r>
          </w:p>
        </w:tc>
        <w:tc>
          <w:tcPr>
            <w:tcW w:w="1249" w:type="pct"/>
            <w:vAlign w:val="center"/>
          </w:tcPr>
          <w:p w14:paraId="390F3B44">
            <w:pPr>
              <w:pStyle w:val="23"/>
              <w:jc w:val="center"/>
              <w:rPr>
                <w:rFonts w:ascii="宋体" w:hAnsi="宋体"/>
                <w:kern w:val="0"/>
                <w:szCs w:val="21"/>
              </w:rPr>
            </w:pPr>
            <w:r>
              <w:rPr>
                <w:rFonts w:ascii="宋体" w:hAnsi="宋体"/>
                <w:kern w:val="0"/>
                <w:szCs w:val="21"/>
              </w:rPr>
              <w:t>39476</w:t>
            </w:r>
          </w:p>
        </w:tc>
        <w:tc>
          <w:tcPr>
            <w:tcW w:w="1251" w:type="pct"/>
            <w:vAlign w:val="center"/>
          </w:tcPr>
          <w:p w14:paraId="237235F5">
            <w:pPr>
              <w:pStyle w:val="23"/>
              <w:jc w:val="center"/>
              <w:rPr>
                <w:rFonts w:ascii="宋体" w:hAnsi="宋体"/>
                <w:kern w:val="0"/>
                <w:szCs w:val="21"/>
              </w:rPr>
            </w:pPr>
            <w:r>
              <w:rPr>
                <w:rFonts w:ascii="宋体" w:hAnsi="宋体"/>
                <w:kern w:val="0"/>
                <w:szCs w:val="21"/>
              </w:rPr>
              <w:t>19.8</w:t>
            </w:r>
          </w:p>
        </w:tc>
      </w:tr>
      <w:tr w14:paraId="4F8B717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461" w:type="pct"/>
            <w:vAlign w:val="center"/>
          </w:tcPr>
          <w:p w14:paraId="629F5060">
            <w:pPr>
              <w:pStyle w:val="23"/>
              <w:ind w:firstLine="840" w:firstLineChars="400"/>
              <w:rPr>
                <w:rFonts w:ascii="宋体" w:hAnsi="宋体"/>
                <w:kern w:val="0"/>
                <w:szCs w:val="21"/>
              </w:rPr>
            </w:pPr>
            <w:r>
              <w:rPr>
                <w:rFonts w:ascii="宋体" w:hAnsi="宋体"/>
                <w:kern w:val="0"/>
                <w:szCs w:val="21"/>
              </w:rPr>
              <w:t>中长期贷款</w:t>
            </w:r>
          </w:p>
        </w:tc>
        <w:tc>
          <w:tcPr>
            <w:tcW w:w="1039" w:type="pct"/>
            <w:vAlign w:val="center"/>
          </w:tcPr>
          <w:p w14:paraId="29F2AD65">
            <w:pPr>
              <w:pStyle w:val="23"/>
              <w:jc w:val="center"/>
              <w:rPr>
                <w:rFonts w:ascii="宋体" w:hAnsi="宋体"/>
                <w:kern w:val="0"/>
                <w:szCs w:val="21"/>
              </w:rPr>
            </w:pPr>
            <w:r>
              <w:rPr>
                <w:rFonts w:ascii="宋体" w:hAnsi="宋体"/>
                <w:kern w:val="0"/>
                <w:szCs w:val="21"/>
              </w:rPr>
              <w:t>万元</w:t>
            </w:r>
          </w:p>
        </w:tc>
        <w:tc>
          <w:tcPr>
            <w:tcW w:w="1249" w:type="pct"/>
            <w:vAlign w:val="center"/>
          </w:tcPr>
          <w:p w14:paraId="4EC5AD65">
            <w:pPr>
              <w:pStyle w:val="23"/>
              <w:jc w:val="center"/>
              <w:rPr>
                <w:rFonts w:ascii="宋体" w:hAnsi="宋体"/>
                <w:kern w:val="0"/>
                <w:szCs w:val="21"/>
              </w:rPr>
            </w:pPr>
            <w:r>
              <w:rPr>
                <w:rFonts w:ascii="宋体" w:hAnsi="宋体"/>
                <w:kern w:val="0"/>
                <w:szCs w:val="21"/>
              </w:rPr>
              <w:t>147895</w:t>
            </w:r>
          </w:p>
        </w:tc>
        <w:tc>
          <w:tcPr>
            <w:tcW w:w="1251" w:type="pct"/>
            <w:vAlign w:val="center"/>
          </w:tcPr>
          <w:p w14:paraId="1E903243">
            <w:pPr>
              <w:pStyle w:val="23"/>
              <w:jc w:val="center"/>
              <w:rPr>
                <w:rFonts w:ascii="宋体" w:hAnsi="宋体"/>
                <w:kern w:val="0"/>
                <w:szCs w:val="21"/>
              </w:rPr>
            </w:pPr>
            <w:r>
              <w:rPr>
                <w:rFonts w:ascii="宋体" w:hAnsi="宋体"/>
                <w:kern w:val="0"/>
                <w:szCs w:val="21"/>
              </w:rPr>
              <w:t>27</w:t>
            </w:r>
          </w:p>
        </w:tc>
      </w:tr>
    </w:tbl>
    <w:p w14:paraId="42A4953F">
      <w:pPr>
        <w:ind w:firstLine="0" w:firstLineChars="0"/>
        <w:jc w:val="center"/>
        <w:rPr>
          <w:rFonts w:ascii="宋体" w:hAnsi="宋体"/>
          <w:b/>
          <w:szCs w:val="21"/>
        </w:rPr>
      </w:pPr>
      <w:r>
        <w:rPr>
          <w:rFonts w:hint="eastAsia" w:ascii="宋体" w:hAnsi="宋体"/>
          <w:b/>
          <w:szCs w:val="21"/>
        </w:rPr>
        <w:t>表82 社会消费品零售总额</w:t>
      </w:r>
    </w:p>
    <w:tbl>
      <w:tblPr>
        <w:tblStyle w:val="14"/>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30" w:type="dxa"/>
          <w:bottom w:w="0" w:type="dxa"/>
          <w:right w:w="30" w:type="dxa"/>
        </w:tblCellMar>
      </w:tblPr>
      <w:tblGrid>
        <w:gridCol w:w="3291"/>
        <w:gridCol w:w="2126"/>
        <w:gridCol w:w="2410"/>
        <w:gridCol w:w="1979"/>
      </w:tblGrid>
      <w:tr w14:paraId="0C2435C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678" w:type="pct"/>
            <w:vAlign w:val="center"/>
          </w:tcPr>
          <w:p w14:paraId="65B67CBD">
            <w:pPr>
              <w:pStyle w:val="23"/>
              <w:jc w:val="center"/>
              <w:rPr>
                <w:rFonts w:ascii="宋体" w:hAnsi="宋体"/>
                <w:b/>
                <w:kern w:val="0"/>
                <w:szCs w:val="21"/>
              </w:rPr>
            </w:pPr>
            <w:r>
              <w:rPr>
                <w:rFonts w:ascii="宋体" w:hAnsi="宋体"/>
                <w:b/>
                <w:kern w:val="0"/>
                <w:szCs w:val="21"/>
              </w:rPr>
              <w:t>指标名称</w:t>
            </w:r>
          </w:p>
        </w:tc>
        <w:tc>
          <w:tcPr>
            <w:tcW w:w="1084" w:type="pct"/>
            <w:vAlign w:val="center"/>
          </w:tcPr>
          <w:p w14:paraId="1A8C9DA7">
            <w:pPr>
              <w:pStyle w:val="23"/>
              <w:jc w:val="center"/>
              <w:rPr>
                <w:rFonts w:ascii="宋体" w:hAnsi="宋体"/>
                <w:b/>
                <w:kern w:val="0"/>
                <w:szCs w:val="21"/>
              </w:rPr>
            </w:pPr>
            <w:r>
              <w:rPr>
                <w:rFonts w:ascii="宋体" w:hAnsi="宋体"/>
                <w:b/>
                <w:kern w:val="0"/>
                <w:szCs w:val="21"/>
              </w:rPr>
              <w:t>计算单位</w:t>
            </w:r>
          </w:p>
        </w:tc>
        <w:tc>
          <w:tcPr>
            <w:tcW w:w="1229" w:type="pct"/>
            <w:vAlign w:val="center"/>
          </w:tcPr>
          <w:p w14:paraId="4DA84FB0">
            <w:pPr>
              <w:pStyle w:val="23"/>
              <w:jc w:val="center"/>
              <w:rPr>
                <w:rFonts w:ascii="宋体" w:hAnsi="宋体"/>
                <w:b/>
                <w:kern w:val="0"/>
                <w:szCs w:val="21"/>
              </w:rPr>
            </w:pPr>
            <w:r>
              <w:rPr>
                <w:rFonts w:ascii="宋体" w:hAnsi="宋体"/>
                <w:b/>
                <w:kern w:val="0"/>
                <w:szCs w:val="21"/>
              </w:rPr>
              <w:t>2011年</w:t>
            </w:r>
          </w:p>
        </w:tc>
        <w:tc>
          <w:tcPr>
            <w:tcW w:w="1009" w:type="pct"/>
            <w:vAlign w:val="center"/>
          </w:tcPr>
          <w:p w14:paraId="3EDD9E2A">
            <w:pPr>
              <w:pStyle w:val="23"/>
              <w:jc w:val="center"/>
              <w:rPr>
                <w:rFonts w:ascii="宋体" w:hAnsi="宋体"/>
                <w:b/>
                <w:kern w:val="0"/>
                <w:szCs w:val="21"/>
              </w:rPr>
            </w:pPr>
            <w:r>
              <w:rPr>
                <w:rFonts w:ascii="宋体" w:hAnsi="宋体"/>
                <w:b/>
                <w:kern w:val="0"/>
                <w:szCs w:val="21"/>
              </w:rPr>
              <w:t>比上年±%</w:t>
            </w:r>
          </w:p>
        </w:tc>
      </w:tr>
      <w:tr w14:paraId="14DEB90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678" w:type="pct"/>
            <w:vAlign w:val="center"/>
          </w:tcPr>
          <w:p w14:paraId="602ABBB5">
            <w:pPr>
              <w:pStyle w:val="23"/>
              <w:rPr>
                <w:rFonts w:ascii="宋体" w:hAnsi="宋体"/>
                <w:kern w:val="0"/>
                <w:szCs w:val="21"/>
              </w:rPr>
            </w:pPr>
            <w:r>
              <w:rPr>
                <w:rFonts w:ascii="宋体" w:hAnsi="宋体"/>
                <w:kern w:val="0"/>
                <w:szCs w:val="21"/>
              </w:rPr>
              <w:t>社会消费品零售总额</w:t>
            </w:r>
          </w:p>
        </w:tc>
        <w:tc>
          <w:tcPr>
            <w:tcW w:w="1084" w:type="pct"/>
            <w:vAlign w:val="center"/>
          </w:tcPr>
          <w:p w14:paraId="5260690B">
            <w:pPr>
              <w:pStyle w:val="23"/>
              <w:jc w:val="center"/>
              <w:rPr>
                <w:rFonts w:ascii="宋体" w:hAnsi="宋体"/>
                <w:kern w:val="0"/>
                <w:szCs w:val="21"/>
              </w:rPr>
            </w:pPr>
            <w:r>
              <w:rPr>
                <w:rFonts w:ascii="宋体" w:hAnsi="宋体"/>
                <w:kern w:val="0"/>
                <w:szCs w:val="21"/>
              </w:rPr>
              <w:t>284092</w:t>
            </w:r>
          </w:p>
        </w:tc>
        <w:tc>
          <w:tcPr>
            <w:tcW w:w="1229" w:type="pct"/>
            <w:vAlign w:val="center"/>
          </w:tcPr>
          <w:p w14:paraId="521246BA">
            <w:pPr>
              <w:pStyle w:val="23"/>
              <w:jc w:val="center"/>
              <w:rPr>
                <w:rFonts w:ascii="宋体" w:hAnsi="宋体"/>
                <w:kern w:val="0"/>
                <w:szCs w:val="21"/>
              </w:rPr>
            </w:pPr>
            <w:r>
              <w:rPr>
                <w:rFonts w:ascii="宋体" w:hAnsi="宋体"/>
                <w:kern w:val="0"/>
                <w:szCs w:val="21"/>
              </w:rPr>
              <w:t>245345</w:t>
            </w:r>
          </w:p>
        </w:tc>
        <w:tc>
          <w:tcPr>
            <w:tcW w:w="1009" w:type="pct"/>
            <w:vAlign w:val="center"/>
          </w:tcPr>
          <w:p w14:paraId="511FE33F">
            <w:pPr>
              <w:pStyle w:val="23"/>
              <w:jc w:val="center"/>
              <w:rPr>
                <w:rFonts w:ascii="宋体" w:hAnsi="宋体"/>
                <w:kern w:val="0"/>
                <w:szCs w:val="21"/>
              </w:rPr>
            </w:pPr>
            <w:r>
              <w:rPr>
                <w:rFonts w:ascii="宋体" w:hAnsi="宋体"/>
                <w:kern w:val="0"/>
                <w:szCs w:val="21"/>
              </w:rPr>
              <w:t>15.8</w:t>
            </w:r>
          </w:p>
        </w:tc>
      </w:tr>
      <w:tr w14:paraId="082E627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678" w:type="pct"/>
            <w:vAlign w:val="center"/>
          </w:tcPr>
          <w:p w14:paraId="6C7818F2">
            <w:pPr>
              <w:pStyle w:val="23"/>
              <w:rPr>
                <w:rFonts w:ascii="宋体" w:hAnsi="宋体"/>
                <w:kern w:val="0"/>
                <w:szCs w:val="21"/>
              </w:rPr>
            </w:pPr>
            <w:r>
              <w:rPr>
                <w:rFonts w:ascii="宋体" w:hAnsi="宋体"/>
                <w:kern w:val="0"/>
                <w:szCs w:val="21"/>
              </w:rPr>
              <w:t>一、按销售单位所在地分组</w:t>
            </w:r>
          </w:p>
        </w:tc>
        <w:tc>
          <w:tcPr>
            <w:tcW w:w="1084" w:type="pct"/>
            <w:vAlign w:val="center"/>
          </w:tcPr>
          <w:p w14:paraId="20B34362">
            <w:pPr>
              <w:pStyle w:val="23"/>
              <w:jc w:val="center"/>
              <w:rPr>
                <w:rFonts w:ascii="宋体" w:hAnsi="宋体"/>
                <w:kern w:val="0"/>
                <w:szCs w:val="21"/>
              </w:rPr>
            </w:pPr>
          </w:p>
        </w:tc>
        <w:tc>
          <w:tcPr>
            <w:tcW w:w="1229" w:type="pct"/>
            <w:vAlign w:val="center"/>
          </w:tcPr>
          <w:p w14:paraId="4DC42250">
            <w:pPr>
              <w:pStyle w:val="23"/>
              <w:jc w:val="center"/>
              <w:rPr>
                <w:rFonts w:ascii="宋体" w:hAnsi="宋体"/>
                <w:kern w:val="0"/>
                <w:szCs w:val="21"/>
              </w:rPr>
            </w:pPr>
          </w:p>
        </w:tc>
        <w:tc>
          <w:tcPr>
            <w:tcW w:w="1009" w:type="pct"/>
            <w:vAlign w:val="center"/>
          </w:tcPr>
          <w:p w14:paraId="3DE6396C">
            <w:pPr>
              <w:pStyle w:val="23"/>
              <w:jc w:val="center"/>
              <w:rPr>
                <w:rFonts w:ascii="宋体" w:hAnsi="宋体"/>
                <w:kern w:val="0"/>
                <w:szCs w:val="21"/>
              </w:rPr>
            </w:pPr>
          </w:p>
        </w:tc>
      </w:tr>
      <w:tr w14:paraId="44FFB2C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678" w:type="pct"/>
            <w:vAlign w:val="center"/>
          </w:tcPr>
          <w:p w14:paraId="4418BF2B">
            <w:pPr>
              <w:pStyle w:val="23"/>
              <w:ind w:firstLine="420" w:firstLineChars="200"/>
              <w:rPr>
                <w:rFonts w:ascii="宋体" w:hAnsi="宋体"/>
                <w:kern w:val="0"/>
                <w:szCs w:val="21"/>
              </w:rPr>
            </w:pPr>
            <w:r>
              <w:rPr>
                <w:rFonts w:ascii="宋体" w:hAnsi="宋体"/>
                <w:kern w:val="0"/>
                <w:szCs w:val="21"/>
              </w:rPr>
              <w:t>1、城市</w:t>
            </w:r>
          </w:p>
        </w:tc>
        <w:tc>
          <w:tcPr>
            <w:tcW w:w="1084" w:type="pct"/>
            <w:vAlign w:val="center"/>
          </w:tcPr>
          <w:p w14:paraId="6F391491">
            <w:pPr>
              <w:pStyle w:val="23"/>
              <w:jc w:val="center"/>
              <w:rPr>
                <w:rFonts w:ascii="宋体" w:hAnsi="宋体"/>
                <w:kern w:val="0"/>
                <w:szCs w:val="21"/>
              </w:rPr>
            </w:pPr>
            <w:r>
              <w:rPr>
                <w:rFonts w:ascii="宋体" w:hAnsi="宋体"/>
                <w:kern w:val="0"/>
                <w:szCs w:val="21"/>
              </w:rPr>
              <w:t>164635</w:t>
            </w:r>
          </w:p>
        </w:tc>
        <w:tc>
          <w:tcPr>
            <w:tcW w:w="1229" w:type="pct"/>
            <w:vAlign w:val="center"/>
          </w:tcPr>
          <w:p w14:paraId="62888B30">
            <w:pPr>
              <w:pStyle w:val="23"/>
              <w:jc w:val="center"/>
              <w:rPr>
                <w:rFonts w:ascii="宋体" w:hAnsi="宋体"/>
                <w:kern w:val="0"/>
                <w:szCs w:val="21"/>
              </w:rPr>
            </w:pPr>
            <w:r>
              <w:rPr>
                <w:rFonts w:ascii="宋体" w:hAnsi="宋体"/>
                <w:kern w:val="0"/>
                <w:szCs w:val="21"/>
              </w:rPr>
              <w:t>141838</w:t>
            </w:r>
          </w:p>
        </w:tc>
        <w:tc>
          <w:tcPr>
            <w:tcW w:w="1009" w:type="pct"/>
            <w:vAlign w:val="center"/>
          </w:tcPr>
          <w:p w14:paraId="1DFD94C2">
            <w:pPr>
              <w:pStyle w:val="23"/>
              <w:jc w:val="center"/>
              <w:rPr>
                <w:rFonts w:ascii="宋体" w:hAnsi="宋体"/>
                <w:kern w:val="0"/>
                <w:szCs w:val="21"/>
              </w:rPr>
            </w:pPr>
            <w:r>
              <w:rPr>
                <w:rFonts w:ascii="宋体" w:hAnsi="宋体"/>
                <w:kern w:val="0"/>
                <w:szCs w:val="21"/>
              </w:rPr>
              <w:t>16.1</w:t>
            </w:r>
          </w:p>
        </w:tc>
      </w:tr>
      <w:tr w14:paraId="0286C95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678" w:type="pct"/>
            <w:vAlign w:val="center"/>
          </w:tcPr>
          <w:p w14:paraId="4B3EFA89">
            <w:pPr>
              <w:pStyle w:val="23"/>
              <w:ind w:firstLine="420" w:firstLineChars="200"/>
              <w:rPr>
                <w:rFonts w:ascii="宋体" w:hAnsi="宋体"/>
                <w:kern w:val="0"/>
                <w:szCs w:val="21"/>
              </w:rPr>
            </w:pPr>
            <w:r>
              <w:rPr>
                <w:rFonts w:ascii="宋体" w:hAnsi="宋体"/>
                <w:kern w:val="0"/>
                <w:szCs w:val="21"/>
              </w:rPr>
              <w:t>2、乡村</w:t>
            </w:r>
          </w:p>
        </w:tc>
        <w:tc>
          <w:tcPr>
            <w:tcW w:w="1084" w:type="pct"/>
            <w:vAlign w:val="center"/>
          </w:tcPr>
          <w:p w14:paraId="3D2F27ED">
            <w:pPr>
              <w:pStyle w:val="23"/>
              <w:jc w:val="center"/>
              <w:rPr>
                <w:rFonts w:ascii="宋体" w:hAnsi="宋体"/>
                <w:kern w:val="0"/>
                <w:szCs w:val="21"/>
              </w:rPr>
            </w:pPr>
            <w:r>
              <w:rPr>
                <w:rFonts w:ascii="宋体" w:hAnsi="宋体"/>
                <w:kern w:val="0"/>
                <w:szCs w:val="21"/>
              </w:rPr>
              <w:t>119457</w:t>
            </w:r>
          </w:p>
        </w:tc>
        <w:tc>
          <w:tcPr>
            <w:tcW w:w="1229" w:type="pct"/>
            <w:vAlign w:val="center"/>
          </w:tcPr>
          <w:p w14:paraId="289A853A">
            <w:pPr>
              <w:pStyle w:val="23"/>
              <w:jc w:val="center"/>
              <w:rPr>
                <w:rFonts w:ascii="宋体" w:hAnsi="宋体"/>
                <w:kern w:val="0"/>
                <w:szCs w:val="21"/>
              </w:rPr>
            </w:pPr>
            <w:r>
              <w:rPr>
                <w:rFonts w:ascii="宋体" w:hAnsi="宋体"/>
                <w:kern w:val="0"/>
                <w:szCs w:val="21"/>
              </w:rPr>
              <w:t>103507</w:t>
            </w:r>
          </w:p>
        </w:tc>
        <w:tc>
          <w:tcPr>
            <w:tcW w:w="1009" w:type="pct"/>
            <w:vAlign w:val="center"/>
          </w:tcPr>
          <w:p w14:paraId="739D3897">
            <w:pPr>
              <w:pStyle w:val="23"/>
              <w:jc w:val="center"/>
              <w:rPr>
                <w:rFonts w:ascii="宋体" w:hAnsi="宋体"/>
                <w:kern w:val="0"/>
                <w:szCs w:val="21"/>
              </w:rPr>
            </w:pPr>
            <w:r>
              <w:rPr>
                <w:rFonts w:ascii="宋体" w:hAnsi="宋体"/>
                <w:kern w:val="0"/>
                <w:szCs w:val="21"/>
              </w:rPr>
              <w:t>15.4</w:t>
            </w:r>
          </w:p>
        </w:tc>
      </w:tr>
      <w:tr w14:paraId="6EA995E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678" w:type="pct"/>
            <w:vAlign w:val="center"/>
          </w:tcPr>
          <w:p w14:paraId="40B05237">
            <w:pPr>
              <w:pStyle w:val="23"/>
              <w:rPr>
                <w:rFonts w:ascii="宋体" w:hAnsi="宋体"/>
                <w:kern w:val="0"/>
                <w:szCs w:val="21"/>
              </w:rPr>
            </w:pPr>
            <w:r>
              <w:rPr>
                <w:rFonts w:ascii="宋体" w:hAnsi="宋体"/>
                <w:kern w:val="0"/>
                <w:szCs w:val="21"/>
              </w:rPr>
              <w:t>二、按行业分组</w:t>
            </w:r>
          </w:p>
        </w:tc>
        <w:tc>
          <w:tcPr>
            <w:tcW w:w="1084" w:type="pct"/>
            <w:vAlign w:val="center"/>
          </w:tcPr>
          <w:p w14:paraId="5601EA40">
            <w:pPr>
              <w:pStyle w:val="23"/>
              <w:jc w:val="center"/>
              <w:rPr>
                <w:rFonts w:ascii="宋体" w:hAnsi="宋体"/>
                <w:kern w:val="0"/>
                <w:szCs w:val="21"/>
              </w:rPr>
            </w:pPr>
          </w:p>
        </w:tc>
        <w:tc>
          <w:tcPr>
            <w:tcW w:w="1229" w:type="pct"/>
            <w:vAlign w:val="center"/>
          </w:tcPr>
          <w:p w14:paraId="483133A2">
            <w:pPr>
              <w:pStyle w:val="23"/>
              <w:jc w:val="center"/>
              <w:rPr>
                <w:rFonts w:ascii="宋体" w:hAnsi="宋体"/>
                <w:kern w:val="0"/>
                <w:szCs w:val="21"/>
              </w:rPr>
            </w:pPr>
          </w:p>
        </w:tc>
        <w:tc>
          <w:tcPr>
            <w:tcW w:w="1009" w:type="pct"/>
            <w:vAlign w:val="center"/>
          </w:tcPr>
          <w:p w14:paraId="7A23027B">
            <w:pPr>
              <w:pStyle w:val="23"/>
              <w:jc w:val="center"/>
              <w:rPr>
                <w:rFonts w:ascii="宋体" w:hAnsi="宋体"/>
                <w:kern w:val="0"/>
                <w:szCs w:val="21"/>
              </w:rPr>
            </w:pPr>
          </w:p>
        </w:tc>
      </w:tr>
      <w:tr w14:paraId="2052101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678" w:type="pct"/>
            <w:vAlign w:val="center"/>
          </w:tcPr>
          <w:p w14:paraId="733F963F">
            <w:pPr>
              <w:pStyle w:val="23"/>
              <w:ind w:firstLine="420" w:firstLineChars="200"/>
              <w:rPr>
                <w:rFonts w:ascii="宋体" w:hAnsi="宋体"/>
                <w:kern w:val="0"/>
                <w:szCs w:val="21"/>
              </w:rPr>
            </w:pPr>
            <w:r>
              <w:rPr>
                <w:rFonts w:ascii="宋体" w:hAnsi="宋体"/>
                <w:kern w:val="0"/>
                <w:szCs w:val="21"/>
              </w:rPr>
              <w:t>1、批发业</w:t>
            </w:r>
          </w:p>
        </w:tc>
        <w:tc>
          <w:tcPr>
            <w:tcW w:w="1084" w:type="pct"/>
            <w:vAlign w:val="center"/>
          </w:tcPr>
          <w:p w14:paraId="4F28B062">
            <w:pPr>
              <w:pStyle w:val="23"/>
              <w:jc w:val="center"/>
              <w:rPr>
                <w:rFonts w:ascii="宋体" w:hAnsi="宋体"/>
                <w:kern w:val="0"/>
                <w:szCs w:val="21"/>
              </w:rPr>
            </w:pPr>
            <w:r>
              <w:rPr>
                <w:rFonts w:ascii="宋体" w:hAnsi="宋体"/>
                <w:kern w:val="0"/>
                <w:szCs w:val="21"/>
              </w:rPr>
              <w:t>5914</w:t>
            </w:r>
          </w:p>
        </w:tc>
        <w:tc>
          <w:tcPr>
            <w:tcW w:w="1229" w:type="pct"/>
            <w:vAlign w:val="center"/>
          </w:tcPr>
          <w:p w14:paraId="3F3B0372">
            <w:pPr>
              <w:pStyle w:val="23"/>
              <w:jc w:val="center"/>
              <w:rPr>
                <w:rFonts w:ascii="宋体" w:hAnsi="宋体"/>
                <w:kern w:val="0"/>
                <w:szCs w:val="21"/>
              </w:rPr>
            </w:pPr>
            <w:r>
              <w:rPr>
                <w:rFonts w:ascii="宋体" w:hAnsi="宋体"/>
                <w:kern w:val="0"/>
                <w:szCs w:val="21"/>
              </w:rPr>
              <w:t>5087</w:t>
            </w:r>
          </w:p>
        </w:tc>
        <w:tc>
          <w:tcPr>
            <w:tcW w:w="1009" w:type="pct"/>
            <w:vAlign w:val="center"/>
          </w:tcPr>
          <w:p w14:paraId="7749B379">
            <w:pPr>
              <w:pStyle w:val="23"/>
              <w:jc w:val="center"/>
              <w:rPr>
                <w:rFonts w:ascii="宋体" w:hAnsi="宋体"/>
                <w:kern w:val="0"/>
                <w:szCs w:val="21"/>
              </w:rPr>
            </w:pPr>
            <w:r>
              <w:rPr>
                <w:rFonts w:ascii="宋体" w:hAnsi="宋体"/>
                <w:kern w:val="0"/>
                <w:szCs w:val="21"/>
              </w:rPr>
              <w:t>16.3</w:t>
            </w:r>
          </w:p>
        </w:tc>
      </w:tr>
      <w:tr w14:paraId="540AF9F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678" w:type="pct"/>
            <w:vAlign w:val="center"/>
          </w:tcPr>
          <w:p w14:paraId="724675B2">
            <w:pPr>
              <w:pStyle w:val="23"/>
              <w:ind w:firstLine="420" w:firstLineChars="200"/>
              <w:rPr>
                <w:rFonts w:ascii="宋体" w:hAnsi="宋体"/>
                <w:kern w:val="0"/>
                <w:szCs w:val="21"/>
              </w:rPr>
            </w:pPr>
            <w:r>
              <w:rPr>
                <w:rFonts w:ascii="宋体" w:hAnsi="宋体"/>
                <w:kern w:val="0"/>
                <w:szCs w:val="21"/>
              </w:rPr>
              <w:t>2、零售业</w:t>
            </w:r>
          </w:p>
        </w:tc>
        <w:tc>
          <w:tcPr>
            <w:tcW w:w="1084" w:type="pct"/>
            <w:vAlign w:val="center"/>
          </w:tcPr>
          <w:p w14:paraId="387BD0C3">
            <w:pPr>
              <w:pStyle w:val="23"/>
              <w:jc w:val="center"/>
              <w:rPr>
                <w:rFonts w:ascii="宋体" w:hAnsi="宋体"/>
                <w:kern w:val="0"/>
                <w:szCs w:val="21"/>
              </w:rPr>
            </w:pPr>
            <w:r>
              <w:rPr>
                <w:rFonts w:ascii="宋体" w:hAnsi="宋体"/>
                <w:kern w:val="0"/>
                <w:szCs w:val="21"/>
              </w:rPr>
              <w:t>245889</w:t>
            </w:r>
          </w:p>
        </w:tc>
        <w:tc>
          <w:tcPr>
            <w:tcW w:w="1229" w:type="pct"/>
            <w:vAlign w:val="center"/>
          </w:tcPr>
          <w:p w14:paraId="77DE942C">
            <w:pPr>
              <w:pStyle w:val="23"/>
              <w:jc w:val="center"/>
              <w:rPr>
                <w:rFonts w:ascii="宋体" w:hAnsi="宋体"/>
                <w:kern w:val="0"/>
                <w:szCs w:val="21"/>
              </w:rPr>
            </w:pPr>
            <w:r>
              <w:rPr>
                <w:rFonts w:ascii="宋体" w:hAnsi="宋体"/>
                <w:kern w:val="0"/>
                <w:szCs w:val="21"/>
              </w:rPr>
              <w:t>212519</w:t>
            </w:r>
          </w:p>
        </w:tc>
        <w:tc>
          <w:tcPr>
            <w:tcW w:w="1009" w:type="pct"/>
            <w:vAlign w:val="center"/>
          </w:tcPr>
          <w:p w14:paraId="03E09CAA">
            <w:pPr>
              <w:pStyle w:val="23"/>
              <w:jc w:val="center"/>
              <w:rPr>
                <w:rFonts w:ascii="宋体" w:hAnsi="宋体"/>
                <w:kern w:val="0"/>
                <w:szCs w:val="21"/>
              </w:rPr>
            </w:pPr>
            <w:r>
              <w:rPr>
                <w:rFonts w:ascii="宋体" w:hAnsi="宋体"/>
                <w:kern w:val="0"/>
                <w:szCs w:val="21"/>
              </w:rPr>
              <w:t>15.7</w:t>
            </w:r>
          </w:p>
        </w:tc>
      </w:tr>
      <w:tr w14:paraId="33761F2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678" w:type="pct"/>
            <w:vAlign w:val="center"/>
          </w:tcPr>
          <w:p w14:paraId="0C9B932B">
            <w:pPr>
              <w:pStyle w:val="23"/>
              <w:ind w:firstLine="420" w:firstLineChars="200"/>
              <w:rPr>
                <w:rFonts w:ascii="宋体" w:hAnsi="宋体"/>
                <w:kern w:val="0"/>
                <w:szCs w:val="21"/>
              </w:rPr>
            </w:pPr>
            <w:r>
              <w:rPr>
                <w:rFonts w:ascii="宋体" w:hAnsi="宋体"/>
                <w:kern w:val="0"/>
                <w:szCs w:val="21"/>
              </w:rPr>
              <w:t>3、住宿餐饮业</w:t>
            </w:r>
          </w:p>
        </w:tc>
        <w:tc>
          <w:tcPr>
            <w:tcW w:w="1084" w:type="pct"/>
            <w:vAlign w:val="center"/>
          </w:tcPr>
          <w:p w14:paraId="438B23D1">
            <w:pPr>
              <w:pStyle w:val="23"/>
              <w:jc w:val="center"/>
              <w:rPr>
                <w:rFonts w:ascii="宋体" w:hAnsi="宋体"/>
                <w:kern w:val="0"/>
                <w:szCs w:val="21"/>
              </w:rPr>
            </w:pPr>
            <w:r>
              <w:rPr>
                <w:rFonts w:ascii="宋体" w:hAnsi="宋体"/>
                <w:kern w:val="0"/>
                <w:szCs w:val="21"/>
              </w:rPr>
              <w:t>32289</w:t>
            </w:r>
          </w:p>
        </w:tc>
        <w:tc>
          <w:tcPr>
            <w:tcW w:w="1229" w:type="pct"/>
            <w:vAlign w:val="center"/>
          </w:tcPr>
          <w:p w14:paraId="452B7FEF">
            <w:pPr>
              <w:pStyle w:val="23"/>
              <w:jc w:val="center"/>
              <w:rPr>
                <w:rFonts w:ascii="宋体" w:hAnsi="宋体"/>
                <w:kern w:val="0"/>
                <w:szCs w:val="21"/>
              </w:rPr>
            </w:pPr>
            <w:r>
              <w:rPr>
                <w:rFonts w:ascii="宋体" w:hAnsi="宋体"/>
                <w:kern w:val="0"/>
                <w:szCs w:val="21"/>
              </w:rPr>
              <w:t>27739</w:t>
            </w:r>
          </w:p>
        </w:tc>
        <w:tc>
          <w:tcPr>
            <w:tcW w:w="1009" w:type="pct"/>
            <w:vAlign w:val="center"/>
          </w:tcPr>
          <w:p w14:paraId="04871EAB">
            <w:pPr>
              <w:pStyle w:val="23"/>
              <w:jc w:val="center"/>
              <w:rPr>
                <w:rFonts w:ascii="宋体" w:hAnsi="宋体"/>
                <w:kern w:val="0"/>
                <w:szCs w:val="21"/>
              </w:rPr>
            </w:pPr>
            <w:r>
              <w:rPr>
                <w:rFonts w:ascii="宋体" w:hAnsi="宋体"/>
                <w:kern w:val="0"/>
                <w:szCs w:val="21"/>
              </w:rPr>
              <w:t>16.4</w:t>
            </w:r>
          </w:p>
        </w:tc>
      </w:tr>
      <w:tr w14:paraId="7A122FF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678" w:type="pct"/>
            <w:vAlign w:val="center"/>
          </w:tcPr>
          <w:p w14:paraId="5DD37549">
            <w:pPr>
              <w:pStyle w:val="23"/>
              <w:rPr>
                <w:rFonts w:ascii="宋体" w:hAnsi="宋体"/>
                <w:kern w:val="0"/>
                <w:szCs w:val="21"/>
              </w:rPr>
            </w:pPr>
            <w:r>
              <w:rPr>
                <w:rFonts w:ascii="宋体" w:hAnsi="宋体"/>
                <w:kern w:val="0"/>
                <w:szCs w:val="21"/>
              </w:rPr>
              <w:t>其中</w:t>
            </w:r>
            <w:r>
              <w:rPr>
                <w:rFonts w:hint="eastAsia" w:ascii="宋体" w:hAnsi="宋体"/>
                <w:kern w:val="0"/>
                <w:szCs w:val="21"/>
              </w:rPr>
              <w:t>：（1）</w:t>
            </w:r>
            <w:r>
              <w:rPr>
                <w:rFonts w:ascii="宋体" w:hAnsi="宋体"/>
                <w:kern w:val="0"/>
                <w:szCs w:val="21"/>
              </w:rPr>
              <w:t>星级宾馆</w:t>
            </w:r>
          </w:p>
        </w:tc>
        <w:tc>
          <w:tcPr>
            <w:tcW w:w="1084" w:type="pct"/>
            <w:vAlign w:val="center"/>
          </w:tcPr>
          <w:p w14:paraId="211E3FFD">
            <w:pPr>
              <w:pStyle w:val="23"/>
              <w:jc w:val="center"/>
              <w:rPr>
                <w:rFonts w:ascii="宋体" w:hAnsi="宋体"/>
                <w:kern w:val="0"/>
                <w:szCs w:val="21"/>
              </w:rPr>
            </w:pPr>
            <w:r>
              <w:rPr>
                <w:rFonts w:ascii="宋体" w:hAnsi="宋体"/>
                <w:kern w:val="0"/>
                <w:szCs w:val="21"/>
              </w:rPr>
              <w:t>2755</w:t>
            </w:r>
          </w:p>
        </w:tc>
        <w:tc>
          <w:tcPr>
            <w:tcW w:w="1229" w:type="pct"/>
            <w:vAlign w:val="center"/>
          </w:tcPr>
          <w:p w14:paraId="262418E8">
            <w:pPr>
              <w:pStyle w:val="23"/>
              <w:jc w:val="center"/>
              <w:rPr>
                <w:rFonts w:ascii="宋体" w:hAnsi="宋体"/>
                <w:kern w:val="0"/>
                <w:szCs w:val="21"/>
              </w:rPr>
            </w:pPr>
            <w:r>
              <w:rPr>
                <w:rFonts w:ascii="宋体" w:hAnsi="宋体"/>
                <w:kern w:val="0"/>
                <w:szCs w:val="21"/>
              </w:rPr>
              <w:t>2268</w:t>
            </w:r>
          </w:p>
        </w:tc>
        <w:tc>
          <w:tcPr>
            <w:tcW w:w="1009" w:type="pct"/>
            <w:vAlign w:val="center"/>
          </w:tcPr>
          <w:p w14:paraId="388A699F">
            <w:pPr>
              <w:pStyle w:val="23"/>
              <w:jc w:val="center"/>
              <w:rPr>
                <w:rFonts w:ascii="宋体" w:hAnsi="宋体"/>
                <w:kern w:val="0"/>
                <w:szCs w:val="21"/>
              </w:rPr>
            </w:pPr>
            <w:r>
              <w:rPr>
                <w:rFonts w:ascii="宋体" w:hAnsi="宋体"/>
                <w:kern w:val="0"/>
                <w:szCs w:val="21"/>
              </w:rPr>
              <w:t>21.5</w:t>
            </w:r>
          </w:p>
        </w:tc>
      </w:tr>
      <w:tr w14:paraId="48B436D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678" w:type="pct"/>
            <w:vAlign w:val="center"/>
          </w:tcPr>
          <w:p w14:paraId="46FC2A8C">
            <w:pPr>
              <w:pStyle w:val="23"/>
              <w:ind w:firstLine="630" w:firstLineChars="300"/>
              <w:rPr>
                <w:rFonts w:ascii="宋体" w:hAnsi="宋体"/>
                <w:kern w:val="0"/>
                <w:szCs w:val="21"/>
              </w:rPr>
            </w:pPr>
            <w:r>
              <w:rPr>
                <w:rFonts w:hint="eastAsia" w:ascii="宋体" w:hAnsi="宋体"/>
                <w:kern w:val="0"/>
                <w:szCs w:val="21"/>
              </w:rPr>
              <w:t>（2）</w:t>
            </w:r>
            <w:r>
              <w:rPr>
                <w:rFonts w:ascii="宋体" w:hAnsi="宋体"/>
                <w:kern w:val="0"/>
                <w:szCs w:val="21"/>
              </w:rPr>
              <w:t>限额以下企业和个体户</w:t>
            </w:r>
          </w:p>
        </w:tc>
        <w:tc>
          <w:tcPr>
            <w:tcW w:w="1084" w:type="pct"/>
            <w:vAlign w:val="center"/>
          </w:tcPr>
          <w:p w14:paraId="5E5950BE">
            <w:pPr>
              <w:pStyle w:val="23"/>
              <w:jc w:val="center"/>
              <w:rPr>
                <w:rFonts w:ascii="宋体" w:hAnsi="宋体"/>
                <w:kern w:val="0"/>
                <w:szCs w:val="21"/>
              </w:rPr>
            </w:pPr>
            <w:r>
              <w:rPr>
                <w:rFonts w:ascii="宋体" w:hAnsi="宋体"/>
                <w:kern w:val="0"/>
                <w:szCs w:val="21"/>
              </w:rPr>
              <w:t>31177</w:t>
            </w:r>
          </w:p>
        </w:tc>
        <w:tc>
          <w:tcPr>
            <w:tcW w:w="1229" w:type="pct"/>
            <w:vAlign w:val="center"/>
          </w:tcPr>
          <w:p w14:paraId="36890A73">
            <w:pPr>
              <w:pStyle w:val="23"/>
              <w:jc w:val="center"/>
              <w:rPr>
                <w:rFonts w:ascii="宋体" w:hAnsi="宋体"/>
                <w:kern w:val="0"/>
                <w:szCs w:val="21"/>
              </w:rPr>
            </w:pPr>
            <w:r>
              <w:rPr>
                <w:rFonts w:ascii="宋体" w:hAnsi="宋体"/>
                <w:kern w:val="0"/>
                <w:szCs w:val="21"/>
              </w:rPr>
              <w:t>25471</w:t>
            </w:r>
          </w:p>
        </w:tc>
        <w:tc>
          <w:tcPr>
            <w:tcW w:w="1009" w:type="pct"/>
            <w:vAlign w:val="center"/>
          </w:tcPr>
          <w:p w14:paraId="7FB6CD50">
            <w:pPr>
              <w:pStyle w:val="23"/>
              <w:jc w:val="center"/>
              <w:rPr>
                <w:rFonts w:ascii="宋体" w:hAnsi="宋体"/>
                <w:kern w:val="0"/>
                <w:szCs w:val="21"/>
              </w:rPr>
            </w:pPr>
            <w:r>
              <w:rPr>
                <w:rFonts w:ascii="宋体" w:hAnsi="宋体"/>
                <w:kern w:val="0"/>
                <w:szCs w:val="21"/>
              </w:rPr>
              <w:t>22.4</w:t>
            </w:r>
          </w:p>
        </w:tc>
      </w:tr>
    </w:tbl>
    <w:p w14:paraId="32BBC68E">
      <w:pPr>
        <w:ind w:firstLine="0" w:firstLineChars="0"/>
        <w:jc w:val="center"/>
        <w:rPr>
          <w:rFonts w:ascii="宋体" w:hAnsi="宋体"/>
          <w:b/>
          <w:szCs w:val="21"/>
        </w:rPr>
      </w:pPr>
      <w:r>
        <w:rPr>
          <w:rFonts w:hint="eastAsia" w:ascii="宋体" w:hAnsi="宋体"/>
          <w:b/>
          <w:szCs w:val="21"/>
        </w:rPr>
        <w:t>表83 个体工商业基本情况</w:t>
      </w:r>
    </w:p>
    <w:tbl>
      <w:tblPr>
        <w:tblStyle w:val="14"/>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30" w:type="dxa"/>
          <w:bottom w:w="0" w:type="dxa"/>
          <w:right w:w="30" w:type="dxa"/>
        </w:tblCellMar>
      </w:tblPr>
      <w:tblGrid>
        <w:gridCol w:w="2724"/>
        <w:gridCol w:w="2179"/>
        <w:gridCol w:w="2450"/>
        <w:gridCol w:w="2453"/>
      </w:tblGrid>
      <w:tr w14:paraId="31B21DC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389" w:type="pct"/>
            <w:vAlign w:val="center"/>
          </w:tcPr>
          <w:p w14:paraId="365A7563">
            <w:pPr>
              <w:pStyle w:val="23"/>
              <w:jc w:val="center"/>
              <w:rPr>
                <w:rFonts w:ascii="宋体" w:hAnsi="宋体"/>
                <w:b/>
                <w:kern w:val="0"/>
                <w:szCs w:val="21"/>
              </w:rPr>
            </w:pPr>
            <w:r>
              <w:rPr>
                <w:rFonts w:ascii="宋体" w:hAnsi="宋体"/>
                <w:b/>
                <w:kern w:val="0"/>
                <w:szCs w:val="21"/>
              </w:rPr>
              <w:t>指标名称</w:t>
            </w:r>
          </w:p>
        </w:tc>
        <w:tc>
          <w:tcPr>
            <w:tcW w:w="1111" w:type="pct"/>
            <w:vAlign w:val="center"/>
          </w:tcPr>
          <w:p w14:paraId="140BFE8D">
            <w:pPr>
              <w:pStyle w:val="23"/>
              <w:jc w:val="center"/>
              <w:rPr>
                <w:rFonts w:ascii="宋体" w:hAnsi="宋体"/>
                <w:b/>
                <w:kern w:val="0"/>
                <w:szCs w:val="21"/>
              </w:rPr>
            </w:pPr>
            <w:r>
              <w:rPr>
                <w:rFonts w:ascii="宋体" w:hAnsi="宋体"/>
                <w:b/>
                <w:kern w:val="0"/>
                <w:szCs w:val="21"/>
              </w:rPr>
              <w:t>户数(户)</w:t>
            </w:r>
          </w:p>
        </w:tc>
        <w:tc>
          <w:tcPr>
            <w:tcW w:w="1249" w:type="pct"/>
            <w:vAlign w:val="center"/>
          </w:tcPr>
          <w:p w14:paraId="052CD5C5">
            <w:pPr>
              <w:pStyle w:val="23"/>
              <w:jc w:val="center"/>
              <w:rPr>
                <w:rFonts w:ascii="宋体" w:hAnsi="宋体"/>
                <w:b/>
                <w:kern w:val="0"/>
                <w:szCs w:val="21"/>
              </w:rPr>
            </w:pPr>
            <w:r>
              <w:rPr>
                <w:rFonts w:ascii="宋体" w:hAnsi="宋体"/>
                <w:b/>
                <w:kern w:val="0"/>
                <w:szCs w:val="21"/>
              </w:rPr>
              <w:t>其中:城镇</w:t>
            </w:r>
          </w:p>
        </w:tc>
        <w:tc>
          <w:tcPr>
            <w:tcW w:w="1251" w:type="pct"/>
            <w:vAlign w:val="center"/>
          </w:tcPr>
          <w:p w14:paraId="243D0763">
            <w:pPr>
              <w:pStyle w:val="23"/>
              <w:jc w:val="center"/>
              <w:rPr>
                <w:rFonts w:ascii="宋体" w:hAnsi="宋体"/>
                <w:b/>
                <w:kern w:val="0"/>
                <w:szCs w:val="21"/>
              </w:rPr>
            </w:pPr>
            <w:r>
              <w:rPr>
                <w:rFonts w:ascii="宋体" w:hAnsi="宋体"/>
                <w:b/>
                <w:kern w:val="0"/>
                <w:szCs w:val="21"/>
              </w:rPr>
              <w:t>从业人员(人)</w:t>
            </w:r>
          </w:p>
        </w:tc>
      </w:tr>
      <w:tr w14:paraId="18B4602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389" w:type="pct"/>
            <w:vAlign w:val="center"/>
          </w:tcPr>
          <w:p w14:paraId="0B49CA66">
            <w:pPr>
              <w:pStyle w:val="23"/>
              <w:rPr>
                <w:rFonts w:ascii="宋体" w:hAnsi="宋体"/>
                <w:kern w:val="0"/>
                <w:szCs w:val="21"/>
              </w:rPr>
            </w:pPr>
            <w:r>
              <w:rPr>
                <w:rFonts w:ascii="宋体" w:hAnsi="宋体"/>
                <w:kern w:val="0"/>
                <w:szCs w:val="21"/>
              </w:rPr>
              <w:t>合计</w:t>
            </w:r>
          </w:p>
        </w:tc>
        <w:tc>
          <w:tcPr>
            <w:tcW w:w="1111" w:type="pct"/>
            <w:vAlign w:val="center"/>
          </w:tcPr>
          <w:p w14:paraId="7E167156">
            <w:pPr>
              <w:pStyle w:val="23"/>
              <w:jc w:val="center"/>
              <w:rPr>
                <w:rFonts w:ascii="宋体" w:hAnsi="宋体"/>
                <w:kern w:val="0"/>
                <w:szCs w:val="21"/>
              </w:rPr>
            </w:pPr>
            <w:r>
              <w:rPr>
                <w:rFonts w:ascii="宋体" w:hAnsi="宋体"/>
                <w:kern w:val="0"/>
                <w:szCs w:val="21"/>
              </w:rPr>
              <w:t>10098</w:t>
            </w:r>
          </w:p>
        </w:tc>
        <w:tc>
          <w:tcPr>
            <w:tcW w:w="1249" w:type="pct"/>
            <w:vAlign w:val="center"/>
          </w:tcPr>
          <w:p w14:paraId="60F31FC6">
            <w:pPr>
              <w:pStyle w:val="23"/>
              <w:jc w:val="center"/>
              <w:rPr>
                <w:rFonts w:ascii="宋体" w:hAnsi="宋体"/>
                <w:kern w:val="0"/>
                <w:szCs w:val="21"/>
              </w:rPr>
            </w:pPr>
            <w:r>
              <w:rPr>
                <w:rFonts w:ascii="宋体" w:hAnsi="宋体"/>
                <w:kern w:val="0"/>
                <w:szCs w:val="21"/>
              </w:rPr>
              <w:t>6744</w:t>
            </w:r>
          </w:p>
        </w:tc>
        <w:tc>
          <w:tcPr>
            <w:tcW w:w="1251" w:type="pct"/>
            <w:vAlign w:val="center"/>
          </w:tcPr>
          <w:p w14:paraId="725BAC9A">
            <w:pPr>
              <w:pStyle w:val="23"/>
              <w:jc w:val="center"/>
              <w:rPr>
                <w:rFonts w:ascii="宋体" w:hAnsi="宋体"/>
                <w:kern w:val="0"/>
                <w:szCs w:val="21"/>
              </w:rPr>
            </w:pPr>
            <w:r>
              <w:rPr>
                <w:rFonts w:ascii="宋体" w:hAnsi="宋体"/>
                <w:kern w:val="0"/>
                <w:szCs w:val="21"/>
              </w:rPr>
              <w:t>12118</w:t>
            </w:r>
          </w:p>
        </w:tc>
      </w:tr>
      <w:tr w14:paraId="50E5BBC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389" w:type="pct"/>
            <w:vAlign w:val="center"/>
          </w:tcPr>
          <w:p w14:paraId="4907305E">
            <w:pPr>
              <w:pStyle w:val="23"/>
              <w:rPr>
                <w:rFonts w:ascii="宋体" w:hAnsi="宋体"/>
                <w:kern w:val="0"/>
                <w:szCs w:val="21"/>
              </w:rPr>
            </w:pPr>
            <w:r>
              <w:rPr>
                <w:rFonts w:ascii="宋体" w:hAnsi="宋体"/>
                <w:kern w:val="0"/>
                <w:szCs w:val="21"/>
              </w:rPr>
              <w:t>农、林、牧、渔业</w:t>
            </w:r>
          </w:p>
        </w:tc>
        <w:tc>
          <w:tcPr>
            <w:tcW w:w="1111" w:type="pct"/>
            <w:vAlign w:val="center"/>
          </w:tcPr>
          <w:p w14:paraId="2271F35B">
            <w:pPr>
              <w:pStyle w:val="23"/>
              <w:jc w:val="center"/>
              <w:rPr>
                <w:rFonts w:ascii="宋体" w:hAnsi="宋体"/>
                <w:kern w:val="0"/>
                <w:szCs w:val="21"/>
              </w:rPr>
            </w:pPr>
            <w:r>
              <w:rPr>
                <w:rFonts w:ascii="宋体" w:hAnsi="宋体"/>
                <w:kern w:val="0"/>
                <w:szCs w:val="21"/>
              </w:rPr>
              <w:t>129</w:t>
            </w:r>
          </w:p>
        </w:tc>
        <w:tc>
          <w:tcPr>
            <w:tcW w:w="1249" w:type="pct"/>
            <w:vAlign w:val="center"/>
          </w:tcPr>
          <w:p w14:paraId="47319893">
            <w:pPr>
              <w:pStyle w:val="23"/>
              <w:jc w:val="center"/>
              <w:rPr>
                <w:rFonts w:ascii="宋体" w:hAnsi="宋体"/>
                <w:kern w:val="0"/>
                <w:szCs w:val="21"/>
              </w:rPr>
            </w:pPr>
            <w:r>
              <w:rPr>
                <w:rFonts w:ascii="宋体" w:hAnsi="宋体"/>
                <w:kern w:val="0"/>
                <w:szCs w:val="21"/>
              </w:rPr>
              <w:t>43</w:t>
            </w:r>
          </w:p>
        </w:tc>
        <w:tc>
          <w:tcPr>
            <w:tcW w:w="1251" w:type="pct"/>
            <w:vAlign w:val="center"/>
          </w:tcPr>
          <w:p w14:paraId="0C12FC44">
            <w:pPr>
              <w:pStyle w:val="23"/>
              <w:jc w:val="center"/>
              <w:rPr>
                <w:rFonts w:ascii="宋体" w:hAnsi="宋体"/>
                <w:kern w:val="0"/>
                <w:szCs w:val="21"/>
              </w:rPr>
            </w:pPr>
            <w:r>
              <w:rPr>
                <w:rFonts w:ascii="宋体" w:hAnsi="宋体"/>
                <w:kern w:val="0"/>
                <w:szCs w:val="21"/>
              </w:rPr>
              <w:t>268</w:t>
            </w:r>
          </w:p>
        </w:tc>
      </w:tr>
      <w:tr w14:paraId="4661FD1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389" w:type="pct"/>
            <w:vAlign w:val="center"/>
          </w:tcPr>
          <w:p w14:paraId="794DE3B7">
            <w:pPr>
              <w:pStyle w:val="23"/>
              <w:rPr>
                <w:rFonts w:ascii="宋体" w:hAnsi="宋体"/>
                <w:kern w:val="0"/>
                <w:szCs w:val="21"/>
              </w:rPr>
            </w:pPr>
            <w:r>
              <w:rPr>
                <w:rFonts w:ascii="宋体" w:hAnsi="宋体"/>
                <w:kern w:val="0"/>
                <w:szCs w:val="21"/>
              </w:rPr>
              <w:t>工业</w:t>
            </w:r>
          </w:p>
        </w:tc>
        <w:tc>
          <w:tcPr>
            <w:tcW w:w="1111" w:type="pct"/>
            <w:vAlign w:val="center"/>
          </w:tcPr>
          <w:p w14:paraId="621A9223">
            <w:pPr>
              <w:pStyle w:val="23"/>
              <w:jc w:val="center"/>
              <w:rPr>
                <w:rFonts w:ascii="宋体" w:hAnsi="宋体"/>
                <w:kern w:val="0"/>
                <w:szCs w:val="21"/>
              </w:rPr>
            </w:pPr>
            <w:r>
              <w:rPr>
                <w:rFonts w:ascii="宋体" w:hAnsi="宋体"/>
                <w:kern w:val="0"/>
                <w:szCs w:val="21"/>
              </w:rPr>
              <w:t>840</w:t>
            </w:r>
          </w:p>
        </w:tc>
        <w:tc>
          <w:tcPr>
            <w:tcW w:w="1249" w:type="pct"/>
            <w:vAlign w:val="center"/>
          </w:tcPr>
          <w:p w14:paraId="47FEB49A">
            <w:pPr>
              <w:pStyle w:val="23"/>
              <w:jc w:val="center"/>
              <w:rPr>
                <w:rFonts w:ascii="宋体" w:hAnsi="宋体"/>
                <w:kern w:val="0"/>
                <w:szCs w:val="21"/>
              </w:rPr>
            </w:pPr>
            <w:r>
              <w:rPr>
                <w:rFonts w:ascii="宋体" w:hAnsi="宋体"/>
                <w:kern w:val="0"/>
                <w:szCs w:val="21"/>
              </w:rPr>
              <w:t>567</w:t>
            </w:r>
          </w:p>
        </w:tc>
        <w:tc>
          <w:tcPr>
            <w:tcW w:w="1251" w:type="pct"/>
            <w:vAlign w:val="center"/>
          </w:tcPr>
          <w:p w14:paraId="7AC37552">
            <w:pPr>
              <w:pStyle w:val="23"/>
              <w:jc w:val="center"/>
              <w:rPr>
                <w:rFonts w:ascii="宋体" w:hAnsi="宋体"/>
                <w:kern w:val="0"/>
                <w:szCs w:val="21"/>
              </w:rPr>
            </w:pPr>
            <w:r>
              <w:rPr>
                <w:rFonts w:ascii="宋体" w:hAnsi="宋体"/>
                <w:kern w:val="0"/>
                <w:szCs w:val="21"/>
              </w:rPr>
              <w:t>1496</w:t>
            </w:r>
          </w:p>
        </w:tc>
      </w:tr>
      <w:tr w14:paraId="1E80DDE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389" w:type="pct"/>
            <w:vAlign w:val="center"/>
          </w:tcPr>
          <w:p w14:paraId="5AC828FF">
            <w:pPr>
              <w:pStyle w:val="23"/>
              <w:rPr>
                <w:rFonts w:ascii="宋体" w:hAnsi="宋体"/>
                <w:kern w:val="0"/>
                <w:szCs w:val="21"/>
              </w:rPr>
            </w:pPr>
            <w:r>
              <w:rPr>
                <w:rFonts w:ascii="宋体" w:hAnsi="宋体"/>
                <w:kern w:val="0"/>
                <w:szCs w:val="21"/>
              </w:rPr>
              <w:t>建筑业</w:t>
            </w:r>
          </w:p>
        </w:tc>
        <w:tc>
          <w:tcPr>
            <w:tcW w:w="1111" w:type="pct"/>
            <w:vAlign w:val="center"/>
          </w:tcPr>
          <w:p w14:paraId="3AA2420D">
            <w:pPr>
              <w:pStyle w:val="23"/>
              <w:jc w:val="center"/>
              <w:rPr>
                <w:rFonts w:ascii="宋体" w:hAnsi="宋体"/>
                <w:kern w:val="0"/>
                <w:szCs w:val="21"/>
              </w:rPr>
            </w:pPr>
            <w:r>
              <w:rPr>
                <w:rFonts w:ascii="宋体" w:hAnsi="宋体"/>
                <w:kern w:val="0"/>
                <w:szCs w:val="21"/>
              </w:rPr>
              <w:t>49</w:t>
            </w:r>
          </w:p>
        </w:tc>
        <w:tc>
          <w:tcPr>
            <w:tcW w:w="1249" w:type="pct"/>
            <w:vAlign w:val="center"/>
          </w:tcPr>
          <w:p w14:paraId="64A57938">
            <w:pPr>
              <w:pStyle w:val="23"/>
              <w:jc w:val="center"/>
              <w:rPr>
                <w:rFonts w:ascii="宋体" w:hAnsi="宋体"/>
                <w:kern w:val="0"/>
                <w:szCs w:val="21"/>
              </w:rPr>
            </w:pPr>
            <w:r>
              <w:rPr>
                <w:rFonts w:ascii="宋体" w:hAnsi="宋体"/>
                <w:kern w:val="0"/>
                <w:szCs w:val="21"/>
              </w:rPr>
              <w:t>28</w:t>
            </w:r>
          </w:p>
        </w:tc>
        <w:tc>
          <w:tcPr>
            <w:tcW w:w="1251" w:type="pct"/>
            <w:vAlign w:val="center"/>
          </w:tcPr>
          <w:p w14:paraId="132D81B4">
            <w:pPr>
              <w:pStyle w:val="23"/>
              <w:jc w:val="center"/>
              <w:rPr>
                <w:rFonts w:ascii="宋体" w:hAnsi="宋体"/>
                <w:kern w:val="0"/>
                <w:szCs w:val="21"/>
              </w:rPr>
            </w:pPr>
            <w:r>
              <w:rPr>
                <w:rFonts w:ascii="宋体" w:hAnsi="宋体"/>
                <w:kern w:val="0"/>
                <w:szCs w:val="21"/>
              </w:rPr>
              <w:t>55</w:t>
            </w:r>
          </w:p>
        </w:tc>
      </w:tr>
      <w:tr w14:paraId="0FDE5DA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389" w:type="pct"/>
            <w:vAlign w:val="center"/>
          </w:tcPr>
          <w:p w14:paraId="0CA60CF4">
            <w:pPr>
              <w:pStyle w:val="23"/>
              <w:rPr>
                <w:rFonts w:ascii="宋体" w:hAnsi="宋体"/>
                <w:kern w:val="0"/>
                <w:szCs w:val="21"/>
              </w:rPr>
            </w:pPr>
            <w:r>
              <w:rPr>
                <w:rFonts w:ascii="宋体" w:hAnsi="宋体"/>
                <w:kern w:val="0"/>
                <w:szCs w:val="21"/>
              </w:rPr>
              <w:t>交通运输、仓储和邮政业</w:t>
            </w:r>
          </w:p>
        </w:tc>
        <w:tc>
          <w:tcPr>
            <w:tcW w:w="1111" w:type="pct"/>
            <w:vAlign w:val="center"/>
          </w:tcPr>
          <w:p w14:paraId="08F49C3E">
            <w:pPr>
              <w:pStyle w:val="23"/>
              <w:jc w:val="center"/>
              <w:rPr>
                <w:rFonts w:ascii="宋体" w:hAnsi="宋体"/>
                <w:kern w:val="0"/>
                <w:szCs w:val="21"/>
              </w:rPr>
            </w:pPr>
            <w:r>
              <w:rPr>
                <w:rFonts w:ascii="宋体" w:hAnsi="宋体"/>
                <w:kern w:val="0"/>
                <w:szCs w:val="21"/>
              </w:rPr>
              <w:t>398</w:t>
            </w:r>
          </w:p>
        </w:tc>
        <w:tc>
          <w:tcPr>
            <w:tcW w:w="1249" w:type="pct"/>
            <w:vAlign w:val="center"/>
          </w:tcPr>
          <w:p w14:paraId="011DC458">
            <w:pPr>
              <w:pStyle w:val="23"/>
              <w:jc w:val="center"/>
              <w:rPr>
                <w:rFonts w:ascii="宋体" w:hAnsi="宋体"/>
                <w:kern w:val="0"/>
                <w:szCs w:val="21"/>
              </w:rPr>
            </w:pPr>
            <w:r>
              <w:rPr>
                <w:rFonts w:ascii="宋体" w:hAnsi="宋体"/>
                <w:kern w:val="0"/>
                <w:szCs w:val="21"/>
              </w:rPr>
              <w:t>249</w:t>
            </w:r>
          </w:p>
        </w:tc>
        <w:tc>
          <w:tcPr>
            <w:tcW w:w="1251" w:type="pct"/>
            <w:vAlign w:val="center"/>
          </w:tcPr>
          <w:p w14:paraId="036F8E3D">
            <w:pPr>
              <w:pStyle w:val="23"/>
              <w:jc w:val="center"/>
              <w:rPr>
                <w:rFonts w:ascii="宋体" w:hAnsi="宋体"/>
                <w:kern w:val="0"/>
                <w:szCs w:val="21"/>
              </w:rPr>
            </w:pPr>
            <w:r>
              <w:rPr>
                <w:rFonts w:ascii="宋体" w:hAnsi="宋体"/>
                <w:kern w:val="0"/>
                <w:szCs w:val="21"/>
              </w:rPr>
              <w:t>548</w:t>
            </w:r>
          </w:p>
        </w:tc>
      </w:tr>
      <w:tr w14:paraId="5F55B97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389" w:type="pct"/>
            <w:vAlign w:val="center"/>
          </w:tcPr>
          <w:p w14:paraId="095AB6DA">
            <w:pPr>
              <w:pStyle w:val="23"/>
              <w:rPr>
                <w:rFonts w:ascii="宋体" w:hAnsi="宋体"/>
                <w:kern w:val="0"/>
                <w:szCs w:val="21"/>
              </w:rPr>
            </w:pPr>
            <w:r>
              <w:rPr>
                <w:rFonts w:ascii="宋体" w:hAnsi="宋体"/>
                <w:kern w:val="0"/>
                <w:szCs w:val="21"/>
              </w:rPr>
              <w:t>批发零售贸易、住宿餐饮业</w:t>
            </w:r>
          </w:p>
        </w:tc>
        <w:tc>
          <w:tcPr>
            <w:tcW w:w="1111" w:type="pct"/>
            <w:vAlign w:val="center"/>
          </w:tcPr>
          <w:p w14:paraId="2C42B5A6">
            <w:pPr>
              <w:pStyle w:val="23"/>
              <w:jc w:val="center"/>
              <w:rPr>
                <w:rFonts w:ascii="宋体" w:hAnsi="宋体"/>
                <w:kern w:val="0"/>
                <w:szCs w:val="21"/>
              </w:rPr>
            </w:pPr>
            <w:r>
              <w:rPr>
                <w:rFonts w:ascii="宋体" w:hAnsi="宋体"/>
                <w:kern w:val="0"/>
                <w:szCs w:val="21"/>
              </w:rPr>
              <w:t>6903</w:t>
            </w:r>
          </w:p>
        </w:tc>
        <w:tc>
          <w:tcPr>
            <w:tcW w:w="1249" w:type="pct"/>
            <w:vAlign w:val="center"/>
          </w:tcPr>
          <w:p w14:paraId="39357850">
            <w:pPr>
              <w:pStyle w:val="23"/>
              <w:jc w:val="center"/>
              <w:rPr>
                <w:rFonts w:ascii="宋体" w:hAnsi="宋体"/>
                <w:kern w:val="0"/>
                <w:szCs w:val="21"/>
              </w:rPr>
            </w:pPr>
            <w:r>
              <w:rPr>
                <w:rFonts w:ascii="宋体" w:hAnsi="宋体"/>
                <w:kern w:val="0"/>
                <w:szCs w:val="21"/>
              </w:rPr>
              <w:t>4564</w:t>
            </w:r>
          </w:p>
        </w:tc>
        <w:tc>
          <w:tcPr>
            <w:tcW w:w="1251" w:type="pct"/>
            <w:vAlign w:val="center"/>
          </w:tcPr>
          <w:p w14:paraId="36257C0B">
            <w:pPr>
              <w:pStyle w:val="23"/>
              <w:jc w:val="center"/>
              <w:rPr>
                <w:rFonts w:ascii="宋体" w:hAnsi="宋体"/>
                <w:kern w:val="0"/>
                <w:szCs w:val="21"/>
              </w:rPr>
            </w:pPr>
            <w:r>
              <w:rPr>
                <w:rFonts w:ascii="宋体" w:hAnsi="宋体"/>
                <w:kern w:val="0"/>
                <w:szCs w:val="21"/>
              </w:rPr>
              <w:t>7424</w:t>
            </w:r>
          </w:p>
        </w:tc>
      </w:tr>
      <w:tr w14:paraId="185D08F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389" w:type="pct"/>
            <w:vAlign w:val="center"/>
          </w:tcPr>
          <w:p w14:paraId="0102A747">
            <w:pPr>
              <w:pStyle w:val="23"/>
              <w:ind w:firstLine="420" w:firstLineChars="200"/>
              <w:rPr>
                <w:rFonts w:ascii="宋体" w:hAnsi="宋体"/>
                <w:kern w:val="0"/>
                <w:szCs w:val="21"/>
              </w:rPr>
            </w:pPr>
            <w:r>
              <w:rPr>
                <w:rFonts w:ascii="宋体" w:hAnsi="宋体"/>
                <w:kern w:val="0"/>
                <w:szCs w:val="21"/>
              </w:rPr>
              <w:t>其中</w:t>
            </w:r>
            <w:r>
              <w:rPr>
                <w:rFonts w:hint="eastAsia" w:ascii="宋体" w:hAnsi="宋体"/>
                <w:kern w:val="0"/>
                <w:szCs w:val="21"/>
              </w:rPr>
              <w:t>：</w:t>
            </w:r>
            <w:r>
              <w:rPr>
                <w:rFonts w:ascii="宋体" w:hAnsi="宋体"/>
                <w:kern w:val="0"/>
                <w:szCs w:val="21"/>
              </w:rPr>
              <w:t>住宿和餐饮业</w:t>
            </w:r>
          </w:p>
        </w:tc>
        <w:tc>
          <w:tcPr>
            <w:tcW w:w="1111" w:type="pct"/>
            <w:vAlign w:val="center"/>
          </w:tcPr>
          <w:p w14:paraId="5813B4EE">
            <w:pPr>
              <w:pStyle w:val="23"/>
              <w:jc w:val="center"/>
              <w:rPr>
                <w:rFonts w:ascii="宋体" w:hAnsi="宋体"/>
                <w:kern w:val="0"/>
                <w:szCs w:val="21"/>
              </w:rPr>
            </w:pPr>
            <w:r>
              <w:rPr>
                <w:rFonts w:ascii="宋体" w:hAnsi="宋体"/>
                <w:kern w:val="0"/>
                <w:szCs w:val="21"/>
              </w:rPr>
              <w:t>616</w:t>
            </w:r>
          </w:p>
        </w:tc>
        <w:tc>
          <w:tcPr>
            <w:tcW w:w="1249" w:type="pct"/>
            <w:vAlign w:val="center"/>
          </w:tcPr>
          <w:p w14:paraId="68AC5BBA">
            <w:pPr>
              <w:pStyle w:val="23"/>
              <w:jc w:val="center"/>
              <w:rPr>
                <w:rFonts w:ascii="宋体" w:hAnsi="宋体"/>
                <w:kern w:val="0"/>
                <w:szCs w:val="21"/>
              </w:rPr>
            </w:pPr>
            <w:r>
              <w:rPr>
                <w:rFonts w:ascii="宋体" w:hAnsi="宋体"/>
                <w:kern w:val="0"/>
                <w:szCs w:val="21"/>
              </w:rPr>
              <w:t>462</w:t>
            </w:r>
          </w:p>
        </w:tc>
        <w:tc>
          <w:tcPr>
            <w:tcW w:w="1251" w:type="pct"/>
            <w:vAlign w:val="center"/>
          </w:tcPr>
          <w:p w14:paraId="78CCD298">
            <w:pPr>
              <w:pStyle w:val="23"/>
              <w:jc w:val="center"/>
              <w:rPr>
                <w:rFonts w:ascii="宋体" w:hAnsi="宋体"/>
                <w:kern w:val="0"/>
                <w:szCs w:val="21"/>
              </w:rPr>
            </w:pPr>
            <w:r>
              <w:rPr>
                <w:rFonts w:ascii="宋体" w:hAnsi="宋体"/>
                <w:kern w:val="0"/>
                <w:szCs w:val="21"/>
              </w:rPr>
              <w:t>875</w:t>
            </w:r>
          </w:p>
        </w:tc>
      </w:tr>
      <w:tr w14:paraId="2AE3C4E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389" w:type="pct"/>
            <w:vAlign w:val="center"/>
          </w:tcPr>
          <w:p w14:paraId="50B0507A">
            <w:pPr>
              <w:pStyle w:val="23"/>
              <w:rPr>
                <w:rFonts w:ascii="宋体" w:hAnsi="宋体"/>
                <w:kern w:val="0"/>
                <w:szCs w:val="21"/>
              </w:rPr>
            </w:pPr>
            <w:r>
              <w:rPr>
                <w:rFonts w:ascii="宋体" w:hAnsi="宋体"/>
                <w:kern w:val="0"/>
                <w:szCs w:val="21"/>
              </w:rPr>
              <w:t>房地产业</w:t>
            </w:r>
          </w:p>
        </w:tc>
        <w:tc>
          <w:tcPr>
            <w:tcW w:w="1111" w:type="pct"/>
            <w:vAlign w:val="center"/>
          </w:tcPr>
          <w:p w14:paraId="680A4631">
            <w:pPr>
              <w:pStyle w:val="23"/>
              <w:jc w:val="center"/>
              <w:rPr>
                <w:rFonts w:ascii="宋体" w:hAnsi="宋体"/>
                <w:kern w:val="0"/>
                <w:szCs w:val="21"/>
              </w:rPr>
            </w:pPr>
            <w:r>
              <w:rPr>
                <w:rFonts w:ascii="宋体" w:hAnsi="宋体"/>
                <w:kern w:val="0"/>
                <w:szCs w:val="21"/>
              </w:rPr>
              <w:t>8</w:t>
            </w:r>
          </w:p>
        </w:tc>
        <w:tc>
          <w:tcPr>
            <w:tcW w:w="1249" w:type="pct"/>
            <w:vAlign w:val="center"/>
          </w:tcPr>
          <w:p w14:paraId="61425BD6">
            <w:pPr>
              <w:pStyle w:val="23"/>
              <w:jc w:val="center"/>
              <w:rPr>
                <w:rFonts w:ascii="宋体" w:hAnsi="宋体"/>
                <w:kern w:val="0"/>
                <w:szCs w:val="21"/>
              </w:rPr>
            </w:pPr>
            <w:r>
              <w:rPr>
                <w:rFonts w:ascii="宋体" w:hAnsi="宋体"/>
                <w:kern w:val="0"/>
                <w:szCs w:val="21"/>
              </w:rPr>
              <w:t>8</w:t>
            </w:r>
          </w:p>
        </w:tc>
        <w:tc>
          <w:tcPr>
            <w:tcW w:w="1251" w:type="pct"/>
            <w:vAlign w:val="center"/>
          </w:tcPr>
          <w:p w14:paraId="02A17576">
            <w:pPr>
              <w:pStyle w:val="23"/>
              <w:jc w:val="center"/>
              <w:rPr>
                <w:rFonts w:ascii="宋体" w:hAnsi="宋体"/>
                <w:kern w:val="0"/>
                <w:szCs w:val="21"/>
              </w:rPr>
            </w:pPr>
            <w:r>
              <w:rPr>
                <w:rFonts w:ascii="宋体" w:hAnsi="宋体"/>
                <w:kern w:val="0"/>
                <w:szCs w:val="21"/>
              </w:rPr>
              <w:t>7</w:t>
            </w:r>
          </w:p>
        </w:tc>
      </w:tr>
      <w:tr w14:paraId="358F5D2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389" w:type="pct"/>
            <w:vAlign w:val="center"/>
          </w:tcPr>
          <w:p w14:paraId="2307DBA8">
            <w:pPr>
              <w:pStyle w:val="23"/>
              <w:rPr>
                <w:rFonts w:ascii="宋体" w:hAnsi="宋体"/>
                <w:kern w:val="0"/>
                <w:szCs w:val="21"/>
              </w:rPr>
            </w:pPr>
            <w:r>
              <w:rPr>
                <w:rFonts w:ascii="宋体" w:hAnsi="宋体"/>
                <w:kern w:val="0"/>
                <w:szCs w:val="21"/>
              </w:rPr>
              <w:t>其它服务业</w:t>
            </w:r>
          </w:p>
        </w:tc>
        <w:tc>
          <w:tcPr>
            <w:tcW w:w="1111" w:type="pct"/>
            <w:vAlign w:val="center"/>
          </w:tcPr>
          <w:p w14:paraId="61B79D34">
            <w:pPr>
              <w:pStyle w:val="23"/>
              <w:jc w:val="center"/>
              <w:rPr>
                <w:rFonts w:ascii="宋体" w:hAnsi="宋体"/>
                <w:kern w:val="0"/>
                <w:szCs w:val="21"/>
              </w:rPr>
            </w:pPr>
            <w:r>
              <w:rPr>
                <w:rFonts w:ascii="宋体" w:hAnsi="宋体"/>
                <w:kern w:val="0"/>
                <w:szCs w:val="21"/>
              </w:rPr>
              <w:t>1155</w:t>
            </w:r>
          </w:p>
        </w:tc>
        <w:tc>
          <w:tcPr>
            <w:tcW w:w="1249" w:type="pct"/>
            <w:vAlign w:val="center"/>
          </w:tcPr>
          <w:p w14:paraId="204243D1">
            <w:pPr>
              <w:pStyle w:val="23"/>
              <w:jc w:val="center"/>
              <w:rPr>
                <w:rFonts w:ascii="宋体" w:hAnsi="宋体"/>
                <w:kern w:val="0"/>
                <w:szCs w:val="21"/>
              </w:rPr>
            </w:pPr>
            <w:r>
              <w:rPr>
                <w:rFonts w:ascii="宋体" w:hAnsi="宋体"/>
                <w:kern w:val="0"/>
                <w:szCs w:val="21"/>
              </w:rPr>
              <w:t>823</w:t>
            </w:r>
          </w:p>
        </w:tc>
        <w:tc>
          <w:tcPr>
            <w:tcW w:w="1251" w:type="pct"/>
            <w:vAlign w:val="center"/>
          </w:tcPr>
          <w:p w14:paraId="36F96358">
            <w:pPr>
              <w:pStyle w:val="23"/>
              <w:jc w:val="center"/>
              <w:rPr>
                <w:rFonts w:ascii="宋体" w:hAnsi="宋体"/>
                <w:kern w:val="0"/>
                <w:szCs w:val="21"/>
              </w:rPr>
            </w:pPr>
            <w:r>
              <w:rPr>
                <w:rFonts w:ascii="宋体" w:hAnsi="宋体"/>
                <w:kern w:val="0"/>
                <w:szCs w:val="21"/>
              </w:rPr>
              <w:t>1445</w:t>
            </w:r>
          </w:p>
        </w:tc>
      </w:tr>
    </w:tbl>
    <w:p w14:paraId="417C91F6">
      <w:pPr>
        <w:ind w:firstLine="0" w:firstLineChars="0"/>
        <w:jc w:val="center"/>
        <w:rPr>
          <w:rFonts w:ascii="宋体" w:hAnsi="宋体"/>
          <w:b/>
          <w:szCs w:val="21"/>
        </w:rPr>
      </w:pPr>
      <w:r>
        <w:rPr>
          <w:rFonts w:hint="eastAsia" w:ascii="宋体" w:hAnsi="宋体"/>
          <w:b/>
          <w:szCs w:val="21"/>
        </w:rPr>
        <w:t>表84 私营企业基本情况</w:t>
      </w:r>
    </w:p>
    <w:tbl>
      <w:tblPr>
        <w:tblStyle w:val="14"/>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30" w:type="dxa"/>
          <w:bottom w:w="0" w:type="dxa"/>
          <w:right w:w="30" w:type="dxa"/>
        </w:tblCellMar>
      </w:tblPr>
      <w:tblGrid>
        <w:gridCol w:w="2583"/>
        <w:gridCol w:w="2320"/>
        <w:gridCol w:w="2450"/>
        <w:gridCol w:w="2453"/>
      </w:tblGrid>
      <w:tr w14:paraId="41F45FF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317" w:type="pct"/>
            <w:vAlign w:val="center"/>
          </w:tcPr>
          <w:p w14:paraId="457506EA">
            <w:pPr>
              <w:pStyle w:val="23"/>
              <w:jc w:val="center"/>
              <w:rPr>
                <w:rFonts w:ascii="宋体" w:hAnsi="宋体"/>
                <w:b/>
                <w:kern w:val="0"/>
                <w:szCs w:val="21"/>
              </w:rPr>
            </w:pPr>
            <w:r>
              <w:rPr>
                <w:rFonts w:ascii="宋体" w:hAnsi="宋体"/>
                <w:b/>
                <w:kern w:val="0"/>
                <w:szCs w:val="21"/>
              </w:rPr>
              <w:t>指标名称</w:t>
            </w:r>
          </w:p>
        </w:tc>
        <w:tc>
          <w:tcPr>
            <w:tcW w:w="1183" w:type="pct"/>
            <w:vAlign w:val="center"/>
          </w:tcPr>
          <w:p w14:paraId="7DD5E91E">
            <w:pPr>
              <w:pStyle w:val="23"/>
              <w:jc w:val="center"/>
              <w:rPr>
                <w:rFonts w:ascii="宋体" w:hAnsi="宋体"/>
                <w:b/>
                <w:kern w:val="0"/>
                <w:szCs w:val="21"/>
              </w:rPr>
            </w:pPr>
            <w:r>
              <w:rPr>
                <w:rFonts w:ascii="宋体" w:hAnsi="宋体"/>
                <w:b/>
                <w:kern w:val="0"/>
                <w:szCs w:val="21"/>
              </w:rPr>
              <w:t>户数(户)</w:t>
            </w:r>
          </w:p>
        </w:tc>
        <w:tc>
          <w:tcPr>
            <w:tcW w:w="1249" w:type="pct"/>
            <w:vAlign w:val="center"/>
          </w:tcPr>
          <w:p w14:paraId="22003346">
            <w:pPr>
              <w:pStyle w:val="23"/>
              <w:jc w:val="center"/>
              <w:rPr>
                <w:rFonts w:ascii="宋体" w:hAnsi="宋体"/>
                <w:b/>
                <w:kern w:val="0"/>
                <w:szCs w:val="21"/>
              </w:rPr>
            </w:pPr>
            <w:r>
              <w:rPr>
                <w:rFonts w:ascii="宋体" w:hAnsi="宋体"/>
                <w:b/>
                <w:kern w:val="0"/>
                <w:szCs w:val="21"/>
              </w:rPr>
              <w:t>其中:城镇</w:t>
            </w:r>
          </w:p>
        </w:tc>
        <w:tc>
          <w:tcPr>
            <w:tcW w:w="1251" w:type="pct"/>
            <w:vAlign w:val="center"/>
          </w:tcPr>
          <w:p w14:paraId="6BAE971E">
            <w:pPr>
              <w:pStyle w:val="23"/>
              <w:jc w:val="center"/>
              <w:rPr>
                <w:rFonts w:ascii="宋体" w:hAnsi="宋体"/>
                <w:b/>
                <w:kern w:val="0"/>
                <w:szCs w:val="21"/>
              </w:rPr>
            </w:pPr>
            <w:r>
              <w:rPr>
                <w:rFonts w:ascii="宋体" w:hAnsi="宋体"/>
                <w:b/>
                <w:kern w:val="0"/>
                <w:szCs w:val="21"/>
              </w:rPr>
              <w:t>从业人员(人)</w:t>
            </w:r>
          </w:p>
        </w:tc>
      </w:tr>
      <w:tr w14:paraId="4B2B707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317" w:type="pct"/>
            <w:vAlign w:val="center"/>
          </w:tcPr>
          <w:p w14:paraId="2753DF64">
            <w:pPr>
              <w:pStyle w:val="23"/>
              <w:rPr>
                <w:rFonts w:ascii="宋体" w:hAnsi="宋体"/>
                <w:kern w:val="0"/>
                <w:szCs w:val="21"/>
              </w:rPr>
            </w:pPr>
            <w:r>
              <w:rPr>
                <w:rFonts w:ascii="宋体" w:hAnsi="宋体"/>
                <w:kern w:val="0"/>
                <w:szCs w:val="21"/>
              </w:rPr>
              <w:t>合计</w:t>
            </w:r>
          </w:p>
        </w:tc>
        <w:tc>
          <w:tcPr>
            <w:tcW w:w="1183" w:type="pct"/>
            <w:vAlign w:val="center"/>
          </w:tcPr>
          <w:p w14:paraId="5CF966CE">
            <w:pPr>
              <w:pStyle w:val="23"/>
              <w:jc w:val="center"/>
              <w:rPr>
                <w:rFonts w:ascii="宋体" w:hAnsi="宋体"/>
                <w:kern w:val="0"/>
                <w:szCs w:val="21"/>
              </w:rPr>
            </w:pPr>
            <w:r>
              <w:rPr>
                <w:rFonts w:ascii="宋体" w:hAnsi="宋体"/>
                <w:kern w:val="0"/>
                <w:szCs w:val="21"/>
              </w:rPr>
              <w:t>677</w:t>
            </w:r>
          </w:p>
        </w:tc>
        <w:tc>
          <w:tcPr>
            <w:tcW w:w="1249" w:type="pct"/>
            <w:vAlign w:val="center"/>
          </w:tcPr>
          <w:p w14:paraId="39913A61">
            <w:pPr>
              <w:pStyle w:val="23"/>
              <w:jc w:val="center"/>
              <w:rPr>
                <w:rFonts w:ascii="宋体" w:hAnsi="宋体"/>
                <w:kern w:val="0"/>
                <w:szCs w:val="21"/>
              </w:rPr>
            </w:pPr>
            <w:r>
              <w:rPr>
                <w:rFonts w:ascii="宋体" w:hAnsi="宋体"/>
                <w:kern w:val="0"/>
                <w:szCs w:val="21"/>
              </w:rPr>
              <w:t>342</w:t>
            </w:r>
          </w:p>
        </w:tc>
        <w:tc>
          <w:tcPr>
            <w:tcW w:w="1251" w:type="pct"/>
            <w:vAlign w:val="center"/>
          </w:tcPr>
          <w:p w14:paraId="3FE8F934">
            <w:pPr>
              <w:pStyle w:val="23"/>
              <w:jc w:val="center"/>
              <w:rPr>
                <w:rFonts w:ascii="宋体" w:hAnsi="宋体"/>
                <w:kern w:val="0"/>
                <w:szCs w:val="21"/>
              </w:rPr>
            </w:pPr>
            <w:r>
              <w:rPr>
                <w:rFonts w:ascii="宋体" w:hAnsi="宋体"/>
                <w:kern w:val="0"/>
                <w:szCs w:val="21"/>
              </w:rPr>
              <w:t>5813</w:t>
            </w:r>
          </w:p>
        </w:tc>
      </w:tr>
      <w:tr w14:paraId="56ED8B9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317" w:type="pct"/>
            <w:vAlign w:val="center"/>
          </w:tcPr>
          <w:p w14:paraId="2080A33C">
            <w:pPr>
              <w:pStyle w:val="23"/>
              <w:rPr>
                <w:rFonts w:ascii="宋体" w:hAnsi="宋体"/>
                <w:kern w:val="0"/>
                <w:szCs w:val="21"/>
              </w:rPr>
            </w:pPr>
            <w:r>
              <w:rPr>
                <w:rFonts w:ascii="宋体" w:hAnsi="宋体"/>
                <w:kern w:val="0"/>
                <w:szCs w:val="21"/>
              </w:rPr>
              <w:t>农、林、牧、渔业</w:t>
            </w:r>
          </w:p>
        </w:tc>
        <w:tc>
          <w:tcPr>
            <w:tcW w:w="1183" w:type="pct"/>
            <w:vAlign w:val="center"/>
          </w:tcPr>
          <w:p w14:paraId="6AA6522C">
            <w:pPr>
              <w:pStyle w:val="23"/>
              <w:jc w:val="center"/>
              <w:rPr>
                <w:rFonts w:ascii="宋体" w:hAnsi="宋体"/>
                <w:kern w:val="0"/>
                <w:szCs w:val="21"/>
              </w:rPr>
            </w:pPr>
            <w:r>
              <w:rPr>
                <w:rFonts w:ascii="宋体" w:hAnsi="宋体"/>
                <w:kern w:val="0"/>
                <w:szCs w:val="21"/>
              </w:rPr>
              <w:t>44</w:t>
            </w:r>
          </w:p>
        </w:tc>
        <w:tc>
          <w:tcPr>
            <w:tcW w:w="1249" w:type="pct"/>
            <w:vAlign w:val="center"/>
          </w:tcPr>
          <w:p w14:paraId="36E6F5F4">
            <w:pPr>
              <w:pStyle w:val="23"/>
              <w:jc w:val="center"/>
              <w:rPr>
                <w:rFonts w:ascii="宋体" w:hAnsi="宋体"/>
                <w:kern w:val="0"/>
                <w:szCs w:val="21"/>
              </w:rPr>
            </w:pPr>
            <w:r>
              <w:rPr>
                <w:rFonts w:ascii="宋体" w:hAnsi="宋体"/>
                <w:kern w:val="0"/>
                <w:szCs w:val="21"/>
              </w:rPr>
              <w:t>11</w:t>
            </w:r>
          </w:p>
        </w:tc>
        <w:tc>
          <w:tcPr>
            <w:tcW w:w="1251" w:type="pct"/>
            <w:vAlign w:val="center"/>
          </w:tcPr>
          <w:p w14:paraId="4CEF8127">
            <w:pPr>
              <w:pStyle w:val="23"/>
              <w:jc w:val="center"/>
              <w:rPr>
                <w:rFonts w:ascii="宋体" w:hAnsi="宋体"/>
                <w:kern w:val="0"/>
                <w:szCs w:val="21"/>
              </w:rPr>
            </w:pPr>
            <w:r>
              <w:rPr>
                <w:rFonts w:ascii="宋体" w:hAnsi="宋体"/>
                <w:kern w:val="0"/>
                <w:szCs w:val="21"/>
              </w:rPr>
              <w:t>401</w:t>
            </w:r>
          </w:p>
        </w:tc>
      </w:tr>
      <w:tr w14:paraId="07618D7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317" w:type="pct"/>
            <w:vAlign w:val="center"/>
          </w:tcPr>
          <w:p w14:paraId="019E1907">
            <w:pPr>
              <w:pStyle w:val="23"/>
              <w:rPr>
                <w:rFonts w:ascii="宋体" w:hAnsi="宋体"/>
                <w:kern w:val="0"/>
                <w:szCs w:val="21"/>
              </w:rPr>
            </w:pPr>
            <w:r>
              <w:rPr>
                <w:rFonts w:ascii="宋体" w:hAnsi="宋体"/>
                <w:kern w:val="0"/>
                <w:szCs w:val="21"/>
              </w:rPr>
              <w:t>工业</w:t>
            </w:r>
          </w:p>
        </w:tc>
        <w:tc>
          <w:tcPr>
            <w:tcW w:w="1183" w:type="pct"/>
            <w:vAlign w:val="center"/>
          </w:tcPr>
          <w:p w14:paraId="506EA644">
            <w:pPr>
              <w:pStyle w:val="23"/>
              <w:jc w:val="center"/>
              <w:rPr>
                <w:rFonts w:ascii="宋体" w:hAnsi="宋体"/>
                <w:kern w:val="0"/>
                <w:szCs w:val="21"/>
              </w:rPr>
            </w:pPr>
            <w:r>
              <w:rPr>
                <w:rFonts w:ascii="宋体" w:hAnsi="宋体"/>
                <w:kern w:val="0"/>
                <w:szCs w:val="21"/>
              </w:rPr>
              <w:t>285</w:t>
            </w:r>
          </w:p>
        </w:tc>
        <w:tc>
          <w:tcPr>
            <w:tcW w:w="1249" w:type="pct"/>
            <w:vAlign w:val="center"/>
          </w:tcPr>
          <w:p w14:paraId="641246C2">
            <w:pPr>
              <w:pStyle w:val="23"/>
              <w:jc w:val="center"/>
              <w:rPr>
                <w:rFonts w:ascii="宋体" w:hAnsi="宋体"/>
                <w:kern w:val="0"/>
                <w:szCs w:val="21"/>
              </w:rPr>
            </w:pPr>
            <w:r>
              <w:rPr>
                <w:rFonts w:ascii="宋体" w:hAnsi="宋体"/>
                <w:kern w:val="0"/>
                <w:szCs w:val="21"/>
              </w:rPr>
              <w:t>121</w:t>
            </w:r>
          </w:p>
        </w:tc>
        <w:tc>
          <w:tcPr>
            <w:tcW w:w="1251" w:type="pct"/>
            <w:vAlign w:val="center"/>
          </w:tcPr>
          <w:p w14:paraId="0C7D945B">
            <w:pPr>
              <w:pStyle w:val="23"/>
              <w:jc w:val="center"/>
              <w:rPr>
                <w:rFonts w:ascii="宋体" w:hAnsi="宋体"/>
                <w:kern w:val="0"/>
                <w:szCs w:val="21"/>
              </w:rPr>
            </w:pPr>
            <w:r>
              <w:rPr>
                <w:rFonts w:ascii="宋体" w:hAnsi="宋体"/>
                <w:kern w:val="0"/>
                <w:szCs w:val="21"/>
              </w:rPr>
              <w:t>2740</w:t>
            </w:r>
          </w:p>
        </w:tc>
      </w:tr>
      <w:tr w14:paraId="2718D9C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317" w:type="pct"/>
            <w:vAlign w:val="center"/>
          </w:tcPr>
          <w:p w14:paraId="3FAF4252">
            <w:pPr>
              <w:pStyle w:val="23"/>
              <w:rPr>
                <w:rFonts w:ascii="宋体" w:hAnsi="宋体"/>
                <w:kern w:val="0"/>
                <w:szCs w:val="21"/>
              </w:rPr>
            </w:pPr>
            <w:r>
              <w:rPr>
                <w:rFonts w:ascii="宋体" w:hAnsi="宋体"/>
                <w:kern w:val="0"/>
                <w:szCs w:val="21"/>
              </w:rPr>
              <w:t>建筑业</w:t>
            </w:r>
          </w:p>
        </w:tc>
        <w:tc>
          <w:tcPr>
            <w:tcW w:w="1183" w:type="pct"/>
            <w:vAlign w:val="center"/>
          </w:tcPr>
          <w:p w14:paraId="0B5C1D45">
            <w:pPr>
              <w:pStyle w:val="23"/>
              <w:jc w:val="center"/>
              <w:rPr>
                <w:rFonts w:ascii="宋体" w:hAnsi="宋体"/>
                <w:kern w:val="0"/>
                <w:szCs w:val="21"/>
              </w:rPr>
            </w:pPr>
            <w:r>
              <w:rPr>
                <w:rFonts w:ascii="宋体" w:hAnsi="宋体"/>
                <w:kern w:val="0"/>
                <w:szCs w:val="21"/>
              </w:rPr>
              <w:t>15</w:t>
            </w:r>
          </w:p>
        </w:tc>
        <w:tc>
          <w:tcPr>
            <w:tcW w:w="1249" w:type="pct"/>
            <w:vAlign w:val="center"/>
          </w:tcPr>
          <w:p w14:paraId="6CC1DE93">
            <w:pPr>
              <w:pStyle w:val="23"/>
              <w:jc w:val="center"/>
              <w:rPr>
                <w:rFonts w:ascii="宋体" w:hAnsi="宋体"/>
                <w:kern w:val="0"/>
                <w:szCs w:val="21"/>
              </w:rPr>
            </w:pPr>
            <w:r>
              <w:rPr>
                <w:rFonts w:ascii="宋体" w:hAnsi="宋体"/>
                <w:kern w:val="0"/>
                <w:szCs w:val="21"/>
              </w:rPr>
              <w:t>11</w:t>
            </w:r>
          </w:p>
        </w:tc>
        <w:tc>
          <w:tcPr>
            <w:tcW w:w="1251" w:type="pct"/>
            <w:vAlign w:val="center"/>
          </w:tcPr>
          <w:p w14:paraId="5B781A2C">
            <w:pPr>
              <w:pStyle w:val="23"/>
              <w:jc w:val="center"/>
              <w:rPr>
                <w:rFonts w:ascii="宋体" w:hAnsi="宋体"/>
                <w:kern w:val="0"/>
                <w:szCs w:val="21"/>
              </w:rPr>
            </w:pPr>
            <w:r>
              <w:rPr>
                <w:rFonts w:ascii="宋体" w:hAnsi="宋体"/>
                <w:kern w:val="0"/>
                <w:szCs w:val="21"/>
              </w:rPr>
              <w:t>114</w:t>
            </w:r>
          </w:p>
        </w:tc>
      </w:tr>
      <w:tr w14:paraId="790F32D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317" w:type="pct"/>
            <w:vAlign w:val="center"/>
          </w:tcPr>
          <w:p w14:paraId="13F4B54B">
            <w:pPr>
              <w:pStyle w:val="23"/>
              <w:rPr>
                <w:rFonts w:ascii="宋体" w:hAnsi="宋体"/>
                <w:kern w:val="0"/>
                <w:szCs w:val="21"/>
              </w:rPr>
            </w:pPr>
            <w:r>
              <w:rPr>
                <w:rFonts w:ascii="宋体" w:hAnsi="宋体"/>
                <w:kern w:val="0"/>
                <w:szCs w:val="21"/>
              </w:rPr>
              <w:t>交通运输、仓储和邮政业</w:t>
            </w:r>
          </w:p>
        </w:tc>
        <w:tc>
          <w:tcPr>
            <w:tcW w:w="1183" w:type="pct"/>
            <w:vAlign w:val="center"/>
          </w:tcPr>
          <w:p w14:paraId="00A3B5C1">
            <w:pPr>
              <w:pStyle w:val="23"/>
              <w:jc w:val="center"/>
              <w:rPr>
                <w:rFonts w:ascii="宋体" w:hAnsi="宋体"/>
                <w:kern w:val="0"/>
                <w:szCs w:val="21"/>
              </w:rPr>
            </w:pPr>
            <w:r>
              <w:rPr>
                <w:rFonts w:ascii="宋体" w:hAnsi="宋体"/>
                <w:kern w:val="0"/>
                <w:szCs w:val="21"/>
              </w:rPr>
              <w:t>16</w:t>
            </w:r>
          </w:p>
        </w:tc>
        <w:tc>
          <w:tcPr>
            <w:tcW w:w="1249" w:type="pct"/>
            <w:vAlign w:val="center"/>
          </w:tcPr>
          <w:p w14:paraId="4374897B">
            <w:pPr>
              <w:pStyle w:val="23"/>
              <w:jc w:val="center"/>
              <w:rPr>
                <w:rFonts w:ascii="宋体" w:hAnsi="宋体"/>
                <w:kern w:val="0"/>
                <w:szCs w:val="21"/>
              </w:rPr>
            </w:pPr>
            <w:r>
              <w:rPr>
                <w:rFonts w:ascii="宋体" w:hAnsi="宋体"/>
                <w:kern w:val="0"/>
                <w:szCs w:val="21"/>
              </w:rPr>
              <w:t>13</w:t>
            </w:r>
          </w:p>
        </w:tc>
        <w:tc>
          <w:tcPr>
            <w:tcW w:w="1251" w:type="pct"/>
            <w:vAlign w:val="center"/>
          </w:tcPr>
          <w:p w14:paraId="75A03906">
            <w:pPr>
              <w:pStyle w:val="23"/>
              <w:jc w:val="center"/>
              <w:rPr>
                <w:rFonts w:ascii="宋体" w:hAnsi="宋体"/>
                <w:kern w:val="0"/>
                <w:szCs w:val="21"/>
              </w:rPr>
            </w:pPr>
            <w:r>
              <w:rPr>
                <w:rFonts w:ascii="宋体" w:hAnsi="宋体"/>
                <w:kern w:val="0"/>
                <w:szCs w:val="21"/>
              </w:rPr>
              <w:t>127</w:t>
            </w:r>
          </w:p>
        </w:tc>
      </w:tr>
      <w:tr w14:paraId="5CA11DB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317" w:type="pct"/>
            <w:vAlign w:val="center"/>
          </w:tcPr>
          <w:p w14:paraId="0BD374CE">
            <w:pPr>
              <w:pStyle w:val="23"/>
              <w:rPr>
                <w:rFonts w:ascii="宋体" w:hAnsi="宋体"/>
                <w:kern w:val="0"/>
                <w:szCs w:val="21"/>
              </w:rPr>
            </w:pPr>
            <w:r>
              <w:rPr>
                <w:rFonts w:ascii="宋体" w:hAnsi="宋体"/>
                <w:kern w:val="0"/>
                <w:szCs w:val="21"/>
              </w:rPr>
              <w:t>批发零售贸易、住宿餐饮业</w:t>
            </w:r>
          </w:p>
        </w:tc>
        <w:tc>
          <w:tcPr>
            <w:tcW w:w="1183" w:type="pct"/>
            <w:vAlign w:val="center"/>
          </w:tcPr>
          <w:p w14:paraId="05A931C3">
            <w:pPr>
              <w:pStyle w:val="23"/>
              <w:jc w:val="center"/>
              <w:rPr>
                <w:rFonts w:ascii="宋体" w:hAnsi="宋体"/>
                <w:kern w:val="0"/>
                <w:szCs w:val="21"/>
              </w:rPr>
            </w:pPr>
            <w:r>
              <w:rPr>
                <w:rFonts w:ascii="宋体" w:hAnsi="宋体"/>
                <w:kern w:val="0"/>
                <w:szCs w:val="21"/>
              </w:rPr>
              <w:t>192</w:t>
            </w:r>
          </w:p>
        </w:tc>
        <w:tc>
          <w:tcPr>
            <w:tcW w:w="1249" w:type="pct"/>
            <w:vAlign w:val="center"/>
          </w:tcPr>
          <w:p w14:paraId="4DE8A016">
            <w:pPr>
              <w:pStyle w:val="23"/>
              <w:jc w:val="center"/>
              <w:rPr>
                <w:rFonts w:ascii="宋体" w:hAnsi="宋体"/>
                <w:kern w:val="0"/>
                <w:szCs w:val="21"/>
              </w:rPr>
            </w:pPr>
            <w:r>
              <w:rPr>
                <w:rFonts w:ascii="宋体" w:hAnsi="宋体"/>
                <w:kern w:val="0"/>
                <w:szCs w:val="21"/>
              </w:rPr>
              <w:t>96</w:t>
            </w:r>
          </w:p>
        </w:tc>
        <w:tc>
          <w:tcPr>
            <w:tcW w:w="1251" w:type="pct"/>
            <w:vAlign w:val="center"/>
          </w:tcPr>
          <w:p w14:paraId="3F417FF1">
            <w:pPr>
              <w:pStyle w:val="23"/>
              <w:jc w:val="center"/>
              <w:rPr>
                <w:rFonts w:ascii="宋体" w:hAnsi="宋体"/>
                <w:kern w:val="0"/>
                <w:szCs w:val="21"/>
              </w:rPr>
            </w:pPr>
            <w:r>
              <w:rPr>
                <w:rFonts w:ascii="宋体" w:hAnsi="宋体"/>
                <w:kern w:val="0"/>
                <w:szCs w:val="21"/>
              </w:rPr>
              <w:t>1507</w:t>
            </w:r>
          </w:p>
        </w:tc>
      </w:tr>
      <w:tr w14:paraId="3EC57BA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317" w:type="pct"/>
            <w:vAlign w:val="center"/>
          </w:tcPr>
          <w:p w14:paraId="1DAB75A7">
            <w:pPr>
              <w:pStyle w:val="23"/>
              <w:rPr>
                <w:rFonts w:ascii="宋体" w:hAnsi="宋体"/>
                <w:kern w:val="0"/>
                <w:szCs w:val="21"/>
              </w:rPr>
            </w:pPr>
            <w:r>
              <w:rPr>
                <w:rFonts w:ascii="宋体" w:hAnsi="宋体"/>
                <w:kern w:val="0"/>
                <w:szCs w:val="21"/>
              </w:rPr>
              <w:t>其中</w:t>
            </w:r>
            <w:r>
              <w:rPr>
                <w:rFonts w:hint="eastAsia" w:ascii="宋体" w:hAnsi="宋体"/>
                <w:kern w:val="0"/>
                <w:szCs w:val="21"/>
              </w:rPr>
              <w:t>：</w:t>
            </w:r>
            <w:r>
              <w:rPr>
                <w:rFonts w:ascii="宋体" w:hAnsi="宋体"/>
                <w:kern w:val="0"/>
                <w:szCs w:val="21"/>
              </w:rPr>
              <w:t>住宿和餐饮业</w:t>
            </w:r>
          </w:p>
        </w:tc>
        <w:tc>
          <w:tcPr>
            <w:tcW w:w="1183" w:type="pct"/>
            <w:vAlign w:val="center"/>
          </w:tcPr>
          <w:p w14:paraId="35BE4FE7">
            <w:pPr>
              <w:pStyle w:val="23"/>
              <w:jc w:val="center"/>
              <w:rPr>
                <w:rFonts w:ascii="宋体" w:hAnsi="宋体"/>
                <w:kern w:val="0"/>
                <w:szCs w:val="21"/>
              </w:rPr>
            </w:pPr>
            <w:r>
              <w:rPr>
                <w:rFonts w:ascii="宋体" w:hAnsi="宋体"/>
                <w:kern w:val="0"/>
                <w:szCs w:val="21"/>
              </w:rPr>
              <w:t>5</w:t>
            </w:r>
          </w:p>
        </w:tc>
        <w:tc>
          <w:tcPr>
            <w:tcW w:w="1249" w:type="pct"/>
            <w:vAlign w:val="center"/>
          </w:tcPr>
          <w:p w14:paraId="60397041">
            <w:pPr>
              <w:pStyle w:val="23"/>
              <w:jc w:val="center"/>
              <w:rPr>
                <w:rFonts w:ascii="宋体" w:hAnsi="宋体"/>
                <w:kern w:val="0"/>
                <w:szCs w:val="21"/>
              </w:rPr>
            </w:pPr>
            <w:r>
              <w:rPr>
                <w:rFonts w:ascii="宋体" w:hAnsi="宋体"/>
                <w:kern w:val="0"/>
                <w:szCs w:val="21"/>
              </w:rPr>
              <w:t>3</w:t>
            </w:r>
          </w:p>
        </w:tc>
        <w:tc>
          <w:tcPr>
            <w:tcW w:w="1251" w:type="pct"/>
            <w:vAlign w:val="center"/>
          </w:tcPr>
          <w:p w14:paraId="4D4B5A19">
            <w:pPr>
              <w:pStyle w:val="23"/>
              <w:jc w:val="center"/>
              <w:rPr>
                <w:rFonts w:ascii="宋体" w:hAnsi="宋体"/>
                <w:kern w:val="0"/>
                <w:szCs w:val="21"/>
              </w:rPr>
            </w:pPr>
            <w:r>
              <w:rPr>
                <w:rFonts w:ascii="宋体" w:hAnsi="宋体"/>
                <w:kern w:val="0"/>
                <w:szCs w:val="21"/>
              </w:rPr>
              <w:t>100</w:t>
            </w:r>
          </w:p>
        </w:tc>
      </w:tr>
      <w:tr w14:paraId="6539A85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317" w:type="pct"/>
            <w:vAlign w:val="center"/>
          </w:tcPr>
          <w:p w14:paraId="6FE3765A">
            <w:pPr>
              <w:pStyle w:val="23"/>
              <w:rPr>
                <w:rFonts w:ascii="宋体" w:hAnsi="宋体"/>
                <w:kern w:val="0"/>
                <w:szCs w:val="21"/>
              </w:rPr>
            </w:pPr>
            <w:r>
              <w:rPr>
                <w:rFonts w:ascii="宋体" w:hAnsi="宋体"/>
                <w:kern w:val="0"/>
                <w:szCs w:val="21"/>
              </w:rPr>
              <w:t>房地产业</w:t>
            </w:r>
          </w:p>
        </w:tc>
        <w:tc>
          <w:tcPr>
            <w:tcW w:w="1183" w:type="pct"/>
            <w:vAlign w:val="center"/>
          </w:tcPr>
          <w:p w14:paraId="0BE32A1D">
            <w:pPr>
              <w:pStyle w:val="23"/>
              <w:jc w:val="center"/>
              <w:rPr>
                <w:rFonts w:ascii="宋体" w:hAnsi="宋体"/>
                <w:kern w:val="0"/>
                <w:szCs w:val="21"/>
              </w:rPr>
            </w:pPr>
            <w:r>
              <w:rPr>
                <w:rFonts w:ascii="宋体" w:hAnsi="宋体"/>
                <w:kern w:val="0"/>
                <w:szCs w:val="21"/>
              </w:rPr>
              <w:t>46</w:t>
            </w:r>
          </w:p>
        </w:tc>
        <w:tc>
          <w:tcPr>
            <w:tcW w:w="1249" w:type="pct"/>
            <w:vAlign w:val="center"/>
          </w:tcPr>
          <w:p w14:paraId="67416D69">
            <w:pPr>
              <w:pStyle w:val="23"/>
              <w:jc w:val="center"/>
              <w:rPr>
                <w:rFonts w:ascii="宋体" w:hAnsi="宋体"/>
                <w:kern w:val="0"/>
                <w:szCs w:val="21"/>
              </w:rPr>
            </w:pPr>
            <w:r>
              <w:rPr>
                <w:rFonts w:ascii="宋体" w:hAnsi="宋体"/>
                <w:kern w:val="0"/>
                <w:szCs w:val="21"/>
              </w:rPr>
              <w:t>39</w:t>
            </w:r>
          </w:p>
        </w:tc>
        <w:tc>
          <w:tcPr>
            <w:tcW w:w="1251" w:type="pct"/>
            <w:vAlign w:val="center"/>
          </w:tcPr>
          <w:p w14:paraId="77658D6D">
            <w:pPr>
              <w:pStyle w:val="23"/>
              <w:jc w:val="center"/>
              <w:rPr>
                <w:rFonts w:ascii="宋体" w:hAnsi="宋体"/>
                <w:kern w:val="0"/>
                <w:szCs w:val="21"/>
              </w:rPr>
            </w:pPr>
            <w:r>
              <w:rPr>
                <w:rFonts w:ascii="宋体" w:hAnsi="宋体"/>
                <w:kern w:val="0"/>
                <w:szCs w:val="21"/>
              </w:rPr>
              <w:t>396</w:t>
            </w:r>
          </w:p>
        </w:tc>
      </w:tr>
      <w:tr w14:paraId="4F34823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317" w:type="pct"/>
            <w:vAlign w:val="center"/>
          </w:tcPr>
          <w:p w14:paraId="464409BF">
            <w:pPr>
              <w:pStyle w:val="23"/>
              <w:rPr>
                <w:rFonts w:ascii="宋体" w:hAnsi="宋体"/>
                <w:kern w:val="0"/>
                <w:szCs w:val="21"/>
              </w:rPr>
            </w:pPr>
            <w:r>
              <w:rPr>
                <w:rFonts w:ascii="宋体" w:hAnsi="宋体"/>
                <w:kern w:val="0"/>
                <w:szCs w:val="21"/>
              </w:rPr>
              <w:t>其它服务业</w:t>
            </w:r>
          </w:p>
        </w:tc>
        <w:tc>
          <w:tcPr>
            <w:tcW w:w="1183" w:type="pct"/>
            <w:vAlign w:val="center"/>
          </w:tcPr>
          <w:p w14:paraId="07F1EDBF">
            <w:pPr>
              <w:pStyle w:val="23"/>
              <w:jc w:val="center"/>
              <w:rPr>
                <w:rFonts w:ascii="宋体" w:hAnsi="宋体"/>
                <w:kern w:val="0"/>
                <w:szCs w:val="21"/>
              </w:rPr>
            </w:pPr>
            <w:r>
              <w:rPr>
                <w:rFonts w:ascii="宋体" w:hAnsi="宋体"/>
                <w:kern w:val="0"/>
                <w:szCs w:val="21"/>
              </w:rPr>
              <w:t>74</w:t>
            </w:r>
          </w:p>
        </w:tc>
        <w:tc>
          <w:tcPr>
            <w:tcW w:w="1249" w:type="pct"/>
            <w:vAlign w:val="center"/>
          </w:tcPr>
          <w:p w14:paraId="7B838FBC">
            <w:pPr>
              <w:pStyle w:val="23"/>
              <w:jc w:val="center"/>
              <w:rPr>
                <w:rFonts w:ascii="宋体" w:hAnsi="宋体"/>
                <w:kern w:val="0"/>
                <w:szCs w:val="21"/>
              </w:rPr>
            </w:pPr>
            <w:r>
              <w:rPr>
                <w:rFonts w:ascii="宋体" w:hAnsi="宋体"/>
                <w:kern w:val="0"/>
                <w:szCs w:val="21"/>
              </w:rPr>
              <w:t>48</w:t>
            </w:r>
          </w:p>
        </w:tc>
        <w:tc>
          <w:tcPr>
            <w:tcW w:w="1251" w:type="pct"/>
            <w:vAlign w:val="center"/>
          </w:tcPr>
          <w:p w14:paraId="278D049D">
            <w:pPr>
              <w:pStyle w:val="23"/>
              <w:jc w:val="center"/>
              <w:rPr>
                <w:rFonts w:ascii="宋体" w:hAnsi="宋体"/>
                <w:kern w:val="0"/>
                <w:szCs w:val="21"/>
              </w:rPr>
            </w:pPr>
            <w:r>
              <w:rPr>
                <w:rFonts w:ascii="宋体" w:hAnsi="宋体"/>
                <w:kern w:val="0"/>
                <w:szCs w:val="21"/>
              </w:rPr>
              <w:t>428</w:t>
            </w:r>
          </w:p>
        </w:tc>
      </w:tr>
    </w:tbl>
    <w:p w14:paraId="05E4A22A">
      <w:pPr>
        <w:ind w:firstLine="0" w:firstLineChars="0"/>
        <w:jc w:val="center"/>
        <w:rPr>
          <w:rFonts w:ascii="宋体" w:hAnsi="宋体"/>
          <w:b/>
          <w:szCs w:val="21"/>
        </w:rPr>
      </w:pPr>
      <w:r>
        <w:rPr>
          <w:rFonts w:hint="eastAsia" w:ascii="宋体" w:hAnsi="宋体"/>
          <w:b/>
          <w:szCs w:val="21"/>
        </w:rPr>
        <w:t>表85 分镇黄烟收购量</w:t>
      </w:r>
    </w:p>
    <w:tbl>
      <w:tblPr>
        <w:tblStyle w:val="14"/>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30" w:type="dxa"/>
          <w:bottom w:w="0" w:type="dxa"/>
          <w:right w:w="30" w:type="dxa"/>
        </w:tblCellMar>
      </w:tblPr>
      <w:tblGrid>
        <w:gridCol w:w="2450"/>
        <w:gridCol w:w="2453"/>
        <w:gridCol w:w="2450"/>
        <w:gridCol w:w="2453"/>
      </w:tblGrid>
      <w:tr w14:paraId="2D1120F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249" w:type="pct"/>
            <w:vAlign w:val="center"/>
          </w:tcPr>
          <w:p w14:paraId="60AC01DE">
            <w:pPr>
              <w:pStyle w:val="23"/>
              <w:jc w:val="center"/>
              <w:rPr>
                <w:rFonts w:ascii="宋体" w:hAnsi="宋体"/>
                <w:b/>
                <w:kern w:val="0"/>
                <w:szCs w:val="21"/>
              </w:rPr>
            </w:pPr>
            <w:r>
              <w:rPr>
                <w:rFonts w:ascii="宋体" w:hAnsi="宋体"/>
                <w:b/>
                <w:kern w:val="0"/>
                <w:szCs w:val="21"/>
              </w:rPr>
              <w:t>单位名称</w:t>
            </w:r>
          </w:p>
        </w:tc>
        <w:tc>
          <w:tcPr>
            <w:tcW w:w="1251" w:type="pct"/>
            <w:vAlign w:val="center"/>
          </w:tcPr>
          <w:p w14:paraId="157598DE">
            <w:pPr>
              <w:pStyle w:val="23"/>
              <w:jc w:val="center"/>
              <w:rPr>
                <w:rFonts w:ascii="宋体" w:hAnsi="宋体"/>
                <w:b/>
                <w:kern w:val="0"/>
                <w:szCs w:val="21"/>
              </w:rPr>
            </w:pPr>
            <w:r>
              <w:rPr>
                <w:rFonts w:ascii="宋体" w:hAnsi="宋体"/>
                <w:b/>
                <w:kern w:val="0"/>
                <w:szCs w:val="21"/>
              </w:rPr>
              <w:t>收购量(吨)</w:t>
            </w:r>
          </w:p>
        </w:tc>
        <w:tc>
          <w:tcPr>
            <w:tcW w:w="1249" w:type="pct"/>
            <w:vAlign w:val="center"/>
          </w:tcPr>
          <w:p w14:paraId="0D0E0548">
            <w:pPr>
              <w:pStyle w:val="23"/>
              <w:jc w:val="center"/>
              <w:rPr>
                <w:rFonts w:ascii="宋体" w:hAnsi="宋体"/>
                <w:b/>
                <w:kern w:val="0"/>
                <w:szCs w:val="21"/>
              </w:rPr>
            </w:pPr>
            <w:r>
              <w:rPr>
                <w:rFonts w:ascii="宋体" w:hAnsi="宋体"/>
                <w:b/>
                <w:kern w:val="0"/>
                <w:szCs w:val="21"/>
              </w:rPr>
              <w:t>单位名称</w:t>
            </w:r>
          </w:p>
        </w:tc>
        <w:tc>
          <w:tcPr>
            <w:tcW w:w="1251" w:type="pct"/>
            <w:vAlign w:val="center"/>
          </w:tcPr>
          <w:p w14:paraId="5457F350">
            <w:pPr>
              <w:pStyle w:val="23"/>
              <w:jc w:val="center"/>
              <w:rPr>
                <w:rFonts w:ascii="宋体" w:hAnsi="宋体"/>
                <w:b/>
                <w:kern w:val="0"/>
                <w:szCs w:val="21"/>
              </w:rPr>
            </w:pPr>
            <w:r>
              <w:rPr>
                <w:rFonts w:ascii="宋体" w:hAnsi="宋体"/>
                <w:b/>
                <w:kern w:val="0"/>
                <w:szCs w:val="21"/>
              </w:rPr>
              <w:t>收购量(吨)</w:t>
            </w:r>
          </w:p>
        </w:tc>
      </w:tr>
      <w:tr w14:paraId="20145ED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249" w:type="pct"/>
            <w:vAlign w:val="center"/>
          </w:tcPr>
          <w:p w14:paraId="48CDCB42">
            <w:pPr>
              <w:pStyle w:val="23"/>
              <w:jc w:val="center"/>
              <w:rPr>
                <w:rFonts w:ascii="宋体" w:hAnsi="宋体"/>
                <w:kern w:val="0"/>
                <w:szCs w:val="21"/>
              </w:rPr>
            </w:pPr>
            <w:r>
              <w:rPr>
                <w:rFonts w:ascii="宋体" w:hAnsi="宋体"/>
                <w:kern w:val="0"/>
                <w:szCs w:val="21"/>
              </w:rPr>
              <w:t>合计</w:t>
            </w:r>
          </w:p>
        </w:tc>
        <w:tc>
          <w:tcPr>
            <w:tcW w:w="1251" w:type="pct"/>
            <w:vAlign w:val="center"/>
          </w:tcPr>
          <w:p w14:paraId="5DBD2FD0">
            <w:pPr>
              <w:pStyle w:val="23"/>
              <w:jc w:val="center"/>
              <w:rPr>
                <w:rFonts w:ascii="宋体" w:hAnsi="宋体"/>
                <w:kern w:val="0"/>
                <w:szCs w:val="21"/>
              </w:rPr>
            </w:pPr>
            <w:r>
              <w:rPr>
                <w:rFonts w:ascii="宋体" w:hAnsi="宋体"/>
                <w:kern w:val="0"/>
                <w:szCs w:val="21"/>
              </w:rPr>
              <w:t>15990</w:t>
            </w:r>
          </w:p>
        </w:tc>
        <w:tc>
          <w:tcPr>
            <w:tcW w:w="1249" w:type="pct"/>
            <w:vAlign w:val="center"/>
          </w:tcPr>
          <w:p w14:paraId="7AB9059B">
            <w:pPr>
              <w:pStyle w:val="23"/>
              <w:jc w:val="center"/>
              <w:rPr>
                <w:rFonts w:ascii="宋体" w:hAnsi="宋体"/>
                <w:kern w:val="0"/>
                <w:szCs w:val="21"/>
              </w:rPr>
            </w:pPr>
            <w:r>
              <w:rPr>
                <w:rFonts w:ascii="宋体" w:hAnsi="宋体"/>
                <w:kern w:val="0"/>
                <w:szCs w:val="21"/>
              </w:rPr>
              <w:t>雄州</w:t>
            </w:r>
          </w:p>
        </w:tc>
        <w:tc>
          <w:tcPr>
            <w:tcW w:w="1251" w:type="pct"/>
            <w:vAlign w:val="center"/>
          </w:tcPr>
          <w:p w14:paraId="3F34C296">
            <w:pPr>
              <w:pStyle w:val="23"/>
              <w:jc w:val="center"/>
              <w:rPr>
                <w:rFonts w:ascii="宋体" w:hAnsi="宋体"/>
                <w:kern w:val="0"/>
                <w:szCs w:val="21"/>
              </w:rPr>
            </w:pPr>
            <w:r>
              <w:rPr>
                <w:rFonts w:ascii="宋体" w:hAnsi="宋体"/>
                <w:kern w:val="0"/>
                <w:szCs w:val="21"/>
              </w:rPr>
              <w:t>1542</w:t>
            </w:r>
          </w:p>
        </w:tc>
      </w:tr>
      <w:tr w14:paraId="08AFF29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249" w:type="pct"/>
            <w:vAlign w:val="center"/>
          </w:tcPr>
          <w:p w14:paraId="54706EA4">
            <w:pPr>
              <w:pStyle w:val="23"/>
              <w:jc w:val="center"/>
              <w:rPr>
                <w:rFonts w:ascii="宋体" w:hAnsi="宋体"/>
                <w:kern w:val="0"/>
                <w:szCs w:val="21"/>
              </w:rPr>
            </w:pPr>
            <w:r>
              <w:rPr>
                <w:rFonts w:ascii="宋体" w:hAnsi="宋体"/>
                <w:kern w:val="0"/>
                <w:szCs w:val="21"/>
              </w:rPr>
              <w:t>乌迳</w:t>
            </w:r>
          </w:p>
        </w:tc>
        <w:tc>
          <w:tcPr>
            <w:tcW w:w="1251" w:type="pct"/>
            <w:vAlign w:val="center"/>
          </w:tcPr>
          <w:p w14:paraId="767A030D">
            <w:pPr>
              <w:pStyle w:val="23"/>
              <w:jc w:val="center"/>
              <w:rPr>
                <w:rFonts w:ascii="宋体" w:hAnsi="宋体"/>
                <w:kern w:val="0"/>
                <w:szCs w:val="21"/>
              </w:rPr>
            </w:pPr>
            <w:r>
              <w:rPr>
                <w:rFonts w:ascii="宋体" w:hAnsi="宋体"/>
                <w:kern w:val="0"/>
                <w:szCs w:val="21"/>
              </w:rPr>
              <w:t>1075</w:t>
            </w:r>
          </w:p>
        </w:tc>
        <w:tc>
          <w:tcPr>
            <w:tcW w:w="1249" w:type="pct"/>
            <w:vAlign w:val="center"/>
          </w:tcPr>
          <w:p w14:paraId="6E479D76">
            <w:pPr>
              <w:pStyle w:val="23"/>
              <w:jc w:val="center"/>
              <w:rPr>
                <w:rFonts w:ascii="宋体" w:hAnsi="宋体"/>
                <w:kern w:val="0"/>
                <w:szCs w:val="21"/>
              </w:rPr>
            </w:pPr>
            <w:r>
              <w:rPr>
                <w:rFonts w:ascii="宋体" w:hAnsi="宋体"/>
                <w:kern w:val="0"/>
                <w:szCs w:val="21"/>
              </w:rPr>
              <w:t>湖口</w:t>
            </w:r>
          </w:p>
        </w:tc>
        <w:tc>
          <w:tcPr>
            <w:tcW w:w="1251" w:type="pct"/>
            <w:vAlign w:val="center"/>
          </w:tcPr>
          <w:p w14:paraId="1601DC37">
            <w:pPr>
              <w:pStyle w:val="23"/>
              <w:jc w:val="center"/>
              <w:rPr>
                <w:rFonts w:ascii="宋体" w:hAnsi="宋体"/>
                <w:kern w:val="0"/>
                <w:szCs w:val="21"/>
              </w:rPr>
            </w:pPr>
            <w:r>
              <w:rPr>
                <w:rFonts w:ascii="宋体" w:hAnsi="宋体"/>
                <w:kern w:val="0"/>
                <w:szCs w:val="21"/>
              </w:rPr>
              <w:t>2390</w:t>
            </w:r>
          </w:p>
        </w:tc>
      </w:tr>
      <w:tr w14:paraId="55E7419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249" w:type="pct"/>
            <w:vAlign w:val="center"/>
          </w:tcPr>
          <w:p w14:paraId="4E6D4B73">
            <w:pPr>
              <w:pStyle w:val="23"/>
              <w:jc w:val="center"/>
              <w:rPr>
                <w:rFonts w:ascii="宋体" w:hAnsi="宋体"/>
                <w:kern w:val="0"/>
                <w:szCs w:val="21"/>
              </w:rPr>
            </w:pPr>
            <w:r>
              <w:rPr>
                <w:rFonts w:ascii="宋体" w:hAnsi="宋体"/>
                <w:kern w:val="0"/>
                <w:szCs w:val="21"/>
              </w:rPr>
              <w:t>界址</w:t>
            </w:r>
          </w:p>
        </w:tc>
        <w:tc>
          <w:tcPr>
            <w:tcW w:w="1251" w:type="pct"/>
            <w:vAlign w:val="center"/>
          </w:tcPr>
          <w:p w14:paraId="11EFA1A8">
            <w:pPr>
              <w:pStyle w:val="23"/>
              <w:jc w:val="center"/>
              <w:rPr>
                <w:rFonts w:ascii="宋体" w:hAnsi="宋体"/>
                <w:kern w:val="0"/>
                <w:szCs w:val="21"/>
              </w:rPr>
            </w:pPr>
          </w:p>
        </w:tc>
        <w:tc>
          <w:tcPr>
            <w:tcW w:w="1249" w:type="pct"/>
            <w:vAlign w:val="center"/>
          </w:tcPr>
          <w:p w14:paraId="35A1BE43">
            <w:pPr>
              <w:pStyle w:val="23"/>
              <w:jc w:val="center"/>
              <w:rPr>
                <w:rFonts w:ascii="宋体" w:hAnsi="宋体"/>
                <w:kern w:val="0"/>
                <w:szCs w:val="21"/>
              </w:rPr>
            </w:pPr>
            <w:r>
              <w:rPr>
                <w:rFonts w:ascii="宋体" w:hAnsi="宋体"/>
                <w:kern w:val="0"/>
                <w:szCs w:val="21"/>
              </w:rPr>
              <w:t>珠玑</w:t>
            </w:r>
          </w:p>
        </w:tc>
        <w:tc>
          <w:tcPr>
            <w:tcW w:w="1251" w:type="pct"/>
            <w:vAlign w:val="center"/>
          </w:tcPr>
          <w:p w14:paraId="500582DA">
            <w:pPr>
              <w:pStyle w:val="23"/>
              <w:jc w:val="center"/>
              <w:rPr>
                <w:rFonts w:ascii="宋体" w:hAnsi="宋体"/>
                <w:kern w:val="0"/>
                <w:szCs w:val="21"/>
              </w:rPr>
            </w:pPr>
            <w:r>
              <w:rPr>
                <w:rFonts w:ascii="宋体" w:hAnsi="宋体"/>
                <w:kern w:val="0"/>
                <w:szCs w:val="21"/>
              </w:rPr>
              <w:t>1199</w:t>
            </w:r>
          </w:p>
        </w:tc>
      </w:tr>
      <w:tr w14:paraId="25FFBAC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249" w:type="pct"/>
            <w:vAlign w:val="center"/>
          </w:tcPr>
          <w:p w14:paraId="6771B472">
            <w:pPr>
              <w:pStyle w:val="23"/>
              <w:jc w:val="center"/>
              <w:rPr>
                <w:rFonts w:ascii="宋体" w:hAnsi="宋体"/>
                <w:kern w:val="0"/>
                <w:szCs w:val="21"/>
              </w:rPr>
            </w:pPr>
            <w:r>
              <w:rPr>
                <w:rFonts w:ascii="宋体" w:hAnsi="宋体"/>
                <w:kern w:val="0"/>
                <w:szCs w:val="21"/>
              </w:rPr>
              <w:t>坪田</w:t>
            </w:r>
          </w:p>
        </w:tc>
        <w:tc>
          <w:tcPr>
            <w:tcW w:w="1251" w:type="pct"/>
            <w:vAlign w:val="center"/>
          </w:tcPr>
          <w:p w14:paraId="720867EA">
            <w:pPr>
              <w:pStyle w:val="23"/>
              <w:jc w:val="center"/>
              <w:rPr>
                <w:rFonts w:ascii="宋体" w:hAnsi="宋体"/>
                <w:kern w:val="0"/>
                <w:szCs w:val="21"/>
              </w:rPr>
            </w:pPr>
            <w:r>
              <w:rPr>
                <w:rFonts w:ascii="宋体" w:hAnsi="宋体"/>
                <w:kern w:val="0"/>
                <w:szCs w:val="21"/>
              </w:rPr>
              <w:t>699</w:t>
            </w:r>
          </w:p>
        </w:tc>
        <w:tc>
          <w:tcPr>
            <w:tcW w:w="1249" w:type="pct"/>
            <w:vAlign w:val="center"/>
          </w:tcPr>
          <w:p w14:paraId="2DE62FAF">
            <w:pPr>
              <w:pStyle w:val="23"/>
              <w:jc w:val="center"/>
              <w:rPr>
                <w:rFonts w:ascii="宋体" w:hAnsi="宋体"/>
                <w:kern w:val="0"/>
                <w:szCs w:val="21"/>
              </w:rPr>
            </w:pPr>
            <w:r>
              <w:rPr>
                <w:rFonts w:ascii="宋体" w:hAnsi="宋体"/>
                <w:kern w:val="0"/>
                <w:szCs w:val="21"/>
              </w:rPr>
              <w:t>帽子峰</w:t>
            </w:r>
          </w:p>
        </w:tc>
        <w:tc>
          <w:tcPr>
            <w:tcW w:w="1251" w:type="pct"/>
            <w:vAlign w:val="center"/>
          </w:tcPr>
          <w:p w14:paraId="18181C96">
            <w:pPr>
              <w:pStyle w:val="23"/>
              <w:jc w:val="center"/>
              <w:rPr>
                <w:rFonts w:ascii="宋体" w:hAnsi="宋体"/>
                <w:kern w:val="0"/>
                <w:szCs w:val="21"/>
              </w:rPr>
            </w:pPr>
            <w:r>
              <w:rPr>
                <w:rFonts w:ascii="宋体" w:hAnsi="宋体"/>
                <w:kern w:val="0"/>
                <w:szCs w:val="21"/>
              </w:rPr>
              <w:t>223</w:t>
            </w:r>
          </w:p>
        </w:tc>
      </w:tr>
      <w:tr w14:paraId="024522C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249" w:type="pct"/>
            <w:vAlign w:val="center"/>
          </w:tcPr>
          <w:p w14:paraId="37AA67CE">
            <w:pPr>
              <w:pStyle w:val="23"/>
              <w:jc w:val="center"/>
              <w:rPr>
                <w:rFonts w:ascii="宋体" w:hAnsi="宋体"/>
                <w:kern w:val="0"/>
                <w:szCs w:val="21"/>
              </w:rPr>
            </w:pPr>
            <w:r>
              <w:rPr>
                <w:rFonts w:ascii="宋体" w:hAnsi="宋体"/>
                <w:kern w:val="0"/>
                <w:szCs w:val="21"/>
              </w:rPr>
              <w:t>黄坑</w:t>
            </w:r>
          </w:p>
        </w:tc>
        <w:tc>
          <w:tcPr>
            <w:tcW w:w="1251" w:type="pct"/>
            <w:vAlign w:val="center"/>
          </w:tcPr>
          <w:p w14:paraId="4B3D12DD">
            <w:pPr>
              <w:pStyle w:val="23"/>
              <w:jc w:val="center"/>
              <w:rPr>
                <w:rFonts w:ascii="宋体" w:hAnsi="宋体"/>
                <w:kern w:val="0"/>
                <w:szCs w:val="21"/>
              </w:rPr>
            </w:pPr>
            <w:r>
              <w:rPr>
                <w:rFonts w:ascii="宋体" w:hAnsi="宋体"/>
                <w:kern w:val="0"/>
                <w:szCs w:val="21"/>
              </w:rPr>
              <w:t>1986</w:t>
            </w:r>
          </w:p>
        </w:tc>
        <w:tc>
          <w:tcPr>
            <w:tcW w:w="1249" w:type="pct"/>
            <w:vAlign w:val="center"/>
          </w:tcPr>
          <w:p w14:paraId="5A70D84B">
            <w:pPr>
              <w:pStyle w:val="23"/>
              <w:jc w:val="center"/>
              <w:rPr>
                <w:rFonts w:ascii="宋体" w:hAnsi="宋体"/>
                <w:kern w:val="0"/>
                <w:szCs w:val="21"/>
              </w:rPr>
            </w:pPr>
            <w:r>
              <w:rPr>
                <w:rFonts w:ascii="宋体" w:hAnsi="宋体"/>
                <w:kern w:val="0"/>
                <w:szCs w:val="21"/>
              </w:rPr>
              <w:t>全安</w:t>
            </w:r>
          </w:p>
        </w:tc>
        <w:tc>
          <w:tcPr>
            <w:tcW w:w="1251" w:type="pct"/>
            <w:vAlign w:val="center"/>
          </w:tcPr>
          <w:p w14:paraId="247C854D">
            <w:pPr>
              <w:pStyle w:val="23"/>
              <w:jc w:val="center"/>
              <w:rPr>
                <w:rFonts w:ascii="宋体" w:hAnsi="宋体"/>
                <w:kern w:val="0"/>
                <w:szCs w:val="21"/>
              </w:rPr>
            </w:pPr>
            <w:r>
              <w:rPr>
                <w:rFonts w:ascii="宋体" w:hAnsi="宋体"/>
                <w:kern w:val="0"/>
                <w:szCs w:val="21"/>
              </w:rPr>
              <w:t>128</w:t>
            </w:r>
          </w:p>
        </w:tc>
      </w:tr>
      <w:tr w14:paraId="1F9EED0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249" w:type="pct"/>
            <w:vAlign w:val="center"/>
          </w:tcPr>
          <w:p w14:paraId="216B00D3">
            <w:pPr>
              <w:pStyle w:val="23"/>
              <w:jc w:val="center"/>
              <w:rPr>
                <w:rFonts w:ascii="宋体" w:hAnsi="宋体"/>
                <w:kern w:val="0"/>
                <w:szCs w:val="21"/>
              </w:rPr>
            </w:pPr>
            <w:r>
              <w:rPr>
                <w:rFonts w:ascii="宋体" w:hAnsi="宋体"/>
                <w:kern w:val="0"/>
                <w:szCs w:val="21"/>
              </w:rPr>
              <w:t>邓坊</w:t>
            </w:r>
          </w:p>
        </w:tc>
        <w:tc>
          <w:tcPr>
            <w:tcW w:w="1251" w:type="pct"/>
            <w:vAlign w:val="center"/>
          </w:tcPr>
          <w:p w14:paraId="4C8B1C8A">
            <w:pPr>
              <w:pStyle w:val="23"/>
              <w:jc w:val="center"/>
              <w:rPr>
                <w:rFonts w:ascii="宋体" w:hAnsi="宋体"/>
                <w:kern w:val="0"/>
                <w:szCs w:val="21"/>
              </w:rPr>
            </w:pPr>
            <w:r>
              <w:rPr>
                <w:rFonts w:ascii="宋体" w:hAnsi="宋体"/>
                <w:kern w:val="0"/>
                <w:szCs w:val="21"/>
              </w:rPr>
              <w:t>727</w:t>
            </w:r>
          </w:p>
        </w:tc>
        <w:tc>
          <w:tcPr>
            <w:tcW w:w="1249" w:type="pct"/>
            <w:vAlign w:val="center"/>
          </w:tcPr>
          <w:p w14:paraId="7159F0BB">
            <w:pPr>
              <w:pStyle w:val="23"/>
              <w:jc w:val="center"/>
              <w:rPr>
                <w:rFonts w:ascii="宋体" w:hAnsi="宋体"/>
                <w:kern w:val="0"/>
                <w:szCs w:val="21"/>
              </w:rPr>
            </w:pPr>
            <w:r>
              <w:rPr>
                <w:rFonts w:ascii="宋体" w:hAnsi="宋体"/>
                <w:kern w:val="0"/>
                <w:szCs w:val="21"/>
              </w:rPr>
              <w:t>主田</w:t>
            </w:r>
          </w:p>
        </w:tc>
        <w:tc>
          <w:tcPr>
            <w:tcW w:w="1251" w:type="pct"/>
            <w:vAlign w:val="center"/>
          </w:tcPr>
          <w:p w14:paraId="39407820">
            <w:pPr>
              <w:pStyle w:val="23"/>
              <w:jc w:val="center"/>
              <w:rPr>
                <w:rFonts w:ascii="宋体" w:hAnsi="宋体"/>
                <w:kern w:val="0"/>
                <w:szCs w:val="21"/>
              </w:rPr>
            </w:pPr>
            <w:r>
              <w:rPr>
                <w:rFonts w:ascii="宋体" w:hAnsi="宋体"/>
                <w:kern w:val="0"/>
                <w:szCs w:val="21"/>
              </w:rPr>
              <w:t>1406</w:t>
            </w:r>
          </w:p>
        </w:tc>
      </w:tr>
      <w:tr w14:paraId="5291154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249" w:type="pct"/>
            <w:vAlign w:val="center"/>
          </w:tcPr>
          <w:p w14:paraId="2233536B">
            <w:pPr>
              <w:pStyle w:val="23"/>
              <w:jc w:val="center"/>
              <w:rPr>
                <w:rFonts w:ascii="宋体" w:hAnsi="宋体"/>
                <w:kern w:val="0"/>
                <w:szCs w:val="21"/>
              </w:rPr>
            </w:pPr>
            <w:r>
              <w:rPr>
                <w:rFonts w:ascii="宋体" w:hAnsi="宋体"/>
                <w:kern w:val="0"/>
                <w:szCs w:val="21"/>
              </w:rPr>
              <w:t>油山</w:t>
            </w:r>
          </w:p>
        </w:tc>
        <w:tc>
          <w:tcPr>
            <w:tcW w:w="1251" w:type="pct"/>
            <w:vAlign w:val="center"/>
          </w:tcPr>
          <w:p w14:paraId="1011DE59">
            <w:pPr>
              <w:pStyle w:val="23"/>
              <w:jc w:val="center"/>
              <w:rPr>
                <w:rFonts w:ascii="宋体" w:hAnsi="宋体"/>
                <w:kern w:val="0"/>
                <w:szCs w:val="21"/>
              </w:rPr>
            </w:pPr>
            <w:r>
              <w:rPr>
                <w:rFonts w:ascii="宋体" w:hAnsi="宋体"/>
                <w:kern w:val="0"/>
                <w:szCs w:val="21"/>
              </w:rPr>
              <w:t>998</w:t>
            </w:r>
          </w:p>
        </w:tc>
        <w:tc>
          <w:tcPr>
            <w:tcW w:w="1249" w:type="pct"/>
            <w:vAlign w:val="center"/>
          </w:tcPr>
          <w:p w14:paraId="188619E1">
            <w:pPr>
              <w:pStyle w:val="23"/>
              <w:jc w:val="center"/>
              <w:rPr>
                <w:rFonts w:ascii="宋体" w:hAnsi="宋体"/>
                <w:kern w:val="0"/>
                <w:szCs w:val="21"/>
              </w:rPr>
            </w:pPr>
            <w:r>
              <w:rPr>
                <w:rFonts w:ascii="宋体" w:hAnsi="宋体"/>
                <w:kern w:val="0"/>
                <w:szCs w:val="21"/>
              </w:rPr>
              <w:t>古市</w:t>
            </w:r>
          </w:p>
        </w:tc>
        <w:tc>
          <w:tcPr>
            <w:tcW w:w="1251" w:type="pct"/>
            <w:vAlign w:val="center"/>
          </w:tcPr>
          <w:p w14:paraId="1775ABDF">
            <w:pPr>
              <w:pStyle w:val="23"/>
              <w:jc w:val="center"/>
              <w:rPr>
                <w:rFonts w:ascii="宋体" w:hAnsi="宋体"/>
                <w:kern w:val="0"/>
                <w:szCs w:val="21"/>
              </w:rPr>
            </w:pPr>
            <w:r>
              <w:rPr>
                <w:rFonts w:ascii="宋体" w:hAnsi="宋体"/>
                <w:kern w:val="0"/>
                <w:szCs w:val="21"/>
              </w:rPr>
              <w:t>1921</w:t>
            </w:r>
          </w:p>
        </w:tc>
      </w:tr>
      <w:tr w14:paraId="76EE725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249" w:type="pct"/>
            <w:vAlign w:val="center"/>
          </w:tcPr>
          <w:p w14:paraId="31657B6B">
            <w:pPr>
              <w:pStyle w:val="23"/>
              <w:jc w:val="center"/>
              <w:rPr>
                <w:rFonts w:ascii="宋体" w:hAnsi="宋体"/>
                <w:kern w:val="0"/>
                <w:szCs w:val="21"/>
              </w:rPr>
            </w:pPr>
            <w:r>
              <w:rPr>
                <w:rFonts w:ascii="宋体" w:hAnsi="宋体"/>
                <w:kern w:val="0"/>
                <w:szCs w:val="21"/>
              </w:rPr>
              <w:t>南亩</w:t>
            </w:r>
          </w:p>
        </w:tc>
        <w:tc>
          <w:tcPr>
            <w:tcW w:w="1251" w:type="pct"/>
            <w:vAlign w:val="center"/>
          </w:tcPr>
          <w:p w14:paraId="0EF74298">
            <w:pPr>
              <w:pStyle w:val="23"/>
              <w:jc w:val="center"/>
              <w:rPr>
                <w:rFonts w:ascii="宋体" w:hAnsi="宋体"/>
                <w:kern w:val="0"/>
                <w:szCs w:val="21"/>
              </w:rPr>
            </w:pPr>
            <w:r>
              <w:rPr>
                <w:rFonts w:ascii="宋体" w:hAnsi="宋体"/>
                <w:kern w:val="0"/>
                <w:szCs w:val="21"/>
              </w:rPr>
              <w:t>181</w:t>
            </w:r>
          </w:p>
        </w:tc>
        <w:tc>
          <w:tcPr>
            <w:tcW w:w="1249" w:type="pct"/>
            <w:vAlign w:val="center"/>
          </w:tcPr>
          <w:p w14:paraId="1600E7CE">
            <w:pPr>
              <w:pStyle w:val="23"/>
              <w:jc w:val="center"/>
              <w:rPr>
                <w:rFonts w:ascii="宋体" w:hAnsi="宋体"/>
                <w:kern w:val="0"/>
                <w:szCs w:val="21"/>
              </w:rPr>
            </w:pPr>
            <w:r>
              <w:rPr>
                <w:rFonts w:ascii="宋体" w:hAnsi="宋体"/>
                <w:kern w:val="0"/>
                <w:szCs w:val="21"/>
              </w:rPr>
              <w:t>百顺</w:t>
            </w:r>
          </w:p>
        </w:tc>
        <w:tc>
          <w:tcPr>
            <w:tcW w:w="1251" w:type="pct"/>
            <w:vAlign w:val="center"/>
          </w:tcPr>
          <w:p w14:paraId="62F78080">
            <w:pPr>
              <w:pStyle w:val="23"/>
              <w:jc w:val="center"/>
              <w:rPr>
                <w:rFonts w:ascii="宋体" w:hAnsi="宋体"/>
                <w:kern w:val="0"/>
                <w:szCs w:val="21"/>
              </w:rPr>
            </w:pPr>
          </w:p>
        </w:tc>
      </w:tr>
      <w:tr w14:paraId="2282E26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249" w:type="pct"/>
            <w:vAlign w:val="center"/>
          </w:tcPr>
          <w:p w14:paraId="3F999953">
            <w:pPr>
              <w:pStyle w:val="23"/>
              <w:jc w:val="center"/>
              <w:rPr>
                <w:rFonts w:ascii="宋体" w:hAnsi="宋体"/>
                <w:kern w:val="0"/>
                <w:szCs w:val="21"/>
              </w:rPr>
            </w:pPr>
            <w:r>
              <w:rPr>
                <w:rFonts w:ascii="宋体" w:hAnsi="宋体"/>
                <w:kern w:val="0"/>
                <w:szCs w:val="21"/>
              </w:rPr>
              <w:t>水口</w:t>
            </w:r>
          </w:p>
        </w:tc>
        <w:tc>
          <w:tcPr>
            <w:tcW w:w="1251" w:type="pct"/>
            <w:vAlign w:val="center"/>
          </w:tcPr>
          <w:p w14:paraId="08B58745">
            <w:pPr>
              <w:pStyle w:val="23"/>
              <w:jc w:val="center"/>
              <w:rPr>
                <w:rFonts w:ascii="宋体" w:hAnsi="宋体"/>
                <w:kern w:val="0"/>
                <w:szCs w:val="21"/>
              </w:rPr>
            </w:pPr>
            <w:r>
              <w:rPr>
                <w:rFonts w:ascii="宋体" w:hAnsi="宋体"/>
                <w:kern w:val="0"/>
                <w:szCs w:val="21"/>
              </w:rPr>
              <w:t>1268</w:t>
            </w:r>
          </w:p>
        </w:tc>
        <w:tc>
          <w:tcPr>
            <w:tcW w:w="1249" w:type="pct"/>
            <w:vAlign w:val="center"/>
          </w:tcPr>
          <w:p w14:paraId="213DD0ED">
            <w:pPr>
              <w:pStyle w:val="23"/>
              <w:jc w:val="center"/>
              <w:rPr>
                <w:rFonts w:ascii="宋体" w:hAnsi="宋体"/>
                <w:kern w:val="0"/>
                <w:szCs w:val="21"/>
              </w:rPr>
            </w:pPr>
            <w:r>
              <w:rPr>
                <w:rFonts w:ascii="宋体" w:hAnsi="宋体"/>
                <w:kern w:val="0"/>
                <w:szCs w:val="21"/>
              </w:rPr>
              <w:t>澜河</w:t>
            </w:r>
          </w:p>
        </w:tc>
        <w:tc>
          <w:tcPr>
            <w:tcW w:w="1251" w:type="pct"/>
            <w:vAlign w:val="center"/>
          </w:tcPr>
          <w:p w14:paraId="50C5671F">
            <w:pPr>
              <w:pStyle w:val="23"/>
              <w:jc w:val="center"/>
              <w:rPr>
                <w:rFonts w:ascii="宋体" w:hAnsi="宋体"/>
                <w:kern w:val="0"/>
                <w:szCs w:val="21"/>
              </w:rPr>
            </w:pPr>
          </w:p>
        </w:tc>
      </w:tr>
      <w:tr w14:paraId="03BD8DB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249" w:type="pct"/>
            <w:vAlign w:val="center"/>
          </w:tcPr>
          <w:p w14:paraId="73BB363F">
            <w:pPr>
              <w:pStyle w:val="23"/>
              <w:jc w:val="center"/>
              <w:rPr>
                <w:rFonts w:ascii="宋体" w:hAnsi="宋体"/>
                <w:kern w:val="0"/>
                <w:szCs w:val="21"/>
              </w:rPr>
            </w:pPr>
            <w:r>
              <w:rPr>
                <w:rFonts w:ascii="宋体" w:hAnsi="宋体"/>
                <w:kern w:val="0"/>
                <w:szCs w:val="21"/>
              </w:rPr>
              <w:t>江头</w:t>
            </w:r>
          </w:p>
        </w:tc>
        <w:tc>
          <w:tcPr>
            <w:tcW w:w="1251" w:type="pct"/>
            <w:vAlign w:val="center"/>
          </w:tcPr>
          <w:p w14:paraId="5152F809">
            <w:pPr>
              <w:pStyle w:val="23"/>
              <w:jc w:val="center"/>
              <w:rPr>
                <w:rFonts w:ascii="宋体" w:hAnsi="宋体"/>
                <w:kern w:val="0"/>
                <w:szCs w:val="21"/>
              </w:rPr>
            </w:pPr>
            <w:r>
              <w:rPr>
                <w:rFonts w:ascii="宋体" w:hAnsi="宋体"/>
                <w:kern w:val="0"/>
                <w:szCs w:val="21"/>
              </w:rPr>
              <w:t>247</w:t>
            </w:r>
          </w:p>
        </w:tc>
        <w:tc>
          <w:tcPr>
            <w:tcW w:w="1249" w:type="pct"/>
            <w:vAlign w:val="center"/>
          </w:tcPr>
          <w:p w14:paraId="57BED2C3">
            <w:pPr>
              <w:pStyle w:val="23"/>
              <w:jc w:val="center"/>
              <w:rPr>
                <w:rFonts w:ascii="宋体" w:hAnsi="宋体"/>
                <w:kern w:val="0"/>
                <w:szCs w:val="21"/>
              </w:rPr>
            </w:pPr>
            <w:r>
              <w:rPr>
                <w:rFonts w:ascii="宋体" w:hAnsi="宋体"/>
                <w:kern w:val="0"/>
                <w:szCs w:val="21"/>
              </w:rPr>
              <w:t>其它</w:t>
            </w:r>
          </w:p>
        </w:tc>
        <w:tc>
          <w:tcPr>
            <w:tcW w:w="1251" w:type="pct"/>
            <w:vAlign w:val="center"/>
          </w:tcPr>
          <w:p w14:paraId="073C59AF">
            <w:pPr>
              <w:pStyle w:val="23"/>
              <w:jc w:val="center"/>
              <w:rPr>
                <w:rFonts w:ascii="宋体" w:hAnsi="宋体"/>
                <w:kern w:val="0"/>
                <w:szCs w:val="21"/>
              </w:rPr>
            </w:pPr>
          </w:p>
        </w:tc>
      </w:tr>
    </w:tbl>
    <w:p w14:paraId="1B97B163">
      <w:pPr>
        <w:ind w:firstLine="0" w:firstLineChars="0"/>
        <w:jc w:val="center"/>
        <w:rPr>
          <w:rFonts w:ascii="宋体" w:hAnsi="宋体"/>
          <w:b/>
          <w:szCs w:val="21"/>
        </w:rPr>
      </w:pPr>
      <w:r>
        <w:rPr>
          <w:rFonts w:hint="eastAsia" w:ascii="宋体" w:hAnsi="宋体"/>
          <w:b/>
          <w:szCs w:val="21"/>
        </w:rPr>
        <w:t>表86 卫生事业情况</w:t>
      </w:r>
    </w:p>
    <w:tbl>
      <w:tblPr>
        <w:tblStyle w:val="14"/>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30" w:type="dxa"/>
          <w:bottom w:w="0" w:type="dxa"/>
          <w:right w:w="30" w:type="dxa"/>
        </w:tblCellMar>
      </w:tblPr>
      <w:tblGrid>
        <w:gridCol w:w="3267"/>
        <w:gridCol w:w="3271"/>
        <w:gridCol w:w="3268"/>
      </w:tblGrid>
      <w:tr w14:paraId="36861EB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666" w:type="pct"/>
            <w:vAlign w:val="center"/>
          </w:tcPr>
          <w:p w14:paraId="21EA070E">
            <w:pPr>
              <w:pStyle w:val="23"/>
              <w:jc w:val="center"/>
              <w:rPr>
                <w:rFonts w:ascii="宋体" w:hAnsi="宋体"/>
                <w:b/>
                <w:kern w:val="0"/>
                <w:szCs w:val="21"/>
              </w:rPr>
            </w:pPr>
            <w:r>
              <w:rPr>
                <w:rFonts w:ascii="宋体" w:hAnsi="宋体"/>
                <w:b/>
                <w:kern w:val="0"/>
                <w:szCs w:val="21"/>
              </w:rPr>
              <w:t>指标名称</w:t>
            </w:r>
          </w:p>
        </w:tc>
        <w:tc>
          <w:tcPr>
            <w:tcW w:w="1668" w:type="pct"/>
            <w:vAlign w:val="center"/>
          </w:tcPr>
          <w:p w14:paraId="35F47FC2">
            <w:pPr>
              <w:pStyle w:val="23"/>
              <w:jc w:val="center"/>
              <w:rPr>
                <w:rFonts w:ascii="宋体" w:hAnsi="宋体"/>
                <w:b/>
                <w:kern w:val="0"/>
                <w:szCs w:val="21"/>
              </w:rPr>
            </w:pPr>
            <w:r>
              <w:rPr>
                <w:rFonts w:ascii="宋体" w:hAnsi="宋体"/>
                <w:b/>
                <w:kern w:val="0"/>
                <w:szCs w:val="21"/>
              </w:rPr>
              <w:t>计算单位</w:t>
            </w:r>
          </w:p>
        </w:tc>
        <w:tc>
          <w:tcPr>
            <w:tcW w:w="1666" w:type="pct"/>
            <w:vAlign w:val="center"/>
          </w:tcPr>
          <w:p w14:paraId="550084E9">
            <w:pPr>
              <w:pStyle w:val="23"/>
              <w:jc w:val="center"/>
              <w:rPr>
                <w:rFonts w:ascii="宋体" w:hAnsi="宋体"/>
                <w:b/>
                <w:kern w:val="0"/>
                <w:szCs w:val="21"/>
              </w:rPr>
            </w:pPr>
            <w:r>
              <w:rPr>
                <w:rFonts w:ascii="宋体" w:hAnsi="宋体"/>
                <w:b/>
                <w:kern w:val="0"/>
                <w:szCs w:val="21"/>
              </w:rPr>
              <w:t>2011年</w:t>
            </w:r>
          </w:p>
        </w:tc>
      </w:tr>
      <w:tr w14:paraId="363B376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666" w:type="pct"/>
            <w:vAlign w:val="center"/>
          </w:tcPr>
          <w:p w14:paraId="0F1EAAD9">
            <w:pPr>
              <w:pStyle w:val="23"/>
              <w:rPr>
                <w:rFonts w:ascii="宋体" w:hAnsi="宋体"/>
                <w:kern w:val="0"/>
                <w:szCs w:val="21"/>
              </w:rPr>
            </w:pPr>
            <w:r>
              <w:rPr>
                <w:rFonts w:ascii="宋体" w:hAnsi="宋体"/>
                <w:kern w:val="0"/>
                <w:szCs w:val="21"/>
              </w:rPr>
              <w:t>一、卫生机构总数</w:t>
            </w:r>
          </w:p>
        </w:tc>
        <w:tc>
          <w:tcPr>
            <w:tcW w:w="1668" w:type="pct"/>
            <w:vAlign w:val="center"/>
          </w:tcPr>
          <w:p w14:paraId="1B3AB7CA">
            <w:pPr>
              <w:pStyle w:val="23"/>
              <w:jc w:val="center"/>
              <w:rPr>
                <w:rFonts w:ascii="宋体" w:hAnsi="宋体"/>
                <w:kern w:val="0"/>
                <w:szCs w:val="21"/>
              </w:rPr>
            </w:pPr>
            <w:r>
              <w:rPr>
                <w:rFonts w:ascii="宋体" w:hAnsi="宋体"/>
                <w:kern w:val="0"/>
                <w:szCs w:val="21"/>
              </w:rPr>
              <w:t>个</w:t>
            </w:r>
          </w:p>
        </w:tc>
        <w:tc>
          <w:tcPr>
            <w:tcW w:w="1666" w:type="pct"/>
            <w:vAlign w:val="center"/>
          </w:tcPr>
          <w:p w14:paraId="50C6CB27">
            <w:pPr>
              <w:pStyle w:val="23"/>
              <w:jc w:val="center"/>
              <w:rPr>
                <w:rFonts w:ascii="宋体" w:hAnsi="宋体"/>
                <w:kern w:val="0"/>
                <w:szCs w:val="21"/>
              </w:rPr>
            </w:pPr>
            <w:r>
              <w:rPr>
                <w:rFonts w:ascii="宋体" w:hAnsi="宋体"/>
                <w:kern w:val="0"/>
                <w:szCs w:val="21"/>
              </w:rPr>
              <w:t>28</w:t>
            </w:r>
          </w:p>
        </w:tc>
      </w:tr>
      <w:tr w14:paraId="44E9735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666" w:type="pct"/>
            <w:vAlign w:val="center"/>
          </w:tcPr>
          <w:p w14:paraId="19B59E64">
            <w:pPr>
              <w:pStyle w:val="23"/>
              <w:ind w:firstLine="420" w:firstLineChars="200"/>
              <w:rPr>
                <w:rFonts w:ascii="宋体" w:hAnsi="宋体"/>
                <w:kern w:val="0"/>
                <w:szCs w:val="21"/>
              </w:rPr>
            </w:pPr>
            <w:r>
              <w:rPr>
                <w:rFonts w:ascii="宋体" w:hAnsi="宋体"/>
                <w:kern w:val="0"/>
                <w:szCs w:val="21"/>
              </w:rPr>
              <w:t>其中</w:t>
            </w:r>
            <w:r>
              <w:rPr>
                <w:rFonts w:hint="eastAsia" w:ascii="宋体" w:hAnsi="宋体"/>
                <w:kern w:val="0"/>
                <w:szCs w:val="21"/>
              </w:rPr>
              <w:t>：</w:t>
            </w:r>
            <w:r>
              <w:rPr>
                <w:rFonts w:ascii="宋体" w:hAnsi="宋体"/>
                <w:kern w:val="0"/>
                <w:szCs w:val="21"/>
              </w:rPr>
              <w:t>医院</w:t>
            </w:r>
          </w:p>
        </w:tc>
        <w:tc>
          <w:tcPr>
            <w:tcW w:w="1668" w:type="pct"/>
            <w:vAlign w:val="center"/>
          </w:tcPr>
          <w:p w14:paraId="0CC2CA64">
            <w:pPr>
              <w:pStyle w:val="23"/>
              <w:jc w:val="center"/>
              <w:rPr>
                <w:rFonts w:ascii="宋体" w:hAnsi="宋体"/>
                <w:kern w:val="0"/>
                <w:szCs w:val="21"/>
              </w:rPr>
            </w:pPr>
            <w:r>
              <w:rPr>
                <w:rFonts w:ascii="宋体" w:hAnsi="宋体"/>
                <w:kern w:val="0"/>
                <w:szCs w:val="21"/>
              </w:rPr>
              <w:t>个</w:t>
            </w:r>
          </w:p>
        </w:tc>
        <w:tc>
          <w:tcPr>
            <w:tcW w:w="1666" w:type="pct"/>
            <w:vAlign w:val="center"/>
          </w:tcPr>
          <w:p w14:paraId="3D072BE8">
            <w:pPr>
              <w:pStyle w:val="23"/>
              <w:jc w:val="center"/>
              <w:rPr>
                <w:rFonts w:ascii="宋体" w:hAnsi="宋体"/>
                <w:kern w:val="0"/>
                <w:szCs w:val="21"/>
              </w:rPr>
            </w:pPr>
            <w:r>
              <w:rPr>
                <w:rFonts w:ascii="宋体" w:hAnsi="宋体"/>
                <w:kern w:val="0"/>
                <w:szCs w:val="21"/>
              </w:rPr>
              <w:t>21</w:t>
            </w:r>
          </w:p>
        </w:tc>
      </w:tr>
      <w:tr w14:paraId="62B2FC6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666" w:type="pct"/>
            <w:vAlign w:val="center"/>
          </w:tcPr>
          <w:p w14:paraId="0F9F3B23">
            <w:pPr>
              <w:pStyle w:val="23"/>
              <w:rPr>
                <w:rFonts w:ascii="宋体" w:hAnsi="宋体"/>
                <w:kern w:val="0"/>
                <w:szCs w:val="21"/>
              </w:rPr>
            </w:pPr>
            <w:r>
              <w:rPr>
                <w:rFonts w:ascii="宋体" w:hAnsi="宋体"/>
                <w:kern w:val="0"/>
                <w:szCs w:val="21"/>
              </w:rPr>
              <w:t>二、病床位数</w:t>
            </w:r>
          </w:p>
        </w:tc>
        <w:tc>
          <w:tcPr>
            <w:tcW w:w="1668" w:type="pct"/>
            <w:vAlign w:val="center"/>
          </w:tcPr>
          <w:p w14:paraId="3C9EA809">
            <w:pPr>
              <w:pStyle w:val="23"/>
              <w:jc w:val="center"/>
              <w:rPr>
                <w:rFonts w:ascii="宋体" w:hAnsi="宋体"/>
                <w:kern w:val="0"/>
                <w:szCs w:val="21"/>
              </w:rPr>
            </w:pPr>
            <w:r>
              <w:rPr>
                <w:rFonts w:ascii="宋体" w:hAnsi="宋体"/>
                <w:kern w:val="0"/>
                <w:szCs w:val="21"/>
              </w:rPr>
              <w:t>张</w:t>
            </w:r>
          </w:p>
        </w:tc>
        <w:tc>
          <w:tcPr>
            <w:tcW w:w="1666" w:type="pct"/>
            <w:vAlign w:val="center"/>
          </w:tcPr>
          <w:p w14:paraId="25F94EBE">
            <w:pPr>
              <w:pStyle w:val="23"/>
              <w:jc w:val="center"/>
              <w:rPr>
                <w:rFonts w:ascii="宋体" w:hAnsi="宋体"/>
                <w:kern w:val="0"/>
                <w:szCs w:val="21"/>
              </w:rPr>
            </w:pPr>
            <w:r>
              <w:rPr>
                <w:rFonts w:ascii="宋体" w:hAnsi="宋体"/>
                <w:kern w:val="0"/>
                <w:szCs w:val="21"/>
              </w:rPr>
              <w:t>1100</w:t>
            </w:r>
          </w:p>
        </w:tc>
      </w:tr>
      <w:tr w14:paraId="674C9A0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666" w:type="pct"/>
            <w:vAlign w:val="center"/>
          </w:tcPr>
          <w:p w14:paraId="3E76A19B">
            <w:pPr>
              <w:pStyle w:val="23"/>
              <w:rPr>
                <w:rFonts w:ascii="宋体" w:hAnsi="宋体"/>
                <w:kern w:val="0"/>
                <w:szCs w:val="21"/>
              </w:rPr>
            </w:pPr>
            <w:r>
              <w:rPr>
                <w:rFonts w:ascii="宋体" w:hAnsi="宋体"/>
                <w:kern w:val="0"/>
                <w:szCs w:val="21"/>
              </w:rPr>
              <w:t>三、卫生技术人员</w:t>
            </w:r>
          </w:p>
        </w:tc>
        <w:tc>
          <w:tcPr>
            <w:tcW w:w="1668" w:type="pct"/>
            <w:vAlign w:val="center"/>
          </w:tcPr>
          <w:p w14:paraId="43738AFE">
            <w:pPr>
              <w:pStyle w:val="23"/>
              <w:jc w:val="center"/>
              <w:rPr>
                <w:rFonts w:ascii="宋体" w:hAnsi="宋体"/>
                <w:kern w:val="0"/>
                <w:szCs w:val="21"/>
              </w:rPr>
            </w:pPr>
            <w:r>
              <w:rPr>
                <w:rFonts w:ascii="宋体" w:hAnsi="宋体"/>
                <w:kern w:val="0"/>
                <w:szCs w:val="21"/>
              </w:rPr>
              <w:t>人</w:t>
            </w:r>
          </w:p>
        </w:tc>
        <w:tc>
          <w:tcPr>
            <w:tcW w:w="1666" w:type="pct"/>
            <w:vAlign w:val="center"/>
          </w:tcPr>
          <w:p w14:paraId="29873822">
            <w:pPr>
              <w:pStyle w:val="23"/>
              <w:jc w:val="center"/>
              <w:rPr>
                <w:rFonts w:ascii="宋体" w:hAnsi="宋体"/>
                <w:kern w:val="0"/>
                <w:szCs w:val="21"/>
              </w:rPr>
            </w:pPr>
            <w:r>
              <w:rPr>
                <w:rFonts w:ascii="宋体" w:hAnsi="宋体"/>
                <w:kern w:val="0"/>
                <w:szCs w:val="21"/>
              </w:rPr>
              <w:t>994</w:t>
            </w:r>
          </w:p>
        </w:tc>
      </w:tr>
      <w:tr w14:paraId="34BBB7C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666" w:type="pct"/>
            <w:vAlign w:val="center"/>
          </w:tcPr>
          <w:p w14:paraId="0BEF153F">
            <w:pPr>
              <w:pStyle w:val="23"/>
              <w:ind w:firstLine="420" w:firstLineChars="200"/>
              <w:rPr>
                <w:rFonts w:ascii="宋体" w:hAnsi="宋体"/>
                <w:kern w:val="0"/>
                <w:szCs w:val="21"/>
              </w:rPr>
            </w:pPr>
            <w:r>
              <w:rPr>
                <w:rFonts w:hint="eastAsia" w:ascii="宋体" w:hAnsi="宋体"/>
                <w:kern w:val="0"/>
                <w:szCs w:val="21"/>
              </w:rPr>
              <w:t>（一）</w:t>
            </w:r>
            <w:r>
              <w:rPr>
                <w:rFonts w:ascii="宋体" w:hAnsi="宋体"/>
                <w:kern w:val="0"/>
                <w:szCs w:val="21"/>
              </w:rPr>
              <w:t>医生数</w:t>
            </w:r>
          </w:p>
        </w:tc>
        <w:tc>
          <w:tcPr>
            <w:tcW w:w="1668" w:type="pct"/>
            <w:vAlign w:val="center"/>
          </w:tcPr>
          <w:p w14:paraId="2AE60FD9">
            <w:pPr>
              <w:pStyle w:val="23"/>
              <w:jc w:val="center"/>
              <w:rPr>
                <w:rFonts w:ascii="宋体" w:hAnsi="宋体"/>
                <w:kern w:val="0"/>
                <w:szCs w:val="21"/>
              </w:rPr>
            </w:pPr>
            <w:r>
              <w:rPr>
                <w:rFonts w:ascii="宋体" w:hAnsi="宋体"/>
                <w:kern w:val="0"/>
                <w:szCs w:val="21"/>
              </w:rPr>
              <w:t>人</w:t>
            </w:r>
          </w:p>
        </w:tc>
        <w:tc>
          <w:tcPr>
            <w:tcW w:w="1666" w:type="pct"/>
            <w:vAlign w:val="center"/>
          </w:tcPr>
          <w:p w14:paraId="54B8F2FB">
            <w:pPr>
              <w:pStyle w:val="23"/>
              <w:jc w:val="center"/>
              <w:rPr>
                <w:rFonts w:ascii="宋体" w:hAnsi="宋体"/>
                <w:kern w:val="0"/>
                <w:szCs w:val="21"/>
              </w:rPr>
            </w:pPr>
            <w:r>
              <w:rPr>
                <w:rFonts w:ascii="宋体" w:hAnsi="宋体"/>
                <w:kern w:val="0"/>
                <w:szCs w:val="21"/>
              </w:rPr>
              <w:t>365</w:t>
            </w:r>
          </w:p>
        </w:tc>
      </w:tr>
      <w:tr w14:paraId="373178D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666" w:type="pct"/>
            <w:vAlign w:val="center"/>
          </w:tcPr>
          <w:p w14:paraId="1535D256">
            <w:pPr>
              <w:pStyle w:val="23"/>
              <w:ind w:firstLine="420" w:firstLineChars="200"/>
              <w:rPr>
                <w:rFonts w:ascii="宋体" w:hAnsi="宋体"/>
                <w:kern w:val="0"/>
                <w:szCs w:val="21"/>
              </w:rPr>
            </w:pPr>
            <w:r>
              <w:rPr>
                <w:rFonts w:ascii="宋体" w:hAnsi="宋体"/>
                <w:kern w:val="0"/>
                <w:szCs w:val="21"/>
              </w:rPr>
              <w:t>其中</w:t>
            </w:r>
            <w:r>
              <w:rPr>
                <w:rFonts w:hint="eastAsia" w:ascii="宋体" w:hAnsi="宋体"/>
                <w:kern w:val="0"/>
                <w:szCs w:val="21"/>
              </w:rPr>
              <w:t>：</w:t>
            </w:r>
            <w:r>
              <w:rPr>
                <w:rFonts w:ascii="宋体" w:hAnsi="宋体"/>
                <w:kern w:val="0"/>
                <w:szCs w:val="21"/>
              </w:rPr>
              <w:t>西医师</w:t>
            </w:r>
          </w:p>
        </w:tc>
        <w:tc>
          <w:tcPr>
            <w:tcW w:w="1668" w:type="pct"/>
            <w:vAlign w:val="center"/>
          </w:tcPr>
          <w:p w14:paraId="6CFE2DAD">
            <w:pPr>
              <w:pStyle w:val="23"/>
              <w:jc w:val="center"/>
              <w:rPr>
                <w:rFonts w:ascii="宋体" w:hAnsi="宋体"/>
                <w:kern w:val="0"/>
                <w:szCs w:val="21"/>
              </w:rPr>
            </w:pPr>
            <w:r>
              <w:rPr>
                <w:rFonts w:ascii="宋体" w:hAnsi="宋体"/>
                <w:kern w:val="0"/>
                <w:szCs w:val="21"/>
              </w:rPr>
              <w:t>人</w:t>
            </w:r>
          </w:p>
        </w:tc>
        <w:tc>
          <w:tcPr>
            <w:tcW w:w="1666" w:type="pct"/>
            <w:vAlign w:val="center"/>
          </w:tcPr>
          <w:p w14:paraId="6DE9BB19">
            <w:pPr>
              <w:pStyle w:val="23"/>
              <w:jc w:val="center"/>
              <w:rPr>
                <w:rFonts w:ascii="宋体" w:hAnsi="宋体"/>
                <w:kern w:val="0"/>
                <w:szCs w:val="21"/>
              </w:rPr>
            </w:pPr>
            <w:r>
              <w:rPr>
                <w:rFonts w:ascii="宋体" w:hAnsi="宋体"/>
                <w:kern w:val="0"/>
                <w:szCs w:val="21"/>
              </w:rPr>
              <w:t>186</w:t>
            </w:r>
          </w:p>
        </w:tc>
      </w:tr>
      <w:tr w14:paraId="226A6E6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666" w:type="pct"/>
            <w:vAlign w:val="center"/>
          </w:tcPr>
          <w:p w14:paraId="4C90538A">
            <w:pPr>
              <w:pStyle w:val="23"/>
              <w:ind w:firstLine="1050" w:firstLineChars="500"/>
              <w:rPr>
                <w:rFonts w:ascii="宋体" w:hAnsi="宋体"/>
                <w:kern w:val="0"/>
                <w:szCs w:val="21"/>
              </w:rPr>
            </w:pPr>
            <w:r>
              <w:rPr>
                <w:rFonts w:ascii="宋体" w:hAnsi="宋体"/>
                <w:kern w:val="0"/>
                <w:szCs w:val="21"/>
              </w:rPr>
              <w:t>中医师</w:t>
            </w:r>
          </w:p>
        </w:tc>
        <w:tc>
          <w:tcPr>
            <w:tcW w:w="1668" w:type="pct"/>
            <w:vAlign w:val="center"/>
          </w:tcPr>
          <w:p w14:paraId="0C16CF69">
            <w:pPr>
              <w:pStyle w:val="23"/>
              <w:jc w:val="center"/>
              <w:rPr>
                <w:rFonts w:ascii="宋体" w:hAnsi="宋体"/>
                <w:kern w:val="0"/>
                <w:szCs w:val="21"/>
              </w:rPr>
            </w:pPr>
            <w:r>
              <w:rPr>
                <w:rFonts w:ascii="宋体" w:hAnsi="宋体"/>
                <w:kern w:val="0"/>
                <w:szCs w:val="21"/>
              </w:rPr>
              <w:t>人一</w:t>
            </w:r>
          </w:p>
        </w:tc>
        <w:tc>
          <w:tcPr>
            <w:tcW w:w="1666" w:type="pct"/>
            <w:vAlign w:val="center"/>
          </w:tcPr>
          <w:p w14:paraId="0621A488">
            <w:pPr>
              <w:pStyle w:val="23"/>
              <w:jc w:val="center"/>
              <w:rPr>
                <w:rFonts w:ascii="宋体" w:hAnsi="宋体"/>
                <w:kern w:val="0"/>
                <w:szCs w:val="21"/>
              </w:rPr>
            </w:pPr>
            <w:r>
              <w:rPr>
                <w:rFonts w:ascii="宋体" w:hAnsi="宋体"/>
                <w:kern w:val="0"/>
                <w:szCs w:val="21"/>
              </w:rPr>
              <w:t>38</w:t>
            </w:r>
          </w:p>
        </w:tc>
      </w:tr>
      <w:tr w14:paraId="14BF943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666" w:type="pct"/>
            <w:vAlign w:val="center"/>
          </w:tcPr>
          <w:p w14:paraId="1CADA7A3">
            <w:pPr>
              <w:pStyle w:val="23"/>
              <w:ind w:firstLine="1050" w:firstLineChars="500"/>
              <w:rPr>
                <w:rFonts w:ascii="宋体" w:hAnsi="宋体"/>
                <w:kern w:val="0"/>
                <w:szCs w:val="21"/>
              </w:rPr>
            </w:pPr>
            <w:r>
              <w:rPr>
                <w:rFonts w:ascii="宋体" w:hAnsi="宋体"/>
                <w:kern w:val="0"/>
                <w:szCs w:val="21"/>
              </w:rPr>
              <w:t>西医士</w:t>
            </w:r>
          </w:p>
        </w:tc>
        <w:tc>
          <w:tcPr>
            <w:tcW w:w="1668" w:type="pct"/>
            <w:vAlign w:val="center"/>
          </w:tcPr>
          <w:p w14:paraId="5B721DFF">
            <w:pPr>
              <w:pStyle w:val="23"/>
              <w:jc w:val="center"/>
              <w:rPr>
                <w:rFonts w:ascii="宋体" w:hAnsi="宋体"/>
                <w:kern w:val="0"/>
                <w:szCs w:val="21"/>
              </w:rPr>
            </w:pPr>
            <w:r>
              <w:rPr>
                <w:rFonts w:ascii="宋体" w:hAnsi="宋体"/>
                <w:kern w:val="0"/>
                <w:szCs w:val="21"/>
              </w:rPr>
              <w:t>人</w:t>
            </w:r>
          </w:p>
        </w:tc>
        <w:tc>
          <w:tcPr>
            <w:tcW w:w="1666" w:type="pct"/>
            <w:vAlign w:val="center"/>
          </w:tcPr>
          <w:p w14:paraId="3E1A0E70">
            <w:pPr>
              <w:pStyle w:val="23"/>
              <w:jc w:val="center"/>
              <w:rPr>
                <w:rFonts w:ascii="宋体" w:hAnsi="宋体"/>
                <w:kern w:val="0"/>
                <w:szCs w:val="21"/>
              </w:rPr>
            </w:pPr>
            <w:r>
              <w:rPr>
                <w:rFonts w:ascii="宋体" w:hAnsi="宋体"/>
                <w:kern w:val="0"/>
                <w:szCs w:val="21"/>
              </w:rPr>
              <w:t>93</w:t>
            </w:r>
          </w:p>
        </w:tc>
      </w:tr>
      <w:tr w14:paraId="7B5A9D0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666" w:type="pct"/>
            <w:vAlign w:val="center"/>
          </w:tcPr>
          <w:p w14:paraId="41ADDB79">
            <w:pPr>
              <w:pStyle w:val="23"/>
              <w:ind w:firstLine="1050" w:firstLineChars="500"/>
              <w:rPr>
                <w:rFonts w:ascii="宋体" w:hAnsi="宋体"/>
                <w:kern w:val="0"/>
                <w:szCs w:val="21"/>
              </w:rPr>
            </w:pPr>
            <w:r>
              <w:rPr>
                <w:rFonts w:ascii="宋体" w:hAnsi="宋体"/>
                <w:kern w:val="0"/>
                <w:szCs w:val="21"/>
              </w:rPr>
              <w:t>中医士</w:t>
            </w:r>
          </w:p>
        </w:tc>
        <w:tc>
          <w:tcPr>
            <w:tcW w:w="1668" w:type="pct"/>
            <w:vAlign w:val="center"/>
          </w:tcPr>
          <w:p w14:paraId="34D46597">
            <w:pPr>
              <w:pStyle w:val="23"/>
              <w:jc w:val="center"/>
              <w:rPr>
                <w:rFonts w:ascii="宋体" w:hAnsi="宋体"/>
                <w:kern w:val="0"/>
                <w:szCs w:val="21"/>
              </w:rPr>
            </w:pPr>
            <w:r>
              <w:rPr>
                <w:rFonts w:ascii="宋体" w:hAnsi="宋体"/>
                <w:kern w:val="0"/>
                <w:szCs w:val="21"/>
              </w:rPr>
              <w:t>人</w:t>
            </w:r>
          </w:p>
        </w:tc>
        <w:tc>
          <w:tcPr>
            <w:tcW w:w="1666" w:type="pct"/>
            <w:vAlign w:val="center"/>
          </w:tcPr>
          <w:p w14:paraId="7342B449">
            <w:pPr>
              <w:pStyle w:val="23"/>
              <w:jc w:val="center"/>
              <w:rPr>
                <w:rFonts w:ascii="宋体" w:hAnsi="宋体"/>
                <w:kern w:val="0"/>
                <w:szCs w:val="21"/>
              </w:rPr>
            </w:pPr>
            <w:r>
              <w:rPr>
                <w:rFonts w:ascii="宋体" w:hAnsi="宋体"/>
                <w:kern w:val="0"/>
                <w:szCs w:val="21"/>
              </w:rPr>
              <w:t>17</w:t>
            </w:r>
          </w:p>
        </w:tc>
      </w:tr>
      <w:tr w14:paraId="7B2155A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666" w:type="pct"/>
            <w:vAlign w:val="center"/>
          </w:tcPr>
          <w:p w14:paraId="13648A47">
            <w:pPr>
              <w:pStyle w:val="23"/>
              <w:rPr>
                <w:rFonts w:ascii="宋体" w:hAnsi="宋体"/>
                <w:kern w:val="0"/>
                <w:szCs w:val="21"/>
              </w:rPr>
            </w:pPr>
            <w:r>
              <w:rPr>
                <w:rFonts w:hint="eastAsia" w:ascii="宋体" w:hAnsi="宋体"/>
                <w:kern w:val="0"/>
                <w:szCs w:val="21"/>
              </w:rPr>
              <w:t>（二）</w:t>
            </w:r>
            <w:r>
              <w:rPr>
                <w:rFonts w:ascii="宋体" w:hAnsi="宋体"/>
                <w:kern w:val="0"/>
                <w:szCs w:val="21"/>
              </w:rPr>
              <w:t>全市主治医师以上人数</w:t>
            </w:r>
          </w:p>
        </w:tc>
        <w:tc>
          <w:tcPr>
            <w:tcW w:w="1668" w:type="pct"/>
            <w:vAlign w:val="center"/>
          </w:tcPr>
          <w:p w14:paraId="48E3694E">
            <w:pPr>
              <w:pStyle w:val="23"/>
              <w:jc w:val="center"/>
              <w:rPr>
                <w:rFonts w:ascii="宋体" w:hAnsi="宋体"/>
                <w:kern w:val="0"/>
                <w:szCs w:val="21"/>
              </w:rPr>
            </w:pPr>
            <w:r>
              <w:rPr>
                <w:rFonts w:ascii="宋体" w:hAnsi="宋体"/>
                <w:kern w:val="0"/>
                <w:szCs w:val="21"/>
              </w:rPr>
              <w:t>人</w:t>
            </w:r>
          </w:p>
        </w:tc>
        <w:tc>
          <w:tcPr>
            <w:tcW w:w="1666" w:type="pct"/>
            <w:vAlign w:val="center"/>
          </w:tcPr>
          <w:p w14:paraId="6FCCD2F6">
            <w:pPr>
              <w:pStyle w:val="23"/>
              <w:jc w:val="center"/>
              <w:rPr>
                <w:rFonts w:ascii="宋体" w:hAnsi="宋体"/>
                <w:kern w:val="0"/>
                <w:szCs w:val="21"/>
              </w:rPr>
            </w:pPr>
            <w:r>
              <w:rPr>
                <w:rFonts w:ascii="宋体" w:hAnsi="宋体"/>
                <w:kern w:val="0"/>
                <w:szCs w:val="21"/>
              </w:rPr>
              <w:t>174</w:t>
            </w:r>
          </w:p>
        </w:tc>
      </w:tr>
      <w:tr w14:paraId="375110E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666" w:type="pct"/>
            <w:vAlign w:val="center"/>
          </w:tcPr>
          <w:p w14:paraId="0DCD4F44">
            <w:pPr>
              <w:pStyle w:val="23"/>
              <w:ind w:firstLine="630" w:firstLineChars="300"/>
              <w:rPr>
                <w:rFonts w:ascii="宋体" w:hAnsi="宋体"/>
                <w:kern w:val="0"/>
                <w:szCs w:val="21"/>
              </w:rPr>
            </w:pPr>
            <w:r>
              <w:rPr>
                <w:rFonts w:ascii="宋体" w:hAnsi="宋体"/>
                <w:kern w:val="0"/>
                <w:szCs w:val="21"/>
              </w:rPr>
              <w:t>1、主治医师</w:t>
            </w:r>
          </w:p>
        </w:tc>
        <w:tc>
          <w:tcPr>
            <w:tcW w:w="1668" w:type="pct"/>
            <w:vAlign w:val="center"/>
          </w:tcPr>
          <w:p w14:paraId="06E653DF">
            <w:pPr>
              <w:pStyle w:val="23"/>
              <w:jc w:val="center"/>
              <w:rPr>
                <w:rFonts w:ascii="宋体" w:hAnsi="宋体"/>
                <w:kern w:val="0"/>
                <w:szCs w:val="21"/>
              </w:rPr>
            </w:pPr>
            <w:r>
              <w:rPr>
                <w:rFonts w:ascii="宋体" w:hAnsi="宋体"/>
                <w:kern w:val="0"/>
                <w:szCs w:val="21"/>
              </w:rPr>
              <w:t>人</w:t>
            </w:r>
          </w:p>
        </w:tc>
        <w:tc>
          <w:tcPr>
            <w:tcW w:w="1666" w:type="pct"/>
            <w:vAlign w:val="center"/>
          </w:tcPr>
          <w:p w14:paraId="0F07638F">
            <w:pPr>
              <w:pStyle w:val="23"/>
              <w:jc w:val="center"/>
              <w:rPr>
                <w:rFonts w:ascii="宋体" w:hAnsi="宋体"/>
                <w:kern w:val="0"/>
                <w:szCs w:val="21"/>
              </w:rPr>
            </w:pPr>
            <w:r>
              <w:rPr>
                <w:rFonts w:ascii="宋体" w:hAnsi="宋体"/>
                <w:kern w:val="0"/>
                <w:szCs w:val="21"/>
              </w:rPr>
              <w:t>138</w:t>
            </w:r>
          </w:p>
        </w:tc>
      </w:tr>
      <w:tr w14:paraId="7E32236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666" w:type="pct"/>
            <w:vAlign w:val="center"/>
          </w:tcPr>
          <w:p w14:paraId="644A6ACF">
            <w:pPr>
              <w:pStyle w:val="23"/>
              <w:ind w:firstLine="630" w:firstLineChars="300"/>
              <w:rPr>
                <w:rFonts w:ascii="宋体" w:hAnsi="宋体"/>
                <w:kern w:val="0"/>
                <w:szCs w:val="21"/>
              </w:rPr>
            </w:pPr>
            <w:r>
              <w:rPr>
                <w:rFonts w:ascii="宋体" w:hAnsi="宋体"/>
                <w:kern w:val="0"/>
                <w:szCs w:val="21"/>
              </w:rPr>
              <w:t>2、副主任医师</w:t>
            </w:r>
          </w:p>
        </w:tc>
        <w:tc>
          <w:tcPr>
            <w:tcW w:w="1668" w:type="pct"/>
            <w:vAlign w:val="center"/>
          </w:tcPr>
          <w:p w14:paraId="2DE53D29">
            <w:pPr>
              <w:pStyle w:val="23"/>
              <w:jc w:val="center"/>
              <w:rPr>
                <w:rFonts w:ascii="宋体" w:hAnsi="宋体"/>
                <w:kern w:val="0"/>
                <w:szCs w:val="21"/>
              </w:rPr>
            </w:pPr>
            <w:r>
              <w:rPr>
                <w:rFonts w:ascii="宋体" w:hAnsi="宋体"/>
                <w:kern w:val="0"/>
                <w:szCs w:val="21"/>
              </w:rPr>
              <w:t>人</w:t>
            </w:r>
          </w:p>
        </w:tc>
        <w:tc>
          <w:tcPr>
            <w:tcW w:w="1666" w:type="pct"/>
            <w:vAlign w:val="center"/>
          </w:tcPr>
          <w:p w14:paraId="264882B6">
            <w:pPr>
              <w:pStyle w:val="23"/>
              <w:jc w:val="center"/>
              <w:rPr>
                <w:rFonts w:ascii="宋体" w:hAnsi="宋体"/>
                <w:kern w:val="0"/>
                <w:szCs w:val="21"/>
              </w:rPr>
            </w:pPr>
            <w:r>
              <w:rPr>
                <w:rFonts w:ascii="宋体" w:hAnsi="宋体"/>
                <w:kern w:val="0"/>
                <w:szCs w:val="21"/>
              </w:rPr>
              <w:t>36</w:t>
            </w:r>
          </w:p>
        </w:tc>
      </w:tr>
      <w:tr w14:paraId="60AA0AB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666" w:type="pct"/>
            <w:vAlign w:val="center"/>
          </w:tcPr>
          <w:p w14:paraId="208C3A09">
            <w:pPr>
              <w:pStyle w:val="23"/>
              <w:rPr>
                <w:rFonts w:ascii="宋体" w:hAnsi="宋体"/>
                <w:kern w:val="0"/>
                <w:szCs w:val="21"/>
              </w:rPr>
            </w:pPr>
            <w:r>
              <w:rPr>
                <w:rFonts w:ascii="宋体" w:hAnsi="宋体"/>
                <w:kern w:val="0"/>
                <w:szCs w:val="21"/>
              </w:rPr>
              <w:t>四、参加合作医疗人数</w:t>
            </w:r>
          </w:p>
        </w:tc>
        <w:tc>
          <w:tcPr>
            <w:tcW w:w="1668" w:type="pct"/>
            <w:vAlign w:val="center"/>
          </w:tcPr>
          <w:p w14:paraId="45A3F896">
            <w:pPr>
              <w:pStyle w:val="23"/>
              <w:jc w:val="center"/>
              <w:rPr>
                <w:rFonts w:ascii="宋体" w:hAnsi="宋体"/>
                <w:kern w:val="0"/>
                <w:szCs w:val="21"/>
              </w:rPr>
            </w:pPr>
            <w:r>
              <w:rPr>
                <w:rFonts w:ascii="宋体" w:hAnsi="宋体"/>
                <w:kern w:val="0"/>
                <w:szCs w:val="21"/>
              </w:rPr>
              <w:t>人</w:t>
            </w:r>
          </w:p>
        </w:tc>
        <w:tc>
          <w:tcPr>
            <w:tcW w:w="1666" w:type="pct"/>
            <w:vAlign w:val="center"/>
          </w:tcPr>
          <w:p w14:paraId="067F4D3A">
            <w:pPr>
              <w:pStyle w:val="23"/>
              <w:jc w:val="center"/>
              <w:rPr>
                <w:rFonts w:ascii="宋体" w:hAnsi="宋体"/>
                <w:kern w:val="0"/>
                <w:szCs w:val="21"/>
              </w:rPr>
            </w:pPr>
            <w:r>
              <w:rPr>
                <w:rFonts w:ascii="宋体" w:hAnsi="宋体"/>
                <w:kern w:val="0"/>
                <w:szCs w:val="21"/>
              </w:rPr>
              <w:t>356163</w:t>
            </w:r>
          </w:p>
        </w:tc>
      </w:tr>
    </w:tbl>
    <w:p w14:paraId="397CA5B4">
      <w:pPr>
        <w:ind w:firstLine="0" w:firstLineChars="0"/>
        <w:jc w:val="center"/>
        <w:rPr>
          <w:rFonts w:ascii="宋体" w:hAnsi="宋体"/>
          <w:b/>
          <w:szCs w:val="21"/>
        </w:rPr>
      </w:pPr>
      <w:r>
        <w:rPr>
          <w:rFonts w:hint="eastAsia" w:ascii="宋体" w:hAnsi="宋体"/>
          <w:b/>
          <w:szCs w:val="21"/>
        </w:rPr>
        <w:t>表87 计划生育情况</w:t>
      </w:r>
    </w:p>
    <w:tbl>
      <w:tblPr>
        <w:tblStyle w:val="14"/>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490"/>
        <w:gridCol w:w="2490"/>
        <w:gridCol w:w="2491"/>
        <w:gridCol w:w="2491"/>
      </w:tblGrid>
      <w:tr w14:paraId="4BC391B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250" w:type="pct"/>
            <w:shd w:val="clear" w:color="auto" w:fill="auto"/>
            <w:noWrap/>
            <w:vAlign w:val="center"/>
          </w:tcPr>
          <w:p w14:paraId="4E41547D">
            <w:pPr>
              <w:pStyle w:val="23"/>
              <w:jc w:val="center"/>
              <w:rPr>
                <w:rFonts w:ascii="宋体" w:hAnsi="宋体"/>
                <w:b/>
                <w:kern w:val="0"/>
                <w:szCs w:val="21"/>
              </w:rPr>
            </w:pPr>
            <w:r>
              <w:rPr>
                <w:rFonts w:ascii="宋体" w:hAnsi="宋体"/>
                <w:b/>
                <w:kern w:val="0"/>
                <w:szCs w:val="21"/>
              </w:rPr>
              <w:t>单位名称</w:t>
            </w:r>
          </w:p>
        </w:tc>
        <w:tc>
          <w:tcPr>
            <w:tcW w:w="1250" w:type="pct"/>
            <w:shd w:val="clear" w:color="auto" w:fill="auto"/>
            <w:noWrap/>
            <w:vAlign w:val="center"/>
          </w:tcPr>
          <w:p w14:paraId="66E635E5">
            <w:pPr>
              <w:pStyle w:val="23"/>
              <w:jc w:val="center"/>
              <w:rPr>
                <w:rFonts w:ascii="宋体" w:hAnsi="宋体"/>
                <w:b/>
                <w:kern w:val="0"/>
                <w:szCs w:val="21"/>
              </w:rPr>
            </w:pPr>
            <w:r>
              <w:rPr>
                <w:rFonts w:ascii="宋体" w:hAnsi="宋体"/>
                <w:b/>
                <w:kern w:val="0"/>
                <w:szCs w:val="21"/>
              </w:rPr>
              <w:t>出生率‰</w:t>
            </w:r>
          </w:p>
        </w:tc>
        <w:tc>
          <w:tcPr>
            <w:tcW w:w="1250" w:type="pct"/>
            <w:shd w:val="clear" w:color="auto" w:fill="auto"/>
            <w:noWrap/>
            <w:vAlign w:val="center"/>
          </w:tcPr>
          <w:p w14:paraId="456EAFE3">
            <w:pPr>
              <w:pStyle w:val="23"/>
              <w:jc w:val="center"/>
              <w:rPr>
                <w:rFonts w:ascii="宋体" w:hAnsi="宋体"/>
                <w:b/>
                <w:kern w:val="0"/>
                <w:szCs w:val="21"/>
              </w:rPr>
            </w:pPr>
            <w:r>
              <w:rPr>
                <w:rFonts w:ascii="宋体" w:hAnsi="宋体"/>
                <w:b/>
                <w:kern w:val="0"/>
                <w:szCs w:val="21"/>
              </w:rPr>
              <w:t>自然增长率‰</w:t>
            </w:r>
          </w:p>
        </w:tc>
        <w:tc>
          <w:tcPr>
            <w:tcW w:w="1250" w:type="pct"/>
            <w:shd w:val="clear" w:color="auto" w:fill="auto"/>
            <w:noWrap/>
            <w:vAlign w:val="center"/>
          </w:tcPr>
          <w:p w14:paraId="6ADCAFA6">
            <w:pPr>
              <w:pStyle w:val="23"/>
              <w:jc w:val="center"/>
              <w:rPr>
                <w:rFonts w:ascii="宋体" w:hAnsi="宋体"/>
                <w:b/>
                <w:kern w:val="0"/>
                <w:szCs w:val="21"/>
              </w:rPr>
            </w:pPr>
            <w:r>
              <w:rPr>
                <w:rFonts w:ascii="宋体" w:hAnsi="宋体"/>
                <w:b/>
                <w:kern w:val="0"/>
                <w:szCs w:val="21"/>
              </w:rPr>
              <w:t>死亡率‰</w:t>
            </w:r>
          </w:p>
        </w:tc>
      </w:tr>
      <w:tr w14:paraId="005A450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250" w:type="pct"/>
            <w:shd w:val="clear" w:color="auto" w:fill="auto"/>
            <w:noWrap/>
            <w:vAlign w:val="center"/>
          </w:tcPr>
          <w:p w14:paraId="7BD7336B">
            <w:pPr>
              <w:pStyle w:val="23"/>
              <w:jc w:val="center"/>
              <w:rPr>
                <w:rFonts w:ascii="宋体" w:hAnsi="宋体"/>
                <w:kern w:val="0"/>
                <w:szCs w:val="21"/>
              </w:rPr>
            </w:pPr>
            <w:r>
              <w:rPr>
                <w:rFonts w:ascii="宋体" w:hAnsi="宋体"/>
                <w:kern w:val="0"/>
                <w:szCs w:val="21"/>
              </w:rPr>
              <w:t>合计</w:t>
            </w:r>
          </w:p>
        </w:tc>
        <w:tc>
          <w:tcPr>
            <w:tcW w:w="1250" w:type="pct"/>
            <w:shd w:val="clear" w:color="auto" w:fill="auto"/>
            <w:noWrap/>
            <w:vAlign w:val="center"/>
          </w:tcPr>
          <w:p w14:paraId="7A910380">
            <w:pPr>
              <w:pStyle w:val="23"/>
              <w:jc w:val="center"/>
              <w:rPr>
                <w:rFonts w:ascii="宋体" w:hAnsi="宋体"/>
                <w:kern w:val="0"/>
                <w:szCs w:val="21"/>
              </w:rPr>
            </w:pPr>
            <w:r>
              <w:rPr>
                <w:rFonts w:ascii="宋体" w:hAnsi="宋体"/>
                <w:kern w:val="0"/>
                <w:szCs w:val="21"/>
              </w:rPr>
              <w:t>11.88</w:t>
            </w:r>
          </w:p>
        </w:tc>
        <w:tc>
          <w:tcPr>
            <w:tcW w:w="1250" w:type="pct"/>
            <w:shd w:val="clear" w:color="auto" w:fill="auto"/>
            <w:noWrap/>
            <w:vAlign w:val="center"/>
          </w:tcPr>
          <w:p w14:paraId="7A608334">
            <w:pPr>
              <w:pStyle w:val="23"/>
              <w:jc w:val="center"/>
              <w:rPr>
                <w:rFonts w:ascii="宋体" w:hAnsi="宋体"/>
                <w:kern w:val="0"/>
                <w:szCs w:val="21"/>
              </w:rPr>
            </w:pPr>
            <w:r>
              <w:rPr>
                <w:rFonts w:ascii="宋体" w:hAnsi="宋体"/>
                <w:kern w:val="0"/>
                <w:szCs w:val="21"/>
              </w:rPr>
              <w:t>7.07</w:t>
            </w:r>
          </w:p>
        </w:tc>
        <w:tc>
          <w:tcPr>
            <w:tcW w:w="1250" w:type="pct"/>
            <w:shd w:val="clear" w:color="auto" w:fill="auto"/>
            <w:noWrap/>
            <w:vAlign w:val="center"/>
          </w:tcPr>
          <w:p w14:paraId="49BE67AA">
            <w:pPr>
              <w:pStyle w:val="23"/>
              <w:jc w:val="center"/>
              <w:rPr>
                <w:rFonts w:ascii="宋体" w:hAnsi="宋体"/>
                <w:kern w:val="0"/>
                <w:szCs w:val="21"/>
              </w:rPr>
            </w:pPr>
            <w:r>
              <w:rPr>
                <w:rFonts w:ascii="宋体" w:hAnsi="宋体"/>
                <w:kern w:val="0"/>
                <w:szCs w:val="21"/>
              </w:rPr>
              <w:t>4.81</w:t>
            </w:r>
          </w:p>
        </w:tc>
      </w:tr>
      <w:tr w14:paraId="16C1E03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250" w:type="pct"/>
            <w:shd w:val="clear" w:color="auto" w:fill="auto"/>
            <w:noWrap/>
            <w:vAlign w:val="center"/>
          </w:tcPr>
          <w:p w14:paraId="21E76220">
            <w:pPr>
              <w:pStyle w:val="23"/>
              <w:jc w:val="center"/>
              <w:rPr>
                <w:rFonts w:ascii="宋体" w:hAnsi="宋体"/>
                <w:kern w:val="0"/>
                <w:szCs w:val="21"/>
              </w:rPr>
            </w:pPr>
            <w:r>
              <w:rPr>
                <w:rFonts w:ascii="宋体" w:hAnsi="宋体"/>
                <w:kern w:val="0"/>
                <w:szCs w:val="21"/>
              </w:rPr>
              <w:t>乌迳</w:t>
            </w:r>
          </w:p>
        </w:tc>
        <w:tc>
          <w:tcPr>
            <w:tcW w:w="1250" w:type="pct"/>
            <w:shd w:val="clear" w:color="auto" w:fill="auto"/>
            <w:noWrap/>
            <w:vAlign w:val="center"/>
          </w:tcPr>
          <w:p w14:paraId="678D0492">
            <w:pPr>
              <w:pStyle w:val="23"/>
              <w:jc w:val="center"/>
              <w:rPr>
                <w:rFonts w:ascii="宋体" w:hAnsi="宋体"/>
                <w:kern w:val="0"/>
                <w:szCs w:val="21"/>
              </w:rPr>
            </w:pPr>
            <w:r>
              <w:rPr>
                <w:rFonts w:ascii="宋体" w:hAnsi="宋体"/>
                <w:kern w:val="0"/>
                <w:szCs w:val="21"/>
              </w:rPr>
              <w:t>11.94</w:t>
            </w:r>
          </w:p>
        </w:tc>
        <w:tc>
          <w:tcPr>
            <w:tcW w:w="1250" w:type="pct"/>
            <w:shd w:val="clear" w:color="auto" w:fill="auto"/>
            <w:noWrap/>
            <w:vAlign w:val="center"/>
          </w:tcPr>
          <w:p w14:paraId="3B114F0D">
            <w:pPr>
              <w:pStyle w:val="23"/>
              <w:jc w:val="center"/>
              <w:rPr>
                <w:rFonts w:ascii="宋体" w:hAnsi="宋体"/>
                <w:kern w:val="0"/>
                <w:szCs w:val="21"/>
              </w:rPr>
            </w:pPr>
            <w:r>
              <w:rPr>
                <w:rFonts w:ascii="宋体" w:hAnsi="宋体"/>
                <w:kern w:val="0"/>
                <w:szCs w:val="21"/>
              </w:rPr>
              <w:t>8.13</w:t>
            </w:r>
          </w:p>
        </w:tc>
        <w:tc>
          <w:tcPr>
            <w:tcW w:w="1250" w:type="pct"/>
            <w:shd w:val="clear" w:color="auto" w:fill="auto"/>
            <w:noWrap/>
            <w:vAlign w:val="center"/>
          </w:tcPr>
          <w:p w14:paraId="777E3630">
            <w:pPr>
              <w:pStyle w:val="23"/>
              <w:jc w:val="center"/>
              <w:rPr>
                <w:rFonts w:ascii="宋体" w:hAnsi="宋体"/>
                <w:kern w:val="0"/>
                <w:szCs w:val="21"/>
              </w:rPr>
            </w:pPr>
            <w:r>
              <w:rPr>
                <w:rFonts w:ascii="宋体" w:hAnsi="宋体"/>
                <w:kern w:val="0"/>
                <w:szCs w:val="21"/>
              </w:rPr>
              <w:t>3.81</w:t>
            </w:r>
          </w:p>
        </w:tc>
      </w:tr>
      <w:tr w14:paraId="4632C45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250" w:type="pct"/>
            <w:shd w:val="clear" w:color="auto" w:fill="auto"/>
            <w:noWrap/>
            <w:vAlign w:val="center"/>
          </w:tcPr>
          <w:p w14:paraId="09D5794E">
            <w:pPr>
              <w:pStyle w:val="23"/>
              <w:jc w:val="center"/>
              <w:rPr>
                <w:rFonts w:ascii="宋体" w:hAnsi="宋体"/>
                <w:kern w:val="0"/>
                <w:szCs w:val="21"/>
              </w:rPr>
            </w:pPr>
            <w:r>
              <w:rPr>
                <w:rFonts w:ascii="宋体" w:hAnsi="宋体"/>
                <w:kern w:val="0"/>
                <w:szCs w:val="21"/>
              </w:rPr>
              <w:t>界址</w:t>
            </w:r>
          </w:p>
        </w:tc>
        <w:tc>
          <w:tcPr>
            <w:tcW w:w="1250" w:type="pct"/>
            <w:shd w:val="clear" w:color="auto" w:fill="auto"/>
            <w:noWrap/>
            <w:vAlign w:val="center"/>
          </w:tcPr>
          <w:p w14:paraId="4B0D09A9">
            <w:pPr>
              <w:pStyle w:val="23"/>
              <w:jc w:val="center"/>
              <w:rPr>
                <w:rFonts w:ascii="宋体" w:hAnsi="宋体"/>
                <w:kern w:val="0"/>
                <w:szCs w:val="21"/>
              </w:rPr>
            </w:pPr>
            <w:r>
              <w:rPr>
                <w:rFonts w:ascii="宋体" w:hAnsi="宋体"/>
                <w:kern w:val="0"/>
                <w:szCs w:val="21"/>
              </w:rPr>
              <w:t>12.23</w:t>
            </w:r>
          </w:p>
        </w:tc>
        <w:tc>
          <w:tcPr>
            <w:tcW w:w="1250" w:type="pct"/>
            <w:shd w:val="clear" w:color="auto" w:fill="auto"/>
            <w:noWrap/>
            <w:vAlign w:val="center"/>
          </w:tcPr>
          <w:p w14:paraId="5B1D2F7A">
            <w:pPr>
              <w:pStyle w:val="23"/>
              <w:jc w:val="center"/>
              <w:rPr>
                <w:rFonts w:ascii="宋体" w:hAnsi="宋体"/>
                <w:kern w:val="0"/>
                <w:szCs w:val="21"/>
              </w:rPr>
            </w:pPr>
            <w:r>
              <w:rPr>
                <w:rFonts w:ascii="宋体" w:hAnsi="宋体"/>
                <w:kern w:val="0"/>
                <w:szCs w:val="21"/>
              </w:rPr>
              <w:t>7.13</w:t>
            </w:r>
          </w:p>
        </w:tc>
        <w:tc>
          <w:tcPr>
            <w:tcW w:w="1250" w:type="pct"/>
            <w:shd w:val="clear" w:color="auto" w:fill="auto"/>
            <w:noWrap/>
            <w:vAlign w:val="center"/>
          </w:tcPr>
          <w:p w14:paraId="647E9B54">
            <w:pPr>
              <w:pStyle w:val="23"/>
              <w:jc w:val="center"/>
              <w:rPr>
                <w:rFonts w:ascii="宋体" w:hAnsi="宋体"/>
                <w:kern w:val="0"/>
                <w:szCs w:val="21"/>
              </w:rPr>
            </w:pPr>
            <w:r>
              <w:rPr>
                <w:rFonts w:ascii="宋体" w:hAnsi="宋体"/>
                <w:kern w:val="0"/>
                <w:szCs w:val="21"/>
              </w:rPr>
              <w:t>5.1</w:t>
            </w:r>
          </w:p>
        </w:tc>
      </w:tr>
      <w:tr w14:paraId="58401FF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250" w:type="pct"/>
            <w:shd w:val="clear" w:color="auto" w:fill="auto"/>
            <w:noWrap/>
            <w:vAlign w:val="center"/>
          </w:tcPr>
          <w:p w14:paraId="3BB12176">
            <w:pPr>
              <w:pStyle w:val="23"/>
              <w:jc w:val="center"/>
              <w:rPr>
                <w:rFonts w:ascii="宋体" w:hAnsi="宋体"/>
                <w:kern w:val="0"/>
                <w:szCs w:val="21"/>
              </w:rPr>
            </w:pPr>
            <w:r>
              <w:rPr>
                <w:rFonts w:ascii="宋体" w:hAnsi="宋体"/>
                <w:kern w:val="0"/>
                <w:szCs w:val="21"/>
              </w:rPr>
              <w:t>坪田</w:t>
            </w:r>
          </w:p>
        </w:tc>
        <w:tc>
          <w:tcPr>
            <w:tcW w:w="1250" w:type="pct"/>
            <w:shd w:val="clear" w:color="auto" w:fill="auto"/>
            <w:noWrap/>
            <w:vAlign w:val="center"/>
          </w:tcPr>
          <w:p w14:paraId="689A4C49">
            <w:pPr>
              <w:pStyle w:val="23"/>
              <w:jc w:val="center"/>
              <w:rPr>
                <w:rFonts w:ascii="宋体" w:hAnsi="宋体"/>
                <w:kern w:val="0"/>
                <w:szCs w:val="21"/>
              </w:rPr>
            </w:pPr>
            <w:r>
              <w:rPr>
                <w:rFonts w:ascii="宋体" w:hAnsi="宋体"/>
                <w:kern w:val="0"/>
                <w:szCs w:val="21"/>
              </w:rPr>
              <w:t>12.17</w:t>
            </w:r>
          </w:p>
        </w:tc>
        <w:tc>
          <w:tcPr>
            <w:tcW w:w="1250" w:type="pct"/>
            <w:shd w:val="clear" w:color="auto" w:fill="auto"/>
            <w:noWrap/>
            <w:vAlign w:val="center"/>
          </w:tcPr>
          <w:p w14:paraId="34AAFB7B">
            <w:pPr>
              <w:pStyle w:val="23"/>
              <w:jc w:val="center"/>
              <w:rPr>
                <w:rFonts w:ascii="宋体" w:hAnsi="宋体"/>
                <w:kern w:val="0"/>
                <w:szCs w:val="21"/>
              </w:rPr>
            </w:pPr>
            <w:r>
              <w:rPr>
                <w:rFonts w:ascii="宋体" w:hAnsi="宋体"/>
                <w:kern w:val="0"/>
                <w:szCs w:val="21"/>
              </w:rPr>
              <w:t>6.98</w:t>
            </w:r>
          </w:p>
        </w:tc>
        <w:tc>
          <w:tcPr>
            <w:tcW w:w="1250" w:type="pct"/>
            <w:shd w:val="clear" w:color="auto" w:fill="auto"/>
            <w:noWrap/>
            <w:vAlign w:val="center"/>
          </w:tcPr>
          <w:p w14:paraId="0FDD3D27">
            <w:pPr>
              <w:pStyle w:val="23"/>
              <w:jc w:val="center"/>
              <w:rPr>
                <w:rFonts w:ascii="宋体" w:hAnsi="宋体"/>
                <w:kern w:val="0"/>
                <w:szCs w:val="21"/>
              </w:rPr>
            </w:pPr>
            <w:r>
              <w:rPr>
                <w:rFonts w:ascii="宋体" w:hAnsi="宋体"/>
                <w:kern w:val="0"/>
                <w:szCs w:val="21"/>
              </w:rPr>
              <w:t>5.19</w:t>
            </w:r>
          </w:p>
        </w:tc>
      </w:tr>
      <w:tr w14:paraId="5487674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250" w:type="pct"/>
            <w:shd w:val="clear" w:color="auto" w:fill="auto"/>
            <w:noWrap/>
            <w:vAlign w:val="center"/>
          </w:tcPr>
          <w:p w14:paraId="46D2FD2F">
            <w:pPr>
              <w:pStyle w:val="23"/>
              <w:jc w:val="center"/>
              <w:rPr>
                <w:rFonts w:ascii="宋体" w:hAnsi="宋体"/>
                <w:kern w:val="0"/>
                <w:szCs w:val="21"/>
              </w:rPr>
            </w:pPr>
            <w:r>
              <w:rPr>
                <w:rFonts w:ascii="宋体" w:hAnsi="宋体"/>
                <w:kern w:val="0"/>
                <w:szCs w:val="21"/>
              </w:rPr>
              <w:t>黄坑</w:t>
            </w:r>
          </w:p>
        </w:tc>
        <w:tc>
          <w:tcPr>
            <w:tcW w:w="1250" w:type="pct"/>
            <w:shd w:val="clear" w:color="auto" w:fill="auto"/>
            <w:noWrap/>
            <w:vAlign w:val="center"/>
          </w:tcPr>
          <w:p w14:paraId="610D6F3B">
            <w:pPr>
              <w:pStyle w:val="23"/>
              <w:jc w:val="center"/>
              <w:rPr>
                <w:rFonts w:ascii="宋体" w:hAnsi="宋体"/>
                <w:kern w:val="0"/>
                <w:szCs w:val="21"/>
              </w:rPr>
            </w:pPr>
            <w:r>
              <w:rPr>
                <w:rFonts w:ascii="宋体" w:hAnsi="宋体"/>
                <w:kern w:val="0"/>
                <w:szCs w:val="21"/>
              </w:rPr>
              <w:t>11.73</w:t>
            </w:r>
          </w:p>
        </w:tc>
        <w:tc>
          <w:tcPr>
            <w:tcW w:w="1250" w:type="pct"/>
            <w:shd w:val="clear" w:color="auto" w:fill="auto"/>
            <w:noWrap/>
            <w:vAlign w:val="center"/>
          </w:tcPr>
          <w:p w14:paraId="5E4630CE">
            <w:pPr>
              <w:pStyle w:val="23"/>
              <w:jc w:val="center"/>
              <w:rPr>
                <w:rFonts w:ascii="宋体" w:hAnsi="宋体"/>
                <w:kern w:val="0"/>
                <w:szCs w:val="21"/>
              </w:rPr>
            </w:pPr>
            <w:r>
              <w:rPr>
                <w:rFonts w:ascii="宋体" w:hAnsi="宋体"/>
                <w:kern w:val="0"/>
                <w:szCs w:val="21"/>
              </w:rPr>
              <w:t>7.92</w:t>
            </w:r>
          </w:p>
        </w:tc>
        <w:tc>
          <w:tcPr>
            <w:tcW w:w="1250" w:type="pct"/>
            <w:shd w:val="clear" w:color="auto" w:fill="auto"/>
            <w:noWrap/>
            <w:vAlign w:val="center"/>
          </w:tcPr>
          <w:p w14:paraId="4D17A8DB">
            <w:pPr>
              <w:pStyle w:val="23"/>
              <w:jc w:val="center"/>
              <w:rPr>
                <w:rFonts w:ascii="宋体" w:hAnsi="宋体"/>
                <w:kern w:val="0"/>
                <w:szCs w:val="21"/>
              </w:rPr>
            </w:pPr>
            <w:r>
              <w:rPr>
                <w:rFonts w:ascii="宋体" w:hAnsi="宋体"/>
                <w:kern w:val="0"/>
                <w:szCs w:val="21"/>
              </w:rPr>
              <w:t>3.81</w:t>
            </w:r>
          </w:p>
        </w:tc>
      </w:tr>
      <w:tr w14:paraId="361991D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250" w:type="pct"/>
            <w:shd w:val="clear" w:color="auto" w:fill="auto"/>
            <w:noWrap/>
            <w:vAlign w:val="center"/>
          </w:tcPr>
          <w:p w14:paraId="1BADCA05">
            <w:pPr>
              <w:pStyle w:val="23"/>
              <w:jc w:val="center"/>
              <w:rPr>
                <w:rFonts w:ascii="宋体" w:hAnsi="宋体"/>
                <w:kern w:val="0"/>
                <w:szCs w:val="21"/>
              </w:rPr>
            </w:pPr>
            <w:r>
              <w:rPr>
                <w:rFonts w:ascii="宋体" w:hAnsi="宋体"/>
                <w:kern w:val="0"/>
                <w:szCs w:val="21"/>
              </w:rPr>
              <w:t>邓坊</w:t>
            </w:r>
          </w:p>
        </w:tc>
        <w:tc>
          <w:tcPr>
            <w:tcW w:w="1250" w:type="pct"/>
            <w:shd w:val="clear" w:color="auto" w:fill="auto"/>
            <w:noWrap/>
            <w:vAlign w:val="center"/>
          </w:tcPr>
          <w:p w14:paraId="26ADC8A4">
            <w:pPr>
              <w:pStyle w:val="23"/>
              <w:jc w:val="center"/>
              <w:rPr>
                <w:rFonts w:ascii="宋体" w:hAnsi="宋体"/>
                <w:kern w:val="0"/>
                <w:szCs w:val="21"/>
              </w:rPr>
            </w:pPr>
            <w:r>
              <w:rPr>
                <w:rFonts w:ascii="宋体" w:hAnsi="宋体"/>
                <w:kern w:val="0"/>
                <w:szCs w:val="21"/>
              </w:rPr>
              <w:t>13.17</w:t>
            </w:r>
          </w:p>
        </w:tc>
        <w:tc>
          <w:tcPr>
            <w:tcW w:w="1250" w:type="pct"/>
            <w:shd w:val="clear" w:color="auto" w:fill="auto"/>
            <w:noWrap/>
            <w:vAlign w:val="center"/>
          </w:tcPr>
          <w:p w14:paraId="701D3F55">
            <w:pPr>
              <w:pStyle w:val="23"/>
              <w:jc w:val="center"/>
              <w:rPr>
                <w:rFonts w:ascii="宋体" w:hAnsi="宋体"/>
                <w:kern w:val="0"/>
                <w:szCs w:val="21"/>
              </w:rPr>
            </w:pPr>
            <w:r>
              <w:rPr>
                <w:rFonts w:ascii="宋体" w:hAnsi="宋体"/>
                <w:kern w:val="0"/>
                <w:szCs w:val="21"/>
              </w:rPr>
              <w:t>7.36</w:t>
            </w:r>
          </w:p>
        </w:tc>
        <w:tc>
          <w:tcPr>
            <w:tcW w:w="1250" w:type="pct"/>
            <w:shd w:val="clear" w:color="auto" w:fill="auto"/>
            <w:noWrap/>
            <w:vAlign w:val="center"/>
          </w:tcPr>
          <w:p w14:paraId="7EC4225A">
            <w:pPr>
              <w:pStyle w:val="23"/>
              <w:jc w:val="center"/>
              <w:rPr>
                <w:rFonts w:ascii="宋体" w:hAnsi="宋体"/>
                <w:kern w:val="0"/>
                <w:szCs w:val="21"/>
              </w:rPr>
            </w:pPr>
            <w:r>
              <w:rPr>
                <w:rFonts w:ascii="宋体" w:hAnsi="宋体"/>
                <w:kern w:val="0"/>
                <w:szCs w:val="21"/>
              </w:rPr>
              <w:t>5.8</w:t>
            </w:r>
          </w:p>
        </w:tc>
      </w:tr>
      <w:tr w14:paraId="3BA0FC9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250" w:type="pct"/>
            <w:shd w:val="clear" w:color="auto" w:fill="auto"/>
            <w:noWrap/>
            <w:vAlign w:val="center"/>
          </w:tcPr>
          <w:p w14:paraId="41E5A8D4">
            <w:pPr>
              <w:pStyle w:val="23"/>
              <w:jc w:val="center"/>
              <w:rPr>
                <w:rFonts w:ascii="宋体" w:hAnsi="宋体"/>
                <w:kern w:val="0"/>
                <w:szCs w:val="21"/>
              </w:rPr>
            </w:pPr>
            <w:r>
              <w:rPr>
                <w:rFonts w:ascii="宋体" w:hAnsi="宋体"/>
                <w:kern w:val="0"/>
                <w:szCs w:val="21"/>
              </w:rPr>
              <w:t>油山</w:t>
            </w:r>
          </w:p>
        </w:tc>
        <w:tc>
          <w:tcPr>
            <w:tcW w:w="1250" w:type="pct"/>
            <w:shd w:val="clear" w:color="auto" w:fill="auto"/>
            <w:noWrap/>
            <w:vAlign w:val="center"/>
          </w:tcPr>
          <w:p w14:paraId="683B6861">
            <w:pPr>
              <w:pStyle w:val="23"/>
              <w:jc w:val="center"/>
              <w:rPr>
                <w:rFonts w:ascii="宋体" w:hAnsi="宋体"/>
                <w:kern w:val="0"/>
                <w:szCs w:val="21"/>
              </w:rPr>
            </w:pPr>
            <w:r>
              <w:rPr>
                <w:rFonts w:ascii="宋体" w:hAnsi="宋体"/>
                <w:kern w:val="0"/>
                <w:szCs w:val="21"/>
              </w:rPr>
              <w:t>11.23</w:t>
            </w:r>
          </w:p>
        </w:tc>
        <w:tc>
          <w:tcPr>
            <w:tcW w:w="1250" w:type="pct"/>
            <w:shd w:val="clear" w:color="auto" w:fill="auto"/>
            <w:noWrap/>
            <w:vAlign w:val="center"/>
          </w:tcPr>
          <w:p w14:paraId="54AB483E">
            <w:pPr>
              <w:pStyle w:val="23"/>
              <w:jc w:val="center"/>
              <w:rPr>
                <w:rFonts w:ascii="宋体" w:hAnsi="宋体"/>
                <w:kern w:val="0"/>
                <w:szCs w:val="21"/>
              </w:rPr>
            </w:pPr>
            <w:r>
              <w:rPr>
                <w:rFonts w:ascii="宋体" w:hAnsi="宋体"/>
                <w:kern w:val="0"/>
                <w:szCs w:val="21"/>
              </w:rPr>
              <w:t>6.19</w:t>
            </w:r>
          </w:p>
        </w:tc>
        <w:tc>
          <w:tcPr>
            <w:tcW w:w="1250" w:type="pct"/>
            <w:shd w:val="clear" w:color="auto" w:fill="auto"/>
            <w:noWrap/>
            <w:vAlign w:val="center"/>
          </w:tcPr>
          <w:p w14:paraId="4C150F33">
            <w:pPr>
              <w:pStyle w:val="23"/>
              <w:jc w:val="center"/>
              <w:rPr>
                <w:rFonts w:ascii="宋体" w:hAnsi="宋体"/>
                <w:kern w:val="0"/>
                <w:szCs w:val="21"/>
              </w:rPr>
            </w:pPr>
            <w:r>
              <w:rPr>
                <w:rFonts w:ascii="宋体" w:hAnsi="宋体"/>
                <w:kern w:val="0"/>
                <w:szCs w:val="21"/>
              </w:rPr>
              <w:t>5.04</w:t>
            </w:r>
          </w:p>
        </w:tc>
      </w:tr>
      <w:tr w14:paraId="468B48C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250" w:type="pct"/>
            <w:shd w:val="clear" w:color="auto" w:fill="auto"/>
            <w:noWrap/>
            <w:vAlign w:val="center"/>
          </w:tcPr>
          <w:p w14:paraId="703AAE6C">
            <w:pPr>
              <w:pStyle w:val="23"/>
              <w:jc w:val="center"/>
              <w:rPr>
                <w:rFonts w:ascii="宋体" w:hAnsi="宋体"/>
                <w:kern w:val="0"/>
                <w:szCs w:val="21"/>
              </w:rPr>
            </w:pPr>
            <w:r>
              <w:rPr>
                <w:rFonts w:ascii="宋体" w:hAnsi="宋体"/>
                <w:kern w:val="0"/>
                <w:szCs w:val="21"/>
              </w:rPr>
              <w:t>南亩</w:t>
            </w:r>
          </w:p>
        </w:tc>
        <w:tc>
          <w:tcPr>
            <w:tcW w:w="1250" w:type="pct"/>
            <w:shd w:val="clear" w:color="auto" w:fill="auto"/>
            <w:noWrap/>
            <w:vAlign w:val="center"/>
          </w:tcPr>
          <w:p w14:paraId="6E57C775">
            <w:pPr>
              <w:pStyle w:val="23"/>
              <w:jc w:val="center"/>
              <w:rPr>
                <w:rFonts w:ascii="宋体" w:hAnsi="宋体"/>
                <w:kern w:val="0"/>
                <w:szCs w:val="21"/>
              </w:rPr>
            </w:pPr>
            <w:r>
              <w:rPr>
                <w:rFonts w:ascii="宋体" w:hAnsi="宋体"/>
                <w:kern w:val="0"/>
                <w:szCs w:val="21"/>
              </w:rPr>
              <w:t>13.42</w:t>
            </w:r>
          </w:p>
        </w:tc>
        <w:tc>
          <w:tcPr>
            <w:tcW w:w="1250" w:type="pct"/>
            <w:shd w:val="clear" w:color="auto" w:fill="auto"/>
            <w:noWrap/>
            <w:vAlign w:val="center"/>
          </w:tcPr>
          <w:p w14:paraId="4512D8A1">
            <w:pPr>
              <w:pStyle w:val="23"/>
              <w:jc w:val="center"/>
              <w:rPr>
                <w:rFonts w:ascii="宋体" w:hAnsi="宋体"/>
                <w:kern w:val="0"/>
                <w:szCs w:val="21"/>
              </w:rPr>
            </w:pPr>
            <w:r>
              <w:rPr>
                <w:rFonts w:ascii="宋体" w:hAnsi="宋体"/>
                <w:kern w:val="0"/>
                <w:szCs w:val="21"/>
              </w:rPr>
              <w:t>8.63</w:t>
            </w:r>
          </w:p>
        </w:tc>
        <w:tc>
          <w:tcPr>
            <w:tcW w:w="1250" w:type="pct"/>
            <w:shd w:val="clear" w:color="auto" w:fill="auto"/>
            <w:noWrap/>
            <w:vAlign w:val="center"/>
          </w:tcPr>
          <w:p w14:paraId="0AC17B64">
            <w:pPr>
              <w:pStyle w:val="23"/>
              <w:jc w:val="center"/>
              <w:rPr>
                <w:rFonts w:ascii="宋体" w:hAnsi="宋体"/>
                <w:kern w:val="0"/>
                <w:szCs w:val="21"/>
              </w:rPr>
            </w:pPr>
            <w:r>
              <w:rPr>
                <w:rFonts w:ascii="宋体" w:hAnsi="宋体"/>
                <w:kern w:val="0"/>
                <w:szCs w:val="21"/>
              </w:rPr>
              <w:t>4.78</w:t>
            </w:r>
          </w:p>
        </w:tc>
      </w:tr>
      <w:tr w14:paraId="2505B2F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250" w:type="pct"/>
            <w:shd w:val="clear" w:color="auto" w:fill="auto"/>
            <w:noWrap/>
            <w:vAlign w:val="center"/>
          </w:tcPr>
          <w:p w14:paraId="5460ED43">
            <w:pPr>
              <w:pStyle w:val="23"/>
              <w:jc w:val="center"/>
              <w:rPr>
                <w:rFonts w:ascii="宋体" w:hAnsi="宋体"/>
                <w:kern w:val="0"/>
                <w:szCs w:val="21"/>
              </w:rPr>
            </w:pPr>
            <w:r>
              <w:rPr>
                <w:rFonts w:ascii="宋体" w:hAnsi="宋体"/>
                <w:kern w:val="0"/>
                <w:szCs w:val="21"/>
              </w:rPr>
              <w:t>水口</w:t>
            </w:r>
          </w:p>
        </w:tc>
        <w:tc>
          <w:tcPr>
            <w:tcW w:w="1250" w:type="pct"/>
            <w:shd w:val="clear" w:color="auto" w:fill="auto"/>
            <w:noWrap/>
            <w:vAlign w:val="center"/>
          </w:tcPr>
          <w:p w14:paraId="1ADB0C2A">
            <w:pPr>
              <w:pStyle w:val="23"/>
              <w:jc w:val="center"/>
              <w:rPr>
                <w:rFonts w:ascii="宋体" w:hAnsi="宋体"/>
                <w:kern w:val="0"/>
                <w:szCs w:val="21"/>
              </w:rPr>
            </w:pPr>
            <w:r>
              <w:rPr>
                <w:rFonts w:ascii="宋体" w:hAnsi="宋体"/>
                <w:kern w:val="0"/>
                <w:szCs w:val="21"/>
              </w:rPr>
              <w:t>12.11</w:t>
            </w:r>
          </w:p>
        </w:tc>
        <w:tc>
          <w:tcPr>
            <w:tcW w:w="1250" w:type="pct"/>
            <w:shd w:val="clear" w:color="auto" w:fill="auto"/>
            <w:noWrap/>
            <w:vAlign w:val="center"/>
          </w:tcPr>
          <w:p w14:paraId="258FE15A">
            <w:pPr>
              <w:pStyle w:val="23"/>
              <w:jc w:val="center"/>
              <w:rPr>
                <w:rFonts w:ascii="宋体" w:hAnsi="宋体"/>
                <w:kern w:val="0"/>
                <w:szCs w:val="21"/>
              </w:rPr>
            </w:pPr>
            <w:r>
              <w:rPr>
                <w:rFonts w:ascii="宋体" w:hAnsi="宋体"/>
                <w:kern w:val="0"/>
                <w:szCs w:val="21"/>
              </w:rPr>
              <w:t>6.86</w:t>
            </w:r>
          </w:p>
        </w:tc>
        <w:tc>
          <w:tcPr>
            <w:tcW w:w="1250" w:type="pct"/>
            <w:shd w:val="clear" w:color="auto" w:fill="auto"/>
            <w:noWrap/>
            <w:vAlign w:val="center"/>
          </w:tcPr>
          <w:p w14:paraId="0804FB66">
            <w:pPr>
              <w:pStyle w:val="23"/>
              <w:jc w:val="center"/>
              <w:rPr>
                <w:rFonts w:ascii="宋体" w:hAnsi="宋体"/>
                <w:kern w:val="0"/>
                <w:szCs w:val="21"/>
              </w:rPr>
            </w:pPr>
            <w:r>
              <w:rPr>
                <w:rFonts w:ascii="宋体" w:hAnsi="宋体"/>
                <w:kern w:val="0"/>
                <w:szCs w:val="21"/>
              </w:rPr>
              <w:t>5.25</w:t>
            </w:r>
          </w:p>
        </w:tc>
      </w:tr>
      <w:tr w14:paraId="6C17296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250" w:type="pct"/>
            <w:shd w:val="clear" w:color="auto" w:fill="auto"/>
            <w:noWrap/>
            <w:vAlign w:val="center"/>
          </w:tcPr>
          <w:p w14:paraId="222A5D2F">
            <w:pPr>
              <w:pStyle w:val="23"/>
              <w:jc w:val="center"/>
              <w:rPr>
                <w:rFonts w:ascii="宋体" w:hAnsi="宋体"/>
                <w:kern w:val="0"/>
                <w:szCs w:val="21"/>
              </w:rPr>
            </w:pPr>
            <w:r>
              <w:rPr>
                <w:rFonts w:ascii="宋体" w:hAnsi="宋体"/>
                <w:kern w:val="0"/>
                <w:szCs w:val="21"/>
              </w:rPr>
              <w:t>江头</w:t>
            </w:r>
          </w:p>
        </w:tc>
        <w:tc>
          <w:tcPr>
            <w:tcW w:w="1250" w:type="pct"/>
            <w:shd w:val="clear" w:color="auto" w:fill="auto"/>
            <w:noWrap/>
            <w:vAlign w:val="center"/>
          </w:tcPr>
          <w:p w14:paraId="4CEE95A9">
            <w:pPr>
              <w:pStyle w:val="23"/>
              <w:jc w:val="center"/>
              <w:rPr>
                <w:rFonts w:ascii="宋体" w:hAnsi="宋体"/>
                <w:kern w:val="0"/>
                <w:szCs w:val="21"/>
              </w:rPr>
            </w:pPr>
            <w:r>
              <w:rPr>
                <w:rFonts w:ascii="宋体" w:hAnsi="宋体"/>
                <w:kern w:val="0"/>
                <w:szCs w:val="21"/>
              </w:rPr>
              <w:t>10.8</w:t>
            </w:r>
          </w:p>
        </w:tc>
        <w:tc>
          <w:tcPr>
            <w:tcW w:w="1250" w:type="pct"/>
            <w:shd w:val="clear" w:color="auto" w:fill="auto"/>
            <w:noWrap/>
            <w:vAlign w:val="center"/>
          </w:tcPr>
          <w:p w14:paraId="10C8D3B8">
            <w:pPr>
              <w:pStyle w:val="23"/>
              <w:jc w:val="center"/>
              <w:rPr>
                <w:rFonts w:ascii="宋体" w:hAnsi="宋体"/>
                <w:kern w:val="0"/>
                <w:szCs w:val="21"/>
              </w:rPr>
            </w:pPr>
            <w:r>
              <w:rPr>
                <w:rFonts w:ascii="宋体" w:hAnsi="宋体"/>
                <w:kern w:val="0"/>
                <w:szCs w:val="21"/>
              </w:rPr>
              <w:t>4.87</w:t>
            </w:r>
          </w:p>
        </w:tc>
        <w:tc>
          <w:tcPr>
            <w:tcW w:w="1250" w:type="pct"/>
            <w:shd w:val="clear" w:color="auto" w:fill="auto"/>
            <w:noWrap/>
            <w:vAlign w:val="center"/>
          </w:tcPr>
          <w:p w14:paraId="7600B39B">
            <w:pPr>
              <w:pStyle w:val="23"/>
              <w:jc w:val="center"/>
              <w:rPr>
                <w:rFonts w:ascii="宋体" w:hAnsi="宋体"/>
                <w:kern w:val="0"/>
                <w:szCs w:val="21"/>
              </w:rPr>
            </w:pPr>
            <w:r>
              <w:rPr>
                <w:rFonts w:ascii="宋体" w:hAnsi="宋体"/>
                <w:kern w:val="0"/>
                <w:szCs w:val="21"/>
              </w:rPr>
              <w:t>5.94</w:t>
            </w:r>
          </w:p>
        </w:tc>
      </w:tr>
      <w:tr w14:paraId="761103A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250" w:type="pct"/>
            <w:shd w:val="clear" w:color="auto" w:fill="auto"/>
            <w:noWrap/>
            <w:vAlign w:val="center"/>
          </w:tcPr>
          <w:p w14:paraId="52521EB8">
            <w:pPr>
              <w:pStyle w:val="23"/>
              <w:jc w:val="center"/>
              <w:rPr>
                <w:rFonts w:ascii="宋体" w:hAnsi="宋体"/>
                <w:kern w:val="0"/>
                <w:szCs w:val="21"/>
              </w:rPr>
            </w:pPr>
            <w:r>
              <w:rPr>
                <w:rFonts w:ascii="宋体" w:hAnsi="宋体"/>
                <w:kern w:val="0"/>
                <w:szCs w:val="21"/>
              </w:rPr>
              <w:t>湖口</w:t>
            </w:r>
          </w:p>
        </w:tc>
        <w:tc>
          <w:tcPr>
            <w:tcW w:w="1250" w:type="pct"/>
            <w:shd w:val="clear" w:color="auto" w:fill="auto"/>
            <w:noWrap/>
            <w:vAlign w:val="center"/>
          </w:tcPr>
          <w:p w14:paraId="7DDBE2FD">
            <w:pPr>
              <w:pStyle w:val="23"/>
              <w:jc w:val="center"/>
              <w:rPr>
                <w:rFonts w:ascii="宋体" w:hAnsi="宋体"/>
                <w:kern w:val="0"/>
                <w:szCs w:val="21"/>
              </w:rPr>
            </w:pPr>
            <w:r>
              <w:rPr>
                <w:rFonts w:ascii="宋体" w:hAnsi="宋体"/>
                <w:kern w:val="0"/>
                <w:szCs w:val="21"/>
              </w:rPr>
              <w:t>12.03</w:t>
            </w:r>
          </w:p>
        </w:tc>
        <w:tc>
          <w:tcPr>
            <w:tcW w:w="1250" w:type="pct"/>
            <w:shd w:val="clear" w:color="auto" w:fill="auto"/>
            <w:noWrap/>
            <w:vAlign w:val="center"/>
          </w:tcPr>
          <w:p w14:paraId="1B313F0E">
            <w:pPr>
              <w:pStyle w:val="23"/>
              <w:jc w:val="center"/>
              <w:rPr>
                <w:rFonts w:ascii="宋体" w:hAnsi="宋体"/>
                <w:kern w:val="0"/>
                <w:szCs w:val="21"/>
              </w:rPr>
            </w:pPr>
            <w:r>
              <w:rPr>
                <w:rFonts w:ascii="宋体" w:hAnsi="宋体"/>
                <w:kern w:val="0"/>
                <w:szCs w:val="21"/>
              </w:rPr>
              <w:t>7.08</w:t>
            </w:r>
          </w:p>
        </w:tc>
        <w:tc>
          <w:tcPr>
            <w:tcW w:w="1250" w:type="pct"/>
            <w:shd w:val="clear" w:color="auto" w:fill="auto"/>
            <w:noWrap/>
            <w:vAlign w:val="center"/>
          </w:tcPr>
          <w:p w14:paraId="1207E5F2">
            <w:pPr>
              <w:pStyle w:val="23"/>
              <w:jc w:val="center"/>
              <w:rPr>
                <w:rFonts w:ascii="宋体" w:hAnsi="宋体"/>
                <w:kern w:val="0"/>
                <w:szCs w:val="21"/>
              </w:rPr>
            </w:pPr>
            <w:r>
              <w:rPr>
                <w:rFonts w:ascii="宋体" w:hAnsi="宋体"/>
                <w:kern w:val="0"/>
                <w:szCs w:val="21"/>
              </w:rPr>
              <w:t>4.95</w:t>
            </w:r>
          </w:p>
        </w:tc>
      </w:tr>
      <w:tr w14:paraId="2AC1CF0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250" w:type="pct"/>
            <w:shd w:val="clear" w:color="auto" w:fill="auto"/>
            <w:noWrap/>
            <w:vAlign w:val="center"/>
          </w:tcPr>
          <w:p w14:paraId="0F9C8D2F">
            <w:pPr>
              <w:pStyle w:val="23"/>
              <w:jc w:val="center"/>
              <w:rPr>
                <w:rFonts w:ascii="宋体" w:hAnsi="宋体"/>
                <w:kern w:val="0"/>
                <w:szCs w:val="21"/>
              </w:rPr>
            </w:pPr>
            <w:r>
              <w:rPr>
                <w:rFonts w:ascii="宋体" w:hAnsi="宋体"/>
                <w:kern w:val="0"/>
                <w:szCs w:val="21"/>
              </w:rPr>
              <w:t>珠玑</w:t>
            </w:r>
          </w:p>
        </w:tc>
        <w:tc>
          <w:tcPr>
            <w:tcW w:w="1250" w:type="pct"/>
            <w:shd w:val="clear" w:color="auto" w:fill="auto"/>
            <w:noWrap/>
            <w:vAlign w:val="center"/>
          </w:tcPr>
          <w:p w14:paraId="1C4CDE37">
            <w:pPr>
              <w:pStyle w:val="23"/>
              <w:jc w:val="center"/>
              <w:rPr>
                <w:rFonts w:ascii="宋体" w:hAnsi="宋体"/>
                <w:kern w:val="0"/>
                <w:szCs w:val="21"/>
              </w:rPr>
            </w:pPr>
            <w:r>
              <w:rPr>
                <w:rFonts w:ascii="宋体" w:hAnsi="宋体"/>
                <w:kern w:val="0"/>
                <w:szCs w:val="21"/>
              </w:rPr>
              <w:t>12.28</w:t>
            </w:r>
          </w:p>
        </w:tc>
        <w:tc>
          <w:tcPr>
            <w:tcW w:w="1250" w:type="pct"/>
            <w:shd w:val="clear" w:color="auto" w:fill="auto"/>
            <w:noWrap/>
            <w:vAlign w:val="center"/>
          </w:tcPr>
          <w:p w14:paraId="2F256571">
            <w:pPr>
              <w:pStyle w:val="23"/>
              <w:jc w:val="center"/>
              <w:rPr>
                <w:rFonts w:ascii="宋体" w:hAnsi="宋体"/>
                <w:kern w:val="0"/>
                <w:szCs w:val="21"/>
              </w:rPr>
            </w:pPr>
            <w:r>
              <w:rPr>
                <w:rFonts w:ascii="宋体" w:hAnsi="宋体"/>
                <w:kern w:val="0"/>
                <w:szCs w:val="21"/>
              </w:rPr>
              <w:t>6.21</w:t>
            </w:r>
          </w:p>
        </w:tc>
        <w:tc>
          <w:tcPr>
            <w:tcW w:w="1250" w:type="pct"/>
            <w:shd w:val="clear" w:color="auto" w:fill="auto"/>
            <w:noWrap/>
            <w:vAlign w:val="center"/>
          </w:tcPr>
          <w:p w14:paraId="573EECD9">
            <w:pPr>
              <w:pStyle w:val="23"/>
              <w:jc w:val="center"/>
              <w:rPr>
                <w:rFonts w:ascii="宋体" w:hAnsi="宋体"/>
                <w:kern w:val="0"/>
                <w:szCs w:val="21"/>
              </w:rPr>
            </w:pPr>
            <w:r>
              <w:rPr>
                <w:rFonts w:ascii="宋体" w:hAnsi="宋体"/>
                <w:kern w:val="0"/>
                <w:szCs w:val="21"/>
              </w:rPr>
              <w:t>6.07</w:t>
            </w:r>
          </w:p>
        </w:tc>
      </w:tr>
      <w:tr w14:paraId="21F66FF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250" w:type="pct"/>
            <w:shd w:val="clear" w:color="auto" w:fill="auto"/>
            <w:noWrap/>
            <w:vAlign w:val="center"/>
          </w:tcPr>
          <w:p w14:paraId="3E93831E">
            <w:pPr>
              <w:pStyle w:val="23"/>
              <w:jc w:val="center"/>
              <w:rPr>
                <w:rFonts w:ascii="宋体" w:hAnsi="宋体"/>
                <w:kern w:val="0"/>
                <w:szCs w:val="21"/>
              </w:rPr>
            </w:pPr>
            <w:r>
              <w:rPr>
                <w:rFonts w:ascii="宋体" w:hAnsi="宋体"/>
                <w:kern w:val="0"/>
                <w:szCs w:val="21"/>
              </w:rPr>
              <w:t>主田</w:t>
            </w:r>
          </w:p>
        </w:tc>
        <w:tc>
          <w:tcPr>
            <w:tcW w:w="1250" w:type="pct"/>
            <w:shd w:val="clear" w:color="auto" w:fill="auto"/>
            <w:noWrap/>
            <w:vAlign w:val="center"/>
          </w:tcPr>
          <w:p w14:paraId="2C097611">
            <w:pPr>
              <w:pStyle w:val="23"/>
              <w:jc w:val="center"/>
              <w:rPr>
                <w:rFonts w:ascii="宋体" w:hAnsi="宋体"/>
                <w:kern w:val="0"/>
                <w:szCs w:val="21"/>
              </w:rPr>
            </w:pPr>
            <w:r>
              <w:rPr>
                <w:rFonts w:ascii="宋体" w:hAnsi="宋体"/>
                <w:kern w:val="0"/>
                <w:szCs w:val="21"/>
              </w:rPr>
              <w:t>12.82</w:t>
            </w:r>
          </w:p>
        </w:tc>
        <w:tc>
          <w:tcPr>
            <w:tcW w:w="1250" w:type="pct"/>
            <w:shd w:val="clear" w:color="auto" w:fill="auto"/>
            <w:noWrap/>
            <w:vAlign w:val="center"/>
          </w:tcPr>
          <w:p w14:paraId="521DD408">
            <w:pPr>
              <w:pStyle w:val="23"/>
              <w:jc w:val="center"/>
              <w:rPr>
                <w:rFonts w:ascii="宋体" w:hAnsi="宋体"/>
                <w:kern w:val="0"/>
                <w:szCs w:val="21"/>
              </w:rPr>
            </w:pPr>
            <w:r>
              <w:rPr>
                <w:rFonts w:ascii="宋体" w:hAnsi="宋体"/>
                <w:kern w:val="0"/>
                <w:szCs w:val="21"/>
              </w:rPr>
              <w:t>6.56</w:t>
            </w:r>
          </w:p>
        </w:tc>
        <w:tc>
          <w:tcPr>
            <w:tcW w:w="1250" w:type="pct"/>
            <w:shd w:val="clear" w:color="auto" w:fill="auto"/>
            <w:noWrap/>
            <w:vAlign w:val="center"/>
          </w:tcPr>
          <w:p w14:paraId="482D91E2">
            <w:pPr>
              <w:pStyle w:val="23"/>
              <w:jc w:val="center"/>
              <w:rPr>
                <w:rFonts w:ascii="宋体" w:hAnsi="宋体"/>
                <w:kern w:val="0"/>
                <w:szCs w:val="21"/>
              </w:rPr>
            </w:pPr>
            <w:r>
              <w:rPr>
                <w:rFonts w:ascii="宋体" w:hAnsi="宋体"/>
                <w:kern w:val="0"/>
                <w:szCs w:val="21"/>
              </w:rPr>
              <w:t>6.26</w:t>
            </w:r>
          </w:p>
        </w:tc>
      </w:tr>
      <w:tr w14:paraId="5FE45D9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250" w:type="pct"/>
            <w:shd w:val="clear" w:color="auto" w:fill="auto"/>
            <w:noWrap/>
            <w:vAlign w:val="center"/>
          </w:tcPr>
          <w:p w14:paraId="6B0CC4B5">
            <w:pPr>
              <w:pStyle w:val="23"/>
              <w:jc w:val="center"/>
              <w:rPr>
                <w:rFonts w:ascii="宋体" w:hAnsi="宋体"/>
                <w:kern w:val="0"/>
                <w:szCs w:val="21"/>
              </w:rPr>
            </w:pPr>
            <w:r>
              <w:rPr>
                <w:rFonts w:ascii="宋体" w:hAnsi="宋体"/>
                <w:kern w:val="0"/>
                <w:szCs w:val="21"/>
              </w:rPr>
              <w:t>古市</w:t>
            </w:r>
          </w:p>
        </w:tc>
        <w:tc>
          <w:tcPr>
            <w:tcW w:w="1250" w:type="pct"/>
            <w:shd w:val="clear" w:color="auto" w:fill="auto"/>
            <w:noWrap/>
            <w:vAlign w:val="center"/>
          </w:tcPr>
          <w:p w14:paraId="290662AB">
            <w:pPr>
              <w:pStyle w:val="23"/>
              <w:jc w:val="center"/>
              <w:rPr>
                <w:rFonts w:ascii="宋体" w:hAnsi="宋体"/>
                <w:kern w:val="0"/>
                <w:szCs w:val="21"/>
              </w:rPr>
            </w:pPr>
            <w:r>
              <w:rPr>
                <w:rFonts w:ascii="宋体" w:hAnsi="宋体"/>
                <w:kern w:val="0"/>
                <w:szCs w:val="21"/>
              </w:rPr>
              <w:t>13.57</w:t>
            </w:r>
          </w:p>
        </w:tc>
        <w:tc>
          <w:tcPr>
            <w:tcW w:w="1250" w:type="pct"/>
            <w:shd w:val="clear" w:color="auto" w:fill="auto"/>
            <w:noWrap/>
            <w:vAlign w:val="center"/>
          </w:tcPr>
          <w:p w14:paraId="3B2A0299">
            <w:pPr>
              <w:pStyle w:val="23"/>
              <w:jc w:val="center"/>
              <w:rPr>
                <w:rFonts w:ascii="宋体" w:hAnsi="宋体"/>
                <w:kern w:val="0"/>
                <w:szCs w:val="21"/>
              </w:rPr>
            </w:pPr>
            <w:r>
              <w:rPr>
                <w:rFonts w:ascii="宋体" w:hAnsi="宋体"/>
                <w:kern w:val="0"/>
                <w:szCs w:val="21"/>
              </w:rPr>
              <w:t>8.52</w:t>
            </w:r>
          </w:p>
        </w:tc>
        <w:tc>
          <w:tcPr>
            <w:tcW w:w="1250" w:type="pct"/>
            <w:shd w:val="clear" w:color="auto" w:fill="auto"/>
            <w:noWrap/>
            <w:vAlign w:val="center"/>
          </w:tcPr>
          <w:p w14:paraId="2B3D8F14">
            <w:pPr>
              <w:pStyle w:val="23"/>
              <w:jc w:val="center"/>
              <w:rPr>
                <w:rFonts w:ascii="宋体" w:hAnsi="宋体"/>
                <w:kern w:val="0"/>
                <w:szCs w:val="21"/>
              </w:rPr>
            </w:pPr>
            <w:r>
              <w:rPr>
                <w:rFonts w:ascii="宋体" w:hAnsi="宋体"/>
                <w:kern w:val="0"/>
                <w:szCs w:val="21"/>
              </w:rPr>
              <w:t>5.05</w:t>
            </w:r>
          </w:p>
        </w:tc>
      </w:tr>
      <w:tr w14:paraId="7C93E37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250" w:type="pct"/>
            <w:shd w:val="clear" w:color="auto" w:fill="auto"/>
            <w:noWrap/>
            <w:vAlign w:val="center"/>
          </w:tcPr>
          <w:p w14:paraId="516D93D9">
            <w:pPr>
              <w:pStyle w:val="23"/>
              <w:jc w:val="center"/>
              <w:rPr>
                <w:rFonts w:ascii="宋体" w:hAnsi="宋体"/>
                <w:kern w:val="0"/>
                <w:szCs w:val="21"/>
              </w:rPr>
            </w:pPr>
            <w:r>
              <w:rPr>
                <w:rFonts w:ascii="宋体" w:hAnsi="宋体"/>
                <w:kern w:val="0"/>
                <w:szCs w:val="21"/>
              </w:rPr>
              <w:t>全安</w:t>
            </w:r>
          </w:p>
        </w:tc>
        <w:tc>
          <w:tcPr>
            <w:tcW w:w="1250" w:type="pct"/>
            <w:shd w:val="clear" w:color="auto" w:fill="auto"/>
            <w:noWrap/>
            <w:vAlign w:val="center"/>
          </w:tcPr>
          <w:p w14:paraId="15D9EBA9">
            <w:pPr>
              <w:pStyle w:val="23"/>
              <w:jc w:val="center"/>
              <w:rPr>
                <w:rFonts w:ascii="宋体" w:hAnsi="宋体"/>
                <w:kern w:val="0"/>
                <w:szCs w:val="21"/>
              </w:rPr>
            </w:pPr>
            <w:r>
              <w:rPr>
                <w:rFonts w:ascii="宋体" w:hAnsi="宋体"/>
                <w:kern w:val="0"/>
                <w:szCs w:val="21"/>
              </w:rPr>
              <w:t>13.38</w:t>
            </w:r>
          </w:p>
        </w:tc>
        <w:tc>
          <w:tcPr>
            <w:tcW w:w="1250" w:type="pct"/>
            <w:shd w:val="clear" w:color="auto" w:fill="auto"/>
            <w:noWrap/>
            <w:vAlign w:val="center"/>
          </w:tcPr>
          <w:p w14:paraId="1F3D6E14">
            <w:pPr>
              <w:pStyle w:val="23"/>
              <w:jc w:val="center"/>
              <w:rPr>
                <w:rFonts w:ascii="宋体" w:hAnsi="宋体"/>
                <w:kern w:val="0"/>
                <w:szCs w:val="21"/>
              </w:rPr>
            </w:pPr>
            <w:r>
              <w:rPr>
                <w:rFonts w:ascii="宋体" w:hAnsi="宋体"/>
                <w:kern w:val="0"/>
                <w:szCs w:val="21"/>
              </w:rPr>
              <w:t>7.25</w:t>
            </w:r>
          </w:p>
        </w:tc>
        <w:tc>
          <w:tcPr>
            <w:tcW w:w="1250" w:type="pct"/>
            <w:shd w:val="clear" w:color="auto" w:fill="auto"/>
            <w:noWrap/>
            <w:vAlign w:val="center"/>
          </w:tcPr>
          <w:p w14:paraId="44DE1DAF">
            <w:pPr>
              <w:pStyle w:val="23"/>
              <w:jc w:val="center"/>
              <w:rPr>
                <w:rFonts w:ascii="宋体" w:hAnsi="宋体"/>
                <w:kern w:val="0"/>
                <w:szCs w:val="21"/>
              </w:rPr>
            </w:pPr>
            <w:r>
              <w:rPr>
                <w:rFonts w:ascii="宋体" w:hAnsi="宋体"/>
                <w:kern w:val="0"/>
                <w:szCs w:val="21"/>
              </w:rPr>
              <w:t>6.13</w:t>
            </w:r>
          </w:p>
        </w:tc>
      </w:tr>
      <w:tr w14:paraId="4FF29C3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250" w:type="pct"/>
            <w:shd w:val="clear" w:color="auto" w:fill="auto"/>
            <w:noWrap/>
            <w:vAlign w:val="center"/>
          </w:tcPr>
          <w:p w14:paraId="2F147BCE">
            <w:pPr>
              <w:pStyle w:val="23"/>
              <w:jc w:val="center"/>
              <w:rPr>
                <w:rFonts w:ascii="宋体" w:hAnsi="宋体"/>
                <w:kern w:val="0"/>
                <w:szCs w:val="21"/>
              </w:rPr>
            </w:pPr>
            <w:r>
              <w:rPr>
                <w:rFonts w:ascii="宋体" w:hAnsi="宋体"/>
                <w:kern w:val="0"/>
                <w:szCs w:val="21"/>
              </w:rPr>
              <w:t>百顺</w:t>
            </w:r>
          </w:p>
        </w:tc>
        <w:tc>
          <w:tcPr>
            <w:tcW w:w="1250" w:type="pct"/>
            <w:shd w:val="clear" w:color="auto" w:fill="auto"/>
            <w:noWrap/>
            <w:vAlign w:val="center"/>
          </w:tcPr>
          <w:p w14:paraId="3707E323">
            <w:pPr>
              <w:pStyle w:val="23"/>
              <w:jc w:val="center"/>
              <w:rPr>
                <w:rFonts w:ascii="宋体" w:hAnsi="宋体"/>
                <w:kern w:val="0"/>
                <w:szCs w:val="21"/>
              </w:rPr>
            </w:pPr>
            <w:r>
              <w:rPr>
                <w:rFonts w:ascii="宋体" w:hAnsi="宋体"/>
                <w:kern w:val="0"/>
                <w:szCs w:val="21"/>
              </w:rPr>
              <w:t>11.46</w:t>
            </w:r>
          </w:p>
        </w:tc>
        <w:tc>
          <w:tcPr>
            <w:tcW w:w="1250" w:type="pct"/>
            <w:shd w:val="clear" w:color="auto" w:fill="auto"/>
            <w:noWrap/>
            <w:vAlign w:val="center"/>
          </w:tcPr>
          <w:p w14:paraId="570894E6">
            <w:pPr>
              <w:pStyle w:val="23"/>
              <w:jc w:val="center"/>
              <w:rPr>
                <w:rFonts w:ascii="宋体" w:hAnsi="宋体"/>
                <w:kern w:val="0"/>
                <w:szCs w:val="21"/>
              </w:rPr>
            </w:pPr>
            <w:r>
              <w:rPr>
                <w:rFonts w:ascii="宋体" w:hAnsi="宋体"/>
                <w:kern w:val="0"/>
                <w:szCs w:val="21"/>
              </w:rPr>
              <w:t>5.89</w:t>
            </w:r>
          </w:p>
        </w:tc>
        <w:tc>
          <w:tcPr>
            <w:tcW w:w="1250" w:type="pct"/>
            <w:shd w:val="clear" w:color="auto" w:fill="auto"/>
            <w:noWrap/>
            <w:vAlign w:val="center"/>
          </w:tcPr>
          <w:p w14:paraId="51FED19A">
            <w:pPr>
              <w:pStyle w:val="23"/>
              <w:jc w:val="center"/>
              <w:rPr>
                <w:rFonts w:ascii="宋体" w:hAnsi="宋体"/>
                <w:kern w:val="0"/>
                <w:szCs w:val="21"/>
              </w:rPr>
            </w:pPr>
            <w:r>
              <w:rPr>
                <w:rFonts w:ascii="宋体" w:hAnsi="宋体"/>
                <w:kern w:val="0"/>
                <w:szCs w:val="21"/>
              </w:rPr>
              <w:t>5.57</w:t>
            </w:r>
          </w:p>
        </w:tc>
      </w:tr>
      <w:tr w14:paraId="074AC3B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250" w:type="pct"/>
            <w:shd w:val="clear" w:color="auto" w:fill="auto"/>
            <w:noWrap/>
            <w:vAlign w:val="center"/>
          </w:tcPr>
          <w:p w14:paraId="0624077B">
            <w:pPr>
              <w:pStyle w:val="23"/>
              <w:jc w:val="center"/>
              <w:rPr>
                <w:rFonts w:ascii="宋体" w:hAnsi="宋体"/>
                <w:kern w:val="0"/>
                <w:szCs w:val="21"/>
              </w:rPr>
            </w:pPr>
            <w:r>
              <w:rPr>
                <w:rFonts w:ascii="宋体" w:hAnsi="宋体"/>
                <w:kern w:val="0"/>
                <w:szCs w:val="21"/>
              </w:rPr>
              <w:t>澜河</w:t>
            </w:r>
          </w:p>
        </w:tc>
        <w:tc>
          <w:tcPr>
            <w:tcW w:w="1250" w:type="pct"/>
            <w:shd w:val="clear" w:color="auto" w:fill="auto"/>
            <w:noWrap/>
            <w:vAlign w:val="center"/>
          </w:tcPr>
          <w:p w14:paraId="736D4A86">
            <w:pPr>
              <w:pStyle w:val="23"/>
              <w:jc w:val="center"/>
              <w:rPr>
                <w:rFonts w:ascii="宋体" w:hAnsi="宋体"/>
                <w:kern w:val="0"/>
                <w:szCs w:val="21"/>
              </w:rPr>
            </w:pPr>
            <w:r>
              <w:rPr>
                <w:rFonts w:ascii="宋体" w:hAnsi="宋体"/>
                <w:kern w:val="0"/>
                <w:szCs w:val="21"/>
              </w:rPr>
              <w:t>12.67</w:t>
            </w:r>
          </w:p>
        </w:tc>
        <w:tc>
          <w:tcPr>
            <w:tcW w:w="1250" w:type="pct"/>
            <w:shd w:val="clear" w:color="auto" w:fill="auto"/>
            <w:noWrap/>
            <w:vAlign w:val="center"/>
          </w:tcPr>
          <w:p w14:paraId="6AC70495">
            <w:pPr>
              <w:pStyle w:val="23"/>
              <w:jc w:val="center"/>
              <w:rPr>
                <w:rFonts w:ascii="宋体" w:hAnsi="宋体"/>
                <w:kern w:val="0"/>
                <w:szCs w:val="21"/>
              </w:rPr>
            </w:pPr>
            <w:r>
              <w:rPr>
                <w:rFonts w:ascii="宋体" w:hAnsi="宋体"/>
                <w:kern w:val="0"/>
                <w:szCs w:val="21"/>
              </w:rPr>
              <w:t>7.19</w:t>
            </w:r>
          </w:p>
        </w:tc>
        <w:tc>
          <w:tcPr>
            <w:tcW w:w="1250" w:type="pct"/>
            <w:shd w:val="clear" w:color="auto" w:fill="auto"/>
            <w:noWrap/>
            <w:vAlign w:val="center"/>
          </w:tcPr>
          <w:p w14:paraId="7BD5F048">
            <w:pPr>
              <w:pStyle w:val="23"/>
              <w:jc w:val="center"/>
              <w:rPr>
                <w:rFonts w:ascii="宋体" w:hAnsi="宋体"/>
                <w:kern w:val="0"/>
                <w:szCs w:val="21"/>
              </w:rPr>
            </w:pPr>
            <w:r>
              <w:rPr>
                <w:rFonts w:ascii="宋体" w:hAnsi="宋体"/>
                <w:kern w:val="0"/>
                <w:szCs w:val="21"/>
              </w:rPr>
              <w:t>5.48</w:t>
            </w:r>
          </w:p>
        </w:tc>
      </w:tr>
      <w:tr w14:paraId="3E21010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250" w:type="pct"/>
            <w:shd w:val="clear" w:color="auto" w:fill="auto"/>
            <w:noWrap/>
            <w:vAlign w:val="center"/>
          </w:tcPr>
          <w:p w14:paraId="47D1C67D">
            <w:pPr>
              <w:pStyle w:val="23"/>
              <w:jc w:val="center"/>
              <w:rPr>
                <w:rFonts w:ascii="宋体" w:hAnsi="宋体"/>
                <w:kern w:val="0"/>
                <w:szCs w:val="21"/>
              </w:rPr>
            </w:pPr>
            <w:r>
              <w:rPr>
                <w:rFonts w:ascii="宋体" w:hAnsi="宋体"/>
                <w:kern w:val="0"/>
                <w:szCs w:val="21"/>
              </w:rPr>
              <w:t>帽子峰</w:t>
            </w:r>
          </w:p>
        </w:tc>
        <w:tc>
          <w:tcPr>
            <w:tcW w:w="1250" w:type="pct"/>
            <w:shd w:val="clear" w:color="auto" w:fill="auto"/>
            <w:noWrap/>
            <w:vAlign w:val="center"/>
          </w:tcPr>
          <w:p w14:paraId="792478D8">
            <w:pPr>
              <w:pStyle w:val="23"/>
              <w:jc w:val="center"/>
              <w:rPr>
                <w:rFonts w:ascii="宋体" w:hAnsi="宋体"/>
                <w:kern w:val="0"/>
                <w:szCs w:val="21"/>
              </w:rPr>
            </w:pPr>
            <w:r>
              <w:rPr>
                <w:rFonts w:ascii="宋体" w:hAnsi="宋体"/>
                <w:kern w:val="0"/>
                <w:szCs w:val="21"/>
              </w:rPr>
              <w:t>10.34</w:t>
            </w:r>
          </w:p>
        </w:tc>
        <w:tc>
          <w:tcPr>
            <w:tcW w:w="1250" w:type="pct"/>
            <w:shd w:val="clear" w:color="auto" w:fill="auto"/>
            <w:noWrap/>
            <w:vAlign w:val="center"/>
          </w:tcPr>
          <w:p w14:paraId="590EC445">
            <w:pPr>
              <w:pStyle w:val="23"/>
              <w:jc w:val="center"/>
              <w:rPr>
                <w:rFonts w:ascii="宋体" w:hAnsi="宋体"/>
                <w:kern w:val="0"/>
                <w:szCs w:val="21"/>
              </w:rPr>
            </w:pPr>
            <w:r>
              <w:rPr>
                <w:rFonts w:ascii="宋体" w:hAnsi="宋体"/>
                <w:kern w:val="0"/>
                <w:szCs w:val="21"/>
              </w:rPr>
              <w:t>4.76</w:t>
            </w:r>
          </w:p>
        </w:tc>
        <w:tc>
          <w:tcPr>
            <w:tcW w:w="1250" w:type="pct"/>
            <w:shd w:val="clear" w:color="auto" w:fill="auto"/>
            <w:noWrap/>
            <w:vAlign w:val="center"/>
          </w:tcPr>
          <w:p w14:paraId="06CB9B1D">
            <w:pPr>
              <w:pStyle w:val="23"/>
              <w:jc w:val="center"/>
              <w:rPr>
                <w:rFonts w:ascii="宋体" w:hAnsi="宋体"/>
                <w:kern w:val="0"/>
                <w:szCs w:val="21"/>
              </w:rPr>
            </w:pPr>
            <w:r>
              <w:rPr>
                <w:rFonts w:ascii="宋体" w:hAnsi="宋体"/>
                <w:kern w:val="0"/>
                <w:szCs w:val="21"/>
              </w:rPr>
              <w:t>5.58</w:t>
            </w:r>
          </w:p>
        </w:tc>
      </w:tr>
      <w:tr w14:paraId="10E0712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1250" w:type="pct"/>
            <w:shd w:val="clear" w:color="auto" w:fill="auto"/>
            <w:noWrap/>
            <w:vAlign w:val="center"/>
          </w:tcPr>
          <w:p w14:paraId="2A6CE0BC">
            <w:pPr>
              <w:pStyle w:val="23"/>
              <w:jc w:val="center"/>
              <w:rPr>
                <w:rFonts w:ascii="宋体" w:hAnsi="宋体"/>
                <w:kern w:val="0"/>
                <w:szCs w:val="21"/>
              </w:rPr>
            </w:pPr>
            <w:r>
              <w:rPr>
                <w:rFonts w:ascii="宋体" w:hAnsi="宋体"/>
                <w:kern w:val="0"/>
                <w:szCs w:val="21"/>
              </w:rPr>
              <w:t>雄州街道</w:t>
            </w:r>
          </w:p>
        </w:tc>
        <w:tc>
          <w:tcPr>
            <w:tcW w:w="1250" w:type="pct"/>
            <w:shd w:val="clear" w:color="auto" w:fill="auto"/>
            <w:noWrap/>
            <w:vAlign w:val="center"/>
          </w:tcPr>
          <w:p w14:paraId="43821017">
            <w:pPr>
              <w:pStyle w:val="23"/>
              <w:jc w:val="center"/>
              <w:rPr>
                <w:rFonts w:ascii="宋体" w:hAnsi="宋体"/>
                <w:kern w:val="0"/>
                <w:szCs w:val="21"/>
              </w:rPr>
            </w:pPr>
            <w:r>
              <w:rPr>
                <w:rFonts w:ascii="宋体" w:hAnsi="宋体"/>
                <w:kern w:val="0"/>
                <w:szCs w:val="21"/>
              </w:rPr>
              <w:t>10.52</w:t>
            </w:r>
          </w:p>
        </w:tc>
        <w:tc>
          <w:tcPr>
            <w:tcW w:w="1250" w:type="pct"/>
            <w:shd w:val="clear" w:color="auto" w:fill="auto"/>
            <w:noWrap/>
            <w:vAlign w:val="center"/>
          </w:tcPr>
          <w:p w14:paraId="151B0F7A">
            <w:pPr>
              <w:pStyle w:val="23"/>
              <w:jc w:val="center"/>
              <w:rPr>
                <w:rFonts w:ascii="宋体" w:hAnsi="宋体"/>
                <w:kern w:val="0"/>
                <w:szCs w:val="21"/>
              </w:rPr>
            </w:pPr>
            <w:r>
              <w:rPr>
                <w:rFonts w:ascii="宋体" w:hAnsi="宋体"/>
                <w:kern w:val="0"/>
                <w:szCs w:val="21"/>
              </w:rPr>
              <w:t>7.17</w:t>
            </w:r>
          </w:p>
        </w:tc>
        <w:tc>
          <w:tcPr>
            <w:tcW w:w="1250" w:type="pct"/>
            <w:shd w:val="clear" w:color="auto" w:fill="auto"/>
            <w:noWrap/>
            <w:vAlign w:val="center"/>
          </w:tcPr>
          <w:p w14:paraId="6421B53D">
            <w:pPr>
              <w:pStyle w:val="23"/>
              <w:jc w:val="center"/>
              <w:rPr>
                <w:rFonts w:ascii="宋体" w:hAnsi="宋体"/>
                <w:kern w:val="0"/>
                <w:szCs w:val="21"/>
              </w:rPr>
            </w:pPr>
            <w:r>
              <w:rPr>
                <w:rFonts w:ascii="宋体" w:hAnsi="宋体"/>
                <w:kern w:val="0"/>
                <w:szCs w:val="21"/>
              </w:rPr>
              <w:t>3.35</w:t>
            </w:r>
          </w:p>
        </w:tc>
      </w:tr>
    </w:tbl>
    <w:p w14:paraId="53A26AC5">
      <w:pPr>
        <w:ind w:firstLine="0" w:firstLineChars="0"/>
        <w:jc w:val="center"/>
        <w:rPr>
          <w:rFonts w:ascii="宋体" w:hAnsi="宋体"/>
          <w:b/>
          <w:szCs w:val="21"/>
        </w:rPr>
      </w:pPr>
      <w:r>
        <w:rPr>
          <w:rFonts w:hint="eastAsia" w:ascii="宋体" w:hAnsi="宋体"/>
          <w:b/>
          <w:szCs w:val="21"/>
        </w:rPr>
        <w:t>表88 普通教育基本情况</w:t>
      </w:r>
    </w:p>
    <w:tbl>
      <w:tblPr>
        <w:tblStyle w:val="14"/>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30" w:type="dxa"/>
          <w:bottom w:w="0" w:type="dxa"/>
          <w:right w:w="30" w:type="dxa"/>
        </w:tblCellMar>
      </w:tblPr>
      <w:tblGrid>
        <w:gridCol w:w="2450"/>
        <w:gridCol w:w="2453"/>
        <w:gridCol w:w="2450"/>
        <w:gridCol w:w="2453"/>
      </w:tblGrid>
      <w:tr w14:paraId="0E9613F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249" w:type="pct"/>
            <w:vAlign w:val="center"/>
          </w:tcPr>
          <w:p w14:paraId="13A9BBDF">
            <w:pPr>
              <w:pStyle w:val="23"/>
              <w:jc w:val="center"/>
              <w:rPr>
                <w:rFonts w:ascii="宋体" w:hAnsi="宋体"/>
                <w:b/>
                <w:kern w:val="0"/>
                <w:szCs w:val="21"/>
              </w:rPr>
            </w:pPr>
            <w:r>
              <w:rPr>
                <w:rFonts w:ascii="宋体" w:hAnsi="宋体"/>
                <w:b/>
                <w:kern w:val="0"/>
                <w:szCs w:val="21"/>
              </w:rPr>
              <w:t>指标名称</w:t>
            </w:r>
          </w:p>
        </w:tc>
        <w:tc>
          <w:tcPr>
            <w:tcW w:w="1251" w:type="pct"/>
            <w:vAlign w:val="center"/>
          </w:tcPr>
          <w:p w14:paraId="374D535F">
            <w:pPr>
              <w:pStyle w:val="23"/>
              <w:jc w:val="center"/>
              <w:rPr>
                <w:rFonts w:ascii="宋体" w:hAnsi="宋体"/>
                <w:b/>
                <w:kern w:val="0"/>
                <w:szCs w:val="21"/>
              </w:rPr>
            </w:pPr>
            <w:r>
              <w:rPr>
                <w:rFonts w:ascii="宋体" w:hAnsi="宋体"/>
                <w:b/>
                <w:kern w:val="0"/>
                <w:szCs w:val="21"/>
              </w:rPr>
              <w:t>学校数(间)</w:t>
            </w:r>
          </w:p>
        </w:tc>
        <w:tc>
          <w:tcPr>
            <w:tcW w:w="1249" w:type="pct"/>
            <w:vAlign w:val="center"/>
          </w:tcPr>
          <w:p w14:paraId="6BDD0A9C">
            <w:pPr>
              <w:pStyle w:val="23"/>
              <w:jc w:val="center"/>
              <w:rPr>
                <w:rFonts w:ascii="宋体" w:hAnsi="宋体"/>
                <w:b/>
                <w:kern w:val="0"/>
                <w:szCs w:val="21"/>
              </w:rPr>
            </w:pPr>
            <w:r>
              <w:rPr>
                <w:rFonts w:ascii="宋体" w:hAnsi="宋体"/>
                <w:b/>
                <w:kern w:val="0"/>
                <w:szCs w:val="21"/>
              </w:rPr>
              <w:t>毕业生数(人)</w:t>
            </w:r>
          </w:p>
        </w:tc>
        <w:tc>
          <w:tcPr>
            <w:tcW w:w="1251" w:type="pct"/>
            <w:vAlign w:val="center"/>
          </w:tcPr>
          <w:p w14:paraId="1DE9A85E">
            <w:pPr>
              <w:pStyle w:val="23"/>
              <w:jc w:val="center"/>
              <w:rPr>
                <w:rFonts w:ascii="宋体" w:hAnsi="宋体"/>
                <w:b/>
                <w:kern w:val="0"/>
                <w:szCs w:val="21"/>
              </w:rPr>
            </w:pPr>
            <w:r>
              <w:rPr>
                <w:rFonts w:ascii="宋体" w:hAnsi="宋体"/>
                <w:b/>
                <w:kern w:val="0"/>
                <w:szCs w:val="21"/>
              </w:rPr>
              <w:t>招生数(人)</w:t>
            </w:r>
          </w:p>
        </w:tc>
      </w:tr>
      <w:tr w14:paraId="26422C9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249" w:type="pct"/>
            <w:vAlign w:val="center"/>
          </w:tcPr>
          <w:p w14:paraId="2055689E">
            <w:pPr>
              <w:pStyle w:val="23"/>
              <w:rPr>
                <w:rFonts w:ascii="宋体" w:hAnsi="宋体"/>
                <w:kern w:val="0"/>
                <w:szCs w:val="21"/>
              </w:rPr>
            </w:pPr>
            <w:r>
              <w:rPr>
                <w:rFonts w:ascii="宋体" w:hAnsi="宋体"/>
                <w:kern w:val="0"/>
                <w:szCs w:val="21"/>
              </w:rPr>
              <w:t>总计</w:t>
            </w:r>
          </w:p>
        </w:tc>
        <w:tc>
          <w:tcPr>
            <w:tcW w:w="1251" w:type="pct"/>
            <w:vAlign w:val="center"/>
          </w:tcPr>
          <w:p w14:paraId="427008F8">
            <w:pPr>
              <w:pStyle w:val="23"/>
              <w:jc w:val="center"/>
              <w:rPr>
                <w:rFonts w:ascii="宋体" w:hAnsi="宋体"/>
                <w:kern w:val="0"/>
                <w:szCs w:val="21"/>
              </w:rPr>
            </w:pPr>
            <w:r>
              <w:rPr>
                <w:rFonts w:ascii="宋体" w:hAnsi="宋体"/>
                <w:kern w:val="0"/>
                <w:szCs w:val="21"/>
              </w:rPr>
              <w:t>109</w:t>
            </w:r>
          </w:p>
        </w:tc>
        <w:tc>
          <w:tcPr>
            <w:tcW w:w="1249" w:type="pct"/>
            <w:vAlign w:val="center"/>
          </w:tcPr>
          <w:p w14:paraId="445CBB45">
            <w:pPr>
              <w:pStyle w:val="23"/>
              <w:jc w:val="center"/>
              <w:rPr>
                <w:rFonts w:ascii="宋体" w:hAnsi="宋体"/>
                <w:kern w:val="0"/>
                <w:szCs w:val="21"/>
              </w:rPr>
            </w:pPr>
            <w:r>
              <w:rPr>
                <w:rFonts w:ascii="宋体" w:hAnsi="宋体"/>
                <w:kern w:val="0"/>
                <w:szCs w:val="21"/>
              </w:rPr>
              <w:t>18380</w:t>
            </w:r>
          </w:p>
        </w:tc>
        <w:tc>
          <w:tcPr>
            <w:tcW w:w="1251" w:type="pct"/>
            <w:vAlign w:val="center"/>
          </w:tcPr>
          <w:p w14:paraId="73CDBF7C">
            <w:pPr>
              <w:pStyle w:val="23"/>
              <w:jc w:val="center"/>
              <w:rPr>
                <w:rFonts w:ascii="宋体" w:hAnsi="宋体"/>
                <w:kern w:val="0"/>
                <w:szCs w:val="21"/>
              </w:rPr>
            </w:pPr>
            <w:r>
              <w:rPr>
                <w:rFonts w:ascii="宋体" w:hAnsi="宋体"/>
                <w:kern w:val="0"/>
                <w:szCs w:val="21"/>
              </w:rPr>
              <w:t>20501</w:t>
            </w:r>
          </w:p>
        </w:tc>
      </w:tr>
      <w:tr w14:paraId="34C6445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249" w:type="pct"/>
            <w:vAlign w:val="center"/>
          </w:tcPr>
          <w:p w14:paraId="1A24DAC4">
            <w:pPr>
              <w:pStyle w:val="23"/>
              <w:rPr>
                <w:rFonts w:ascii="宋体" w:hAnsi="宋体"/>
                <w:kern w:val="0"/>
                <w:szCs w:val="21"/>
              </w:rPr>
            </w:pPr>
            <w:r>
              <w:rPr>
                <w:rFonts w:hint="eastAsia" w:ascii="宋体" w:hAnsi="宋体"/>
                <w:kern w:val="0"/>
                <w:szCs w:val="21"/>
              </w:rPr>
              <w:t xml:space="preserve">1、 </w:t>
            </w:r>
            <w:r>
              <w:rPr>
                <w:rFonts w:ascii="宋体" w:hAnsi="宋体"/>
                <w:kern w:val="0"/>
                <w:szCs w:val="21"/>
              </w:rPr>
              <w:t>普通中学</w:t>
            </w:r>
          </w:p>
        </w:tc>
        <w:tc>
          <w:tcPr>
            <w:tcW w:w="1251" w:type="pct"/>
            <w:vAlign w:val="center"/>
          </w:tcPr>
          <w:p w14:paraId="7A2F22B4">
            <w:pPr>
              <w:pStyle w:val="23"/>
              <w:jc w:val="center"/>
              <w:rPr>
                <w:rFonts w:ascii="宋体" w:hAnsi="宋体"/>
                <w:kern w:val="0"/>
                <w:szCs w:val="21"/>
              </w:rPr>
            </w:pPr>
            <w:r>
              <w:rPr>
                <w:rFonts w:ascii="宋体" w:hAnsi="宋体"/>
                <w:kern w:val="0"/>
                <w:szCs w:val="21"/>
              </w:rPr>
              <w:t>20</w:t>
            </w:r>
          </w:p>
        </w:tc>
        <w:tc>
          <w:tcPr>
            <w:tcW w:w="1249" w:type="pct"/>
            <w:vAlign w:val="center"/>
          </w:tcPr>
          <w:p w14:paraId="6F53E04B">
            <w:pPr>
              <w:pStyle w:val="23"/>
              <w:jc w:val="center"/>
              <w:rPr>
                <w:rFonts w:ascii="宋体" w:hAnsi="宋体"/>
                <w:kern w:val="0"/>
                <w:szCs w:val="21"/>
              </w:rPr>
            </w:pPr>
            <w:r>
              <w:rPr>
                <w:rFonts w:ascii="宋体" w:hAnsi="宋体"/>
                <w:kern w:val="0"/>
                <w:szCs w:val="21"/>
              </w:rPr>
              <w:t>9652</w:t>
            </w:r>
          </w:p>
        </w:tc>
        <w:tc>
          <w:tcPr>
            <w:tcW w:w="1251" w:type="pct"/>
            <w:vAlign w:val="center"/>
          </w:tcPr>
          <w:p w14:paraId="56943F09">
            <w:pPr>
              <w:pStyle w:val="23"/>
              <w:jc w:val="center"/>
              <w:rPr>
                <w:rFonts w:ascii="宋体" w:hAnsi="宋体"/>
                <w:kern w:val="0"/>
                <w:szCs w:val="21"/>
              </w:rPr>
            </w:pPr>
            <w:r>
              <w:rPr>
                <w:rFonts w:ascii="宋体" w:hAnsi="宋体"/>
                <w:kern w:val="0"/>
                <w:szCs w:val="21"/>
              </w:rPr>
              <w:t>8658</w:t>
            </w:r>
          </w:p>
        </w:tc>
      </w:tr>
      <w:tr w14:paraId="2AC4076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249" w:type="pct"/>
            <w:vAlign w:val="center"/>
          </w:tcPr>
          <w:p w14:paraId="063C7C05">
            <w:pPr>
              <w:pStyle w:val="23"/>
              <w:ind w:firstLine="420" w:firstLineChars="200"/>
              <w:rPr>
                <w:rFonts w:ascii="宋体" w:hAnsi="宋体"/>
                <w:kern w:val="0"/>
                <w:szCs w:val="21"/>
              </w:rPr>
            </w:pPr>
            <w:r>
              <w:rPr>
                <w:rFonts w:ascii="宋体" w:hAnsi="宋体"/>
                <w:kern w:val="0"/>
                <w:szCs w:val="21"/>
              </w:rPr>
              <w:t>完全中学</w:t>
            </w:r>
          </w:p>
        </w:tc>
        <w:tc>
          <w:tcPr>
            <w:tcW w:w="1251" w:type="pct"/>
            <w:vAlign w:val="center"/>
          </w:tcPr>
          <w:p w14:paraId="5C7C37C6">
            <w:pPr>
              <w:pStyle w:val="23"/>
              <w:jc w:val="center"/>
              <w:rPr>
                <w:rFonts w:ascii="宋体" w:hAnsi="宋体"/>
                <w:kern w:val="0"/>
                <w:szCs w:val="21"/>
              </w:rPr>
            </w:pPr>
            <w:r>
              <w:rPr>
                <w:rFonts w:ascii="宋体" w:hAnsi="宋体"/>
                <w:kern w:val="0"/>
                <w:szCs w:val="21"/>
              </w:rPr>
              <w:t>1</w:t>
            </w:r>
          </w:p>
        </w:tc>
        <w:tc>
          <w:tcPr>
            <w:tcW w:w="1249" w:type="pct"/>
            <w:vAlign w:val="center"/>
          </w:tcPr>
          <w:p w14:paraId="143560FD">
            <w:pPr>
              <w:pStyle w:val="23"/>
              <w:jc w:val="center"/>
              <w:rPr>
                <w:rFonts w:ascii="宋体" w:hAnsi="宋体"/>
                <w:kern w:val="0"/>
                <w:szCs w:val="21"/>
              </w:rPr>
            </w:pPr>
            <w:r>
              <w:rPr>
                <w:rFonts w:ascii="宋体" w:hAnsi="宋体"/>
                <w:kern w:val="0"/>
                <w:szCs w:val="21"/>
              </w:rPr>
              <w:t>949</w:t>
            </w:r>
          </w:p>
        </w:tc>
        <w:tc>
          <w:tcPr>
            <w:tcW w:w="1251" w:type="pct"/>
            <w:vAlign w:val="center"/>
          </w:tcPr>
          <w:p w14:paraId="5C05AC4E">
            <w:pPr>
              <w:pStyle w:val="23"/>
              <w:jc w:val="center"/>
              <w:rPr>
                <w:rFonts w:ascii="宋体" w:hAnsi="宋体"/>
                <w:kern w:val="0"/>
                <w:szCs w:val="21"/>
              </w:rPr>
            </w:pPr>
            <w:r>
              <w:rPr>
                <w:rFonts w:ascii="宋体" w:hAnsi="宋体"/>
                <w:kern w:val="0"/>
                <w:szCs w:val="21"/>
              </w:rPr>
              <w:t>888</w:t>
            </w:r>
          </w:p>
        </w:tc>
      </w:tr>
      <w:tr w14:paraId="4962192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249" w:type="pct"/>
            <w:vAlign w:val="center"/>
          </w:tcPr>
          <w:p w14:paraId="28360F31">
            <w:pPr>
              <w:pStyle w:val="23"/>
              <w:ind w:firstLine="420" w:firstLineChars="200"/>
              <w:rPr>
                <w:rFonts w:ascii="宋体" w:hAnsi="宋体"/>
                <w:kern w:val="0"/>
                <w:szCs w:val="21"/>
              </w:rPr>
            </w:pPr>
            <w:r>
              <w:rPr>
                <w:rFonts w:ascii="宋体" w:hAnsi="宋体"/>
                <w:kern w:val="0"/>
                <w:szCs w:val="21"/>
              </w:rPr>
              <w:t>高级中学</w:t>
            </w:r>
          </w:p>
        </w:tc>
        <w:tc>
          <w:tcPr>
            <w:tcW w:w="1251" w:type="pct"/>
            <w:vAlign w:val="center"/>
          </w:tcPr>
          <w:p w14:paraId="425CF6A6">
            <w:pPr>
              <w:pStyle w:val="23"/>
              <w:jc w:val="center"/>
              <w:rPr>
                <w:rFonts w:ascii="宋体" w:hAnsi="宋体"/>
                <w:kern w:val="0"/>
                <w:szCs w:val="21"/>
              </w:rPr>
            </w:pPr>
            <w:r>
              <w:rPr>
                <w:rFonts w:ascii="宋体" w:hAnsi="宋体"/>
                <w:kern w:val="0"/>
                <w:szCs w:val="21"/>
              </w:rPr>
              <w:t>2</w:t>
            </w:r>
          </w:p>
        </w:tc>
        <w:tc>
          <w:tcPr>
            <w:tcW w:w="1249" w:type="pct"/>
            <w:vAlign w:val="center"/>
          </w:tcPr>
          <w:p w14:paraId="18C42788">
            <w:pPr>
              <w:pStyle w:val="23"/>
              <w:jc w:val="center"/>
              <w:rPr>
                <w:rFonts w:ascii="宋体" w:hAnsi="宋体"/>
                <w:kern w:val="0"/>
                <w:szCs w:val="21"/>
              </w:rPr>
            </w:pPr>
            <w:r>
              <w:rPr>
                <w:rFonts w:ascii="宋体" w:hAnsi="宋体"/>
                <w:kern w:val="0"/>
                <w:szCs w:val="21"/>
              </w:rPr>
              <w:t>2703</w:t>
            </w:r>
          </w:p>
        </w:tc>
        <w:tc>
          <w:tcPr>
            <w:tcW w:w="1251" w:type="pct"/>
            <w:vAlign w:val="center"/>
          </w:tcPr>
          <w:p w14:paraId="5F32BD34">
            <w:pPr>
              <w:pStyle w:val="23"/>
              <w:jc w:val="center"/>
              <w:rPr>
                <w:rFonts w:ascii="宋体" w:hAnsi="宋体"/>
                <w:kern w:val="0"/>
                <w:szCs w:val="21"/>
              </w:rPr>
            </w:pPr>
            <w:r>
              <w:rPr>
                <w:rFonts w:ascii="宋体" w:hAnsi="宋体"/>
                <w:kern w:val="0"/>
                <w:szCs w:val="21"/>
              </w:rPr>
              <w:t>2814</w:t>
            </w:r>
          </w:p>
        </w:tc>
      </w:tr>
      <w:tr w14:paraId="5C66FDE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249" w:type="pct"/>
            <w:vAlign w:val="center"/>
          </w:tcPr>
          <w:p w14:paraId="118800E6">
            <w:pPr>
              <w:pStyle w:val="23"/>
              <w:ind w:firstLine="420" w:firstLineChars="200"/>
              <w:rPr>
                <w:rFonts w:ascii="宋体" w:hAnsi="宋体"/>
                <w:kern w:val="0"/>
                <w:szCs w:val="21"/>
              </w:rPr>
            </w:pPr>
            <w:r>
              <w:rPr>
                <w:rFonts w:ascii="宋体" w:hAnsi="宋体"/>
                <w:kern w:val="0"/>
                <w:szCs w:val="21"/>
              </w:rPr>
              <w:t>初级中学</w:t>
            </w:r>
          </w:p>
        </w:tc>
        <w:tc>
          <w:tcPr>
            <w:tcW w:w="1251" w:type="pct"/>
            <w:vAlign w:val="center"/>
          </w:tcPr>
          <w:p w14:paraId="66B7DFDB">
            <w:pPr>
              <w:pStyle w:val="23"/>
              <w:jc w:val="center"/>
              <w:rPr>
                <w:rFonts w:ascii="宋体" w:hAnsi="宋体"/>
                <w:kern w:val="0"/>
                <w:szCs w:val="21"/>
              </w:rPr>
            </w:pPr>
            <w:r>
              <w:rPr>
                <w:rFonts w:ascii="宋体" w:hAnsi="宋体"/>
                <w:kern w:val="0"/>
                <w:szCs w:val="21"/>
              </w:rPr>
              <w:t>15</w:t>
            </w:r>
          </w:p>
        </w:tc>
        <w:tc>
          <w:tcPr>
            <w:tcW w:w="1249" w:type="pct"/>
            <w:vAlign w:val="center"/>
          </w:tcPr>
          <w:p w14:paraId="7157268C">
            <w:pPr>
              <w:pStyle w:val="23"/>
              <w:jc w:val="center"/>
              <w:rPr>
                <w:rFonts w:ascii="宋体" w:hAnsi="宋体"/>
                <w:kern w:val="0"/>
                <w:szCs w:val="21"/>
              </w:rPr>
            </w:pPr>
            <w:r>
              <w:rPr>
                <w:rFonts w:ascii="宋体" w:hAnsi="宋体"/>
                <w:kern w:val="0"/>
                <w:szCs w:val="21"/>
              </w:rPr>
              <w:t>5786</w:t>
            </w:r>
          </w:p>
        </w:tc>
        <w:tc>
          <w:tcPr>
            <w:tcW w:w="1251" w:type="pct"/>
            <w:vAlign w:val="center"/>
          </w:tcPr>
          <w:p w14:paraId="74E21005">
            <w:pPr>
              <w:pStyle w:val="23"/>
              <w:jc w:val="center"/>
              <w:rPr>
                <w:rFonts w:ascii="宋体" w:hAnsi="宋体"/>
                <w:kern w:val="0"/>
                <w:szCs w:val="21"/>
              </w:rPr>
            </w:pPr>
            <w:r>
              <w:rPr>
                <w:rFonts w:ascii="宋体" w:hAnsi="宋体"/>
                <w:kern w:val="0"/>
                <w:szCs w:val="21"/>
              </w:rPr>
              <w:t>4879</w:t>
            </w:r>
          </w:p>
        </w:tc>
      </w:tr>
      <w:tr w14:paraId="3FC2A78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249" w:type="pct"/>
            <w:vAlign w:val="center"/>
          </w:tcPr>
          <w:p w14:paraId="55F4C4C7">
            <w:pPr>
              <w:pStyle w:val="23"/>
              <w:rPr>
                <w:rFonts w:ascii="宋体" w:hAnsi="宋体"/>
                <w:kern w:val="0"/>
                <w:szCs w:val="21"/>
              </w:rPr>
            </w:pPr>
            <w:r>
              <w:rPr>
                <w:rFonts w:ascii="宋体" w:hAnsi="宋体"/>
                <w:kern w:val="0"/>
                <w:szCs w:val="21"/>
              </w:rPr>
              <w:t>九年一贯制学校</w:t>
            </w:r>
          </w:p>
        </w:tc>
        <w:tc>
          <w:tcPr>
            <w:tcW w:w="1251" w:type="pct"/>
            <w:vAlign w:val="center"/>
          </w:tcPr>
          <w:p w14:paraId="4251AF0B">
            <w:pPr>
              <w:pStyle w:val="23"/>
              <w:jc w:val="center"/>
              <w:rPr>
                <w:rFonts w:ascii="宋体" w:hAnsi="宋体"/>
                <w:kern w:val="0"/>
                <w:szCs w:val="21"/>
              </w:rPr>
            </w:pPr>
            <w:r>
              <w:rPr>
                <w:rFonts w:ascii="宋体" w:hAnsi="宋体"/>
                <w:kern w:val="0"/>
                <w:szCs w:val="21"/>
              </w:rPr>
              <w:t>2</w:t>
            </w:r>
          </w:p>
        </w:tc>
        <w:tc>
          <w:tcPr>
            <w:tcW w:w="1249" w:type="pct"/>
            <w:vAlign w:val="center"/>
          </w:tcPr>
          <w:p w14:paraId="1FD58500">
            <w:pPr>
              <w:pStyle w:val="23"/>
              <w:jc w:val="center"/>
              <w:rPr>
                <w:rFonts w:ascii="宋体" w:hAnsi="宋体"/>
                <w:kern w:val="0"/>
                <w:szCs w:val="21"/>
              </w:rPr>
            </w:pPr>
            <w:r>
              <w:rPr>
                <w:rFonts w:ascii="宋体" w:hAnsi="宋体"/>
                <w:kern w:val="0"/>
                <w:szCs w:val="21"/>
              </w:rPr>
              <w:t>214</w:t>
            </w:r>
          </w:p>
        </w:tc>
        <w:tc>
          <w:tcPr>
            <w:tcW w:w="1251" w:type="pct"/>
            <w:vAlign w:val="center"/>
          </w:tcPr>
          <w:p w14:paraId="468ADE17">
            <w:pPr>
              <w:pStyle w:val="23"/>
              <w:jc w:val="center"/>
              <w:rPr>
                <w:rFonts w:ascii="宋体" w:hAnsi="宋体"/>
                <w:kern w:val="0"/>
                <w:szCs w:val="21"/>
              </w:rPr>
            </w:pPr>
            <w:r>
              <w:rPr>
                <w:rFonts w:ascii="宋体" w:hAnsi="宋体"/>
                <w:kern w:val="0"/>
                <w:szCs w:val="21"/>
              </w:rPr>
              <w:t>77</w:t>
            </w:r>
          </w:p>
        </w:tc>
      </w:tr>
      <w:tr w14:paraId="6C1911B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249" w:type="pct"/>
            <w:vAlign w:val="center"/>
          </w:tcPr>
          <w:p w14:paraId="5BD9B1BC">
            <w:pPr>
              <w:pStyle w:val="23"/>
              <w:rPr>
                <w:rFonts w:ascii="宋体" w:hAnsi="宋体"/>
                <w:kern w:val="0"/>
                <w:szCs w:val="21"/>
              </w:rPr>
            </w:pPr>
            <w:r>
              <w:rPr>
                <w:rFonts w:ascii="宋体" w:hAnsi="宋体"/>
                <w:kern w:val="0"/>
                <w:szCs w:val="21"/>
              </w:rPr>
              <w:t>2、小学</w:t>
            </w:r>
          </w:p>
        </w:tc>
        <w:tc>
          <w:tcPr>
            <w:tcW w:w="1251" w:type="pct"/>
            <w:vAlign w:val="center"/>
          </w:tcPr>
          <w:p w14:paraId="3B337340">
            <w:pPr>
              <w:pStyle w:val="23"/>
              <w:jc w:val="center"/>
              <w:rPr>
                <w:rFonts w:ascii="宋体" w:hAnsi="宋体"/>
                <w:kern w:val="0"/>
                <w:szCs w:val="21"/>
              </w:rPr>
            </w:pPr>
            <w:r>
              <w:rPr>
                <w:rFonts w:ascii="宋体" w:hAnsi="宋体"/>
                <w:kern w:val="0"/>
                <w:szCs w:val="21"/>
              </w:rPr>
              <w:t>45</w:t>
            </w:r>
          </w:p>
        </w:tc>
        <w:tc>
          <w:tcPr>
            <w:tcW w:w="1249" w:type="pct"/>
            <w:vAlign w:val="center"/>
          </w:tcPr>
          <w:p w14:paraId="3AF5EFC1">
            <w:pPr>
              <w:pStyle w:val="23"/>
              <w:jc w:val="center"/>
              <w:rPr>
                <w:rFonts w:ascii="宋体" w:hAnsi="宋体"/>
                <w:kern w:val="0"/>
                <w:szCs w:val="21"/>
              </w:rPr>
            </w:pPr>
            <w:r>
              <w:rPr>
                <w:rFonts w:ascii="宋体" w:hAnsi="宋体"/>
                <w:kern w:val="0"/>
                <w:szCs w:val="21"/>
              </w:rPr>
              <w:t>5378</w:t>
            </w:r>
          </w:p>
        </w:tc>
        <w:tc>
          <w:tcPr>
            <w:tcW w:w="1251" w:type="pct"/>
            <w:vAlign w:val="center"/>
          </w:tcPr>
          <w:p w14:paraId="02CEB196">
            <w:pPr>
              <w:pStyle w:val="23"/>
              <w:jc w:val="center"/>
              <w:rPr>
                <w:rFonts w:ascii="宋体" w:hAnsi="宋体"/>
                <w:kern w:val="0"/>
                <w:szCs w:val="21"/>
              </w:rPr>
            </w:pPr>
            <w:r>
              <w:rPr>
                <w:rFonts w:ascii="宋体" w:hAnsi="宋体"/>
                <w:kern w:val="0"/>
                <w:szCs w:val="21"/>
              </w:rPr>
              <w:t>5005</w:t>
            </w:r>
          </w:p>
        </w:tc>
      </w:tr>
      <w:tr w14:paraId="5FC395A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249" w:type="pct"/>
            <w:vAlign w:val="center"/>
          </w:tcPr>
          <w:p w14:paraId="6B1A7C24">
            <w:pPr>
              <w:pStyle w:val="23"/>
              <w:rPr>
                <w:rFonts w:ascii="宋体" w:hAnsi="宋体"/>
                <w:kern w:val="0"/>
                <w:szCs w:val="21"/>
              </w:rPr>
            </w:pPr>
            <w:r>
              <w:rPr>
                <w:rFonts w:ascii="宋体" w:hAnsi="宋体"/>
                <w:kern w:val="0"/>
                <w:szCs w:val="21"/>
              </w:rPr>
              <w:t>3、幼儿园</w:t>
            </w:r>
          </w:p>
        </w:tc>
        <w:tc>
          <w:tcPr>
            <w:tcW w:w="1251" w:type="pct"/>
            <w:vAlign w:val="center"/>
          </w:tcPr>
          <w:p w14:paraId="6E0428B7">
            <w:pPr>
              <w:pStyle w:val="23"/>
              <w:jc w:val="center"/>
              <w:rPr>
                <w:rFonts w:ascii="宋体" w:hAnsi="宋体"/>
                <w:kern w:val="0"/>
                <w:szCs w:val="21"/>
              </w:rPr>
            </w:pPr>
            <w:r>
              <w:rPr>
                <w:rFonts w:ascii="宋体" w:hAnsi="宋体"/>
                <w:kern w:val="0"/>
                <w:szCs w:val="21"/>
              </w:rPr>
              <w:t>44</w:t>
            </w:r>
          </w:p>
        </w:tc>
        <w:tc>
          <w:tcPr>
            <w:tcW w:w="1249" w:type="pct"/>
            <w:vAlign w:val="center"/>
          </w:tcPr>
          <w:p w14:paraId="7A2D0634">
            <w:pPr>
              <w:pStyle w:val="23"/>
              <w:jc w:val="center"/>
              <w:rPr>
                <w:rFonts w:ascii="宋体" w:hAnsi="宋体"/>
                <w:kern w:val="0"/>
                <w:szCs w:val="21"/>
              </w:rPr>
            </w:pPr>
            <w:r>
              <w:rPr>
                <w:rFonts w:ascii="宋体" w:hAnsi="宋体"/>
                <w:kern w:val="0"/>
                <w:szCs w:val="21"/>
              </w:rPr>
              <w:t>3350</w:t>
            </w:r>
          </w:p>
        </w:tc>
        <w:tc>
          <w:tcPr>
            <w:tcW w:w="1251" w:type="pct"/>
            <w:vAlign w:val="center"/>
          </w:tcPr>
          <w:p w14:paraId="275307AA">
            <w:pPr>
              <w:pStyle w:val="23"/>
              <w:jc w:val="center"/>
              <w:rPr>
                <w:rFonts w:ascii="宋体" w:hAnsi="宋体"/>
                <w:kern w:val="0"/>
                <w:szCs w:val="21"/>
              </w:rPr>
            </w:pPr>
            <w:r>
              <w:rPr>
                <w:rFonts w:ascii="宋体" w:hAnsi="宋体"/>
                <w:kern w:val="0"/>
                <w:szCs w:val="21"/>
              </w:rPr>
              <w:t>6838</w:t>
            </w:r>
          </w:p>
        </w:tc>
      </w:tr>
    </w:tbl>
    <w:p w14:paraId="532F9873">
      <w:pPr>
        <w:ind w:firstLine="0" w:firstLineChars="0"/>
        <w:jc w:val="center"/>
        <w:rPr>
          <w:rFonts w:ascii="宋体" w:hAnsi="宋体"/>
          <w:b/>
          <w:szCs w:val="21"/>
        </w:rPr>
      </w:pPr>
      <w:r>
        <w:rPr>
          <w:rFonts w:hint="eastAsia" w:ascii="宋体" w:hAnsi="宋体"/>
          <w:b/>
          <w:szCs w:val="21"/>
        </w:rPr>
        <w:t>表89 成人教育、大中专院校录取情况</w:t>
      </w:r>
    </w:p>
    <w:tbl>
      <w:tblPr>
        <w:tblStyle w:val="14"/>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30" w:type="dxa"/>
          <w:bottom w:w="0" w:type="dxa"/>
          <w:right w:w="30" w:type="dxa"/>
        </w:tblCellMar>
      </w:tblPr>
      <w:tblGrid>
        <w:gridCol w:w="2450"/>
        <w:gridCol w:w="2453"/>
        <w:gridCol w:w="2450"/>
        <w:gridCol w:w="2453"/>
      </w:tblGrid>
      <w:tr w14:paraId="7DDEE98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249" w:type="pct"/>
            <w:vAlign w:val="center"/>
          </w:tcPr>
          <w:p w14:paraId="596BBAD2">
            <w:pPr>
              <w:pStyle w:val="23"/>
              <w:jc w:val="center"/>
              <w:rPr>
                <w:rFonts w:ascii="宋体" w:hAnsi="宋体"/>
                <w:b/>
                <w:kern w:val="0"/>
                <w:szCs w:val="21"/>
              </w:rPr>
            </w:pPr>
            <w:r>
              <w:rPr>
                <w:rFonts w:ascii="宋体" w:hAnsi="宋体"/>
                <w:b/>
                <w:kern w:val="0"/>
                <w:szCs w:val="21"/>
              </w:rPr>
              <w:t>指标名称</w:t>
            </w:r>
          </w:p>
        </w:tc>
        <w:tc>
          <w:tcPr>
            <w:tcW w:w="1251" w:type="pct"/>
            <w:vAlign w:val="center"/>
          </w:tcPr>
          <w:p w14:paraId="7B388A10">
            <w:pPr>
              <w:pStyle w:val="23"/>
              <w:jc w:val="center"/>
              <w:rPr>
                <w:rFonts w:ascii="宋体" w:hAnsi="宋体"/>
                <w:b/>
                <w:kern w:val="0"/>
                <w:szCs w:val="21"/>
              </w:rPr>
            </w:pPr>
            <w:r>
              <w:rPr>
                <w:rFonts w:ascii="宋体" w:hAnsi="宋体"/>
                <w:b/>
                <w:kern w:val="0"/>
                <w:szCs w:val="21"/>
              </w:rPr>
              <w:t>计算单位</w:t>
            </w:r>
          </w:p>
        </w:tc>
        <w:tc>
          <w:tcPr>
            <w:tcW w:w="1249" w:type="pct"/>
            <w:vAlign w:val="center"/>
          </w:tcPr>
          <w:p w14:paraId="4E7CBCCB">
            <w:pPr>
              <w:pStyle w:val="23"/>
              <w:jc w:val="center"/>
              <w:rPr>
                <w:rFonts w:ascii="宋体" w:hAnsi="宋体"/>
                <w:b/>
                <w:kern w:val="0"/>
                <w:szCs w:val="21"/>
              </w:rPr>
            </w:pPr>
            <w:r>
              <w:rPr>
                <w:rFonts w:ascii="宋体" w:hAnsi="宋体"/>
                <w:b/>
                <w:kern w:val="0"/>
                <w:szCs w:val="21"/>
              </w:rPr>
              <w:t>2011年</w:t>
            </w:r>
          </w:p>
        </w:tc>
        <w:tc>
          <w:tcPr>
            <w:tcW w:w="1251" w:type="pct"/>
            <w:vAlign w:val="center"/>
          </w:tcPr>
          <w:p w14:paraId="7FB4FAB3">
            <w:pPr>
              <w:pStyle w:val="23"/>
              <w:jc w:val="center"/>
              <w:rPr>
                <w:rFonts w:ascii="宋体" w:hAnsi="宋体"/>
                <w:b/>
                <w:kern w:val="0"/>
                <w:szCs w:val="21"/>
              </w:rPr>
            </w:pPr>
            <w:r>
              <w:rPr>
                <w:rFonts w:ascii="宋体" w:hAnsi="宋体"/>
                <w:b/>
                <w:kern w:val="0"/>
                <w:szCs w:val="21"/>
              </w:rPr>
              <w:t>比上年±%</w:t>
            </w:r>
          </w:p>
        </w:tc>
      </w:tr>
      <w:tr w14:paraId="4083B78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249" w:type="pct"/>
            <w:vAlign w:val="center"/>
          </w:tcPr>
          <w:p w14:paraId="3208A5BB">
            <w:pPr>
              <w:pStyle w:val="23"/>
              <w:rPr>
                <w:rFonts w:ascii="宋体" w:hAnsi="宋体"/>
                <w:kern w:val="0"/>
                <w:szCs w:val="21"/>
              </w:rPr>
            </w:pPr>
            <w:r>
              <w:rPr>
                <w:rFonts w:ascii="宋体" w:hAnsi="宋体"/>
                <w:kern w:val="0"/>
                <w:szCs w:val="21"/>
              </w:rPr>
              <w:t>年末在校学生</w:t>
            </w:r>
          </w:p>
        </w:tc>
        <w:tc>
          <w:tcPr>
            <w:tcW w:w="1251" w:type="pct"/>
            <w:vAlign w:val="center"/>
          </w:tcPr>
          <w:p w14:paraId="1F55E0FC">
            <w:pPr>
              <w:pStyle w:val="23"/>
              <w:jc w:val="center"/>
              <w:rPr>
                <w:rFonts w:ascii="宋体" w:hAnsi="宋体"/>
                <w:kern w:val="0"/>
                <w:szCs w:val="21"/>
              </w:rPr>
            </w:pPr>
            <w:r>
              <w:rPr>
                <w:rFonts w:ascii="宋体" w:hAnsi="宋体"/>
                <w:kern w:val="0"/>
                <w:szCs w:val="21"/>
              </w:rPr>
              <w:t>人</w:t>
            </w:r>
          </w:p>
        </w:tc>
        <w:tc>
          <w:tcPr>
            <w:tcW w:w="1249" w:type="pct"/>
            <w:vAlign w:val="center"/>
          </w:tcPr>
          <w:p w14:paraId="1CE998B5">
            <w:pPr>
              <w:pStyle w:val="23"/>
              <w:jc w:val="center"/>
              <w:rPr>
                <w:rFonts w:ascii="宋体" w:hAnsi="宋体"/>
                <w:kern w:val="0"/>
                <w:szCs w:val="21"/>
              </w:rPr>
            </w:pPr>
            <w:r>
              <w:rPr>
                <w:rFonts w:ascii="宋体" w:hAnsi="宋体"/>
                <w:kern w:val="0"/>
                <w:szCs w:val="21"/>
              </w:rPr>
              <w:t>1170</w:t>
            </w:r>
          </w:p>
        </w:tc>
        <w:tc>
          <w:tcPr>
            <w:tcW w:w="1251" w:type="pct"/>
            <w:vAlign w:val="center"/>
          </w:tcPr>
          <w:p w14:paraId="3647BDA1">
            <w:pPr>
              <w:pStyle w:val="23"/>
              <w:jc w:val="center"/>
              <w:rPr>
                <w:rFonts w:ascii="宋体" w:hAnsi="宋体"/>
                <w:kern w:val="0"/>
                <w:szCs w:val="21"/>
              </w:rPr>
            </w:pPr>
            <w:r>
              <w:rPr>
                <w:rFonts w:ascii="宋体" w:hAnsi="宋体"/>
                <w:kern w:val="0"/>
                <w:szCs w:val="21"/>
              </w:rPr>
              <w:t>24.9</w:t>
            </w:r>
          </w:p>
        </w:tc>
      </w:tr>
      <w:tr w14:paraId="4A6A740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249" w:type="pct"/>
            <w:vAlign w:val="center"/>
          </w:tcPr>
          <w:p w14:paraId="1C1958DE">
            <w:pPr>
              <w:pStyle w:val="23"/>
              <w:rPr>
                <w:rFonts w:ascii="宋体" w:hAnsi="宋体"/>
                <w:kern w:val="0"/>
                <w:szCs w:val="21"/>
              </w:rPr>
            </w:pPr>
            <w:r>
              <w:rPr>
                <w:rFonts w:ascii="宋体" w:hAnsi="宋体"/>
                <w:kern w:val="0"/>
                <w:szCs w:val="21"/>
              </w:rPr>
              <w:t>当年毕业人数</w:t>
            </w:r>
          </w:p>
        </w:tc>
        <w:tc>
          <w:tcPr>
            <w:tcW w:w="1251" w:type="pct"/>
            <w:vAlign w:val="center"/>
          </w:tcPr>
          <w:p w14:paraId="72DFD07C">
            <w:pPr>
              <w:pStyle w:val="23"/>
              <w:jc w:val="center"/>
              <w:rPr>
                <w:rFonts w:ascii="宋体" w:hAnsi="宋体"/>
                <w:kern w:val="0"/>
                <w:szCs w:val="21"/>
              </w:rPr>
            </w:pPr>
            <w:r>
              <w:rPr>
                <w:rFonts w:ascii="宋体" w:hAnsi="宋体"/>
                <w:kern w:val="0"/>
                <w:szCs w:val="21"/>
              </w:rPr>
              <w:t>人</w:t>
            </w:r>
          </w:p>
        </w:tc>
        <w:tc>
          <w:tcPr>
            <w:tcW w:w="1249" w:type="pct"/>
            <w:vAlign w:val="center"/>
          </w:tcPr>
          <w:p w14:paraId="6D8D5037">
            <w:pPr>
              <w:pStyle w:val="23"/>
              <w:jc w:val="center"/>
              <w:rPr>
                <w:rFonts w:ascii="宋体" w:hAnsi="宋体"/>
                <w:kern w:val="0"/>
                <w:szCs w:val="21"/>
              </w:rPr>
            </w:pPr>
            <w:r>
              <w:rPr>
                <w:rFonts w:ascii="宋体" w:hAnsi="宋体"/>
                <w:kern w:val="0"/>
                <w:szCs w:val="21"/>
              </w:rPr>
              <w:t>121</w:t>
            </w:r>
          </w:p>
        </w:tc>
        <w:tc>
          <w:tcPr>
            <w:tcW w:w="1251" w:type="pct"/>
            <w:vAlign w:val="center"/>
          </w:tcPr>
          <w:p w14:paraId="2FBE9C23">
            <w:pPr>
              <w:pStyle w:val="23"/>
              <w:jc w:val="center"/>
              <w:rPr>
                <w:rFonts w:ascii="宋体" w:hAnsi="宋体"/>
                <w:kern w:val="0"/>
                <w:szCs w:val="21"/>
              </w:rPr>
            </w:pPr>
            <w:r>
              <w:rPr>
                <w:rFonts w:ascii="宋体" w:hAnsi="宋体"/>
                <w:kern w:val="0"/>
                <w:szCs w:val="21"/>
              </w:rPr>
              <w:t>-8.3</w:t>
            </w:r>
          </w:p>
        </w:tc>
      </w:tr>
      <w:tr w14:paraId="7547081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249" w:type="pct"/>
            <w:vAlign w:val="center"/>
          </w:tcPr>
          <w:p w14:paraId="23E7994D">
            <w:pPr>
              <w:pStyle w:val="23"/>
              <w:rPr>
                <w:rFonts w:ascii="宋体" w:hAnsi="宋体"/>
                <w:kern w:val="0"/>
                <w:szCs w:val="21"/>
              </w:rPr>
            </w:pPr>
            <w:r>
              <w:rPr>
                <w:rFonts w:ascii="宋体" w:hAnsi="宋体"/>
                <w:kern w:val="0"/>
                <w:szCs w:val="21"/>
              </w:rPr>
              <w:t>当年新生招生人数</w:t>
            </w:r>
          </w:p>
        </w:tc>
        <w:tc>
          <w:tcPr>
            <w:tcW w:w="1251" w:type="pct"/>
            <w:vAlign w:val="center"/>
          </w:tcPr>
          <w:p w14:paraId="630000A7">
            <w:pPr>
              <w:pStyle w:val="23"/>
              <w:jc w:val="center"/>
              <w:rPr>
                <w:rFonts w:ascii="宋体" w:hAnsi="宋体"/>
                <w:kern w:val="0"/>
                <w:szCs w:val="21"/>
              </w:rPr>
            </w:pPr>
            <w:r>
              <w:rPr>
                <w:rFonts w:ascii="宋体" w:hAnsi="宋体"/>
                <w:kern w:val="0"/>
                <w:szCs w:val="21"/>
              </w:rPr>
              <w:t>人</w:t>
            </w:r>
          </w:p>
        </w:tc>
        <w:tc>
          <w:tcPr>
            <w:tcW w:w="1249" w:type="pct"/>
            <w:vAlign w:val="center"/>
          </w:tcPr>
          <w:p w14:paraId="66729CC5">
            <w:pPr>
              <w:pStyle w:val="23"/>
              <w:jc w:val="center"/>
              <w:rPr>
                <w:rFonts w:ascii="宋体" w:hAnsi="宋体"/>
                <w:kern w:val="0"/>
                <w:szCs w:val="21"/>
              </w:rPr>
            </w:pPr>
            <w:r>
              <w:rPr>
                <w:rFonts w:ascii="宋体" w:hAnsi="宋体"/>
                <w:kern w:val="0"/>
                <w:szCs w:val="21"/>
              </w:rPr>
              <w:t>386</w:t>
            </w:r>
          </w:p>
        </w:tc>
        <w:tc>
          <w:tcPr>
            <w:tcW w:w="1251" w:type="pct"/>
            <w:vAlign w:val="center"/>
          </w:tcPr>
          <w:p w14:paraId="4B823DC8">
            <w:pPr>
              <w:pStyle w:val="23"/>
              <w:jc w:val="center"/>
              <w:rPr>
                <w:rFonts w:ascii="宋体" w:hAnsi="宋体"/>
                <w:kern w:val="0"/>
                <w:szCs w:val="21"/>
              </w:rPr>
            </w:pPr>
            <w:r>
              <w:rPr>
                <w:rFonts w:ascii="宋体" w:hAnsi="宋体"/>
                <w:kern w:val="0"/>
                <w:szCs w:val="21"/>
              </w:rPr>
              <w:t>57.6</w:t>
            </w:r>
          </w:p>
        </w:tc>
      </w:tr>
      <w:tr w14:paraId="3EBD255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249" w:type="pct"/>
            <w:vAlign w:val="center"/>
          </w:tcPr>
          <w:p w14:paraId="425B118B">
            <w:pPr>
              <w:pStyle w:val="23"/>
              <w:rPr>
                <w:rFonts w:ascii="宋体" w:hAnsi="宋体"/>
                <w:kern w:val="0"/>
                <w:szCs w:val="21"/>
              </w:rPr>
            </w:pPr>
            <w:r>
              <w:rPr>
                <w:rFonts w:ascii="宋体" w:hAnsi="宋体"/>
                <w:kern w:val="0"/>
                <w:szCs w:val="21"/>
              </w:rPr>
              <w:t>普通中学高考录取</w:t>
            </w:r>
          </w:p>
        </w:tc>
        <w:tc>
          <w:tcPr>
            <w:tcW w:w="1251" w:type="pct"/>
            <w:vAlign w:val="center"/>
          </w:tcPr>
          <w:p w14:paraId="29F47FB7">
            <w:pPr>
              <w:pStyle w:val="23"/>
              <w:jc w:val="center"/>
              <w:rPr>
                <w:rFonts w:ascii="宋体" w:hAnsi="宋体"/>
                <w:kern w:val="0"/>
                <w:szCs w:val="21"/>
              </w:rPr>
            </w:pPr>
            <w:r>
              <w:rPr>
                <w:rFonts w:ascii="宋体" w:hAnsi="宋体"/>
                <w:kern w:val="0"/>
                <w:szCs w:val="21"/>
              </w:rPr>
              <w:t>人</w:t>
            </w:r>
          </w:p>
        </w:tc>
        <w:tc>
          <w:tcPr>
            <w:tcW w:w="1249" w:type="pct"/>
            <w:vAlign w:val="center"/>
          </w:tcPr>
          <w:p w14:paraId="6C6CC9E4">
            <w:pPr>
              <w:pStyle w:val="23"/>
              <w:jc w:val="center"/>
              <w:rPr>
                <w:rFonts w:ascii="宋体" w:hAnsi="宋体"/>
                <w:kern w:val="0"/>
                <w:szCs w:val="21"/>
              </w:rPr>
            </w:pPr>
            <w:r>
              <w:rPr>
                <w:rFonts w:ascii="宋体" w:hAnsi="宋体"/>
                <w:kern w:val="0"/>
                <w:szCs w:val="21"/>
              </w:rPr>
              <w:t>2914</w:t>
            </w:r>
          </w:p>
        </w:tc>
        <w:tc>
          <w:tcPr>
            <w:tcW w:w="1251" w:type="pct"/>
            <w:vAlign w:val="center"/>
          </w:tcPr>
          <w:p w14:paraId="1E643F35">
            <w:pPr>
              <w:pStyle w:val="23"/>
              <w:jc w:val="center"/>
              <w:rPr>
                <w:rFonts w:ascii="宋体" w:hAnsi="宋体"/>
                <w:kern w:val="0"/>
                <w:szCs w:val="21"/>
              </w:rPr>
            </w:pPr>
            <w:r>
              <w:rPr>
                <w:rFonts w:ascii="宋体" w:hAnsi="宋体"/>
                <w:kern w:val="0"/>
                <w:szCs w:val="21"/>
              </w:rPr>
              <w:t>5.3</w:t>
            </w:r>
          </w:p>
        </w:tc>
      </w:tr>
      <w:tr w14:paraId="7F45931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249" w:type="pct"/>
            <w:vAlign w:val="center"/>
          </w:tcPr>
          <w:p w14:paraId="3BADD3ED">
            <w:pPr>
              <w:pStyle w:val="23"/>
              <w:rPr>
                <w:rFonts w:ascii="宋体" w:hAnsi="宋体"/>
                <w:kern w:val="0"/>
                <w:szCs w:val="21"/>
              </w:rPr>
            </w:pPr>
            <w:r>
              <w:rPr>
                <w:rFonts w:ascii="宋体" w:hAnsi="宋体"/>
                <w:kern w:val="0"/>
                <w:szCs w:val="21"/>
              </w:rPr>
              <w:t>其中</w:t>
            </w:r>
            <w:r>
              <w:rPr>
                <w:rFonts w:hint="eastAsia" w:ascii="宋体" w:hAnsi="宋体"/>
                <w:kern w:val="0"/>
                <w:szCs w:val="21"/>
              </w:rPr>
              <w:t>：</w:t>
            </w:r>
            <w:r>
              <w:rPr>
                <w:rFonts w:ascii="宋体" w:hAnsi="宋体"/>
                <w:kern w:val="0"/>
                <w:szCs w:val="21"/>
              </w:rPr>
              <w:t>本科</w:t>
            </w:r>
          </w:p>
        </w:tc>
        <w:tc>
          <w:tcPr>
            <w:tcW w:w="1251" w:type="pct"/>
            <w:vAlign w:val="center"/>
          </w:tcPr>
          <w:p w14:paraId="639351C9">
            <w:pPr>
              <w:pStyle w:val="23"/>
              <w:jc w:val="center"/>
              <w:rPr>
                <w:rFonts w:ascii="宋体" w:hAnsi="宋体"/>
                <w:kern w:val="0"/>
                <w:szCs w:val="21"/>
              </w:rPr>
            </w:pPr>
            <w:r>
              <w:rPr>
                <w:rFonts w:ascii="宋体" w:hAnsi="宋体"/>
                <w:kern w:val="0"/>
                <w:szCs w:val="21"/>
              </w:rPr>
              <w:t>人</w:t>
            </w:r>
          </w:p>
        </w:tc>
        <w:tc>
          <w:tcPr>
            <w:tcW w:w="1249" w:type="pct"/>
            <w:vAlign w:val="center"/>
          </w:tcPr>
          <w:p w14:paraId="1653B8A8">
            <w:pPr>
              <w:pStyle w:val="23"/>
              <w:jc w:val="center"/>
              <w:rPr>
                <w:rFonts w:ascii="宋体" w:hAnsi="宋体"/>
                <w:kern w:val="0"/>
                <w:szCs w:val="21"/>
              </w:rPr>
            </w:pPr>
            <w:r>
              <w:rPr>
                <w:rFonts w:ascii="宋体" w:hAnsi="宋体"/>
                <w:kern w:val="0"/>
                <w:szCs w:val="21"/>
              </w:rPr>
              <w:t>939</w:t>
            </w:r>
          </w:p>
        </w:tc>
        <w:tc>
          <w:tcPr>
            <w:tcW w:w="1251" w:type="pct"/>
            <w:vAlign w:val="center"/>
          </w:tcPr>
          <w:p w14:paraId="1FCC3829">
            <w:pPr>
              <w:pStyle w:val="23"/>
              <w:jc w:val="center"/>
              <w:rPr>
                <w:rFonts w:ascii="宋体" w:hAnsi="宋体"/>
                <w:kern w:val="0"/>
                <w:szCs w:val="21"/>
              </w:rPr>
            </w:pPr>
            <w:r>
              <w:rPr>
                <w:rFonts w:ascii="宋体" w:hAnsi="宋体"/>
                <w:kern w:val="0"/>
                <w:szCs w:val="21"/>
              </w:rPr>
              <w:t>2.3</w:t>
            </w:r>
          </w:p>
        </w:tc>
      </w:tr>
      <w:tr w14:paraId="25AFD4C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249" w:type="pct"/>
            <w:vAlign w:val="center"/>
          </w:tcPr>
          <w:p w14:paraId="6B777D9C">
            <w:pPr>
              <w:pStyle w:val="23"/>
              <w:ind w:firstLine="630" w:firstLineChars="300"/>
              <w:rPr>
                <w:rFonts w:ascii="宋体" w:hAnsi="宋体"/>
                <w:kern w:val="0"/>
                <w:szCs w:val="21"/>
              </w:rPr>
            </w:pPr>
            <w:r>
              <w:rPr>
                <w:rFonts w:ascii="宋体" w:hAnsi="宋体"/>
                <w:kern w:val="0"/>
                <w:szCs w:val="21"/>
              </w:rPr>
              <w:t>专科</w:t>
            </w:r>
          </w:p>
        </w:tc>
        <w:tc>
          <w:tcPr>
            <w:tcW w:w="1251" w:type="pct"/>
            <w:vAlign w:val="center"/>
          </w:tcPr>
          <w:p w14:paraId="150C79DD">
            <w:pPr>
              <w:pStyle w:val="23"/>
              <w:jc w:val="center"/>
              <w:rPr>
                <w:rFonts w:ascii="宋体" w:hAnsi="宋体"/>
                <w:kern w:val="0"/>
                <w:szCs w:val="21"/>
              </w:rPr>
            </w:pPr>
            <w:r>
              <w:rPr>
                <w:rFonts w:ascii="宋体" w:hAnsi="宋体"/>
                <w:kern w:val="0"/>
                <w:szCs w:val="21"/>
              </w:rPr>
              <w:t>人</w:t>
            </w:r>
          </w:p>
        </w:tc>
        <w:tc>
          <w:tcPr>
            <w:tcW w:w="1249" w:type="pct"/>
            <w:vAlign w:val="center"/>
          </w:tcPr>
          <w:p w14:paraId="3895A89C">
            <w:pPr>
              <w:pStyle w:val="23"/>
              <w:jc w:val="center"/>
              <w:rPr>
                <w:rFonts w:ascii="宋体" w:hAnsi="宋体"/>
                <w:kern w:val="0"/>
                <w:szCs w:val="21"/>
              </w:rPr>
            </w:pPr>
            <w:r>
              <w:rPr>
                <w:rFonts w:ascii="宋体" w:hAnsi="宋体"/>
                <w:kern w:val="0"/>
                <w:szCs w:val="21"/>
              </w:rPr>
              <w:t>1975</w:t>
            </w:r>
          </w:p>
        </w:tc>
        <w:tc>
          <w:tcPr>
            <w:tcW w:w="1251" w:type="pct"/>
            <w:vAlign w:val="center"/>
          </w:tcPr>
          <w:p w14:paraId="39ACBAA0">
            <w:pPr>
              <w:pStyle w:val="23"/>
              <w:jc w:val="center"/>
              <w:rPr>
                <w:rFonts w:ascii="宋体" w:hAnsi="宋体"/>
                <w:kern w:val="0"/>
                <w:szCs w:val="21"/>
              </w:rPr>
            </w:pPr>
            <w:r>
              <w:rPr>
                <w:rFonts w:ascii="宋体" w:hAnsi="宋体"/>
                <w:kern w:val="0"/>
                <w:szCs w:val="21"/>
              </w:rPr>
              <w:t>6.8</w:t>
            </w:r>
          </w:p>
        </w:tc>
      </w:tr>
    </w:tbl>
    <w:p w14:paraId="76337CC4">
      <w:pPr>
        <w:ind w:firstLine="0" w:firstLineChars="0"/>
        <w:jc w:val="center"/>
        <w:rPr>
          <w:rFonts w:ascii="宋体" w:hAnsi="宋体"/>
          <w:b/>
          <w:szCs w:val="21"/>
        </w:rPr>
      </w:pPr>
      <w:r>
        <w:rPr>
          <w:rFonts w:hint="eastAsia" w:ascii="宋体" w:hAnsi="宋体"/>
          <w:b/>
          <w:szCs w:val="21"/>
        </w:rPr>
        <w:t>表90 体育文化事业情况</w:t>
      </w:r>
    </w:p>
    <w:tbl>
      <w:tblPr>
        <w:tblStyle w:val="14"/>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30" w:type="dxa"/>
          <w:bottom w:w="0" w:type="dxa"/>
          <w:right w:w="30" w:type="dxa"/>
        </w:tblCellMar>
      </w:tblPr>
      <w:tblGrid>
        <w:gridCol w:w="3267"/>
        <w:gridCol w:w="3271"/>
        <w:gridCol w:w="3268"/>
      </w:tblGrid>
      <w:tr w14:paraId="3168E2E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666" w:type="pct"/>
            <w:vAlign w:val="center"/>
          </w:tcPr>
          <w:p w14:paraId="3EBDDC89">
            <w:pPr>
              <w:pStyle w:val="23"/>
              <w:jc w:val="center"/>
              <w:rPr>
                <w:rFonts w:ascii="宋体" w:hAnsi="宋体"/>
                <w:b/>
                <w:kern w:val="0"/>
                <w:szCs w:val="21"/>
              </w:rPr>
            </w:pPr>
            <w:r>
              <w:rPr>
                <w:rFonts w:ascii="宋体" w:hAnsi="宋体"/>
                <w:b/>
                <w:kern w:val="0"/>
                <w:szCs w:val="21"/>
              </w:rPr>
              <w:t>指标名称</w:t>
            </w:r>
          </w:p>
        </w:tc>
        <w:tc>
          <w:tcPr>
            <w:tcW w:w="1668" w:type="pct"/>
            <w:vAlign w:val="center"/>
          </w:tcPr>
          <w:p w14:paraId="08ED0F70">
            <w:pPr>
              <w:pStyle w:val="23"/>
              <w:jc w:val="center"/>
              <w:rPr>
                <w:rFonts w:ascii="宋体" w:hAnsi="宋体"/>
                <w:b/>
                <w:kern w:val="0"/>
                <w:szCs w:val="21"/>
              </w:rPr>
            </w:pPr>
            <w:r>
              <w:rPr>
                <w:rFonts w:ascii="宋体" w:hAnsi="宋体"/>
                <w:b/>
                <w:kern w:val="0"/>
                <w:szCs w:val="21"/>
              </w:rPr>
              <w:t>计算单位</w:t>
            </w:r>
          </w:p>
        </w:tc>
        <w:tc>
          <w:tcPr>
            <w:tcW w:w="1666" w:type="pct"/>
            <w:vAlign w:val="center"/>
          </w:tcPr>
          <w:p w14:paraId="3ACE002C">
            <w:pPr>
              <w:pStyle w:val="23"/>
              <w:jc w:val="center"/>
              <w:rPr>
                <w:rFonts w:ascii="宋体" w:hAnsi="宋体"/>
                <w:b/>
                <w:kern w:val="0"/>
                <w:szCs w:val="21"/>
              </w:rPr>
            </w:pPr>
            <w:r>
              <w:rPr>
                <w:rFonts w:ascii="宋体" w:hAnsi="宋体"/>
                <w:b/>
                <w:kern w:val="0"/>
                <w:szCs w:val="21"/>
              </w:rPr>
              <w:t>2011年</w:t>
            </w:r>
          </w:p>
        </w:tc>
      </w:tr>
      <w:tr w14:paraId="25261DD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666" w:type="pct"/>
            <w:vAlign w:val="center"/>
          </w:tcPr>
          <w:p w14:paraId="5FB20347">
            <w:pPr>
              <w:pStyle w:val="23"/>
              <w:rPr>
                <w:rFonts w:ascii="宋体" w:hAnsi="宋体"/>
                <w:kern w:val="0"/>
                <w:szCs w:val="21"/>
              </w:rPr>
            </w:pPr>
            <w:r>
              <w:rPr>
                <w:rFonts w:ascii="宋体" w:hAnsi="宋体"/>
                <w:kern w:val="0"/>
                <w:szCs w:val="21"/>
              </w:rPr>
              <w:t>体育场</w:t>
            </w:r>
          </w:p>
        </w:tc>
        <w:tc>
          <w:tcPr>
            <w:tcW w:w="1668" w:type="pct"/>
            <w:vAlign w:val="center"/>
          </w:tcPr>
          <w:p w14:paraId="2B562B9E">
            <w:pPr>
              <w:pStyle w:val="23"/>
              <w:jc w:val="center"/>
              <w:rPr>
                <w:rFonts w:ascii="宋体" w:hAnsi="宋体"/>
                <w:kern w:val="0"/>
                <w:szCs w:val="21"/>
              </w:rPr>
            </w:pPr>
            <w:r>
              <w:rPr>
                <w:rFonts w:ascii="宋体" w:hAnsi="宋体"/>
                <w:kern w:val="0"/>
                <w:szCs w:val="21"/>
              </w:rPr>
              <w:t>个</w:t>
            </w:r>
          </w:p>
        </w:tc>
        <w:tc>
          <w:tcPr>
            <w:tcW w:w="1666" w:type="pct"/>
            <w:vAlign w:val="center"/>
          </w:tcPr>
          <w:p w14:paraId="23E4EC3D">
            <w:pPr>
              <w:pStyle w:val="23"/>
              <w:jc w:val="center"/>
              <w:rPr>
                <w:rFonts w:ascii="宋体" w:hAnsi="宋体"/>
                <w:kern w:val="0"/>
                <w:szCs w:val="21"/>
              </w:rPr>
            </w:pPr>
            <w:r>
              <w:rPr>
                <w:rFonts w:ascii="宋体" w:hAnsi="宋体"/>
                <w:kern w:val="0"/>
                <w:szCs w:val="21"/>
              </w:rPr>
              <w:t>12</w:t>
            </w:r>
          </w:p>
        </w:tc>
      </w:tr>
      <w:tr w14:paraId="515820E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666" w:type="pct"/>
            <w:vAlign w:val="center"/>
          </w:tcPr>
          <w:p w14:paraId="79537D1F">
            <w:pPr>
              <w:pStyle w:val="23"/>
              <w:rPr>
                <w:rFonts w:ascii="宋体" w:hAnsi="宋体"/>
                <w:kern w:val="0"/>
                <w:szCs w:val="21"/>
              </w:rPr>
            </w:pPr>
            <w:r>
              <w:rPr>
                <w:rFonts w:ascii="宋体" w:hAnsi="宋体"/>
                <w:kern w:val="0"/>
                <w:szCs w:val="21"/>
              </w:rPr>
              <w:t>250米田径场</w:t>
            </w:r>
          </w:p>
        </w:tc>
        <w:tc>
          <w:tcPr>
            <w:tcW w:w="1668" w:type="pct"/>
            <w:vAlign w:val="center"/>
          </w:tcPr>
          <w:p w14:paraId="2253877E">
            <w:pPr>
              <w:pStyle w:val="23"/>
              <w:jc w:val="center"/>
              <w:rPr>
                <w:rFonts w:ascii="宋体" w:hAnsi="宋体"/>
                <w:kern w:val="0"/>
                <w:szCs w:val="21"/>
              </w:rPr>
            </w:pPr>
            <w:r>
              <w:rPr>
                <w:rFonts w:ascii="宋体" w:hAnsi="宋体"/>
                <w:kern w:val="0"/>
                <w:szCs w:val="21"/>
              </w:rPr>
              <w:t>个</w:t>
            </w:r>
          </w:p>
        </w:tc>
        <w:tc>
          <w:tcPr>
            <w:tcW w:w="1666" w:type="pct"/>
            <w:vAlign w:val="center"/>
          </w:tcPr>
          <w:p w14:paraId="73CE0E05">
            <w:pPr>
              <w:pStyle w:val="23"/>
              <w:jc w:val="center"/>
              <w:rPr>
                <w:rFonts w:ascii="宋体" w:hAnsi="宋体"/>
                <w:kern w:val="0"/>
                <w:szCs w:val="21"/>
              </w:rPr>
            </w:pPr>
            <w:r>
              <w:rPr>
                <w:rFonts w:ascii="宋体" w:hAnsi="宋体"/>
                <w:kern w:val="0"/>
                <w:szCs w:val="21"/>
              </w:rPr>
              <w:t>28</w:t>
            </w:r>
          </w:p>
        </w:tc>
      </w:tr>
      <w:tr w14:paraId="74A32EA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666" w:type="pct"/>
            <w:vAlign w:val="center"/>
          </w:tcPr>
          <w:p w14:paraId="138D6919">
            <w:pPr>
              <w:pStyle w:val="23"/>
              <w:rPr>
                <w:rFonts w:ascii="宋体" w:hAnsi="宋体"/>
                <w:kern w:val="0"/>
                <w:szCs w:val="21"/>
              </w:rPr>
            </w:pPr>
            <w:r>
              <w:rPr>
                <w:rFonts w:ascii="宋体" w:hAnsi="宋体"/>
                <w:kern w:val="0"/>
                <w:szCs w:val="21"/>
              </w:rPr>
              <w:t>全市各单位举办运动会数</w:t>
            </w:r>
          </w:p>
        </w:tc>
        <w:tc>
          <w:tcPr>
            <w:tcW w:w="1668" w:type="pct"/>
            <w:vAlign w:val="center"/>
          </w:tcPr>
          <w:p w14:paraId="79022BB6">
            <w:pPr>
              <w:pStyle w:val="23"/>
              <w:jc w:val="center"/>
              <w:rPr>
                <w:rFonts w:ascii="宋体" w:hAnsi="宋体"/>
                <w:kern w:val="0"/>
                <w:szCs w:val="21"/>
              </w:rPr>
            </w:pPr>
            <w:r>
              <w:rPr>
                <w:rFonts w:ascii="宋体" w:hAnsi="宋体"/>
                <w:kern w:val="0"/>
                <w:szCs w:val="21"/>
              </w:rPr>
              <w:t>次</w:t>
            </w:r>
          </w:p>
        </w:tc>
        <w:tc>
          <w:tcPr>
            <w:tcW w:w="1666" w:type="pct"/>
            <w:vAlign w:val="center"/>
          </w:tcPr>
          <w:p w14:paraId="1042CC2B">
            <w:pPr>
              <w:pStyle w:val="23"/>
              <w:jc w:val="center"/>
              <w:rPr>
                <w:rFonts w:ascii="宋体" w:hAnsi="宋体"/>
                <w:kern w:val="0"/>
                <w:szCs w:val="21"/>
              </w:rPr>
            </w:pPr>
            <w:r>
              <w:rPr>
                <w:rFonts w:ascii="宋体" w:hAnsi="宋体"/>
                <w:kern w:val="0"/>
                <w:szCs w:val="21"/>
              </w:rPr>
              <w:t>51</w:t>
            </w:r>
          </w:p>
        </w:tc>
      </w:tr>
      <w:tr w14:paraId="2FA2C99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666" w:type="pct"/>
            <w:vAlign w:val="center"/>
          </w:tcPr>
          <w:p w14:paraId="773F3E66">
            <w:pPr>
              <w:pStyle w:val="23"/>
              <w:rPr>
                <w:rFonts w:ascii="宋体" w:hAnsi="宋体"/>
                <w:kern w:val="0"/>
                <w:szCs w:val="21"/>
              </w:rPr>
            </w:pPr>
            <w:r>
              <w:rPr>
                <w:rFonts w:ascii="宋体" w:hAnsi="宋体"/>
                <w:kern w:val="0"/>
                <w:szCs w:val="21"/>
              </w:rPr>
              <w:t>参加运动比赛人数</w:t>
            </w:r>
          </w:p>
        </w:tc>
        <w:tc>
          <w:tcPr>
            <w:tcW w:w="1668" w:type="pct"/>
            <w:vAlign w:val="center"/>
          </w:tcPr>
          <w:p w14:paraId="566BDE21">
            <w:pPr>
              <w:pStyle w:val="23"/>
              <w:jc w:val="center"/>
              <w:rPr>
                <w:rFonts w:ascii="宋体" w:hAnsi="宋体"/>
                <w:kern w:val="0"/>
                <w:szCs w:val="21"/>
              </w:rPr>
            </w:pPr>
            <w:r>
              <w:rPr>
                <w:rFonts w:ascii="宋体" w:hAnsi="宋体"/>
                <w:kern w:val="0"/>
                <w:szCs w:val="21"/>
              </w:rPr>
              <w:t>人次</w:t>
            </w:r>
          </w:p>
        </w:tc>
        <w:tc>
          <w:tcPr>
            <w:tcW w:w="1666" w:type="pct"/>
            <w:vAlign w:val="center"/>
          </w:tcPr>
          <w:p w14:paraId="6C506CC2">
            <w:pPr>
              <w:pStyle w:val="23"/>
              <w:jc w:val="center"/>
              <w:rPr>
                <w:rFonts w:ascii="宋体" w:hAnsi="宋体"/>
                <w:kern w:val="0"/>
                <w:szCs w:val="21"/>
              </w:rPr>
            </w:pPr>
            <w:r>
              <w:rPr>
                <w:rFonts w:ascii="宋体" w:hAnsi="宋体"/>
                <w:kern w:val="0"/>
                <w:szCs w:val="21"/>
              </w:rPr>
              <w:t>34619</w:t>
            </w:r>
          </w:p>
        </w:tc>
      </w:tr>
      <w:tr w14:paraId="52B7D73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666" w:type="pct"/>
            <w:vAlign w:val="center"/>
          </w:tcPr>
          <w:p w14:paraId="670727EA">
            <w:pPr>
              <w:pStyle w:val="23"/>
              <w:rPr>
                <w:rFonts w:ascii="宋体" w:hAnsi="宋体"/>
                <w:kern w:val="0"/>
                <w:szCs w:val="21"/>
              </w:rPr>
            </w:pPr>
            <w:r>
              <w:rPr>
                <w:rFonts w:ascii="宋体" w:hAnsi="宋体"/>
                <w:kern w:val="0"/>
                <w:szCs w:val="21"/>
              </w:rPr>
              <w:t>参加地级市以上竞赛获奖牌数</w:t>
            </w:r>
          </w:p>
        </w:tc>
        <w:tc>
          <w:tcPr>
            <w:tcW w:w="1668" w:type="pct"/>
            <w:vAlign w:val="center"/>
          </w:tcPr>
          <w:p w14:paraId="1DBAD0B4">
            <w:pPr>
              <w:pStyle w:val="23"/>
              <w:jc w:val="center"/>
              <w:rPr>
                <w:rFonts w:ascii="宋体" w:hAnsi="宋体"/>
                <w:kern w:val="0"/>
                <w:szCs w:val="21"/>
              </w:rPr>
            </w:pPr>
            <w:r>
              <w:rPr>
                <w:rFonts w:ascii="宋体" w:hAnsi="宋体"/>
                <w:kern w:val="0"/>
                <w:szCs w:val="21"/>
              </w:rPr>
              <w:t>枚</w:t>
            </w:r>
          </w:p>
        </w:tc>
        <w:tc>
          <w:tcPr>
            <w:tcW w:w="1666" w:type="pct"/>
            <w:vAlign w:val="center"/>
          </w:tcPr>
          <w:p w14:paraId="677BE78C">
            <w:pPr>
              <w:pStyle w:val="23"/>
              <w:jc w:val="center"/>
              <w:rPr>
                <w:rFonts w:ascii="宋体" w:hAnsi="宋体"/>
                <w:kern w:val="0"/>
                <w:szCs w:val="21"/>
              </w:rPr>
            </w:pPr>
            <w:r>
              <w:rPr>
                <w:rFonts w:ascii="宋体" w:hAnsi="宋体"/>
                <w:kern w:val="0"/>
                <w:szCs w:val="21"/>
              </w:rPr>
              <w:t>54</w:t>
            </w:r>
          </w:p>
        </w:tc>
      </w:tr>
      <w:tr w14:paraId="42A8BA8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666" w:type="pct"/>
            <w:vAlign w:val="center"/>
          </w:tcPr>
          <w:p w14:paraId="08CAAB5A">
            <w:pPr>
              <w:pStyle w:val="23"/>
              <w:ind w:firstLine="420" w:firstLineChars="200"/>
              <w:rPr>
                <w:rFonts w:ascii="宋体" w:hAnsi="宋体"/>
                <w:kern w:val="0"/>
                <w:szCs w:val="21"/>
              </w:rPr>
            </w:pPr>
            <w:r>
              <w:rPr>
                <w:rFonts w:ascii="宋体" w:hAnsi="宋体"/>
                <w:kern w:val="0"/>
                <w:szCs w:val="21"/>
              </w:rPr>
              <w:t>其中</w:t>
            </w:r>
            <w:r>
              <w:rPr>
                <w:rFonts w:hint="eastAsia" w:ascii="宋体" w:hAnsi="宋体"/>
                <w:kern w:val="0"/>
                <w:szCs w:val="21"/>
              </w:rPr>
              <w:t>：</w:t>
            </w:r>
            <w:r>
              <w:rPr>
                <w:rFonts w:ascii="宋体" w:hAnsi="宋体"/>
                <w:kern w:val="0"/>
                <w:szCs w:val="21"/>
              </w:rPr>
              <w:t>金牌</w:t>
            </w:r>
          </w:p>
        </w:tc>
        <w:tc>
          <w:tcPr>
            <w:tcW w:w="1668" w:type="pct"/>
            <w:vAlign w:val="center"/>
          </w:tcPr>
          <w:p w14:paraId="1655CC8F">
            <w:pPr>
              <w:pStyle w:val="23"/>
              <w:jc w:val="center"/>
              <w:rPr>
                <w:rFonts w:ascii="宋体" w:hAnsi="宋体"/>
                <w:kern w:val="0"/>
                <w:szCs w:val="21"/>
              </w:rPr>
            </w:pPr>
            <w:r>
              <w:rPr>
                <w:rFonts w:ascii="宋体" w:hAnsi="宋体"/>
                <w:kern w:val="0"/>
                <w:szCs w:val="21"/>
              </w:rPr>
              <w:t>枚</w:t>
            </w:r>
          </w:p>
        </w:tc>
        <w:tc>
          <w:tcPr>
            <w:tcW w:w="1666" w:type="pct"/>
            <w:vAlign w:val="center"/>
          </w:tcPr>
          <w:p w14:paraId="3CAEBEC9">
            <w:pPr>
              <w:pStyle w:val="23"/>
              <w:jc w:val="center"/>
              <w:rPr>
                <w:rFonts w:ascii="宋体" w:hAnsi="宋体"/>
                <w:kern w:val="0"/>
                <w:szCs w:val="21"/>
              </w:rPr>
            </w:pPr>
            <w:r>
              <w:rPr>
                <w:rFonts w:ascii="宋体" w:hAnsi="宋体"/>
                <w:kern w:val="0"/>
                <w:szCs w:val="21"/>
              </w:rPr>
              <w:t>27</w:t>
            </w:r>
          </w:p>
        </w:tc>
      </w:tr>
      <w:tr w14:paraId="0E25E8D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666" w:type="pct"/>
            <w:vAlign w:val="center"/>
          </w:tcPr>
          <w:p w14:paraId="3D961E7A">
            <w:pPr>
              <w:pStyle w:val="23"/>
              <w:ind w:firstLine="1050" w:firstLineChars="500"/>
              <w:rPr>
                <w:rFonts w:ascii="宋体" w:hAnsi="宋体"/>
                <w:kern w:val="0"/>
                <w:szCs w:val="21"/>
              </w:rPr>
            </w:pPr>
            <w:r>
              <w:rPr>
                <w:rFonts w:ascii="宋体" w:hAnsi="宋体"/>
                <w:kern w:val="0"/>
                <w:szCs w:val="21"/>
              </w:rPr>
              <w:t>银牌</w:t>
            </w:r>
          </w:p>
        </w:tc>
        <w:tc>
          <w:tcPr>
            <w:tcW w:w="1668" w:type="pct"/>
            <w:vAlign w:val="center"/>
          </w:tcPr>
          <w:p w14:paraId="08B1CF8B">
            <w:pPr>
              <w:pStyle w:val="23"/>
              <w:jc w:val="center"/>
              <w:rPr>
                <w:rFonts w:ascii="宋体" w:hAnsi="宋体"/>
                <w:kern w:val="0"/>
                <w:szCs w:val="21"/>
              </w:rPr>
            </w:pPr>
            <w:r>
              <w:rPr>
                <w:rFonts w:ascii="宋体" w:hAnsi="宋体"/>
                <w:kern w:val="0"/>
                <w:szCs w:val="21"/>
              </w:rPr>
              <w:t>枚</w:t>
            </w:r>
          </w:p>
        </w:tc>
        <w:tc>
          <w:tcPr>
            <w:tcW w:w="1666" w:type="pct"/>
            <w:vAlign w:val="center"/>
          </w:tcPr>
          <w:p w14:paraId="50E02C4E">
            <w:pPr>
              <w:pStyle w:val="23"/>
              <w:jc w:val="center"/>
              <w:rPr>
                <w:rFonts w:ascii="宋体" w:hAnsi="宋体"/>
                <w:kern w:val="0"/>
                <w:szCs w:val="21"/>
              </w:rPr>
            </w:pPr>
            <w:r>
              <w:rPr>
                <w:rFonts w:ascii="宋体" w:hAnsi="宋体"/>
                <w:kern w:val="0"/>
                <w:szCs w:val="21"/>
              </w:rPr>
              <w:t>13</w:t>
            </w:r>
          </w:p>
        </w:tc>
      </w:tr>
      <w:tr w14:paraId="0C212BC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666" w:type="pct"/>
            <w:vAlign w:val="center"/>
          </w:tcPr>
          <w:p w14:paraId="66D977FB">
            <w:pPr>
              <w:pStyle w:val="23"/>
              <w:ind w:firstLine="1050" w:firstLineChars="500"/>
              <w:rPr>
                <w:rFonts w:ascii="宋体" w:hAnsi="宋体"/>
                <w:kern w:val="0"/>
                <w:szCs w:val="21"/>
              </w:rPr>
            </w:pPr>
            <w:r>
              <w:rPr>
                <w:rFonts w:ascii="宋体" w:hAnsi="宋体"/>
                <w:kern w:val="0"/>
                <w:szCs w:val="21"/>
              </w:rPr>
              <w:t>铜牌</w:t>
            </w:r>
          </w:p>
        </w:tc>
        <w:tc>
          <w:tcPr>
            <w:tcW w:w="1668" w:type="pct"/>
            <w:vAlign w:val="center"/>
          </w:tcPr>
          <w:p w14:paraId="37E5772F">
            <w:pPr>
              <w:pStyle w:val="23"/>
              <w:jc w:val="center"/>
              <w:rPr>
                <w:rFonts w:ascii="宋体" w:hAnsi="宋体"/>
                <w:kern w:val="0"/>
                <w:szCs w:val="21"/>
              </w:rPr>
            </w:pPr>
            <w:r>
              <w:rPr>
                <w:rFonts w:ascii="宋体" w:hAnsi="宋体"/>
                <w:kern w:val="0"/>
                <w:szCs w:val="21"/>
              </w:rPr>
              <w:t>枚</w:t>
            </w:r>
          </w:p>
        </w:tc>
        <w:tc>
          <w:tcPr>
            <w:tcW w:w="1666" w:type="pct"/>
            <w:vAlign w:val="center"/>
          </w:tcPr>
          <w:p w14:paraId="576D82C1">
            <w:pPr>
              <w:pStyle w:val="23"/>
              <w:jc w:val="center"/>
              <w:rPr>
                <w:rFonts w:ascii="宋体" w:hAnsi="宋体"/>
                <w:kern w:val="0"/>
                <w:szCs w:val="21"/>
              </w:rPr>
            </w:pPr>
            <w:r>
              <w:rPr>
                <w:rFonts w:ascii="宋体" w:hAnsi="宋体"/>
                <w:kern w:val="0"/>
                <w:szCs w:val="21"/>
              </w:rPr>
              <w:t>14</w:t>
            </w:r>
          </w:p>
        </w:tc>
      </w:tr>
      <w:tr w14:paraId="42AD3F1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666" w:type="pct"/>
            <w:vAlign w:val="center"/>
          </w:tcPr>
          <w:p w14:paraId="7030C4B4">
            <w:pPr>
              <w:pStyle w:val="23"/>
              <w:rPr>
                <w:rFonts w:ascii="宋体" w:hAnsi="宋体"/>
                <w:kern w:val="0"/>
                <w:szCs w:val="21"/>
              </w:rPr>
            </w:pPr>
            <w:r>
              <w:rPr>
                <w:rFonts w:ascii="宋体" w:hAnsi="宋体"/>
                <w:kern w:val="0"/>
                <w:szCs w:val="21"/>
              </w:rPr>
              <w:t>市级图书馆藏书</w:t>
            </w:r>
          </w:p>
        </w:tc>
        <w:tc>
          <w:tcPr>
            <w:tcW w:w="1668" w:type="pct"/>
            <w:vAlign w:val="center"/>
          </w:tcPr>
          <w:p w14:paraId="13B4A7C5">
            <w:pPr>
              <w:pStyle w:val="23"/>
              <w:jc w:val="center"/>
              <w:rPr>
                <w:rFonts w:ascii="宋体" w:hAnsi="宋体"/>
                <w:kern w:val="0"/>
                <w:szCs w:val="21"/>
              </w:rPr>
            </w:pPr>
            <w:r>
              <w:rPr>
                <w:rFonts w:ascii="宋体" w:hAnsi="宋体"/>
                <w:kern w:val="0"/>
                <w:szCs w:val="21"/>
              </w:rPr>
              <w:t>册</w:t>
            </w:r>
          </w:p>
        </w:tc>
        <w:tc>
          <w:tcPr>
            <w:tcW w:w="1666" w:type="pct"/>
            <w:vAlign w:val="center"/>
          </w:tcPr>
          <w:p w14:paraId="1A5CCDD5">
            <w:pPr>
              <w:pStyle w:val="23"/>
              <w:jc w:val="center"/>
              <w:rPr>
                <w:rFonts w:ascii="宋体" w:hAnsi="宋体"/>
                <w:kern w:val="0"/>
                <w:szCs w:val="21"/>
              </w:rPr>
            </w:pPr>
            <w:r>
              <w:rPr>
                <w:rFonts w:ascii="宋体" w:hAnsi="宋体"/>
                <w:kern w:val="0"/>
                <w:szCs w:val="21"/>
              </w:rPr>
              <w:t>81893</w:t>
            </w:r>
          </w:p>
        </w:tc>
      </w:tr>
      <w:tr w14:paraId="1C1BFCC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666" w:type="pct"/>
            <w:vAlign w:val="center"/>
          </w:tcPr>
          <w:p w14:paraId="33D179F0">
            <w:pPr>
              <w:pStyle w:val="23"/>
              <w:ind w:firstLine="420" w:firstLineChars="200"/>
              <w:rPr>
                <w:rFonts w:ascii="宋体" w:hAnsi="宋体"/>
                <w:kern w:val="0"/>
                <w:szCs w:val="21"/>
              </w:rPr>
            </w:pPr>
            <w:r>
              <w:rPr>
                <w:rFonts w:ascii="宋体" w:hAnsi="宋体"/>
                <w:kern w:val="0"/>
                <w:szCs w:val="21"/>
              </w:rPr>
              <w:t>其中</w:t>
            </w:r>
            <w:r>
              <w:rPr>
                <w:rFonts w:hint="eastAsia" w:ascii="宋体" w:hAnsi="宋体"/>
                <w:kern w:val="0"/>
                <w:szCs w:val="21"/>
              </w:rPr>
              <w:t>：</w:t>
            </w:r>
            <w:r>
              <w:rPr>
                <w:rFonts w:ascii="宋体" w:hAnsi="宋体"/>
                <w:kern w:val="0"/>
                <w:szCs w:val="21"/>
              </w:rPr>
              <w:t>古籍</w:t>
            </w:r>
          </w:p>
        </w:tc>
        <w:tc>
          <w:tcPr>
            <w:tcW w:w="1668" w:type="pct"/>
            <w:vAlign w:val="center"/>
          </w:tcPr>
          <w:p w14:paraId="68D32A7E">
            <w:pPr>
              <w:pStyle w:val="23"/>
              <w:jc w:val="center"/>
              <w:rPr>
                <w:rFonts w:ascii="宋体" w:hAnsi="宋体"/>
                <w:kern w:val="0"/>
                <w:szCs w:val="21"/>
              </w:rPr>
            </w:pPr>
            <w:r>
              <w:rPr>
                <w:rFonts w:ascii="宋体" w:hAnsi="宋体"/>
                <w:kern w:val="0"/>
                <w:szCs w:val="21"/>
              </w:rPr>
              <w:t>册</w:t>
            </w:r>
          </w:p>
        </w:tc>
        <w:tc>
          <w:tcPr>
            <w:tcW w:w="1666" w:type="pct"/>
            <w:vAlign w:val="center"/>
          </w:tcPr>
          <w:p w14:paraId="1C629627">
            <w:pPr>
              <w:pStyle w:val="23"/>
              <w:jc w:val="center"/>
              <w:rPr>
                <w:rFonts w:ascii="宋体" w:hAnsi="宋体"/>
                <w:kern w:val="0"/>
                <w:szCs w:val="21"/>
              </w:rPr>
            </w:pPr>
            <w:r>
              <w:rPr>
                <w:rFonts w:ascii="宋体" w:hAnsi="宋体"/>
                <w:kern w:val="0"/>
                <w:szCs w:val="21"/>
              </w:rPr>
              <w:t>46</w:t>
            </w:r>
          </w:p>
        </w:tc>
      </w:tr>
    </w:tbl>
    <w:p w14:paraId="0843C0B6">
      <w:pPr>
        <w:ind w:firstLine="0" w:firstLineChars="0"/>
        <w:jc w:val="center"/>
        <w:rPr>
          <w:rFonts w:ascii="宋体" w:hAnsi="宋体"/>
          <w:b/>
          <w:szCs w:val="21"/>
        </w:rPr>
      </w:pPr>
      <w:r>
        <w:rPr>
          <w:rFonts w:hint="eastAsia" w:ascii="宋体" w:hAnsi="宋体"/>
          <w:b/>
          <w:szCs w:val="21"/>
        </w:rPr>
        <w:t>表91 环境保护情况</w:t>
      </w:r>
    </w:p>
    <w:tbl>
      <w:tblPr>
        <w:tblStyle w:val="14"/>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672"/>
        <w:gridCol w:w="2220"/>
        <w:gridCol w:w="2070"/>
      </w:tblGrid>
      <w:tr w14:paraId="12B008A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847" w:type="pct"/>
            <w:shd w:val="clear" w:color="auto" w:fill="auto"/>
            <w:noWrap/>
            <w:vAlign w:val="center"/>
          </w:tcPr>
          <w:p w14:paraId="215023EE">
            <w:pPr>
              <w:pStyle w:val="23"/>
              <w:jc w:val="center"/>
              <w:rPr>
                <w:rFonts w:ascii="宋体" w:hAnsi="宋体"/>
                <w:b/>
                <w:kern w:val="0"/>
                <w:szCs w:val="21"/>
              </w:rPr>
            </w:pPr>
            <w:r>
              <w:rPr>
                <w:rFonts w:ascii="宋体" w:hAnsi="宋体"/>
                <w:b/>
                <w:kern w:val="0"/>
                <w:szCs w:val="21"/>
              </w:rPr>
              <w:t>指标名称</w:t>
            </w:r>
          </w:p>
        </w:tc>
        <w:tc>
          <w:tcPr>
            <w:tcW w:w="1114" w:type="pct"/>
            <w:shd w:val="clear" w:color="auto" w:fill="auto"/>
            <w:noWrap/>
            <w:vAlign w:val="center"/>
          </w:tcPr>
          <w:p w14:paraId="1B2A138D">
            <w:pPr>
              <w:pStyle w:val="23"/>
              <w:jc w:val="center"/>
              <w:rPr>
                <w:rFonts w:ascii="宋体" w:hAnsi="宋体"/>
                <w:b/>
                <w:kern w:val="0"/>
                <w:szCs w:val="21"/>
              </w:rPr>
            </w:pPr>
            <w:r>
              <w:rPr>
                <w:rFonts w:ascii="宋体" w:hAnsi="宋体"/>
                <w:b/>
                <w:kern w:val="0"/>
                <w:szCs w:val="21"/>
              </w:rPr>
              <w:t>计算单位</w:t>
            </w:r>
          </w:p>
        </w:tc>
        <w:tc>
          <w:tcPr>
            <w:tcW w:w="1040" w:type="pct"/>
            <w:shd w:val="clear" w:color="auto" w:fill="auto"/>
            <w:noWrap/>
            <w:vAlign w:val="center"/>
          </w:tcPr>
          <w:p w14:paraId="701343B1">
            <w:pPr>
              <w:pStyle w:val="23"/>
              <w:jc w:val="center"/>
              <w:rPr>
                <w:rFonts w:ascii="宋体" w:hAnsi="宋体"/>
                <w:b/>
                <w:kern w:val="0"/>
                <w:szCs w:val="21"/>
              </w:rPr>
            </w:pPr>
            <w:r>
              <w:rPr>
                <w:rFonts w:ascii="宋体" w:hAnsi="宋体"/>
                <w:b/>
                <w:kern w:val="0"/>
                <w:szCs w:val="21"/>
              </w:rPr>
              <w:t>2011年</w:t>
            </w:r>
          </w:p>
        </w:tc>
      </w:tr>
      <w:tr w14:paraId="6618E5A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847" w:type="pct"/>
            <w:shd w:val="clear" w:color="auto" w:fill="auto"/>
            <w:noWrap/>
            <w:vAlign w:val="center"/>
          </w:tcPr>
          <w:p w14:paraId="256C479C">
            <w:pPr>
              <w:pStyle w:val="23"/>
              <w:rPr>
                <w:rFonts w:ascii="宋体" w:hAnsi="宋体"/>
                <w:kern w:val="0"/>
                <w:szCs w:val="21"/>
              </w:rPr>
            </w:pPr>
            <w:r>
              <w:rPr>
                <w:rFonts w:ascii="宋体" w:hAnsi="宋体"/>
                <w:kern w:val="0"/>
                <w:szCs w:val="21"/>
              </w:rPr>
              <w:t>一、废水排放量</w:t>
            </w:r>
          </w:p>
        </w:tc>
        <w:tc>
          <w:tcPr>
            <w:tcW w:w="1114" w:type="pct"/>
            <w:shd w:val="clear" w:color="auto" w:fill="auto"/>
            <w:noWrap/>
            <w:vAlign w:val="center"/>
          </w:tcPr>
          <w:p w14:paraId="375EA2C4">
            <w:pPr>
              <w:pStyle w:val="23"/>
              <w:jc w:val="center"/>
              <w:rPr>
                <w:rFonts w:ascii="宋体" w:hAnsi="宋体"/>
                <w:kern w:val="0"/>
                <w:szCs w:val="21"/>
              </w:rPr>
            </w:pPr>
            <w:r>
              <w:rPr>
                <w:rFonts w:ascii="宋体" w:hAnsi="宋体"/>
                <w:kern w:val="0"/>
                <w:szCs w:val="21"/>
              </w:rPr>
              <w:t>万吨</w:t>
            </w:r>
          </w:p>
        </w:tc>
        <w:tc>
          <w:tcPr>
            <w:tcW w:w="1040" w:type="pct"/>
            <w:shd w:val="clear" w:color="auto" w:fill="auto"/>
            <w:noWrap/>
            <w:vAlign w:val="center"/>
          </w:tcPr>
          <w:p w14:paraId="34B591B5">
            <w:pPr>
              <w:pStyle w:val="23"/>
              <w:jc w:val="center"/>
              <w:rPr>
                <w:rFonts w:ascii="宋体" w:hAnsi="宋体"/>
                <w:kern w:val="0"/>
                <w:szCs w:val="21"/>
              </w:rPr>
            </w:pPr>
            <w:r>
              <w:rPr>
                <w:rFonts w:ascii="宋体" w:hAnsi="宋体"/>
                <w:kern w:val="0"/>
                <w:szCs w:val="21"/>
              </w:rPr>
              <w:t>904.46</w:t>
            </w:r>
          </w:p>
        </w:tc>
      </w:tr>
      <w:tr w14:paraId="16002A2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847" w:type="pct"/>
            <w:shd w:val="clear" w:color="auto" w:fill="auto"/>
            <w:noWrap/>
            <w:vAlign w:val="center"/>
          </w:tcPr>
          <w:p w14:paraId="5580DF58">
            <w:pPr>
              <w:pStyle w:val="23"/>
              <w:ind w:firstLine="420" w:firstLineChars="200"/>
              <w:rPr>
                <w:rFonts w:ascii="宋体" w:hAnsi="宋体"/>
                <w:kern w:val="0"/>
                <w:szCs w:val="21"/>
              </w:rPr>
            </w:pPr>
            <w:r>
              <w:rPr>
                <w:rFonts w:ascii="宋体" w:hAnsi="宋体"/>
                <w:kern w:val="0"/>
                <w:szCs w:val="21"/>
              </w:rPr>
              <w:t>其中：工业废水</w:t>
            </w:r>
          </w:p>
        </w:tc>
        <w:tc>
          <w:tcPr>
            <w:tcW w:w="1114" w:type="pct"/>
            <w:shd w:val="clear" w:color="auto" w:fill="auto"/>
            <w:noWrap/>
            <w:vAlign w:val="center"/>
          </w:tcPr>
          <w:p w14:paraId="363457B3">
            <w:pPr>
              <w:pStyle w:val="23"/>
              <w:jc w:val="center"/>
              <w:rPr>
                <w:rFonts w:ascii="宋体" w:hAnsi="宋体"/>
                <w:kern w:val="0"/>
                <w:szCs w:val="21"/>
              </w:rPr>
            </w:pPr>
            <w:r>
              <w:rPr>
                <w:rFonts w:ascii="宋体" w:hAnsi="宋体"/>
                <w:kern w:val="0"/>
                <w:szCs w:val="21"/>
              </w:rPr>
              <w:t>万吨</w:t>
            </w:r>
          </w:p>
        </w:tc>
        <w:tc>
          <w:tcPr>
            <w:tcW w:w="1040" w:type="pct"/>
            <w:shd w:val="clear" w:color="auto" w:fill="auto"/>
            <w:noWrap/>
            <w:vAlign w:val="center"/>
          </w:tcPr>
          <w:p w14:paraId="043323BD">
            <w:pPr>
              <w:pStyle w:val="23"/>
              <w:jc w:val="center"/>
              <w:rPr>
                <w:rFonts w:ascii="宋体" w:hAnsi="宋体"/>
                <w:kern w:val="0"/>
                <w:szCs w:val="21"/>
              </w:rPr>
            </w:pPr>
            <w:r>
              <w:rPr>
                <w:rFonts w:ascii="宋体" w:hAnsi="宋体"/>
                <w:kern w:val="0"/>
                <w:szCs w:val="21"/>
              </w:rPr>
              <w:t>385.19</w:t>
            </w:r>
          </w:p>
        </w:tc>
      </w:tr>
      <w:tr w14:paraId="23D5F42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847" w:type="pct"/>
            <w:shd w:val="clear" w:color="auto" w:fill="auto"/>
            <w:noWrap/>
            <w:vAlign w:val="center"/>
          </w:tcPr>
          <w:p w14:paraId="06FD30CC">
            <w:pPr>
              <w:pStyle w:val="23"/>
              <w:rPr>
                <w:rFonts w:ascii="宋体" w:hAnsi="宋体"/>
                <w:kern w:val="0"/>
                <w:szCs w:val="21"/>
              </w:rPr>
            </w:pPr>
            <w:r>
              <w:rPr>
                <w:rFonts w:ascii="宋体" w:hAnsi="宋体"/>
                <w:kern w:val="0"/>
                <w:szCs w:val="21"/>
              </w:rPr>
              <w:t>二、工业废气排放量</w:t>
            </w:r>
          </w:p>
        </w:tc>
        <w:tc>
          <w:tcPr>
            <w:tcW w:w="1114" w:type="pct"/>
            <w:shd w:val="clear" w:color="auto" w:fill="auto"/>
            <w:noWrap/>
            <w:vAlign w:val="center"/>
          </w:tcPr>
          <w:p w14:paraId="15A20C5E">
            <w:pPr>
              <w:pStyle w:val="23"/>
              <w:jc w:val="center"/>
              <w:rPr>
                <w:rFonts w:ascii="宋体" w:hAnsi="宋体"/>
                <w:kern w:val="0"/>
                <w:szCs w:val="21"/>
              </w:rPr>
            </w:pPr>
            <w:r>
              <w:rPr>
                <w:rFonts w:ascii="宋体" w:hAnsi="宋体"/>
                <w:kern w:val="0"/>
                <w:szCs w:val="21"/>
              </w:rPr>
              <w:t>万标立方米</w:t>
            </w:r>
          </w:p>
        </w:tc>
        <w:tc>
          <w:tcPr>
            <w:tcW w:w="1040" w:type="pct"/>
            <w:shd w:val="clear" w:color="auto" w:fill="auto"/>
            <w:noWrap/>
            <w:vAlign w:val="center"/>
          </w:tcPr>
          <w:p w14:paraId="6CA9516B">
            <w:pPr>
              <w:pStyle w:val="23"/>
              <w:jc w:val="center"/>
              <w:rPr>
                <w:rFonts w:ascii="宋体" w:hAnsi="宋体"/>
                <w:kern w:val="0"/>
                <w:szCs w:val="21"/>
              </w:rPr>
            </w:pPr>
            <w:r>
              <w:rPr>
                <w:rFonts w:ascii="宋体" w:hAnsi="宋体"/>
                <w:kern w:val="0"/>
                <w:szCs w:val="21"/>
              </w:rPr>
              <w:t>75703</w:t>
            </w:r>
          </w:p>
        </w:tc>
      </w:tr>
      <w:tr w14:paraId="73B5402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847" w:type="pct"/>
            <w:shd w:val="clear" w:color="auto" w:fill="auto"/>
            <w:noWrap/>
            <w:vAlign w:val="center"/>
          </w:tcPr>
          <w:p w14:paraId="3F4F8DB2">
            <w:pPr>
              <w:pStyle w:val="23"/>
              <w:rPr>
                <w:rFonts w:ascii="宋体" w:hAnsi="宋体"/>
                <w:kern w:val="0"/>
                <w:szCs w:val="21"/>
              </w:rPr>
            </w:pPr>
            <w:r>
              <w:rPr>
                <w:rFonts w:ascii="宋体" w:hAnsi="宋体"/>
                <w:kern w:val="0"/>
                <w:szCs w:val="21"/>
              </w:rPr>
              <w:t>三、工业烟、粉尘排放量</w:t>
            </w:r>
          </w:p>
        </w:tc>
        <w:tc>
          <w:tcPr>
            <w:tcW w:w="1114" w:type="pct"/>
            <w:shd w:val="clear" w:color="auto" w:fill="auto"/>
            <w:noWrap/>
            <w:vAlign w:val="center"/>
          </w:tcPr>
          <w:p w14:paraId="546C66A8">
            <w:pPr>
              <w:pStyle w:val="23"/>
              <w:jc w:val="center"/>
              <w:rPr>
                <w:rFonts w:ascii="宋体" w:hAnsi="宋体"/>
                <w:kern w:val="0"/>
                <w:szCs w:val="21"/>
              </w:rPr>
            </w:pPr>
            <w:r>
              <w:rPr>
                <w:rFonts w:ascii="宋体" w:hAnsi="宋体"/>
                <w:kern w:val="0"/>
                <w:szCs w:val="21"/>
              </w:rPr>
              <w:t>吨</w:t>
            </w:r>
          </w:p>
        </w:tc>
        <w:tc>
          <w:tcPr>
            <w:tcW w:w="1040" w:type="pct"/>
            <w:shd w:val="clear" w:color="auto" w:fill="auto"/>
            <w:noWrap/>
            <w:vAlign w:val="center"/>
          </w:tcPr>
          <w:p w14:paraId="4A7EAA12">
            <w:pPr>
              <w:pStyle w:val="23"/>
              <w:jc w:val="center"/>
              <w:rPr>
                <w:rFonts w:ascii="宋体" w:hAnsi="宋体"/>
                <w:kern w:val="0"/>
                <w:szCs w:val="21"/>
              </w:rPr>
            </w:pPr>
            <w:r>
              <w:rPr>
                <w:rFonts w:ascii="宋体" w:hAnsi="宋体"/>
                <w:kern w:val="0"/>
                <w:szCs w:val="21"/>
              </w:rPr>
              <w:t>785.62</w:t>
            </w:r>
          </w:p>
        </w:tc>
      </w:tr>
      <w:tr w14:paraId="74FDA2A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847" w:type="pct"/>
            <w:shd w:val="clear" w:color="auto" w:fill="auto"/>
            <w:noWrap/>
            <w:vAlign w:val="center"/>
          </w:tcPr>
          <w:p w14:paraId="79E768CF">
            <w:pPr>
              <w:pStyle w:val="23"/>
              <w:ind w:firstLine="420" w:firstLineChars="200"/>
              <w:rPr>
                <w:rFonts w:ascii="宋体" w:hAnsi="宋体"/>
                <w:kern w:val="0"/>
                <w:szCs w:val="21"/>
              </w:rPr>
            </w:pPr>
            <w:r>
              <w:rPr>
                <w:rFonts w:ascii="宋体" w:hAnsi="宋体"/>
                <w:kern w:val="0"/>
                <w:szCs w:val="21"/>
              </w:rPr>
              <w:t>工业烟、粉尘去除量</w:t>
            </w:r>
          </w:p>
        </w:tc>
        <w:tc>
          <w:tcPr>
            <w:tcW w:w="1114" w:type="pct"/>
            <w:shd w:val="clear" w:color="auto" w:fill="auto"/>
            <w:noWrap/>
            <w:vAlign w:val="center"/>
          </w:tcPr>
          <w:p w14:paraId="2C7B87BC">
            <w:pPr>
              <w:pStyle w:val="23"/>
              <w:jc w:val="center"/>
              <w:rPr>
                <w:rFonts w:ascii="宋体" w:hAnsi="宋体"/>
                <w:kern w:val="0"/>
                <w:szCs w:val="21"/>
              </w:rPr>
            </w:pPr>
            <w:r>
              <w:rPr>
                <w:rFonts w:ascii="宋体" w:hAnsi="宋体"/>
                <w:kern w:val="0"/>
                <w:szCs w:val="21"/>
              </w:rPr>
              <w:t>吨</w:t>
            </w:r>
          </w:p>
        </w:tc>
        <w:tc>
          <w:tcPr>
            <w:tcW w:w="1040" w:type="pct"/>
            <w:shd w:val="clear" w:color="auto" w:fill="auto"/>
            <w:noWrap/>
            <w:vAlign w:val="center"/>
          </w:tcPr>
          <w:p w14:paraId="49F78905">
            <w:pPr>
              <w:pStyle w:val="23"/>
              <w:jc w:val="center"/>
              <w:rPr>
                <w:rFonts w:ascii="宋体" w:hAnsi="宋体"/>
                <w:kern w:val="0"/>
                <w:szCs w:val="21"/>
              </w:rPr>
            </w:pPr>
            <w:r>
              <w:rPr>
                <w:rFonts w:ascii="宋体" w:hAnsi="宋体"/>
                <w:kern w:val="0"/>
                <w:szCs w:val="21"/>
              </w:rPr>
              <w:t>1986.45</w:t>
            </w:r>
          </w:p>
        </w:tc>
      </w:tr>
      <w:tr w14:paraId="31FAC37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847" w:type="pct"/>
            <w:shd w:val="clear" w:color="auto" w:fill="auto"/>
            <w:noWrap/>
            <w:vAlign w:val="center"/>
          </w:tcPr>
          <w:p w14:paraId="4E1D8E92">
            <w:pPr>
              <w:pStyle w:val="23"/>
              <w:rPr>
                <w:rFonts w:ascii="宋体" w:hAnsi="宋体"/>
                <w:kern w:val="0"/>
                <w:szCs w:val="21"/>
              </w:rPr>
            </w:pPr>
            <w:r>
              <w:rPr>
                <w:rFonts w:ascii="宋体" w:hAnsi="宋体"/>
                <w:kern w:val="0"/>
                <w:szCs w:val="21"/>
              </w:rPr>
              <w:t>四、工业固体废物综合利用率</w:t>
            </w:r>
          </w:p>
        </w:tc>
        <w:tc>
          <w:tcPr>
            <w:tcW w:w="1114" w:type="pct"/>
            <w:shd w:val="clear" w:color="auto" w:fill="auto"/>
            <w:noWrap/>
            <w:vAlign w:val="center"/>
          </w:tcPr>
          <w:p w14:paraId="6F406126">
            <w:pPr>
              <w:pStyle w:val="23"/>
              <w:jc w:val="center"/>
              <w:rPr>
                <w:rFonts w:ascii="宋体" w:hAnsi="宋体"/>
                <w:kern w:val="0"/>
                <w:szCs w:val="21"/>
              </w:rPr>
            </w:pPr>
            <w:r>
              <w:rPr>
                <w:rFonts w:ascii="宋体" w:hAnsi="宋体"/>
                <w:kern w:val="0"/>
                <w:szCs w:val="21"/>
              </w:rPr>
              <w:t>%</w:t>
            </w:r>
          </w:p>
        </w:tc>
        <w:tc>
          <w:tcPr>
            <w:tcW w:w="1040" w:type="pct"/>
            <w:shd w:val="clear" w:color="auto" w:fill="auto"/>
            <w:noWrap/>
            <w:vAlign w:val="center"/>
          </w:tcPr>
          <w:p w14:paraId="30730734">
            <w:pPr>
              <w:pStyle w:val="23"/>
              <w:jc w:val="center"/>
              <w:rPr>
                <w:rFonts w:ascii="宋体" w:hAnsi="宋体"/>
                <w:kern w:val="0"/>
                <w:szCs w:val="21"/>
              </w:rPr>
            </w:pPr>
            <w:r>
              <w:rPr>
                <w:rFonts w:ascii="宋体" w:hAnsi="宋体"/>
                <w:kern w:val="0"/>
                <w:szCs w:val="21"/>
              </w:rPr>
              <w:t>84.11</w:t>
            </w:r>
          </w:p>
        </w:tc>
      </w:tr>
      <w:tr w14:paraId="4084131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847" w:type="pct"/>
            <w:shd w:val="clear" w:color="auto" w:fill="auto"/>
            <w:noWrap/>
            <w:vAlign w:val="center"/>
          </w:tcPr>
          <w:p w14:paraId="5AAD4E9E">
            <w:pPr>
              <w:pStyle w:val="23"/>
              <w:rPr>
                <w:rFonts w:ascii="宋体" w:hAnsi="宋体"/>
                <w:kern w:val="0"/>
                <w:szCs w:val="21"/>
              </w:rPr>
            </w:pPr>
            <w:r>
              <w:rPr>
                <w:rFonts w:ascii="宋体" w:hAnsi="宋体"/>
                <w:kern w:val="0"/>
                <w:szCs w:val="21"/>
              </w:rPr>
              <w:t>五、生活污水处理率</w:t>
            </w:r>
          </w:p>
        </w:tc>
        <w:tc>
          <w:tcPr>
            <w:tcW w:w="1114" w:type="pct"/>
            <w:shd w:val="clear" w:color="auto" w:fill="auto"/>
            <w:noWrap/>
            <w:vAlign w:val="center"/>
          </w:tcPr>
          <w:p w14:paraId="2408777A">
            <w:pPr>
              <w:pStyle w:val="23"/>
              <w:jc w:val="center"/>
              <w:rPr>
                <w:rFonts w:ascii="宋体" w:hAnsi="宋体"/>
                <w:kern w:val="0"/>
                <w:szCs w:val="21"/>
              </w:rPr>
            </w:pPr>
            <w:r>
              <w:rPr>
                <w:rFonts w:ascii="宋体" w:hAnsi="宋体"/>
                <w:kern w:val="0"/>
                <w:szCs w:val="21"/>
              </w:rPr>
              <w:t>%</w:t>
            </w:r>
          </w:p>
        </w:tc>
        <w:tc>
          <w:tcPr>
            <w:tcW w:w="1040" w:type="pct"/>
            <w:shd w:val="clear" w:color="auto" w:fill="auto"/>
            <w:noWrap/>
            <w:vAlign w:val="center"/>
          </w:tcPr>
          <w:p w14:paraId="6F7FFBC7">
            <w:pPr>
              <w:pStyle w:val="23"/>
              <w:jc w:val="center"/>
              <w:rPr>
                <w:rFonts w:ascii="宋体" w:hAnsi="宋体"/>
                <w:kern w:val="0"/>
                <w:szCs w:val="21"/>
              </w:rPr>
            </w:pPr>
            <w:r>
              <w:rPr>
                <w:rFonts w:ascii="宋体" w:hAnsi="宋体"/>
                <w:kern w:val="0"/>
                <w:szCs w:val="21"/>
              </w:rPr>
              <w:t>81.8</w:t>
            </w:r>
          </w:p>
        </w:tc>
      </w:tr>
      <w:tr w14:paraId="186C725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847" w:type="pct"/>
            <w:shd w:val="clear" w:color="auto" w:fill="auto"/>
            <w:noWrap/>
            <w:vAlign w:val="center"/>
          </w:tcPr>
          <w:p w14:paraId="08FF6161">
            <w:pPr>
              <w:pStyle w:val="23"/>
              <w:rPr>
                <w:rFonts w:ascii="宋体" w:hAnsi="宋体"/>
                <w:kern w:val="0"/>
                <w:szCs w:val="21"/>
              </w:rPr>
            </w:pPr>
            <w:r>
              <w:rPr>
                <w:rFonts w:ascii="宋体" w:hAnsi="宋体"/>
                <w:kern w:val="0"/>
                <w:szCs w:val="21"/>
              </w:rPr>
              <w:t>六、污染治理资金使用</w:t>
            </w:r>
          </w:p>
        </w:tc>
        <w:tc>
          <w:tcPr>
            <w:tcW w:w="1114" w:type="pct"/>
            <w:shd w:val="clear" w:color="auto" w:fill="auto"/>
            <w:noWrap/>
            <w:vAlign w:val="center"/>
          </w:tcPr>
          <w:p w14:paraId="62553D57">
            <w:pPr>
              <w:pStyle w:val="23"/>
              <w:jc w:val="center"/>
              <w:rPr>
                <w:rFonts w:ascii="宋体" w:hAnsi="宋体"/>
                <w:kern w:val="0"/>
                <w:szCs w:val="21"/>
              </w:rPr>
            </w:pPr>
            <w:r>
              <w:rPr>
                <w:rFonts w:ascii="宋体" w:hAnsi="宋体"/>
                <w:kern w:val="0"/>
                <w:szCs w:val="21"/>
              </w:rPr>
              <w:t>万元</w:t>
            </w:r>
          </w:p>
        </w:tc>
        <w:tc>
          <w:tcPr>
            <w:tcW w:w="1040" w:type="pct"/>
            <w:shd w:val="clear" w:color="auto" w:fill="auto"/>
            <w:noWrap/>
            <w:vAlign w:val="center"/>
          </w:tcPr>
          <w:p w14:paraId="189C53A8">
            <w:pPr>
              <w:pStyle w:val="23"/>
              <w:jc w:val="center"/>
              <w:rPr>
                <w:rFonts w:ascii="宋体" w:hAnsi="宋体"/>
                <w:kern w:val="0"/>
                <w:szCs w:val="21"/>
              </w:rPr>
            </w:pPr>
            <w:r>
              <w:rPr>
                <w:rFonts w:ascii="宋体" w:hAnsi="宋体"/>
                <w:kern w:val="0"/>
                <w:szCs w:val="21"/>
              </w:rPr>
              <w:t>479</w:t>
            </w:r>
          </w:p>
        </w:tc>
      </w:tr>
      <w:tr w14:paraId="10A5929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847" w:type="pct"/>
            <w:shd w:val="clear" w:color="auto" w:fill="auto"/>
            <w:noWrap/>
            <w:vAlign w:val="center"/>
          </w:tcPr>
          <w:p w14:paraId="20B6D8F7">
            <w:pPr>
              <w:pStyle w:val="23"/>
              <w:rPr>
                <w:rFonts w:ascii="宋体" w:hAnsi="宋体"/>
                <w:kern w:val="0"/>
                <w:szCs w:val="21"/>
              </w:rPr>
            </w:pPr>
            <w:r>
              <w:rPr>
                <w:rFonts w:ascii="宋体" w:hAnsi="宋体"/>
                <w:kern w:val="0"/>
                <w:szCs w:val="21"/>
              </w:rPr>
              <w:t>七、当年安排治理项目</w:t>
            </w:r>
          </w:p>
        </w:tc>
        <w:tc>
          <w:tcPr>
            <w:tcW w:w="1114" w:type="pct"/>
            <w:shd w:val="clear" w:color="auto" w:fill="auto"/>
            <w:noWrap/>
            <w:vAlign w:val="center"/>
          </w:tcPr>
          <w:p w14:paraId="0DF93361">
            <w:pPr>
              <w:pStyle w:val="23"/>
              <w:jc w:val="center"/>
              <w:rPr>
                <w:rFonts w:ascii="宋体" w:hAnsi="宋体"/>
                <w:kern w:val="0"/>
                <w:szCs w:val="21"/>
              </w:rPr>
            </w:pPr>
            <w:r>
              <w:rPr>
                <w:rFonts w:ascii="宋体" w:hAnsi="宋体"/>
                <w:kern w:val="0"/>
                <w:szCs w:val="21"/>
              </w:rPr>
              <w:t>个</w:t>
            </w:r>
          </w:p>
        </w:tc>
        <w:tc>
          <w:tcPr>
            <w:tcW w:w="1040" w:type="pct"/>
            <w:shd w:val="clear" w:color="auto" w:fill="auto"/>
            <w:noWrap/>
            <w:vAlign w:val="center"/>
          </w:tcPr>
          <w:p w14:paraId="1A09E7B1">
            <w:pPr>
              <w:pStyle w:val="23"/>
              <w:jc w:val="center"/>
              <w:rPr>
                <w:rFonts w:ascii="宋体" w:hAnsi="宋体"/>
                <w:kern w:val="0"/>
                <w:szCs w:val="21"/>
              </w:rPr>
            </w:pPr>
            <w:r>
              <w:rPr>
                <w:rFonts w:ascii="宋体" w:hAnsi="宋体"/>
                <w:kern w:val="0"/>
                <w:szCs w:val="21"/>
              </w:rPr>
              <w:t>3</w:t>
            </w:r>
          </w:p>
        </w:tc>
      </w:tr>
      <w:tr w14:paraId="246D4BD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847" w:type="pct"/>
            <w:shd w:val="clear" w:color="auto" w:fill="auto"/>
            <w:noWrap/>
            <w:vAlign w:val="center"/>
          </w:tcPr>
          <w:p w14:paraId="61E0CA10">
            <w:pPr>
              <w:pStyle w:val="23"/>
              <w:rPr>
                <w:rFonts w:ascii="宋体" w:hAnsi="宋体"/>
                <w:kern w:val="0"/>
                <w:szCs w:val="21"/>
              </w:rPr>
            </w:pPr>
            <w:r>
              <w:rPr>
                <w:rFonts w:ascii="宋体" w:hAnsi="宋体"/>
                <w:kern w:val="0"/>
                <w:szCs w:val="21"/>
              </w:rPr>
              <w:t>八、全年平均气温</w:t>
            </w:r>
          </w:p>
        </w:tc>
        <w:tc>
          <w:tcPr>
            <w:tcW w:w="1114" w:type="pct"/>
            <w:shd w:val="clear" w:color="auto" w:fill="auto"/>
            <w:noWrap/>
            <w:vAlign w:val="center"/>
          </w:tcPr>
          <w:p w14:paraId="7D92A057">
            <w:pPr>
              <w:pStyle w:val="23"/>
              <w:jc w:val="center"/>
              <w:rPr>
                <w:rFonts w:ascii="宋体" w:hAnsi="宋体"/>
                <w:kern w:val="0"/>
                <w:szCs w:val="21"/>
              </w:rPr>
            </w:pPr>
            <w:r>
              <w:rPr>
                <w:rFonts w:ascii="宋体" w:hAnsi="宋体" w:cs="宋体"/>
                <w:kern w:val="0"/>
                <w:szCs w:val="21"/>
              </w:rPr>
              <w:t>℃</w:t>
            </w:r>
          </w:p>
        </w:tc>
        <w:tc>
          <w:tcPr>
            <w:tcW w:w="1040" w:type="pct"/>
            <w:shd w:val="clear" w:color="auto" w:fill="auto"/>
            <w:noWrap/>
            <w:vAlign w:val="center"/>
          </w:tcPr>
          <w:p w14:paraId="42F9A2A6">
            <w:pPr>
              <w:pStyle w:val="23"/>
              <w:jc w:val="center"/>
              <w:rPr>
                <w:rFonts w:ascii="宋体" w:hAnsi="宋体"/>
                <w:kern w:val="0"/>
                <w:szCs w:val="21"/>
              </w:rPr>
            </w:pPr>
            <w:r>
              <w:rPr>
                <w:rFonts w:ascii="宋体" w:hAnsi="宋体"/>
                <w:kern w:val="0"/>
                <w:szCs w:val="21"/>
              </w:rPr>
              <w:t>19.8</w:t>
            </w:r>
          </w:p>
        </w:tc>
      </w:tr>
      <w:tr w14:paraId="046206A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2847" w:type="pct"/>
            <w:shd w:val="clear" w:color="auto" w:fill="auto"/>
            <w:noWrap/>
            <w:vAlign w:val="center"/>
          </w:tcPr>
          <w:p w14:paraId="5E8C6A25">
            <w:pPr>
              <w:pStyle w:val="23"/>
              <w:rPr>
                <w:rFonts w:ascii="宋体" w:hAnsi="宋体"/>
                <w:kern w:val="0"/>
                <w:szCs w:val="21"/>
              </w:rPr>
            </w:pPr>
            <w:r>
              <w:rPr>
                <w:rFonts w:ascii="宋体" w:hAnsi="宋体"/>
                <w:kern w:val="0"/>
                <w:szCs w:val="21"/>
              </w:rPr>
              <w:t>九、全年降雨量</w:t>
            </w:r>
          </w:p>
        </w:tc>
        <w:tc>
          <w:tcPr>
            <w:tcW w:w="1114" w:type="pct"/>
            <w:shd w:val="clear" w:color="auto" w:fill="auto"/>
            <w:noWrap/>
            <w:vAlign w:val="center"/>
          </w:tcPr>
          <w:p w14:paraId="44858270">
            <w:pPr>
              <w:pStyle w:val="23"/>
              <w:jc w:val="center"/>
              <w:rPr>
                <w:rFonts w:ascii="宋体" w:hAnsi="宋体"/>
                <w:kern w:val="0"/>
                <w:szCs w:val="21"/>
              </w:rPr>
            </w:pPr>
            <w:r>
              <w:rPr>
                <w:rFonts w:ascii="宋体" w:hAnsi="宋体"/>
                <w:kern w:val="0"/>
                <w:szCs w:val="21"/>
              </w:rPr>
              <w:t>mm</w:t>
            </w:r>
          </w:p>
        </w:tc>
        <w:tc>
          <w:tcPr>
            <w:tcW w:w="1040" w:type="pct"/>
            <w:shd w:val="clear" w:color="auto" w:fill="auto"/>
            <w:noWrap/>
            <w:vAlign w:val="center"/>
          </w:tcPr>
          <w:p w14:paraId="1A9CB66E">
            <w:pPr>
              <w:pStyle w:val="23"/>
              <w:jc w:val="center"/>
              <w:rPr>
                <w:rFonts w:ascii="宋体" w:hAnsi="宋体"/>
                <w:kern w:val="0"/>
                <w:szCs w:val="21"/>
              </w:rPr>
            </w:pPr>
            <w:r>
              <w:rPr>
                <w:rFonts w:ascii="宋体" w:hAnsi="宋体"/>
                <w:kern w:val="0"/>
                <w:szCs w:val="21"/>
              </w:rPr>
              <w:t>1254.1</w:t>
            </w:r>
          </w:p>
        </w:tc>
      </w:tr>
    </w:tbl>
    <w:p w14:paraId="2D65F1D6">
      <w:pPr>
        <w:ind w:firstLine="0" w:firstLineChars="0"/>
        <w:jc w:val="center"/>
        <w:rPr>
          <w:rFonts w:ascii="宋体" w:hAnsi="宋体"/>
          <w:b/>
          <w:szCs w:val="21"/>
        </w:rPr>
      </w:pPr>
      <w:r>
        <w:rPr>
          <w:rFonts w:hint="eastAsia" w:ascii="宋体" w:hAnsi="宋体"/>
          <w:b/>
          <w:szCs w:val="21"/>
        </w:rPr>
        <w:t>表92 韶关市属各县（市）主要经济指标（一）</w:t>
      </w:r>
    </w:p>
    <w:tbl>
      <w:tblPr>
        <w:tblStyle w:val="14"/>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30" w:type="dxa"/>
          <w:bottom w:w="0" w:type="dxa"/>
          <w:right w:w="30" w:type="dxa"/>
        </w:tblCellMar>
      </w:tblPr>
      <w:tblGrid>
        <w:gridCol w:w="1961"/>
        <w:gridCol w:w="1963"/>
        <w:gridCol w:w="1961"/>
        <w:gridCol w:w="1963"/>
        <w:gridCol w:w="1958"/>
      </w:tblGrid>
      <w:tr w14:paraId="406A06F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000" w:type="pct"/>
            <w:vAlign w:val="center"/>
          </w:tcPr>
          <w:p w14:paraId="62F13583">
            <w:pPr>
              <w:pStyle w:val="23"/>
              <w:jc w:val="center"/>
              <w:rPr>
                <w:rFonts w:ascii="宋体" w:hAnsi="宋体"/>
                <w:b/>
                <w:kern w:val="0"/>
                <w:szCs w:val="21"/>
              </w:rPr>
            </w:pPr>
            <w:r>
              <w:rPr>
                <w:rFonts w:ascii="宋体" w:hAnsi="宋体"/>
                <w:b/>
                <w:kern w:val="0"/>
                <w:szCs w:val="21"/>
              </w:rPr>
              <w:t>单位名称</w:t>
            </w:r>
          </w:p>
        </w:tc>
        <w:tc>
          <w:tcPr>
            <w:tcW w:w="1001" w:type="pct"/>
            <w:vAlign w:val="center"/>
          </w:tcPr>
          <w:p w14:paraId="41EBD93F">
            <w:pPr>
              <w:pStyle w:val="23"/>
              <w:jc w:val="center"/>
              <w:rPr>
                <w:rFonts w:ascii="宋体" w:hAnsi="宋体"/>
                <w:b/>
                <w:kern w:val="0"/>
                <w:szCs w:val="21"/>
              </w:rPr>
            </w:pPr>
            <w:r>
              <w:rPr>
                <w:rFonts w:ascii="宋体" w:hAnsi="宋体"/>
                <w:b/>
                <w:kern w:val="0"/>
                <w:szCs w:val="21"/>
              </w:rPr>
              <w:t>户籍人口(万人)</w:t>
            </w:r>
          </w:p>
        </w:tc>
        <w:tc>
          <w:tcPr>
            <w:tcW w:w="1000" w:type="pct"/>
            <w:vAlign w:val="center"/>
          </w:tcPr>
          <w:p w14:paraId="5CCC23D3">
            <w:pPr>
              <w:pStyle w:val="23"/>
              <w:jc w:val="center"/>
              <w:rPr>
                <w:rFonts w:ascii="宋体" w:hAnsi="宋体"/>
                <w:b/>
                <w:kern w:val="0"/>
                <w:szCs w:val="21"/>
              </w:rPr>
            </w:pPr>
            <w:r>
              <w:rPr>
                <w:rFonts w:ascii="宋体" w:hAnsi="宋体"/>
                <w:b/>
                <w:kern w:val="0"/>
                <w:szCs w:val="21"/>
              </w:rPr>
              <w:t>年末常住人口(万人)</w:t>
            </w:r>
          </w:p>
        </w:tc>
        <w:tc>
          <w:tcPr>
            <w:tcW w:w="1001" w:type="pct"/>
            <w:vAlign w:val="center"/>
          </w:tcPr>
          <w:p w14:paraId="0D6662C0">
            <w:pPr>
              <w:pStyle w:val="23"/>
              <w:jc w:val="center"/>
              <w:rPr>
                <w:rFonts w:ascii="宋体" w:hAnsi="宋体"/>
                <w:b/>
                <w:kern w:val="0"/>
                <w:szCs w:val="21"/>
              </w:rPr>
            </w:pPr>
            <w:r>
              <w:rPr>
                <w:rFonts w:ascii="宋体" w:hAnsi="宋体"/>
                <w:b/>
                <w:kern w:val="0"/>
                <w:szCs w:val="21"/>
              </w:rPr>
              <w:t>生产总值(当年价、亿元)</w:t>
            </w:r>
          </w:p>
        </w:tc>
        <w:tc>
          <w:tcPr>
            <w:tcW w:w="1000" w:type="pct"/>
            <w:vAlign w:val="center"/>
          </w:tcPr>
          <w:p w14:paraId="65269057">
            <w:pPr>
              <w:pStyle w:val="23"/>
              <w:jc w:val="center"/>
              <w:rPr>
                <w:rFonts w:ascii="宋体" w:hAnsi="宋体"/>
                <w:b/>
                <w:kern w:val="0"/>
                <w:szCs w:val="21"/>
              </w:rPr>
            </w:pPr>
            <w:r>
              <w:rPr>
                <w:rFonts w:ascii="宋体" w:hAnsi="宋体"/>
                <w:b/>
                <w:kern w:val="0"/>
                <w:szCs w:val="21"/>
              </w:rPr>
              <w:t>全部工业增加值(当年价、亿元)</w:t>
            </w:r>
          </w:p>
        </w:tc>
      </w:tr>
      <w:tr w14:paraId="35DED67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000" w:type="pct"/>
            <w:vAlign w:val="center"/>
          </w:tcPr>
          <w:p w14:paraId="212D2676">
            <w:pPr>
              <w:pStyle w:val="23"/>
              <w:jc w:val="center"/>
              <w:rPr>
                <w:rFonts w:ascii="宋体" w:hAnsi="宋体"/>
                <w:kern w:val="0"/>
                <w:szCs w:val="21"/>
              </w:rPr>
            </w:pPr>
            <w:r>
              <w:rPr>
                <w:rFonts w:ascii="宋体" w:hAnsi="宋体"/>
                <w:kern w:val="0"/>
                <w:szCs w:val="21"/>
              </w:rPr>
              <w:t>全市</w:t>
            </w:r>
          </w:p>
        </w:tc>
        <w:tc>
          <w:tcPr>
            <w:tcW w:w="1001" w:type="pct"/>
            <w:vAlign w:val="center"/>
          </w:tcPr>
          <w:p w14:paraId="76888A66">
            <w:pPr>
              <w:pStyle w:val="23"/>
              <w:jc w:val="center"/>
              <w:rPr>
                <w:rFonts w:ascii="宋体" w:hAnsi="宋体"/>
                <w:kern w:val="0"/>
                <w:szCs w:val="21"/>
              </w:rPr>
            </w:pPr>
            <w:r>
              <w:rPr>
                <w:rFonts w:ascii="宋体" w:hAnsi="宋体"/>
                <w:kern w:val="0"/>
                <w:szCs w:val="21"/>
              </w:rPr>
              <w:t>328.1</w:t>
            </w:r>
          </w:p>
        </w:tc>
        <w:tc>
          <w:tcPr>
            <w:tcW w:w="1000" w:type="pct"/>
            <w:vAlign w:val="center"/>
          </w:tcPr>
          <w:p w14:paraId="20A4495C">
            <w:pPr>
              <w:pStyle w:val="23"/>
              <w:jc w:val="center"/>
              <w:rPr>
                <w:rFonts w:ascii="宋体" w:hAnsi="宋体"/>
                <w:kern w:val="0"/>
                <w:szCs w:val="21"/>
              </w:rPr>
            </w:pPr>
            <w:r>
              <w:rPr>
                <w:rFonts w:ascii="宋体" w:hAnsi="宋体"/>
                <w:kern w:val="0"/>
                <w:szCs w:val="21"/>
              </w:rPr>
              <w:t>285</w:t>
            </w:r>
          </w:p>
        </w:tc>
        <w:tc>
          <w:tcPr>
            <w:tcW w:w="1001" w:type="pct"/>
            <w:vAlign w:val="center"/>
          </w:tcPr>
          <w:p w14:paraId="143543A6">
            <w:pPr>
              <w:pStyle w:val="23"/>
              <w:jc w:val="center"/>
              <w:rPr>
                <w:rFonts w:ascii="宋体" w:hAnsi="宋体"/>
                <w:kern w:val="0"/>
                <w:szCs w:val="21"/>
              </w:rPr>
            </w:pPr>
            <w:r>
              <w:rPr>
                <w:rFonts w:ascii="宋体" w:hAnsi="宋体"/>
                <w:kern w:val="0"/>
                <w:szCs w:val="21"/>
              </w:rPr>
              <w:t>816.81</w:t>
            </w:r>
          </w:p>
        </w:tc>
        <w:tc>
          <w:tcPr>
            <w:tcW w:w="1000" w:type="pct"/>
            <w:vAlign w:val="center"/>
          </w:tcPr>
          <w:p w14:paraId="3B2C43C5">
            <w:pPr>
              <w:pStyle w:val="23"/>
              <w:jc w:val="center"/>
              <w:rPr>
                <w:rFonts w:ascii="宋体" w:hAnsi="宋体"/>
                <w:kern w:val="0"/>
                <w:szCs w:val="21"/>
              </w:rPr>
            </w:pPr>
            <w:r>
              <w:rPr>
                <w:rFonts w:ascii="宋体" w:hAnsi="宋体"/>
                <w:kern w:val="0"/>
                <w:szCs w:val="21"/>
              </w:rPr>
              <w:t>298.28</w:t>
            </w:r>
          </w:p>
        </w:tc>
      </w:tr>
      <w:tr w14:paraId="558A16D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000" w:type="pct"/>
            <w:vAlign w:val="center"/>
          </w:tcPr>
          <w:p w14:paraId="68C7BF42">
            <w:pPr>
              <w:pStyle w:val="23"/>
              <w:jc w:val="center"/>
              <w:rPr>
                <w:rFonts w:ascii="宋体" w:hAnsi="宋体"/>
                <w:kern w:val="0"/>
                <w:szCs w:val="21"/>
              </w:rPr>
            </w:pPr>
            <w:r>
              <w:rPr>
                <w:rFonts w:ascii="宋体" w:hAnsi="宋体"/>
                <w:kern w:val="0"/>
                <w:szCs w:val="21"/>
              </w:rPr>
              <w:t>始兴</w:t>
            </w:r>
          </w:p>
        </w:tc>
        <w:tc>
          <w:tcPr>
            <w:tcW w:w="1001" w:type="pct"/>
            <w:vAlign w:val="center"/>
          </w:tcPr>
          <w:p w14:paraId="26FF2BCA">
            <w:pPr>
              <w:pStyle w:val="23"/>
              <w:jc w:val="center"/>
              <w:rPr>
                <w:rFonts w:ascii="宋体" w:hAnsi="宋体"/>
                <w:kern w:val="0"/>
                <w:szCs w:val="21"/>
              </w:rPr>
            </w:pPr>
            <w:r>
              <w:rPr>
                <w:rFonts w:ascii="宋体" w:hAnsi="宋体"/>
                <w:kern w:val="0"/>
                <w:szCs w:val="21"/>
              </w:rPr>
              <w:t>24.87</w:t>
            </w:r>
          </w:p>
        </w:tc>
        <w:tc>
          <w:tcPr>
            <w:tcW w:w="1000" w:type="pct"/>
            <w:vAlign w:val="center"/>
          </w:tcPr>
          <w:p w14:paraId="4F798F61">
            <w:pPr>
              <w:pStyle w:val="23"/>
              <w:jc w:val="center"/>
              <w:rPr>
                <w:rFonts w:ascii="宋体" w:hAnsi="宋体"/>
                <w:kern w:val="0"/>
                <w:szCs w:val="21"/>
              </w:rPr>
            </w:pPr>
            <w:r>
              <w:rPr>
                <w:rFonts w:ascii="宋体" w:hAnsi="宋体"/>
                <w:kern w:val="0"/>
                <w:szCs w:val="21"/>
              </w:rPr>
              <w:t>20.68</w:t>
            </w:r>
          </w:p>
        </w:tc>
        <w:tc>
          <w:tcPr>
            <w:tcW w:w="1001" w:type="pct"/>
            <w:vAlign w:val="center"/>
          </w:tcPr>
          <w:p w14:paraId="6278C340">
            <w:pPr>
              <w:pStyle w:val="23"/>
              <w:jc w:val="center"/>
              <w:rPr>
                <w:rFonts w:ascii="宋体" w:hAnsi="宋体"/>
                <w:kern w:val="0"/>
                <w:szCs w:val="21"/>
              </w:rPr>
            </w:pPr>
            <w:r>
              <w:rPr>
                <w:rFonts w:ascii="宋体" w:hAnsi="宋体"/>
                <w:kern w:val="0"/>
                <w:szCs w:val="21"/>
              </w:rPr>
              <w:t>43.28</w:t>
            </w:r>
          </w:p>
        </w:tc>
        <w:tc>
          <w:tcPr>
            <w:tcW w:w="1000" w:type="pct"/>
            <w:vAlign w:val="center"/>
          </w:tcPr>
          <w:p w14:paraId="297ADC33">
            <w:pPr>
              <w:pStyle w:val="23"/>
              <w:jc w:val="center"/>
              <w:rPr>
                <w:rFonts w:ascii="宋体" w:hAnsi="宋体"/>
                <w:kern w:val="0"/>
                <w:szCs w:val="21"/>
              </w:rPr>
            </w:pPr>
            <w:r>
              <w:rPr>
                <w:rFonts w:ascii="宋体" w:hAnsi="宋体"/>
                <w:kern w:val="0"/>
                <w:szCs w:val="21"/>
              </w:rPr>
              <w:t>14.32</w:t>
            </w:r>
          </w:p>
        </w:tc>
      </w:tr>
      <w:tr w14:paraId="545491F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000" w:type="pct"/>
            <w:vAlign w:val="center"/>
          </w:tcPr>
          <w:p w14:paraId="4836F377">
            <w:pPr>
              <w:pStyle w:val="23"/>
              <w:jc w:val="center"/>
              <w:rPr>
                <w:rFonts w:ascii="宋体" w:hAnsi="宋体"/>
                <w:kern w:val="0"/>
                <w:szCs w:val="21"/>
              </w:rPr>
            </w:pPr>
            <w:r>
              <w:rPr>
                <w:rFonts w:ascii="宋体" w:hAnsi="宋体"/>
                <w:kern w:val="0"/>
                <w:szCs w:val="21"/>
              </w:rPr>
              <w:t>仁化</w:t>
            </w:r>
          </w:p>
        </w:tc>
        <w:tc>
          <w:tcPr>
            <w:tcW w:w="1001" w:type="pct"/>
            <w:vAlign w:val="center"/>
          </w:tcPr>
          <w:p w14:paraId="252B43DB">
            <w:pPr>
              <w:pStyle w:val="23"/>
              <w:jc w:val="center"/>
              <w:rPr>
                <w:rFonts w:ascii="宋体" w:hAnsi="宋体"/>
                <w:kern w:val="0"/>
                <w:szCs w:val="21"/>
              </w:rPr>
            </w:pPr>
            <w:r>
              <w:rPr>
                <w:rFonts w:ascii="宋体" w:hAnsi="宋体"/>
                <w:kern w:val="0"/>
                <w:szCs w:val="21"/>
              </w:rPr>
              <w:t>23.46</w:t>
            </w:r>
          </w:p>
        </w:tc>
        <w:tc>
          <w:tcPr>
            <w:tcW w:w="1000" w:type="pct"/>
            <w:vAlign w:val="center"/>
          </w:tcPr>
          <w:p w14:paraId="2464FDA2">
            <w:pPr>
              <w:pStyle w:val="23"/>
              <w:jc w:val="center"/>
              <w:rPr>
                <w:rFonts w:ascii="宋体" w:hAnsi="宋体"/>
                <w:kern w:val="0"/>
                <w:szCs w:val="21"/>
              </w:rPr>
            </w:pPr>
            <w:r>
              <w:rPr>
                <w:rFonts w:ascii="宋体" w:hAnsi="宋体"/>
                <w:kern w:val="0"/>
                <w:szCs w:val="21"/>
              </w:rPr>
              <w:t>20.17</w:t>
            </w:r>
          </w:p>
        </w:tc>
        <w:tc>
          <w:tcPr>
            <w:tcW w:w="1001" w:type="pct"/>
            <w:vAlign w:val="center"/>
          </w:tcPr>
          <w:p w14:paraId="59F05A88">
            <w:pPr>
              <w:pStyle w:val="23"/>
              <w:jc w:val="center"/>
              <w:rPr>
                <w:rFonts w:ascii="宋体" w:hAnsi="宋体"/>
                <w:kern w:val="0"/>
                <w:szCs w:val="21"/>
              </w:rPr>
            </w:pPr>
            <w:r>
              <w:rPr>
                <w:rFonts w:ascii="宋体" w:hAnsi="宋体"/>
                <w:kern w:val="0"/>
                <w:szCs w:val="21"/>
              </w:rPr>
              <w:t>71.24</w:t>
            </w:r>
          </w:p>
        </w:tc>
        <w:tc>
          <w:tcPr>
            <w:tcW w:w="1000" w:type="pct"/>
            <w:vAlign w:val="center"/>
          </w:tcPr>
          <w:p w14:paraId="20C08408">
            <w:pPr>
              <w:pStyle w:val="23"/>
              <w:jc w:val="center"/>
              <w:rPr>
                <w:rFonts w:ascii="宋体" w:hAnsi="宋体"/>
                <w:kern w:val="0"/>
                <w:szCs w:val="21"/>
              </w:rPr>
            </w:pPr>
            <w:r>
              <w:rPr>
                <w:rFonts w:ascii="宋体" w:hAnsi="宋体"/>
                <w:kern w:val="0"/>
                <w:szCs w:val="21"/>
              </w:rPr>
              <w:t>33.55</w:t>
            </w:r>
          </w:p>
        </w:tc>
      </w:tr>
      <w:tr w14:paraId="457C34D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000" w:type="pct"/>
            <w:vAlign w:val="center"/>
          </w:tcPr>
          <w:p w14:paraId="5A94C01D">
            <w:pPr>
              <w:pStyle w:val="23"/>
              <w:jc w:val="center"/>
              <w:rPr>
                <w:rFonts w:ascii="宋体" w:hAnsi="宋体"/>
                <w:kern w:val="0"/>
                <w:szCs w:val="21"/>
              </w:rPr>
            </w:pPr>
            <w:r>
              <w:rPr>
                <w:rFonts w:ascii="宋体" w:hAnsi="宋体"/>
                <w:kern w:val="0"/>
                <w:szCs w:val="21"/>
              </w:rPr>
              <w:t>翁源</w:t>
            </w:r>
          </w:p>
        </w:tc>
        <w:tc>
          <w:tcPr>
            <w:tcW w:w="1001" w:type="pct"/>
            <w:vAlign w:val="center"/>
          </w:tcPr>
          <w:p w14:paraId="01D8235D">
            <w:pPr>
              <w:pStyle w:val="23"/>
              <w:jc w:val="center"/>
              <w:rPr>
                <w:rFonts w:ascii="宋体" w:hAnsi="宋体"/>
                <w:kern w:val="0"/>
                <w:szCs w:val="21"/>
              </w:rPr>
            </w:pPr>
            <w:r>
              <w:rPr>
                <w:rFonts w:ascii="宋体" w:hAnsi="宋体"/>
                <w:kern w:val="0"/>
                <w:szCs w:val="21"/>
              </w:rPr>
              <w:t>39.96</w:t>
            </w:r>
          </w:p>
        </w:tc>
        <w:tc>
          <w:tcPr>
            <w:tcW w:w="1000" w:type="pct"/>
            <w:vAlign w:val="center"/>
          </w:tcPr>
          <w:p w14:paraId="11D26FDA">
            <w:pPr>
              <w:pStyle w:val="23"/>
              <w:jc w:val="center"/>
              <w:rPr>
                <w:rFonts w:ascii="宋体" w:hAnsi="宋体"/>
                <w:kern w:val="0"/>
                <w:szCs w:val="21"/>
              </w:rPr>
            </w:pPr>
            <w:r>
              <w:rPr>
                <w:rFonts w:ascii="宋体" w:hAnsi="宋体"/>
                <w:kern w:val="0"/>
                <w:szCs w:val="21"/>
              </w:rPr>
              <w:t>33.37</w:t>
            </w:r>
          </w:p>
        </w:tc>
        <w:tc>
          <w:tcPr>
            <w:tcW w:w="1001" w:type="pct"/>
            <w:vAlign w:val="center"/>
          </w:tcPr>
          <w:p w14:paraId="294B536C">
            <w:pPr>
              <w:pStyle w:val="23"/>
              <w:jc w:val="center"/>
              <w:rPr>
                <w:rFonts w:ascii="宋体" w:hAnsi="宋体"/>
                <w:kern w:val="0"/>
                <w:szCs w:val="21"/>
              </w:rPr>
            </w:pPr>
            <w:r>
              <w:rPr>
                <w:rFonts w:ascii="宋体" w:hAnsi="宋体"/>
                <w:kern w:val="0"/>
                <w:szCs w:val="21"/>
              </w:rPr>
              <w:t>51.51</w:t>
            </w:r>
          </w:p>
        </w:tc>
        <w:tc>
          <w:tcPr>
            <w:tcW w:w="1000" w:type="pct"/>
            <w:vAlign w:val="center"/>
          </w:tcPr>
          <w:p w14:paraId="39FA197F">
            <w:pPr>
              <w:pStyle w:val="23"/>
              <w:jc w:val="center"/>
              <w:rPr>
                <w:rFonts w:ascii="宋体" w:hAnsi="宋体"/>
                <w:kern w:val="0"/>
                <w:szCs w:val="21"/>
              </w:rPr>
            </w:pPr>
            <w:r>
              <w:rPr>
                <w:rFonts w:ascii="宋体" w:hAnsi="宋体"/>
                <w:kern w:val="0"/>
                <w:szCs w:val="21"/>
              </w:rPr>
              <w:t>14.86</w:t>
            </w:r>
          </w:p>
        </w:tc>
      </w:tr>
      <w:tr w14:paraId="37B15BD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000" w:type="pct"/>
            <w:vAlign w:val="center"/>
          </w:tcPr>
          <w:p w14:paraId="6073BD7A">
            <w:pPr>
              <w:pStyle w:val="23"/>
              <w:jc w:val="center"/>
              <w:rPr>
                <w:rFonts w:ascii="宋体" w:hAnsi="宋体"/>
                <w:kern w:val="0"/>
                <w:szCs w:val="21"/>
              </w:rPr>
            </w:pPr>
            <w:r>
              <w:rPr>
                <w:rFonts w:ascii="宋体" w:hAnsi="宋体"/>
                <w:kern w:val="0"/>
                <w:szCs w:val="21"/>
              </w:rPr>
              <w:t>乳源</w:t>
            </w:r>
          </w:p>
        </w:tc>
        <w:tc>
          <w:tcPr>
            <w:tcW w:w="1001" w:type="pct"/>
            <w:vAlign w:val="center"/>
          </w:tcPr>
          <w:p w14:paraId="1C62053C">
            <w:pPr>
              <w:pStyle w:val="23"/>
              <w:jc w:val="center"/>
              <w:rPr>
                <w:rFonts w:ascii="宋体" w:hAnsi="宋体"/>
                <w:kern w:val="0"/>
                <w:szCs w:val="21"/>
              </w:rPr>
            </w:pPr>
            <w:r>
              <w:rPr>
                <w:rFonts w:ascii="宋体" w:hAnsi="宋体"/>
                <w:kern w:val="0"/>
                <w:szCs w:val="21"/>
              </w:rPr>
              <w:t>21.80</w:t>
            </w:r>
          </w:p>
        </w:tc>
        <w:tc>
          <w:tcPr>
            <w:tcW w:w="1000" w:type="pct"/>
            <w:vAlign w:val="center"/>
          </w:tcPr>
          <w:p w14:paraId="1E05FD41">
            <w:pPr>
              <w:pStyle w:val="23"/>
              <w:jc w:val="center"/>
              <w:rPr>
                <w:rFonts w:ascii="宋体" w:hAnsi="宋体"/>
                <w:kern w:val="0"/>
                <w:szCs w:val="21"/>
              </w:rPr>
            </w:pPr>
            <w:r>
              <w:rPr>
                <w:rFonts w:ascii="宋体" w:hAnsi="宋体"/>
                <w:kern w:val="0"/>
                <w:szCs w:val="21"/>
              </w:rPr>
              <w:t>17.87</w:t>
            </w:r>
          </w:p>
        </w:tc>
        <w:tc>
          <w:tcPr>
            <w:tcW w:w="1001" w:type="pct"/>
            <w:vAlign w:val="center"/>
          </w:tcPr>
          <w:p w14:paraId="02B421D4">
            <w:pPr>
              <w:pStyle w:val="23"/>
              <w:jc w:val="center"/>
              <w:rPr>
                <w:rFonts w:ascii="宋体" w:hAnsi="宋体"/>
                <w:kern w:val="0"/>
                <w:szCs w:val="21"/>
              </w:rPr>
            </w:pPr>
            <w:r>
              <w:rPr>
                <w:rFonts w:ascii="宋体" w:hAnsi="宋体"/>
                <w:kern w:val="0"/>
                <w:szCs w:val="21"/>
              </w:rPr>
              <w:t>46.32</w:t>
            </w:r>
          </w:p>
        </w:tc>
        <w:tc>
          <w:tcPr>
            <w:tcW w:w="1000" w:type="pct"/>
            <w:vAlign w:val="center"/>
          </w:tcPr>
          <w:p w14:paraId="520BDBBB">
            <w:pPr>
              <w:pStyle w:val="23"/>
              <w:jc w:val="center"/>
              <w:rPr>
                <w:rFonts w:ascii="宋体" w:hAnsi="宋体"/>
                <w:kern w:val="0"/>
                <w:szCs w:val="21"/>
              </w:rPr>
            </w:pPr>
            <w:r>
              <w:rPr>
                <w:rFonts w:ascii="宋体" w:hAnsi="宋体"/>
                <w:kern w:val="0"/>
                <w:szCs w:val="21"/>
              </w:rPr>
              <w:t>21.4</w:t>
            </w:r>
          </w:p>
        </w:tc>
      </w:tr>
      <w:tr w14:paraId="1295743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000" w:type="pct"/>
            <w:vAlign w:val="center"/>
          </w:tcPr>
          <w:p w14:paraId="6F3DA14D">
            <w:pPr>
              <w:pStyle w:val="23"/>
              <w:jc w:val="center"/>
              <w:rPr>
                <w:rFonts w:ascii="宋体" w:hAnsi="宋体"/>
                <w:kern w:val="0"/>
                <w:szCs w:val="21"/>
              </w:rPr>
            </w:pPr>
            <w:r>
              <w:rPr>
                <w:rFonts w:ascii="宋体" w:hAnsi="宋体"/>
                <w:kern w:val="0"/>
                <w:szCs w:val="21"/>
              </w:rPr>
              <w:t>新丰</w:t>
            </w:r>
          </w:p>
        </w:tc>
        <w:tc>
          <w:tcPr>
            <w:tcW w:w="1001" w:type="pct"/>
            <w:vAlign w:val="center"/>
          </w:tcPr>
          <w:p w14:paraId="6EDFF0BD">
            <w:pPr>
              <w:pStyle w:val="23"/>
              <w:jc w:val="center"/>
              <w:rPr>
                <w:rFonts w:ascii="宋体" w:hAnsi="宋体"/>
                <w:kern w:val="0"/>
                <w:szCs w:val="21"/>
              </w:rPr>
            </w:pPr>
            <w:r>
              <w:rPr>
                <w:rFonts w:ascii="宋体" w:hAnsi="宋体"/>
                <w:kern w:val="0"/>
                <w:szCs w:val="21"/>
              </w:rPr>
              <w:t>25.66</w:t>
            </w:r>
          </w:p>
        </w:tc>
        <w:tc>
          <w:tcPr>
            <w:tcW w:w="1000" w:type="pct"/>
            <w:vAlign w:val="center"/>
          </w:tcPr>
          <w:p w14:paraId="6AA083B2">
            <w:pPr>
              <w:pStyle w:val="23"/>
              <w:jc w:val="center"/>
              <w:rPr>
                <w:rFonts w:ascii="宋体" w:hAnsi="宋体"/>
                <w:kern w:val="0"/>
                <w:szCs w:val="21"/>
              </w:rPr>
            </w:pPr>
            <w:r>
              <w:rPr>
                <w:rFonts w:ascii="宋体" w:hAnsi="宋体"/>
                <w:kern w:val="0"/>
                <w:szCs w:val="21"/>
              </w:rPr>
              <w:t>20.79</w:t>
            </w:r>
          </w:p>
        </w:tc>
        <w:tc>
          <w:tcPr>
            <w:tcW w:w="1001" w:type="pct"/>
            <w:vAlign w:val="center"/>
          </w:tcPr>
          <w:p w14:paraId="4335F35F">
            <w:pPr>
              <w:pStyle w:val="23"/>
              <w:jc w:val="center"/>
              <w:rPr>
                <w:rFonts w:ascii="宋体" w:hAnsi="宋体"/>
                <w:kern w:val="0"/>
                <w:szCs w:val="21"/>
              </w:rPr>
            </w:pPr>
            <w:r>
              <w:rPr>
                <w:rFonts w:ascii="宋体" w:hAnsi="宋体"/>
                <w:kern w:val="0"/>
                <w:szCs w:val="21"/>
              </w:rPr>
              <w:t>37.15</w:t>
            </w:r>
          </w:p>
        </w:tc>
        <w:tc>
          <w:tcPr>
            <w:tcW w:w="1000" w:type="pct"/>
            <w:vAlign w:val="center"/>
          </w:tcPr>
          <w:p w14:paraId="4A7795A1">
            <w:pPr>
              <w:pStyle w:val="23"/>
              <w:jc w:val="center"/>
              <w:rPr>
                <w:rFonts w:ascii="宋体" w:hAnsi="宋体"/>
                <w:kern w:val="0"/>
                <w:szCs w:val="21"/>
              </w:rPr>
            </w:pPr>
            <w:r>
              <w:rPr>
                <w:rFonts w:ascii="宋体" w:hAnsi="宋体"/>
                <w:kern w:val="0"/>
                <w:szCs w:val="21"/>
              </w:rPr>
              <w:t>13.4</w:t>
            </w:r>
          </w:p>
        </w:tc>
      </w:tr>
      <w:tr w14:paraId="1DAAB1F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000" w:type="pct"/>
            <w:vAlign w:val="center"/>
          </w:tcPr>
          <w:p w14:paraId="2B0F94C2">
            <w:pPr>
              <w:pStyle w:val="23"/>
              <w:jc w:val="center"/>
              <w:rPr>
                <w:rFonts w:ascii="宋体" w:hAnsi="宋体"/>
                <w:kern w:val="0"/>
                <w:szCs w:val="21"/>
              </w:rPr>
            </w:pPr>
            <w:r>
              <w:rPr>
                <w:rFonts w:ascii="宋体" w:hAnsi="宋体"/>
                <w:kern w:val="0"/>
                <w:szCs w:val="21"/>
              </w:rPr>
              <w:t>乐昌</w:t>
            </w:r>
          </w:p>
        </w:tc>
        <w:tc>
          <w:tcPr>
            <w:tcW w:w="1001" w:type="pct"/>
            <w:vAlign w:val="center"/>
          </w:tcPr>
          <w:p w14:paraId="52FF5134">
            <w:pPr>
              <w:pStyle w:val="23"/>
              <w:jc w:val="center"/>
              <w:rPr>
                <w:rFonts w:ascii="宋体" w:hAnsi="宋体"/>
                <w:kern w:val="0"/>
                <w:szCs w:val="21"/>
              </w:rPr>
            </w:pPr>
            <w:r>
              <w:rPr>
                <w:rFonts w:ascii="宋体" w:hAnsi="宋体"/>
                <w:kern w:val="0"/>
                <w:szCs w:val="21"/>
              </w:rPr>
              <w:t>53.04</w:t>
            </w:r>
          </w:p>
        </w:tc>
        <w:tc>
          <w:tcPr>
            <w:tcW w:w="1000" w:type="pct"/>
            <w:vAlign w:val="center"/>
          </w:tcPr>
          <w:p w14:paraId="3AC89335">
            <w:pPr>
              <w:pStyle w:val="23"/>
              <w:jc w:val="center"/>
              <w:rPr>
                <w:rFonts w:ascii="宋体" w:hAnsi="宋体"/>
                <w:kern w:val="0"/>
                <w:szCs w:val="21"/>
              </w:rPr>
            </w:pPr>
            <w:r>
              <w:rPr>
                <w:rFonts w:ascii="宋体" w:hAnsi="宋体"/>
                <w:kern w:val="0"/>
                <w:szCs w:val="21"/>
              </w:rPr>
              <w:t>40.14</w:t>
            </w:r>
          </w:p>
        </w:tc>
        <w:tc>
          <w:tcPr>
            <w:tcW w:w="1001" w:type="pct"/>
            <w:vAlign w:val="center"/>
          </w:tcPr>
          <w:p w14:paraId="47D74E93">
            <w:pPr>
              <w:pStyle w:val="23"/>
              <w:jc w:val="center"/>
              <w:rPr>
                <w:rFonts w:ascii="宋体" w:hAnsi="宋体"/>
                <w:kern w:val="0"/>
                <w:szCs w:val="21"/>
              </w:rPr>
            </w:pPr>
            <w:r>
              <w:rPr>
                <w:rFonts w:ascii="宋体" w:hAnsi="宋体"/>
                <w:kern w:val="0"/>
                <w:szCs w:val="21"/>
              </w:rPr>
              <w:t>73.28</w:t>
            </w:r>
          </w:p>
        </w:tc>
        <w:tc>
          <w:tcPr>
            <w:tcW w:w="1000" w:type="pct"/>
            <w:vAlign w:val="center"/>
          </w:tcPr>
          <w:p w14:paraId="079DB2E7">
            <w:pPr>
              <w:pStyle w:val="23"/>
              <w:jc w:val="center"/>
              <w:rPr>
                <w:rFonts w:ascii="宋体" w:hAnsi="宋体"/>
                <w:kern w:val="0"/>
                <w:szCs w:val="21"/>
              </w:rPr>
            </w:pPr>
            <w:r>
              <w:rPr>
                <w:rFonts w:ascii="宋体" w:hAnsi="宋体"/>
                <w:kern w:val="0"/>
                <w:szCs w:val="21"/>
              </w:rPr>
              <w:t>20.66</w:t>
            </w:r>
          </w:p>
        </w:tc>
      </w:tr>
      <w:tr w14:paraId="02D71D2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000" w:type="pct"/>
            <w:vAlign w:val="center"/>
          </w:tcPr>
          <w:p w14:paraId="7D4F63D7">
            <w:pPr>
              <w:pStyle w:val="23"/>
              <w:jc w:val="center"/>
              <w:rPr>
                <w:rFonts w:ascii="宋体" w:hAnsi="宋体"/>
                <w:kern w:val="0"/>
                <w:szCs w:val="21"/>
              </w:rPr>
            </w:pPr>
            <w:r>
              <w:rPr>
                <w:rFonts w:ascii="宋体" w:hAnsi="宋体"/>
                <w:kern w:val="0"/>
                <w:szCs w:val="21"/>
              </w:rPr>
              <w:t>南雄</w:t>
            </w:r>
          </w:p>
        </w:tc>
        <w:tc>
          <w:tcPr>
            <w:tcW w:w="1001" w:type="pct"/>
            <w:vAlign w:val="center"/>
          </w:tcPr>
          <w:p w14:paraId="0DC18C1B">
            <w:pPr>
              <w:pStyle w:val="23"/>
              <w:jc w:val="center"/>
              <w:rPr>
                <w:rFonts w:ascii="宋体" w:hAnsi="宋体"/>
                <w:kern w:val="0"/>
                <w:szCs w:val="21"/>
              </w:rPr>
            </w:pPr>
            <w:r>
              <w:rPr>
                <w:rFonts w:ascii="宋体" w:hAnsi="宋体"/>
                <w:kern w:val="0"/>
                <w:szCs w:val="21"/>
              </w:rPr>
              <w:t>47.35</w:t>
            </w:r>
          </w:p>
        </w:tc>
        <w:tc>
          <w:tcPr>
            <w:tcW w:w="1000" w:type="pct"/>
            <w:vAlign w:val="center"/>
          </w:tcPr>
          <w:p w14:paraId="722F8314">
            <w:pPr>
              <w:pStyle w:val="23"/>
              <w:jc w:val="center"/>
              <w:rPr>
                <w:rFonts w:ascii="宋体" w:hAnsi="宋体"/>
                <w:kern w:val="0"/>
                <w:szCs w:val="21"/>
              </w:rPr>
            </w:pPr>
            <w:r>
              <w:rPr>
                <w:rFonts w:ascii="宋体" w:hAnsi="宋体"/>
                <w:kern w:val="0"/>
                <w:szCs w:val="21"/>
              </w:rPr>
              <w:t>32.06</w:t>
            </w:r>
          </w:p>
        </w:tc>
        <w:tc>
          <w:tcPr>
            <w:tcW w:w="1001" w:type="pct"/>
            <w:vAlign w:val="center"/>
          </w:tcPr>
          <w:p w14:paraId="2C42CC80">
            <w:pPr>
              <w:pStyle w:val="23"/>
              <w:jc w:val="center"/>
              <w:rPr>
                <w:rFonts w:ascii="宋体" w:hAnsi="宋体"/>
                <w:kern w:val="0"/>
                <w:szCs w:val="21"/>
              </w:rPr>
            </w:pPr>
            <w:r>
              <w:rPr>
                <w:rFonts w:ascii="宋体" w:hAnsi="宋体"/>
                <w:kern w:val="0"/>
                <w:szCs w:val="21"/>
              </w:rPr>
              <w:t>73.3</w:t>
            </w:r>
          </w:p>
        </w:tc>
        <w:tc>
          <w:tcPr>
            <w:tcW w:w="1000" w:type="pct"/>
            <w:vAlign w:val="center"/>
          </w:tcPr>
          <w:p w14:paraId="3BFAFA72">
            <w:pPr>
              <w:pStyle w:val="23"/>
              <w:jc w:val="center"/>
              <w:rPr>
                <w:rFonts w:ascii="宋体" w:hAnsi="宋体"/>
                <w:kern w:val="0"/>
                <w:szCs w:val="21"/>
              </w:rPr>
            </w:pPr>
            <w:r>
              <w:rPr>
                <w:rFonts w:ascii="宋体" w:hAnsi="宋体"/>
                <w:kern w:val="0"/>
                <w:szCs w:val="21"/>
              </w:rPr>
              <w:t>15.85</w:t>
            </w:r>
          </w:p>
        </w:tc>
      </w:tr>
      <w:tr w14:paraId="481F5F5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000" w:type="pct"/>
            <w:vAlign w:val="center"/>
          </w:tcPr>
          <w:p w14:paraId="01193B7E">
            <w:pPr>
              <w:pStyle w:val="23"/>
              <w:jc w:val="center"/>
              <w:rPr>
                <w:rFonts w:ascii="宋体" w:hAnsi="宋体"/>
                <w:kern w:val="0"/>
                <w:szCs w:val="21"/>
              </w:rPr>
            </w:pPr>
            <w:r>
              <w:rPr>
                <w:rFonts w:ascii="宋体" w:hAnsi="宋体"/>
                <w:kern w:val="0"/>
                <w:szCs w:val="21"/>
              </w:rPr>
              <w:t>武江</w:t>
            </w:r>
          </w:p>
        </w:tc>
        <w:tc>
          <w:tcPr>
            <w:tcW w:w="1001" w:type="pct"/>
            <w:vAlign w:val="center"/>
          </w:tcPr>
          <w:p w14:paraId="5FAAFA69">
            <w:pPr>
              <w:pStyle w:val="23"/>
              <w:jc w:val="center"/>
              <w:rPr>
                <w:rFonts w:ascii="宋体" w:hAnsi="宋体"/>
                <w:kern w:val="0"/>
                <w:szCs w:val="21"/>
              </w:rPr>
            </w:pPr>
            <w:r>
              <w:rPr>
                <w:rFonts w:ascii="宋体" w:hAnsi="宋体"/>
                <w:kern w:val="0"/>
                <w:szCs w:val="21"/>
              </w:rPr>
              <w:t>26.19</w:t>
            </w:r>
          </w:p>
        </w:tc>
        <w:tc>
          <w:tcPr>
            <w:tcW w:w="1000" w:type="pct"/>
            <w:vAlign w:val="center"/>
          </w:tcPr>
          <w:p w14:paraId="28777A72">
            <w:pPr>
              <w:pStyle w:val="23"/>
              <w:jc w:val="center"/>
              <w:rPr>
                <w:rFonts w:ascii="宋体" w:hAnsi="宋体"/>
                <w:kern w:val="0"/>
                <w:szCs w:val="21"/>
              </w:rPr>
            </w:pPr>
            <w:r>
              <w:rPr>
                <w:rFonts w:ascii="宋体" w:hAnsi="宋体"/>
                <w:kern w:val="0"/>
                <w:szCs w:val="21"/>
              </w:rPr>
              <w:t>29.84</w:t>
            </w:r>
          </w:p>
        </w:tc>
        <w:tc>
          <w:tcPr>
            <w:tcW w:w="1001" w:type="pct"/>
            <w:vAlign w:val="center"/>
          </w:tcPr>
          <w:p w14:paraId="25541AE7">
            <w:pPr>
              <w:pStyle w:val="23"/>
              <w:jc w:val="center"/>
              <w:rPr>
                <w:rFonts w:ascii="宋体" w:hAnsi="宋体"/>
                <w:kern w:val="0"/>
                <w:szCs w:val="21"/>
              </w:rPr>
            </w:pPr>
            <w:r>
              <w:rPr>
                <w:rFonts w:ascii="宋体" w:hAnsi="宋体"/>
                <w:kern w:val="0"/>
                <w:szCs w:val="21"/>
              </w:rPr>
              <w:t>145.87</w:t>
            </w:r>
          </w:p>
        </w:tc>
        <w:tc>
          <w:tcPr>
            <w:tcW w:w="1000" w:type="pct"/>
            <w:vAlign w:val="center"/>
          </w:tcPr>
          <w:p w14:paraId="27ED869B">
            <w:pPr>
              <w:pStyle w:val="23"/>
              <w:jc w:val="center"/>
              <w:rPr>
                <w:rFonts w:ascii="宋体" w:hAnsi="宋体"/>
                <w:kern w:val="0"/>
                <w:szCs w:val="21"/>
              </w:rPr>
            </w:pPr>
            <w:r>
              <w:rPr>
                <w:rFonts w:ascii="宋体" w:hAnsi="宋体"/>
                <w:kern w:val="0"/>
                <w:szCs w:val="21"/>
              </w:rPr>
              <w:t>69.43</w:t>
            </w:r>
          </w:p>
        </w:tc>
      </w:tr>
      <w:tr w14:paraId="52F56FC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000" w:type="pct"/>
            <w:vAlign w:val="center"/>
          </w:tcPr>
          <w:p w14:paraId="19CEBE5E">
            <w:pPr>
              <w:pStyle w:val="23"/>
              <w:jc w:val="center"/>
              <w:rPr>
                <w:rFonts w:ascii="宋体" w:hAnsi="宋体"/>
                <w:kern w:val="0"/>
                <w:szCs w:val="21"/>
              </w:rPr>
            </w:pPr>
            <w:r>
              <w:rPr>
                <w:rFonts w:ascii="宋体" w:hAnsi="宋体"/>
                <w:kern w:val="0"/>
                <w:szCs w:val="21"/>
              </w:rPr>
              <w:t>浈江</w:t>
            </w:r>
          </w:p>
        </w:tc>
        <w:tc>
          <w:tcPr>
            <w:tcW w:w="1001" w:type="pct"/>
            <w:vAlign w:val="center"/>
          </w:tcPr>
          <w:p w14:paraId="4C061D9E">
            <w:pPr>
              <w:pStyle w:val="23"/>
              <w:jc w:val="center"/>
              <w:rPr>
                <w:rFonts w:ascii="宋体" w:hAnsi="宋体"/>
                <w:kern w:val="0"/>
                <w:szCs w:val="21"/>
              </w:rPr>
            </w:pPr>
            <w:r>
              <w:rPr>
                <w:rFonts w:ascii="宋体" w:hAnsi="宋体"/>
                <w:kern w:val="0"/>
                <w:szCs w:val="21"/>
              </w:rPr>
              <w:t>35.69</w:t>
            </w:r>
          </w:p>
        </w:tc>
        <w:tc>
          <w:tcPr>
            <w:tcW w:w="1000" w:type="pct"/>
            <w:vAlign w:val="center"/>
          </w:tcPr>
          <w:p w14:paraId="34269865">
            <w:pPr>
              <w:pStyle w:val="23"/>
              <w:jc w:val="center"/>
              <w:rPr>
                <w:rFonts w:ascii="宋体" w:hAnsi="宋体"/>
                <w:kern w:val="0"/>
                <w:szCs w:val="21"/>
              </w:rPr>
            </w:pPr>
            <w:r>
              <w:rPr>
                <w:rFonts w:ascii="宋体" w:hAnsi="宋体"/>
                <w:kern w:val="0"/>
                <w:szCs w:val="21"/>
              </w:rPr>
              <w:t>39.53</w:t>
            </w:r>
          </w:p>
        </w:tc>
        <w:tc>
          <w:tcPr>
            <w:tcW w:w="1001" w:type="pct"/>
            <w:vAlign w:val="center"/>
          </w:tcPr>
          <w:p w14:paraId="171CD5D1">
            <w:pPr>
              <w:pStyle w:val="23"/>
              <w:jc w:val="center"/>
              <w:rPr>
                <w:rFonts w:ascii="宋体" w:hAnsi="宋体"/>
                <w:kern w:val="0"/>
                <w:szCs w:val="21"/>
              </w:rPr>
            </w:pPr>
            <w:r>
              <w:rPr>
                <w:rFonts w:ascii="宋体" w:hAnsi="宋体"/>
                <w:kern w:val="0"/>
                <w:szCs w:val="21"/>
              </w:rPr>
              <w:t>136.62</w:t>
            </w:r>
          </w:p>
        </w:tc>
        <w:tc>
          <w:tcPr>
            <w:tcW w:w="1000" w:type="pct"/>
            <w:vAlign w:val="center"/>
          </w:tcPr>
          <w:p w14:paraId="37356865">
            <w:pPr>
              <w:pStyle w:val="23"/>
              <w:jc w:val="center"/>
              <w:rPr>
                <w:rFonts w:ascii="宋体" w:hAnsi="宋体"/>
                <w:kern w:val="0"/>
                <w:szCs w:val="21"/>
              </w:rPr>
            </w:pPr>
            <w:r>
              <w:rPr>
                <w:rFonts w:ascii="宋体" w:hAnsi="宋体"/>
                <w:kern w:val="0"/>
                <w:szCs w:val="21"/>
              </w:rPr>
              <w:t>19.74</w:t>
            </w:r>
          </w:p>
        </w:tc>
      </w:tr>
      <w:tr w14:paraId="49F26BF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30" w:type="dxa"/>
            <w:bottom w:w="0" w:type="dxa"/>
            <w:right w:w="30" w:type="dxa"/>
          </w:tblCellMar>
        </w:tblPrEx>
        <w:trPr>
          <w:trHeight w:val="247" w:hRule="atLeast"/>
        </w:trPr>
        <w:tc>
          <w:tcPr>
            <w:tcW w:w="1000" w:type="pct"/>
            <w:vAlign w:val="center"/>
          </w:tcPr>
          <w:p w14:paraId="1BC8E2F4">
            <w:pPr>
              <w:pStyle w:val="23"/>
              <w:jc w:val="center"/>
              <w:rPr>
                <w:rFonts w:ascii="宋体" w:hAnsi="宋体"/>
                <w:kern w:val="0"/>
                <w:szCs w:val="21"/>
              </w:rPr>
            </w:pPr>
            <w:r>
              <w:rPr>
                <w:rFonts w:ascii="宋体" w:hAnsi="宋体"/>
                <w:kern w:val="0"/>
                <w:szCs w:val="21"/>
              </w:rPr>
              <w:t>曲江</w:t>
            </w:r>
          </w:p>
        </w:tc>
        <w:tc>
          <w:tcPr>
            <w:tcW w:w="1001" w:type="pct"/>
            <w:vAlign w:val="center"/>
          </w:tcPr>
          <w:p w14:paraId="5F22FD3B">
            <w:pPr>
              <w:pStyle w:val="23"/>
              <w:jc w:val="center"/>
              <w:rPr>
                <w:rFonts w:ascii="宋体" w:hAnsi="宋体"/>
                <w:kern w:val="0"/>
                <w:szCs w:val="21"/>
              </w:rPr>
            </w:pPr>
            <w:r>
              <w:rPr>
                <w:rFonts w:ascii="宋体" w:hAnsi="宋体"/>
                <w:kern w:val="0"/>
                <w:szCs w:val="21"/>
              </w:rPr>
              <w:t>31.63</w:t>
            </w:r>
          </w:p>
        </w:tc>
        <w:tc>
          <w:tcPr>
            <w:tcW w:w="1000" w:type="pct"/>
            <w:vAlign w:val="center"/>
          </w:tcPr>
          <w:p w14:paraId="071B213C">
            <w:pPr>
              <w:pStyle w:val="23"/>
              <w:jc w:val="center"/>
              <w:rPr>
                <w:rFonts w:ascii="宋体" w:hAnsi="宋体"/>
                <w:kern w:val="0"/>
                <w:szCs w:val="21"/>
              </w:rPr>
            </w:pPr>
            <w:r>
              <w:rPr>
                <w:rFonts w:ascii="宋体" w:hAnsi="宋体"/>
                <w:kern w:val="0"/>
                <w:szCs w:val="21"/>
              </w:rPr>
              <w:t>30.55</w:t>
            </w:r>
          </w:p>
        </w:tc>
        <w:tc>
          <w:tcPr>
            <w:tcW w:w="1001" w:type="pct"/>
            <w:vAlign w:val="center"/>
          </w:tcPr>
          <w:p w14:paraId="526346D5">
            <w:pPr>
              <w:pStyle w:val="23"/>
              <w:jc w:val="center"/>
              <w:rPr>
                <w:rFonts w:ascii="宋体" w:hAnsi="宋体"/>
                <w:kern w:val="0"/>
                <w:szCs w:val="21"/>
              </w:rPr>
            </w:pPr>
            <w:r>
              <w:rPr>
                <w:rFonts w:ascii="宋体" w:hAnsi="宋体"/>
                <w:kern w:val="0"/>
                <w:szCs w:val="21"/>
              </w:rPr>
              <w:t>113.43</w:t>
            </w:r>
          </w:p>
        </w:tc>
        <w:tc>
          <w:tcPr>
            <w:tcW w:w="1000" w:type="pct"/>
            <w:vAlign w:val="center"/>
          </w:tcPr>
          <w:p w14:paraId="390740E3">
            <w:pPr>
              <w:pStyle w:val="23"/>
              <w:jc w:val="center"/>
              <w:rPr>
                <w:rFonts w:ascii="宋体" w:hAnsi="宋体"/>
                <w:kern w:val="0"/>
                <w:szCs w:val="21"/>
              </w:rPr>
            </w:pPr>
            <w:r>
              <w:rPr>
                <w:rFonts w:ascii="宋体" w:hAnsi="宋体"/>
                <w:kern w:val="0"/>
                <w:szCs w:val="21"/>
              </w:rPr>
              <w:t>61.97</w:t>
            </w:r>
          </w:p>
        </w:tc>
      </w:tr>
    </w:tbl>
    <w:p w14:paraId="693F7AAB">
      <w:pPr>
        <w:ind w:firstLine="0" w:firstLineChars="0"/>
        <w:jc w:val="center"/>
        <w:rPr>
          <w:rFonts w:ascii="宋体" w:hAnsi="宋体"/>
          <w:b/>
          <w:szCs w:val="21"/>
        </w:rPr>
      </w:pPr>
      <w:r>
        <w:rPr>
          <w:rFonts w:hint="eastAsia" w:ascii="宋体" w:hAnsi="宋体"/>
          <w:b/>
          <w:szCs w:val="21"/>
        </w:rPr>
        <w:t>表93 韶关市属各县（市）主要经济指标（二）</w:t>
      </w:r>
    </w:p>
    <w:tbl>
      <w:tblPr>
        <w:tblStyle w:val="14"/>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03"/>
        <w:gridCol w:w="2312"/>
        <w:gridCol w:w="2481"/>
        <w:gridCol w:w="2301"/>
        <w:gridCol w:w="1765"/>
      </w:tblGrid>
      <w:tr w14:paraId="0465D83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553" w:type="pct"/>
            <w:shd w:val="clear" w:color="auto" w:fill="auto"/>
            <w:noWrap/>
            <w:vAlign w:val="center"/>
          </w:tcPr>
          <w:p w14:paraId="0E815905">
            <w:pPr>
              <w:pStyle w:val="23"/>
              <w:jc w:val="center"/>
              <w:rPr>
                <w:rFonts w:ascii="宋体" w:hAnsi="宋体"/>
                <w:b/>
                <w:kern w:val="0"/>
                <w:szCs w:val="21"/>
              </w:rPr>
            </w:pPr>
            <w:r>
              <w:rPr>
                <w:rFonts w:ascii="宋体" w:hAnsi="宋体"/>
                <w:b/>
                <w:kern w:val="0"/>
                <w:szCs w:val="21"/>
              </w:rPr>
              <w:t>单位名称</w:t>
            </w:r>
          </w:p>
        </w:tc>
        <w:tc>
          <w:tcPr>
            <w:tcW w:w="1160" w:type="pct"/>
            <w:shd w:val="clear" w:color="auto" w:fill="auto"/>
            <w:noWrap/>
            <w:vAlign w:val="center"/>
          </w:tcPr>
          <w:p w14:paraId="0C8500E0">
            <w:pPr>
              <w:pStyle w:val="23"/>
              <w:jc w:val="center"/>
              <w:rPr>
                <w:rFonts w:ascii="宋体" w:hAnsi="宋体"/>
                <w:b/>
                <w:kern w:val="0"/>
                <w:szCs w:val="21"/>
              </w:rPr>
            </w:pPr>
            <w:r>
              <w:rPr>
                <w:rFonts w:ascii="宋体" w:hAnsi="宋体"/>
                <w:b/>
                <w:kern w:val="0"/>
                <w:szCs w:val="21"/>
              </w:rPr>
              <w:t>全社会固定资产投资额(亿元)</w:t>
            </w:r>
          </w:p>
        </w:tc>
        <w:tc>
          <w:tcPr>
            <w:tcW w:w="1245" w:type="pct"/>
            <w:shd w:val="clear" w:color="auto" w:fill="auto"/>
            <w:noWrap/>
            <w:vAlign w:val="center"/>
          </w:tcPr>
          <w:p w14:paraId="274199E2">
            <w:pPr>
              <w:pStyle w:val="23"/>
              <w:jc w:val="center"/>
              <w:rPr>
                <w:rFonts w:ascii="宋体" w:hAnsi="宋体"/>
                <w:b/>
                <w:kern w:val="0"/>
                <w:szCs w:val="21"/>
              </w:rPr>
            </w:pPr>
            <w:r>
              <w:rPr>
                <w:rFonts w:ascii="宋体" w:hAnsi="宋体"/>
                <w:b/>
                <w:kern w:val="0"/>
                <w:szCs w:val="21"/>
              </w:rPr>
              <w:t>地方财政一般预算收入(亿元)</w:t>
            </w:r>
          </w:p>
        </w:tc>
        <w:tc>
          <w:tcPr>
            <w:tcW w:w="1155" w:type="pct"/>
            <w:shd w:val="clear" w:color="auto" w:fill="auto"/>
            <w:noWrap/>
            <w:vAlign w:val="center"/>
          </w:tcPr>
          <w:p w14:paraId="381BBA60">
            <w:pPr>
              <w:pStyle w:val="23"/>
              <w:jc w:val="center"/>
              <w:rPr>
                <w:rFonts w:ascii="宋体" w:hAnsi="宋体"/>
                <w:b/>
                <w:kern w:val="0"/>
                <w:szCs w:val="21"/>
              </w:rPr>
            </w:pPr>
            <w:r>
              <w:rPr>
                <w:rFonts w:ascii="宋体" w:hAnsi="宋体"/>
                <w:b/>
                <w:kern w:val="0"/>
                <w:szCs w:val="21"/>
              </w:rPr>
              <w:t>社会消费品零售总额(亿元)</w:t>
            </w:r>
          </w:p>
        </w:tc>
        <w:tc>
          <w:tcPr>
            <w:tcW w:w="886" w:type="pct"/>
            <w:shd w:val="clear" w:color="auto" w:fill="auto"/>
            <w:noWrap/>
            <w:vAlign w:val="center"/>
          </w:tcPr>
          <w:p w14:paraId="1820BD64">
            <w:pPr>
              <w:pStyle w:val="23"/>
              <w:jc w:val="center"/>
              <w:rPr>
                <w:rFonts w:ascii="宋体" w:hAnsi="宋体"/>
                <w:b/>
                <w:kern w:val="0"/>
                <w:szCs w:val="21"/>
              </w:rPr>
            </w:pPr>
            <w:r>
              <w:rPr>
                <w:rFonts w:ascii="宋体" w:hAnsi="宋体"/>
                <w:b/>
                <w:kern w:val="0"/>
                <w:szCs w:val="21"/>
              </w:rPr>
              <w:t>农民人均纯收入(元)</w:t>
            </w:r>
          </w:p>
        </w:tc>
      </w:tr>
      <w:tr w14:paraId="12000F4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553" w:type="pct"/>
            <w:shd w:val="clear" w:color="auto" w:fill="auto"/>
            <w:noWrap/>
            <w:vAlign w:val="center"/>
          </w:tcPr>
          <w:p w14:paraId="4E30FA55">
            <w:pPr>
              <w:pStyle w:val="23"/>
              <w:jc w:val="center"/>
              <w:rPr>
                <w:rFonts w:ascii="宋体" w:hAnsi="宋体"/>
                <w:kern w:val="0"/>
                <w:szCs w:val="21"/>
              </w:rPr>
            </w:pPr>
            <w:r>
              <w:rPr>
                <w:rFonts w:ascii="宋体" w:hAnsi="宋体"/>
                <w:kern w:val="0"/>
                <w:szCs w:val="21"/>
              </w:rPr>
              <w:t>全市</w:t>
            </w:r>
          </w:p>
        </w:tc>
        <w:tc>
          <w:tcPr>
            <w:tcW w:w="1160" w:type="pct"/>
            <w:shd w:val="clear" w:color="auto" w:fill="auto"/>
            <w:noWrap/>
            <w:vAlign w:val="center"/>
          </w:tcPr>
          <w:p w14:paraId="4161DC37">
            <w:pPr>
              <w:pStyle w:val="23"/>
              <w:jc w:val="center"/>
              <w:rPr>
                <w:rFonts w:ascii="宋体" w:hAnsi="宋体"/>
                <w:kern w:val="0"/>
                <w:szCs w:val="21"/>
              </w:rPr>
            </w:pPr>
            <w:r>
              <w:rPr>
                <w:rFonts w:ascii="宋体" w:hAnsi="宋体"/>
                <w:kern w:val="0"/>
                <w:szCs w:val="21"/>
              </w:rPr>
              <w:t>472.2</w:t>
            </w:r>
          </w:p>
        </w:tc>
        <w:tc>
          <w:tcPr>
            <w:tcW w:w="1245" w:type="pct"/>
            <w:shd w:val="clear" w:color="auto" w:fill="auto"/>
            <w:noWrap/>
            <w:vAlign w:val="center"/>
          </w:tcPr>
          <w:p w14:paraId="5AA2F10A">
            <w:pPr>
              <w:pStyle w:val="23"/>
              <w:jc w:val="center"/>
              <w:rPr>
                <w:rFonts w:ascii="宋体" w:hAnsi="宋体"/>
                <w:kern w:val="0"/>
                <w:szCs w:val="21"/>
              </w:rPr>
            </w:pPr>
            <w:r>
              <w:rPr>
                <w:rFonts w:ascii="宋体" w:hAnsi="宋体"/>
                <w:kern w:val="0"/>
                <w:szCs w:val="21"/>
              </w:rPr>
              <w:t>53.91</w:t>
            </w:r>
          </w:p>
        </w:tc>
        <w:tc>
          <w:tcPr>
            <w:tcW w:w="1155" w:type="pct"/>
            <w:shd w:val="clear" w:color="auto" w:fill="auto"/>
            <w:noWrap/>
            <w:vAlign w:val="center"/>
          </w:tcPr>
          <w:p w14:paraId="7B8B1F38">
            <w:pPr>
              <w:pStyle w:val="23"/>
              <w:jc w:val="center"/>
              <w:rPr>
                <w:rFonts w:ascii="宋体" w:hAnsi="宋体"/>
                <w:kern w:val="0"/>
                <w:szCs w:val="21"/>
              </w:rPr>
            </w:pPr>
            <w:r>
              <w:rPr>
                <w:rFonts w:ascii="宋体" w:hAnsi="宋体"/>
                <w:kern w:val="0"/>
                <w:szCs w:val="21"/>
              </w:rPr>
              <w:t>383.98</w:t>
            </w:r>
          </w:p>
        </w:tc>
        <w:tc>
          <w:tcPr>
            <w:tcW w:w="886" w:type="pct"/>
            <w:shd w:val="clear" w:color="auto" w:fill="auto"/>
            <w:noWrap/>
            <w:vAlign w:val="center"/>
          </w:tcPr>
          <w:p w14:paraId="74FE5948">
            <w:pPr>
              <w:pStyle w:val="23"/>
              <w:jc w:val="center"/>
              <w:rPr>
                <w:rFonts w:ascii="宋体" w:hAnsi="宋体"/>
                <w:kern w:val="0"/>
                <w:szCs w:val="21"/>
              </w:rPr>
            </w:pPr>
            <w:r>
              <w:rPr>
                <w:rFonts w:ascii="宋体" w:hAnsi="宋体"/>
                <w:kern w:val="0"/>
                <w:szCs w:val="21"/>
              </w:rPr>
              <w:t>7461</w:t>
            </w:r>
          </w:p>
        </w:tc>
      </w:tr>
      <w:tr w14:paraId="152BC46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553" w:type="pct"/>
            <w:shd w:val="clear" w:color="auto" w:fill="auto"/>
            <w:noWrap/>
            <w:vAlign w:val="center"/>
          </w:tcPr>
          <w:p w14:paraId="3D145E40">
            <w:pPr>
              <w:pStyle w:val="23"/>
              <w:jc w:val="center"/>
              <w:rPr>
                <w:rFonts w:ascii="宋体" w:hAnsi="宋体"/>
                <w:kern w:val="0"/>
                <w:szCs w:val="21"/>
              </w:rPr>
            </w:pPr>
            <w:r>
              <w:rPr>
                <w:rFonts w:ascii="宋体" w:hAnsi="宋体"/>
                <w:kern w:val="0"/>
                <w:szCs w:val="21"/>
              </w:rPr>
              <w:t>始兴</w:t>
            </w:r>
          </w:p>
        </w:tc>
        <w:tc>
          <w:tcPr>
            <w:tcW w:w="1160" w:type="pct"/>
            <w:shd w:val="clear" w:color="auto" w:fill="auto"/>
            <w:noWrap/>
            <w:vAlign w:val="center"/>
          </w:tcPr>
          <w:p w14:paraId="25E0AC41">
            <w:pPr>
              <w:pStyle w:val="23"/>
              <w:jc w:val="center"/>
              <w:rPr>
                <w:rFonts w:ascii="宋体" w:hAnsi="宋体"/>
                <w:kern w:val="0"/>
                <w:szCs w:val="21"/>
              </w:rPr>
            </w:pPr>
            <w:r>
              <w:rPr>
                <w:rFonts w:ascii="宋体" w:hAnsi="宋体"/>
                <w:kern w:val="0"/>
                <w:szCs w:val="21"/>
              </w:rPr>
              <w:t>36.5</w:t>
            </w:r>
          </w:p>
        </w:tc>
        <w:tc>
          <w:tcPr>
            <w:tcW w:w="1245" w:type="pct"/>
            <w:shd w:val="clear" w:color="auto" w:fill="auto"/>
            <w:noWrap/>
            <w:vAlign w:val="center"/>
          </w:tcPr>
          <w:p w14:paraId="53596E2C">
            <w:pPr>
              <w:pStyle w:val="23"/>
              <w:jc w:val="center"/>
              <w:rPr>
                <w:rFonts w:ascii="宋体" w:hAnsi="宋体"/>
                <w:kern w:val="0"/>
                <w:szCs w:val="21"/>
              </w:rPr>
            </w:pPr>
            <w:r>
              <w:rPr>
                <w:rFonts w:ascii="宋体" w:hAnsi="宋体"/>
                <w:kern w:val="0"/>
                <w:szCs w:val="21"/>
              </w:rPr>
              <w:t>2.16</w:t>
            </w:r>
          </w:p>
        </w:tc>
        <w:tc>
          <w:tcPr>
            <w:tcW w:w="1155" w:type="pct"/>
            <w:shd w:val="clear" w:color="auto" w:fill="auto"/>
            <w:noWrap/>
            <w:vAlign w:val="center"/>
          </w:tcPr>
          <w:p w14:paraId="44C2CFBD">
            <w:pPr>
              <w:pStyle w:val="23"/>
              <w:jc w:val="center"/>
              <w:rPr>
                <w:rFonts w:ascii="宋体" w:hAnsi="宋体"/>
                <w:kern w:val="0"/>
                <w:szCs w:val="21"/>
              </w:rPr>
            </w:pPr>
            <w:r>
              <w:rPr>
                <w:rFonts w:ascii="宋体" w:hAnsi="宋体"/>
                <w:kern w:val="0"/>
                <w:szCs w:val="21"/>
              </w:rPr>
              <w:t>10.86</w:t>
            </w:r>
          </w:p>
        </w:tc>
        <w:tc>
          <w:tcPr>
            <w:tcW w:w="886" w:type="pct"/>
            <w:shd w:val="clear" w:color="auto" w:fill="auto"/>
            <w:noWrap/>
            <w:vAlign w:val="center"/>
          </w:tcPr>
          <w:p w14:paraId="5CB8F10A">
            <w:pPr>
              <w:pStyle w:val="23"/>
              <w:jc w:val="center"/>
              <w:rPr>
                <w:rFonts w:ascii="宋体" w:hAnsi="宋体"/>
                <w:kern w:val="0"/>
                <w:szCs w:val="21"/>
              </w:rPr>
            </w:pPr>
            <w:r>
              <w:rPr>
                <w:rFonts w:ascii="宋体" w:hAnsi="宋体"/>
                <w:kern w:val="0"/>
                <w:szCs w:val="21"/>
              </w:rPr>
              <w:t>7790</w:t>
            </w:r>
          </w:p>
        </w:tc>
      </w:tr>
      <w:tr w14:paraId="5E14D14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553" w:type="pct"/>
            <w:shd w:val="clear" w:color="auto" w:fill="auto"/>
            <w:noWrap/>
            <w:vAlign w:val="center"/>
          </w:tcPr>
          <w:p w14:paraId="616796C9">
            <w:pPr>
              <w:pStyle w:val="23"/>
              <w:jc w:val="center"/>
              <w:rPr>
                <w:rFonts w:ascii="宋体" w:hAnsi="宋体"/>
                <w:kern w:val="0"/>
                <w:szCs w:val="21"/>
              </w:rPr>
            </w:pPr>
            <w:r>
              <w:rPr>
                <w:rFonts w:ascii="宋体" w:hAnsi="宋体"/>
                <w:kern w:val="0"/>
                <w:szCs w:val="21"/>
              </w:rPr>
              <w:t>仁化</w:t>
            </w:r>
          </w:p>
        </w:tc>
        <w:tc>
          <w:tcPr>
            <w:tcW w:w="1160" w:type="pct"/>
            <w:shd w:val="clear" w:color="auto" w:fill="auto"/>
            <w:noWrap/>
            <w:vAlign w:val="center"/>
          </w:tcPr>
          <w:p w14:paraId="4157E1DA">
            <w:pPr>
              <w:pStyle w:val="23"/>
              <w:jc w:val="center"/>
              <w:rPr>
                <w:rFonts w:ascii="宋体" w:hAnsi="宋体"/>
                <w:kern w:val="0"/>
                <w:szCs w:val="21"/>
              </w:rPr>
            </w:pPr>
            <w:r>
              <w:rPr>
                <w:rFonts w:ascii="宋体" w:hAnsi="宋体"/>
                <w:kern w:val="0"/>
                <w:szCs w:val="21"/>
              </w:rPr>
              <w:t>31.47</w:t>
            </w:r>
          </w:p>
        </w:tc>
        <w:tc>
          <w:tcPr>
            <w:tcW w:w="1245" w:type="pct"/>
            <w:shd w:val="clear" w:color="auto" w:fill="auto"/>
            <w:noWrap/>
            <w:vAlign w:val="center"/>
          </w:tcPr>
          <w:p w14:paraId="058F92EB">
            <w:pPr>
              <w:pStyle w:val="23"/>
              <w:jc w:val="center"/>
              <w:rPr>
                <w:rFonts w:ascii="宋体" w:hAnsi="宋体"/>
                <w:kern w:val="0"/>
                <w:szCs w:val="21"/>
              </w:rPr>
            </w:pPr>
            <w:r>
              <w:rPr>
                <w:rFonts w:ascii="宋体" w:hAnsi="宋体"/>
                <w:kern w:val="0"/>
                <w:szCs w:val="21"/>
              </w:rPr>
              <w:t>4.04</w:t>
            </w:r>
          </w:p>
        </w:tc>
        <w:tc>
          <w:tcPr>
            <w:tcW w:w="1155" w:type="pct"/>
            <w:shd w:val="clear" w:color="auto" w:fill="auto"/>
            <w:noWrap/>
            <w:vAlign w:val="center"/>
          </w:tcPr>
          <w:p w14:paraId="312FF324">
            <w:pPr>
              <w:pStyle w:val="23"/>
              <w:jc w:val="center"/>
              <w:rPr>
                <w:rFonts w:ascii="宋体" w:hAnsi="宋体"/>
                <w:kern w:val="0"/>
                <w:szCs w:val="21"/>
              </w:rPr>
            </w:pPr>
            <w:r>
              <w:rPr>
                <w:rFonts w:ascii="宋体" w:hAnsi="宋体"/>
                <w:kern w:val="0"/>
                <w:szCs w:val="21"/>
              </w:rPr>
              <w:t>16.95</w:t>
            </w:r>
          </w:p>
        </w:tc>
        <w:tc>
          <w:tcPr>
            <w:tcW w:w="886" w:type="pct"/>
            <w:shd w:val="clear" w:color="auto" w:fill="auto"/>
            <w:noWrap/>
            <w:vAlign w:val="center"/>
          </w:tcPr>
          <w:p w14:paraId="382CF254">
            <w:pPr>
              <w:pStyle w:val="23"/>
              <w:jc w:val="center"/>
              <w:rPr>
                <w:rFonts w:ascii="宋体" w:hAnsi="宋体"/>
                <w:kern w:val="0"/>
                <w:szCs w:val="21"/>
              </w:rPr>
            </w:pPr>
            <w:r>
              <w:rPr>
                <w:rFonts w:ascii="宋体" w:hAnsi="宋体"/>
                <w:kern w:val="0"/>
                <w:szCs w:val="21"/>
              </w:rPr>
              <w:t>8094</w:t>
            </w:r>
          </w:p>
        </w:tc>
      </w:tr>
      <w:tr w14:paraId="7BF5CA2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553" w:type="pct"/>
            <w:shd w:val="clear" w:color="auto" w:fill="auto"/>
            <w:noWrap/>
            <w:vAlign w:val="center"/>
          </w:tcPr>
          <w:p w14:paraId="3593AD04">
            <w:pPr>
              <w:pStyle w:val="23"/>
              <w:jc w:val="center"/>
              <w:rPr>
                <w:rFonts w:ascii="宋体" w:hAnsi="宋体"/>
                <w:kern w:val="0"/>
                <w:szCs w:val="21"/>
              </w:rPr>
            </w:pPr>
            <w:r>
              <w:rPr>
                <w:rFonts w:ascii="宋体" w:hAnsi="宋体"/>
                <w:kern w:val="0"/>
                <w:szCs w:val="21"/>
              </w:rPr>
              <w:t>翁源</w:t>
            </w:r>
          </w:p>
        </w:tc>
        <w:tc>
          <w:tcPr>
            <w:tcW w:w="1160" w:type="pct"/>
            <w:shd w:val="clear" w:color="auto" w:fill="auto"/>
            <w:noWrap/>
            <w:vAlign w:val="center"/>
          </w:tcPr>
          <w:p w14:paraId="2EDF10D7">
            <w:pPr>
              <w:pStyle w:val="23"/>
              <w:jc w:val="center"/>
              <w:rPr>
                <w:rFonts w:ascii="宋体" w:hAnsi="宋体"/>
                <w:kern w:val="0"/>
                <w:szCs w:val="21"/>
              </w:rPr>
            </w:pPr>
            <w:r>
              <w:rPr>
                <w:rFonts w:ascii="宋体" w:hAnsi="宋体"/>
                <w:kern w:val="0"/>
                <w:szCs w:val="21"/>
              </w:rPr>
              <w:t>28.85</w:t>
            </w:r>
          </w:p>
        </w:tc>
        <w:tc>
          <w:tcPr>
            <w:tcW w:w="1245" w:type="pct"/>
            <w:shd w:val="clear" w:color="auto" w:fill="auto"/>
            <w:noWrap/>
            <w:vAlign w:val="center"/>
          </w:tcPr>
          <w:p w14:paraId="5D9A620F">
            <w:pPr>
              <w:pStyle w:val="23"/>
              <w:jc w:val="center"/>
              <w:rPr>
                <w:rFonts w:ascii="宋体" w:hAnsi="宋体"/>
                <w:kern w:val="0"/>
                <w:szCs w:val="21"/>
              </w:rPr>
            </w:pPr>
            <w:r>
              <w:rPr>
                <w:rFonts w:ascii="宋体" w:hAnsi="宋体"/>
                <w:kern w:val="0"/>
                <w:szCs w:val="21"/>
              </w:rPr>
              <w:t>2.17</w:t>
            </w:r>
          </w:p>
        </w:tc>
        <w:tc>
          <w:tcPr>
            <w:tcW w:w="1155" w:type="pct"/>
            <w:shd w:val="clear" w:color="auto" w:fill="auto"/>
            <w:noWrap/>
            <w:vAlign w:val="center"/>
          </w:tcPr>
          <w:p w14:paraId="01F8B0C1">
            <w:pPr>
              <w:pStyle w:val="23"/>
              <w:jc w:val="center"/>
              <w:rPr>
                <w:rFonts w:ascii="宋体" w:hAnsi="宋体"/>
                <w:kern w:val="0"/>
                <w:szCs w:val="21"/>
              </w:rPr>
            </w:pPr>
            <w:r>
              <w:rPr>
                <w:rFonts w:ascii="宋体" w:hAnsi="宋体"/>
                <w:kern w:val="0"/>
                <w:szCs w:val="21"/>
              </w:rPr>
              <w:t>20.84</w:t>
            </w:r>
          </w:p>
        </w:tc>
        <w:tc>
          <w:tcPr>
            <w:tcW w:w="886" w:type="pct"/>
            <w:shd w:val="clear" w:color="auto" w:fill="auto"/>
            <w:noWrap/>
            <w:vAlign w:val="center"/>
          </w:tcPr>
          <w:p w14:paraId="4E5E917D">
            <w:pPr>
              <w:pStyle w:val="23"/>
              <w:jc w:val="center"/>
              <w:rPr>
                <w:rFonts w:ascii="宋体" w:hAnsi="宋体"/>
                <w:kern w:val="0"/>
                <w:szCs w:val="21"/>
              </w:rPr>
            </w:pPr>
            <w:r>
              <w:rPr>
                <w:rFonts w:ascii="宋体" w:hAnsi="宋体"/>
                <w:kern w:val="0"/>
                <w:szCs w:val="21"/>
              </w:rPr>
              <w:t>7668</w:t>
            </w:r>
          </w:p>
        </w:tc>
      </w:tr>
      <w:tr w14:paraId="2554F98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553" w:type="pct"/>
            <w:shd w:val="clear" w:color="auto" w:fill="auto"/>
            <w:noWrap/>
            <w:vAlign w:val="center"/>
          </w:tcPr>
          <w:p w14:paraId="32843638">
            <w:pPr>
              <w:pStyle w:val="23"/>
              <w:jc w:val="center"/>
              <w:rPr>
                <w:rFonts w:ascii="宋体" w:hAnsi="宋体"/>
                <w:kern w:val="0"/>
                <w:szCs w:val="21"/>
              </w:rPr>
            </w:pPr>
            <w:r>
              <w:rPr>
                <w:rFonts w:ascii="宋体" w:hAnsi="宋体"/>
                <w:kern w:val="0"/>
                <w:szCs w:val="21"/>
              </w:rPr>
              <w:t>乳源</w:t>
            </w:r>
          </w:p>
        </w:tc>
        <w:tc>
          <w:tcPr>
            <w:tcW w:w="1160" w:type="pct"/>
            <w:shd w:val="clear" w:color="auto" w:fill="auto"/>
            <w:noWrap/>
            <w:vAlign w:val="center"/>
          </w:tcPr>
          <w:p w14:paraId="397001F6">
            <w:pPr>
              <w:pStyle w:val="23"/>
              <w:jc w:val="center"/>
              <w:rPr>
                <w:rFonts w:ascii="宋体" w:hAnsi="宋体"/>
                <w:kern w:val="0"/>
                <w:szCs w:val="21"/>
              </w:rPr>
            </w:pPr>
            <w:r>
              <w:rPr>
                <w:rFonts w:ascii="宋体" w:hAnsi="宋体"/>
                <w:kern w:val="0"/>
                <w:szCs w:val="21"/>
              </w:rPr>
              <w:t>30.46</w:t>
            </w:r>
          </w:p>
        </w:tc>
        <w:tc>
          <w:tcPr>
            <w:tcW w:w="1245" w:type="pct"/>
            <w:shd w:val="clear" w:color="auto" w:fill="auto"/>
            <w:noWrap/>
            <w:vAlign w:val="center"/>
          </w:tcPr>
          <w:p w14:paraId="2A62D5E2">
            <w:pPr>
              <w:pStyle w:val="23"/>
              <w:jc w:val="center"/>
              <w:rPr>
                <w:rFonts w:ascii="宋体" w:hAnsi="宋体"/>
                <w:kern w:val="0"/>
                <w:szCs w:val="21"/>
              </w:rPr>
            </w:pPr>
            <w:r>
              <w:rPr>
                <w:rFonts w:ascii="宋体" w:hAnsi="宋体"/>
                <w:kern w:val="0"/>
                <w:szCs w:val="21"/>
              </w:rPr>
              <w:t>3.43</w:t>
            </w:r>
          </w:p>
        </w:tc>
        <w:tc>
          <w:tcPr>
            <w:tcW w:w="1155" w:type="pct"/>
            <w:shd w:val="clear" w:color="auto" w:fill="auto"/>
            <w:noWrap/>
            <w:vAlign w:val="center"/>
          </w:tcPr>
          <w:p w14:paraId="78CE7B8C">
            <w:pPr>
              <w:pStyle w:val="23"/>
              <w:jc w:val="center"/>
              <w:rPr>
                <w:rFonts w:ascii="宋体" w:hAnsi="宋体"/>
                <w:kern w:val="0"/>
                <w:szCs w:val="21"/>
              </w:rPr>
            </w:pPr>
            <w:r>
              <w:rPr>
                <w:rFonts w:ascii="宋体" w:hAnsi="宋体"/>
                <w:kern w:val="0"/>
                <w:szCs w:val="21"/>
              </w:rPr>
              <w:t>13.12</w:t>
            </w:r>
          </w:p>
        </w:tc>
        <w:tc>
          <w:tcPr>
            <w:tcW w:w="886" w:type="pct"/>
            <w:shd w:val="clear" w:color="auto" w:fill="auto"/>
            <w:noWrap/>
            <w:vAlign w:val="center"/>
          </w:tcPr>
          <w:p w14:paraId="2D2C5C48">
            <w:pPr>
              <w:pStyle w:val="23"/>
              <w:jc w:val="center"/>
              <w:rPr>
                <w:rFonts w:ascii="宋体" w:hAnsi="宋体"/>
                <w:kern w:val="0"/>
                <w:szCs w:val="21"/>
              </w:rPr>
            </w:pPr>
            <w:r>
              <w:rPr>
                <w:rFonts w:ascii="宋体" w:hAnsi="宋体"/>
                <w:kern w:val="0"/>
                <w:szCs w:val="21"/>
              </w:rPr>
              <w:t>6149</w:t>
            </w:r>
          </w:p>
        </w:tc>
      </w:tr>
      <w:tr w14:paraId="71C7B4D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553" w:type="pct"/>
            <w:shd w:val="clear" w:color="auto" w:fill="auto"/>
            <w:noWrap/>
            <w:vAlign w:val="center"/>
          </w:tcPr>
          <w:p w14:paraId="2EC17F45">
            <w:pPr>
              <w:pStyle w:val="23"/>
              <w:jc w:val="center"/>
              <w:rPr>
                <w:rFonts w:ascii="宋体" w:hAnsi="宋体"/>
                <w:kern w:val="0"/>
                <w:szCs w:val="21"/>
              </w:rPr>
            </w:pPr>
            <w:r>
              <w:rPr>
                <w:rFonts w:ascii="宋体" w:hAnsi="宋体"/>
                <w:kern w:val="0"/>
                <w:szCs w:val="21"/>
              </w:rPr>
              <w:t>新丰</w:t>
            </w:r>
          </w:p>
        </w:tc>
        <w:tc>
          <w:tcPr>
            <w:tcW w:w="1160" w:type="pct"/>
            <w:shd w:val="clear" w:color="auto" w:fill="auto"/>
            <w:noWrap/>
            <w:vAlign w:val="center"/>
          </w:tcPr>
          <w:p w14:paraId="246E995E">
            <w:pPr>
              <w:pStyle w:val="23"/>
              <w:jc w:val="center"/>
              <w:rPr>
                <w:rFonts w:ascii="宋体" w:hAnsi="宋体"/>
                <w:kern w:val="0"/>
                <w:szCs w:val="21"/>
              </w:rPr>
            </w:pPr>
            <w:r>
              <w:rPr>
                <w:rFonts w:ascii="宋体" w:hAnsi="宋体"/>
                <w:kern w:val="0"/>
                <w:szCs w:val="21"/>
              </w:rPr>
              <w:t>21</w:t>
            </w:r>
          </w:p>
        </w:tc>
        <w:tc>
          <w:tcPr>
            <w:tcW w:w="1245" w:type="pct"/>
            <w:shd w:val="clear" w:color="auto" w:fill="auto"/>
            <w:noWrap/>
            <w:vAlign w:val="center"/>
          </w:tcPr>
          <w:p w14:paraId="031BCBD8">
            <w:pPr>
              <w:pStyle w:val="23"/>
              <w:jc w:val="center"/>
              <w:rPr>
                <w:rFonts w:ascii="宋体" w:hAnsi="宋体"/>
                <w:kern w:val="0"/>
                <w:szCs w:val="21"/>
              </w:rPr>
            </w:pPr>
            <w:r>
              <w:rPr>
                <w:rFonts w:ascii="宋体" w:hAnsi="宋体"/>
                <w:kern w:val="0"/>
                <w:szCs w:val="21"/>
              </w:rPr>
              <w:t>1.84</w:t>
            </w:r>
          </w:p>
        </w:tc>
        <w:tc>
          <w:tcPr>
            <w:tcW w:w="1155" w:type="pct"/>
            <w:shd w:val="clear" w:color="auto" w:fill="auto"/>
            <w:noWrap/>
            <w:vAlign w:val="center"/>
          </w:tcPr>
          <w:p w14:paraId="2AF9AADC">
            <w:pPr>
              <w:pStyle w:val="23"/>
              <w:jc w:val="center"/>
              <w:rPr>
                <w:rFonts w:ascii="宋体" w:hAnsi="宋体"/>
                <w:kern w:val="0"/>
                <w:szCs w:val="21"/>
              </w:rPr>
            </w:pPr>
            <w:r>
              <w:rPr>
                <w:rFonts w:ascii="宋体" w:hAnsi="宋体"/>
                <w:kern w:val="0"/>
                <w:szCs w:val="21"/>
              </w:rPr>
              <w:t>13.19</w:t>
            </w:r>
          </w:p>
        </w:tc>
        <w:tc>
          <w:tcPr>
            <w:tcW w:w="886" w:type="pct"/>
            <w:shd w:val="clear" w:color="auto" w:fill="auto"/>
            <w:noWrap/>
            <w:vAlign w:val="center"/>
          </w:tcPr>
          <w:p w14:paraId="651D1F73">
            <w:pPr>
              <w:pStyle w:val="23"/>
              <w:jc w:val="center"/>
              <w:rPr>
                <w:rFonts w:ascii="宋体" w:hAnsi="宋体"/>
                <w:kern w:val="0"/>
                <w:szCs w:val="21"/>
              </w:rPr>
            </w:pPr>
            <w:r>
              <w:rPr>
                <w:rFonts w:ascii="宋体" w:hAnsi="宋体"/>
                <w:kern w:val="0"/>
                <w:szCs w:val="21"/>
              </w:rPr>
              <w:t>6660</w:t>
            </w:r>
          </w:p>
        </w:tc>
      </w:tr>
      <w:tr w14:paraId="6659BFE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553" w:type="pct"/>
            <w:shd w:val="clear" w:color="auto" w:fill="auto"/>
            <w:noWrap/>
            <w:vAlign w:val="center"/>
          </w:tcPr>
          <w:p w14:paraId="7D4F6480">
            <w:pPr>
              <w:pStyle w:val="23"/>
              <w:jc w:val="center"/>
              <w:rPr>
                <w:rFonts w:ascii="宋体" w:hAnsi="宋体"/>
                <w:kern w:val="0"/>
                <w:szCs w:val="21"/>
              </w:rPr>
            </w:pPr>
            <w:r>
              <w:rPr>
                <w:rFonts w:ascii="宋体" w:hAnsi="宋体"/>
                <w:kern w:val="0"/>
                <w:szCs w:val="21"/>
              </w:rPr>
              <w:t>乐昌</w:t>
            </w:r>
          </w:p>
        </w:tc>
        <w:tc>
          <w:tcPr>
            <w:tcW w:w="1160" w:type="pct"/>
            <w:shd w:val="clear" w:color="auto" w:fill="auto"/>
            <w:noWrap/>
            <w:vAlign w:val="center"/>
          </w:tcPr>
          <w:p w14:paraId="1B92BA47">
            <w:pPr>
              <w:pStyle w:val="23"/>
              <w:jc w:val="center"/>
              <w:rPr>
                <w:rFonts w:ascii="宋体" w:hAnsi="宋体"/>
                <w:kern w:val="0"/>
                <w:szCs w:val="21"/>
              </w:rPr>
            </w:pPr>
            <w:r>
              <w:rPr>
                <w:rFonts w:ascii="宋体" w:hAnsi="宋体"/>
                <w:kern w:val="0"/>
                <w:szCs w:val="21"/>
              </w:rPr>
              <w:t>59.6</w:t>
            </w:r>
          </w:p>
        </w:tc>
        <w:tc>
          <w:tcPr>
            <w:tcW w:w="1245" w:type="pct"/>
            <w:shd w:val="clear" w:color="auto" w:fill="auto"/>
            <w:noWrap/>
            <w:vAlign w:val="center"/>
          </w:tcPr>
          <w:p w14:paraId="54D739C5">
            <w:pPr>
              <w:pStyle w:val="23"/>
              <w:jc w:val="center"/>
              <w:rPr>
                <w:rFonts w:ascii="宋体" w:hAnsi="宋体"/>
                <w:kern w:val="0"/>
                <w:szCs w:val="21"/>
              </w:rPr>
            </w:pPr>
            <w:r>
              <w:rPr>
                <w:rFonts w:ascii="宋体" w:hAnsi="宋体"/>
                <w:kern w:val="0"/>
                <w:szCs w:val="21"/>
              </w:rPr>
              <w:t>3.82</w:t>
            </w:r>
          </w:p>
        </w:tc>
        <w:tc>
          <w:tcPr>
            <w:tcW w:w="1155" w:type="pct"/>
            <w:shd w:val="clear" w:color="auto" w:fill="auto"/>
            <w:noWrap/>
            <w:vAlign w:val="center"/>
          </w:tcPr>
          <w:p w14:paraId="5D917498">
            <w:pPr>
              <w:pStyle w:val="23"/>
              <w:jc w:val="center"/>
              <w:rPr>
                <w:rFonts w:ascii="宋体" w:hAnsi="宋体"/>
                <w:kern w:val="0"/>
                <w:szCs w:val="21"/>
              </w:rPr>
            </w:pPr>
            <w:r>
              <w:rPr>
                <w:rFonts w:ascii="宋体" w:hAnsi="宋体"/>
                <w:kern w:val="0"/>
                <w:szCs w:val="21"/>
              </w:rPr>
              <w:t>37.18</w:t>
            </w:r>
          </w:p>
        </w:tc>
        <w:tc>
          <w:tcPr>
            <w:tcW w:w="886" w:type="pct"/>
            <w:shd w:val="clear" w:color="auto" w:fill="auto"/>
            <w:noWrap/>
            <w:vAlign w:val="center"/>
          </w:tcPr>
          <w:p w14:paraId="13AA7CB7">
            <w:pPr>
              <w:pStyle w:val="23"/>
              <w:jc w:val="center"/>
              <w:rPr>
                <w:rFonts w:ascii="宋体" w:hAnsi="宋体"/>
                <w:kern w:val="0"/>
                <w:szCs w:val="21"/>
              </w:rPr>
            </w:pPr>
            <w:r>
              <w:rPr>
                <w:rFonts w:ascii="宋体" w:hAnsi="宋体"/>
                <w:kern w:val="0"/>
                <w:szCs w:val="21"/>
              </w:rPr>
              <w:t>6875</w:t>
            </w:r>
          </w:p>
        </w:tc>
      </w:tr>
      <w:tr w14:paraId="3590CCA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553" w:type="pct"/>
            <w:shd w:val="clear" w:color="auto" w:fill="auto"/>
            <w:noWrap/>
            <w:vAlign w:val="center"/>
          </w:tcPr>
          <w:p w14:paraId="50737C17">
            <w:pPr>
              <w:pStyle w:val="23"/>
              <w:jc w:val="center"/>
              <w:rPr>
                <w:rFonts w:ascii="宋体" w:hAnsi="宋体"/>
                <w:kern w:val="0"/>
                <w:szCs w:val="21"/>
              </w:rPr>
            </w:pPr>
            <w:r>
              <w:rPr>
                <w:rFonts w:ascii="宋体" w:hAnsi="宋体"/>
                <w:kern w:val="0"/>
                <w:szCs w:val="21"/>
              </w:rPr>
              <w:t>南雄</w:t>
            </w:r>
          </w:p>
        </w:tc>
        <w:tc>
          <w:tcPr>
            <w:tcW w:w="1160" w:type="pct"/>
            <w:shd w:val="clear" w:color="auto" w:fill="auto"/>
            <w:noWrap/>
            <w:vAlign w:val="center"/>
          </w:tcPr>
          <w:p w14:paraId="6D30032F">
            <w:pPr>
              <w:pStyle w:val="23"/>
              <w:jc w:val="center"/>
              <w:rPr>
                <w:rFonts w:ascii="宋体" w:hAnsi="宋体"/>
                <w:kern w:val="0"/>
                <w:szCs w:val="21"/>
              </w:rPr>
            </w:pPr>
            <w:r>
              <w:rPr>
                <w:rFonts w:ascii="宋体" w:hAnsi="宋体"/>
                <w:kern w:val="0"/>
                <w:szCs w:val="21"/>
              </w:rPr>
              <w:t>62.73</w:t>
            </w:r>
          </w:p>
        </w:tc>
        <w:tc>
          <w:tcPr>
            <w:tcW w:w="1245" w:type="pct"/>
            <w:shd w:val="clear" w:color="auto" w:fill="auto"/>
            <w:noWrap/>
            <w:vAlign w:val="center"/>
          </w:tcPr>
          <w:p w14:paraId="729233D6">
            <w:pPr>
              <w:pStyle w:val="23"/>
              <w:jc w:val="center"/>
              <w:rPr>
                <w:rFonts w:ascii="宋体" w:hAnsi="宋体"/>
                <w:kern w:val="0"/>
                <w:szCs w:val="21"/>
              </w:rPr>
            </w:pPr>
            <w:r>
              <w:rPr>
                <w:rFonts w:ascii="宋体" w:hAnsi="宋体"/>
                <w:kern w:val="0"/>
                <w:szCs w:val="21"/>
              </w:rPr>
              <w:t>3.4</w:t>
            </w:r>
          </w:p>
        </w:tc>
        <w:tc>
          <w:tcPr>
            <w:tcW w:w="1155" w:type="pct"/>
            <w:shd w:val="clear" w:color="auto" w:fill="auto"/>
            <w:noWrap/>
            <w:vAlign w:val="center"/>
          </w:tcPr>
          <w:p w14:paraId="1D032F61">
            <w:pPr>
              <w:pStyle w:val="23"/>
              <w:jc w:val="center"/>
              <w:rPr>
                <w:rFonts w:ascii="宋体" w:hAnsi="宋体"/>
                <w:kern w:val="0"/>
                <w:szCs w:val="21"/>
              </w:rPr>
            </w:pPr>
            <w:r>
              <w:rPr>
                <w:rFonts w:ascii="宋体" w:hAnsi="宋体"/>
                <w:kern w:val="0"/>
                <w:szCs w:val="21"/>
              </w:rPr>
              <w:t>28.41</w:t>
            </w:r>
          </w:p>
        </w:tc>
        <w:tc>
          <w:tcPr>
            <w:tcW w:w="886" w:type="pct"/>
            <w:shd w:val="clear" w:color="auto" w:fill="auto"/>
            <w:noWrap/>
            <w:vAlign w:val="center"/>
          </w:tcPr>
          <w:p w14:paraId="7DE3A5FE">
            <w:pPr>
              <w:pStyle w:val="23"/>
              <w:jc w:val="center"/>
              <w:rPr>
                <w:rFonts w:ascii="宋体" w:hAnsi="宋体"/>
                <w:kern w:val="0"/>
                <w:szCs w:val="21"/>
              </w:rPr>
            </w:pPr>
            <w:r>
              <w:rPr>
                <w:rFonts w:ascii="宋体" w:hAnsi="宋体"/>
                <w:kern w:val="0"/>
                <w:szCs w:val="21"/>
              </w:rPr>
              <w:t>7023</w:t>
            </w:r>
          </w:p>
        </w:tc>
      </w:tr>
      <w:tr w14:paraId="6B7C9E9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553" w:type="pct"/>
            <w:shd w:val="clear" w:color="auto" w:fill="auto"/>
            <w:noWrap/>
            <w:vAlign w:val="center"/>
          </w:tcPr>
          <w:p w14:paraId="6E942073">
            <w:pPr>
              <w:pStyle w:val="23"/>
              <w:jc w:val="center"/>
              <w:rPr>
                <w:rFonts w:ascii="宋体" w:hAnsi="宋体"/>
                <w:kern w:val="0"/>
                <w:szCs w:val="21"/>
              </w:rPr>
            </w:pPr>
            <w:r>
              <w:rPr>
                <w:rFonts w:ascii="宋体" w:hAnsi="宋体"/>
                <w:kern w:val="0"/>
                <w:szCs w:val="21"/>
              </w:rPr>
              <w:t>武江</w:t>
            </w:r>
          </w:p>
        </w:tc>
        <w:tc>
          <w:tcPr>
            <w:tcW w:w="1160" w:type="pct"/>
            <w:shd w:val="clear" w:color="auto" w:fill="auto"/>
            <w:noWrap/>
            <w:vAlign w:val="center"/>
          </w:tcPr>
          <w:p w14:paraId="0EA1BB25">
            <w:pPr>
              <w:pStyle w:val="23"/>
              <w:jc w:val="center"/>
              <w:rPr>
                <w:rFonts w:ascii="宋体" w:hAnsi="宋体"/>
                <w:kern w:val="0"/>
                <w:szCs w:val="21"/>
              </w:rPr>
            </w:pPr>
            <w:r>
              <w:rPr>
                <w:rFonts w:ascii="宋体" w:hAnsi="宋体"/>
                <w:kern w:val="0"/>
                <w:szCs w:val="21"/>
              </w:rPr>
              <w:t>47.31</w:t>
            </w:r>
          </w:p>
        </w:tc>
        <w:tc>
          <w:tcPr>
            <w:tcW w:w="1245" w:type="pct"/>
            <w:shd w:val="clear" w:color="auto" w:fill="auto"/>
            <w:noWrap/>
            <w:vAlign w:val="center"/>
          </w:tcPr>
          <w:p w14:paraId="77FAF306">
            <w:pPr>
              <w:pStyle w:val="23"/>
              <w:jc w:val="center"/>
              <w:rPr>
                <w:rFonts w:ascii="宋体" w:hAnsi="宋体"/>
                <w:kern w:val="0"/>
                <w:szCs w:val="21"/>
              </w:rPr>
            </w:pPr>
            <w:r>
              <w:rPr>
                <w:rFonts w:ascii="宋体" w:hAnsi="宋体"/>
                <w:kern w:val="0"/>
                <w:szCs w:val="21"/>
              </w:rPr>
              <w:t>2.43</w:t>
            </w:r>
          </w:p>
        </w:tc>
        <w:tc>
          <w:tcPr>
            <w:tcW w:w="1155" w:type="pct"/>
            <w:shd w:val="clear" w:color="auto" w:fill="auto"/>
            <w:noWrap/>
            <w:vAlign w:val="center"/>
          </w:tcPr>
          <w:p w14:paraId="4F5E9E3E">
            <w:pPr>
              <w:pStyle w:val="23"/>
              <w:jc w:val="center"/>
              <w:rPr>
                <w:rFonts w:ascii="宋体" w:hAnsi="宋体"/>
                <w:kern w:val="0"/>
                <w:szCs w:val="21"/>
              </w:rPr>
            </w:pPr>
            <w:r>
              <w:rPr>
                <w:rFonts w:ascii="宋体" w:hAnsi="宋体"/>
                <w:kern w:val="0"/>
                <w:szCs w:val="21"/>
              </w:rPr>
              <w:t>67.95</w:t>
            </w:r>
          </w:p>
        </w:tc>
        <w:tc>
          <w:tcPr>
            <w:tcW w:w="886" w:type="pct"/>
            <w:shd w:val="clear" w:color="auto" w:fill="auto"/>
            <w:noWrap/>
            <w:vAlign w:val="center"/>
          </w:tcPr>
          <w:p w14:paraId="2558BBD2">
            <w:pPr>
              <w:pStyle w:val="23"/>
              <w:jc w:val="center"/>
              <w:rPr>
                <w:rFonts w:ascii="宋体" w:hAnsi="宋体"/>
                <w:kern w:val="0"/>
                <w:szCs w:val="21"/>
              </w:rPr>
            </w:pPr>
            <w:r>
              <w:rPr>
                <w:rFonts w:ascii="宋体" w:hAnsi="宋体"/>
                <w:kern w:val="0"/>
                <w:szCs w:val="21"/>
              </w:rPr>
              <w:t>8996</w:t>
            </w:r>
          </w:p>
        </w:tc>
      </w:tr>
      <w:tr w14:paraId="46B7E4F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553" w:type="pct"/>
            <w:shd w:val="clear" w:color="auto" w:fill="auto"/>
            <w:noWrap/>
            <w:vAlign w:val="center"/>
          </w:tcPr>
          <w:p w14:paraId="1437A809">
            <w:pPr>
              <w:pStyle w:val="23"/>
              <w:jc w:val="center"/>
              <w:rPr>
                <w:rFonts w:ascii="宋体" w:hAnsi="宋体"/>
                <w:kern w:val="0"/>
                <w:szCs w:val="21"/>
              </w:rPr>
            </w:pPr>
            <w:r>
              <w:rPr>
                <w:rFonts w:ascii="宋体" w:hAnsi="宋体"/>
                <w:kern w:val="0"/>
                <w:szCs w:val="21"/>
              </w:rPr>
              <w:t>浈江</w:t>
            </w:r>
          </w:p>
        </w:tc>
        <w:tc>
          <w:tcPr>
            <w:tcW w:w="1160" w:type="pct"/>
            <w:shd w:val="clear" w:color="auto" w:fill="auto"/>
            <w:noWrap/>
            <w:vAlign w:val="center"/>
          </w:tcPr>
          <w:p w14:paraId="6DE6BDE5">
            <w:pPr>
              <w:pStyle w:val="23"/>
              <w:jc w:val="center"/>
              <w:rPr>
                <w:rFonts w:ascii="宋体" w:hAnsi="宋体"/>
                <w:kern w:val="0"/>
                <w:szCs w:val="21"/>
              </w:rPr>
            </w:pPr>
            <w:r>
              <w:rPr>
                <w:rFonts w:ascii="宋体" w:hAnsi="宋体"/>
                <w:kern w:val="0"/>
                <w:szCs w:val="21"/>
              </w:rPr>
              <w:t>63.32</w:t>
            </w:r>
          </w:p>
        </w:tc>
        <w:tc>
          <w:tcPr>
            <w:tcW w:w="1245" w:type="pct"/>
            <w:shd w:val="clear" w:color="auto" w:fill="auto"/>
            <w:noWrap/>
            <w:vAlign w:val="center"/>
          </w:tcPr>
          <w:p w14:paraId="24C29C58">
            <w:pPr>
              <w:pStyle w:val="23"/>
              <w:jc w:val="center"/>
              <w:rPr>
                <w:rFonts w:ascii="宋体" w:hAnsi="宋体"/>
                <w:kern w:val="0"/>
                <w:szCs w:val="21"/>
              </w:rPr>
            </w:pPr>
            <w:r>
              <w:rPr>
                <w:rFonts w:ascii="宋体" w:hAnsi="宋体"/>
                <w:kern w:val="0"/>
                <w:szCs w:val="21"/>
              </w:rPr>
              <w:t>2.61</w:t>
            </w:r>
          </w:p>
        </w:tc>
        <w:tc>
          <w:tcPr>
            <w:tcW w:w="1155" w:type="pct"/>
            <w:shd w:val="clear" w:color="auto" w:fill="auto"/>
            <w:noWrap/>
            <w:vAlign w:val="center"/>
          </w:tcPr>
          <w:p w14:paraId="38EFD342">
            <w:pPr>
              <w:pStyle w:val="23"/>
              <w:jc w:val="center"/>
              <w:rPr>
                <w:rFonts w:ascii="宋体" w:hAnsi="宋体"/>
                <w:kern w:val="0"/>
                <w:szCs w:val="21"/>
              </w:rPr>
            </w:pPr>
            <w:r>
              <w:rPr>
                <w:rFonts w:ascii="宋体" w:hAnsi="宋体"/>
                <w:kern w:val="0"/>
                <w:szCs w:val="21"/>
              </w:rPr>
              <w:t>137.07</w:t>
            </w:r>
          </w:p>
        </w:tc>
        <w:tc>
          <w:tcPr>
            <w:tcW w:w="886" w:type="pct"/>
            <w:shd w:val="clear" w:color="auto" w:fill="auto"/>
            <w:noWrap/>
            <w:vAlign w:val="center"/>
          </w:tcPr>
          <w:p w14:paraId="1B63AA71">
            <w:pPr>
              <w:pStyle w:val="23"/>
              <w:jc w:val="center"/>
              <w:rPr>
                <w:rFonts w:ascii="宋体" w:hAnsi="宋体"/>
                <w:kern w:val="0"/>
                <w:szCs w:val="21"/>
              </w:rPr>
            </w:pPr>
            <w:r>
              <w:rPr>
                <w:rFonts w:ascii="宋体" w:hAnsi="宋体"/>
                <w:kern w:val="0"/>
                <w:szCs w:val="21"/>
              </w:rPr>
              <w:t>8756</w:t>
            </w:r>
          </w:p>
        </w:tc>
      </w:tr>
      <w:tr w14:paraId="0D9E6B6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553" w:type="pct"/>
            <w:shd w:val="clear" w:color="auto" w:fill="auto"/>
            <w:noWrap/>
            <w:vAlign w:val="center"/>
          </w:tcPr>
          <w:p w14:paraId="0B10006C">
            <w:pPr>
              <w:pStyle w:val="23"/>
              <w:jc w:val="center"/>
              <w:rPr>
                <w:rFonts w:ascii="宋体" w:hAnsi="宋体"/>
                <w:kern w:val="0"/>
                <w:szCs w:val="21"/>
              </w:rPr>
            </w:pPr>
            <w:r>
              <w:rPr>
                <w:rFonts w:ascii="宋体" w:hAnsi="宋体"/>
                <w:kern w:val="0"/>
                <w:szCs w:val="21"/>
              </w:rPr>
              <w:t>曲江</w:t>
            </w:r>
          </w:p>
        </w:tc>
        <w:tc>
          <w:tcPr>
            <w:tcW w:w="1160" w:type="pct"/>
            <w:shd w:val="clear" w:color="auto" w:fill="auto"/>
            <w:noWrap/>
            <w:vAlign w:val="center"/>
          </w:tcPr>
          <w:p w14:paraId="7B46ED46">
            <w:pPr>
              <w:pStyle w:val="23"/>
              <w:jc w:val="center"/>
              <w:rPr>
                <w:rFonts w:ascii="宋体" w:hAnsi="宋体"/>
                <w:kern w:val="0"/>
                <w:szCs w:val="21"/>
              </w:rPr>
            </w:pPr>
            <w:r>
              <w:rPr>
                <w:rFonts w:ascii="宋体" w:hAnsi="宋体"/>
                <w:kern w:val="0"/>
                <w:szCs w:val="21"/>
              </w:rPr>
              <w:t>83.7</w:t>
            </w:r>
          </w:p>
        </w:tc>
        <w:tc>
          <w:tcPr>
            <w:tcW w:w="1245" w:type="pct"/>
            <w:shd w:val="clear" w:color="auto" w:fill="auto"/>
            <w:noWrap/>
            <w:vAlign w:val="center"/>
          </w:tcPr>
          <w:p w14:paraId="1E9FD716">
            <w:pPr>
              <w:pStyle w:val="23"/>
              <w:jc w:val="center"/>
              <w:rPr>
                <w:rFonts w:ascii="宋体" w:hAnsi="宋体"/>
                <w:kern w:val="0"/>
                <w:szCs w:val="21"/>
              </w:rPr>
            </w:pPr>
            <w:r>
              <w:rPr>
                <w:rFonts w:ascii="宋体" w:hAnsi="宋体"/>
                <w:kern w:val="0"/>
                <w:szCs w:val="21"/>
              </w:rPr>
              <w:t>4.89</w:t>
            </w:r>
          </w:p>
        </w:tc>
        <w:tc>
          <w:tcPr>
            <w:tcW w:w="1155" w:type="pct"/>
            <w:shd w:val="clear" w:color="auto" w:fill="auto"/>
            <w:noWrap/>
            <w:vAlign w:val="center"/>
          </w:tcPr>
          <w:p w14:paraId="2DB8972D">
            <w:pPr>
              <w:pStyle w:val="23"/>
              <w:jc w:val="center"/>
              <w:rPr>
                <w:rFonts w:ascii="宋体" w:hAnsi="宋体"/>
                <w:kern w:val="0"/>
                <w:szCs w:val="21"/>
              </w:rPr>
            </w:pPr>
            <w:r>
              <w:rPr>
                <w:rFonts w:ascii="宋体" w:hAnsi="宋体"/>
                <w:kern w:val="0"/>
                <w:szCs w:val="21"/>
              </w:rPr>
              <w:t>38.42</w:t>
            </w:r>
          </w:p>
        </w:tc>
        <w:tc>
          <w:tcPr>
            <w:tcW w:w="886" w:type="pct"/>
            <w:shd w:val="clear" w:color="auto" w:fill="auto"/>
            <w:noWrap/>
            <w:vAlign w:val="center"/>
          </w:tcPr>
          <w:p w14:paraId="27AE2DFB">
            <w:pPr>
              <w:pStyle w:val="23"/>
              <w:jc w:val="center"/>
              <w:rPr>
                <w:rFonts w:ascii="宋体" w:hAnsi="宋体"/>
                <w:kern w:val="0"/>
                <w:szCs w:val="21"/>
              </w:rPr>
            </w:pPr>
            <w:r>
              <w:rPr>
                <w:rFonts w:ascii="宋体" w:hAnsi="宋体"/>
                <w:kern w:val="0"/>
                <w:szCs w:val="21"/>
              </w:rPr>
              <w:t>8265</w:t>
            </w:r>
          </w:p>
        </w:tc>
      </w:tr>
    </w:tbl>
    <w:p w14:paraId="7D6A9466">
      <w:pPr>
        <w:ind w:firstLine="0" w:firstLineChars="0"/>
        <w:rPr>
          <w:b/>
        </w:rPr>
      </w:pPr>
    </w:p>
    <w:tbl>
      <w:tblPr>
        <w:tblStyle w:val="15"/>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0C8EC29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0967CFE0">
            <w:pPr>
              <w:ind w:firstLine="0" w:firstLineChars="0"/>
              <w:jc w:val="center"/>
              <w:rPr>
                <w:b/>
              </w:rPr>
            </w:pPr>
            <w:r>
              <w:rPr>
                <w:b/>
              </w:rPr>
              <w:pict>
                <v:shape id="_x0000_i1042" o:spt="75" type="#_x0000_t75" style="height:366.75pt;width:487.5pt;" filled="f" o:preferrelative="t" stroked="f" coordsize="21600,21600">
                  <v:path/>
                  <v:fill on="f" focussize="0,0"/>
                  <v:stroke on="f" joinstyle="miter"/>
                  <v:imagedata r:id="rId113" o:title="南雄年鉴2012-60"/>
                  <o:lock v:ext="edit" aspectratio="t"/>
                  <w10:wrap type="none"/>
                  <w10:anchorlock/>
                </v:shape>
              </w:pict>
            </w:r>
          </w:p>
        </w:tc>
      </w:tr>
    </w:tbl>
    <w:p w14:paraId="38D7620E">
      <w:pPr>
        <w:pStyle w:val="3"/>
        <w:bidi w:val="0"/>
        <w:rPr>
          <w:rFonts w:hint="default" w:eastAsia="宋体"/>
          <w:lang w:val="en-US" w:eastAsia="zh-CN"/>
        </w:rPr>
      </w:pPr>
      <w:r>
        <w:rPr>
          <w:rFonts w:hint="eastAsia"/>
        </w:rPr>
        <w:t>南雄市</w:t>
      </w:r>
      <w:r>
        <w:t>2010年第六次全国人口普查</w:t>
      </w:r>
      <w:r>
        <w:rPr>
          <w:rFonts w:hint="eastAsia"/>
          <w:lang w:val="en-US" w:eastAsia="zh-CN"/>
        </w:rPr>
        <w:t xml:space="preserve">                          </w:t>
      </w:r>
      <w:r>
        <w:t>主要数据公报</w:t>
      </w:r>
      <w:r>
        <w:rPr>
          <w:rFonts w:hint="eastAsia"/>
          <w:vertAlign w:val="superscript"/>
          <w:lang w:val="en-US" w:eastAsia="zh-CN"/>
        </w:rPr>
        <w:t>[1]</w:t>
      </w:r>
    </w:p>
    <w:p w14:paraId="3610935E">
      <w:pPr>
        <w:bidi w:val="0"/>
        <w:jc w:val="center"/>
      </w:pPr>
      <w:r>
        <w:t>南雄市统计局</w:t>
      </w:r>
    </w:p>
    <w:p w14:paraId="65C8DBE8">
      <w:pPr>
        <w:bidi w:val="0"/>
        <w:jc w:val="center"/>
      </w:pPr>
      <w:r>
        <w:t>2011年5月20日</w:t>
      </w:r>
    </w:p>
    <w:p w14:paraId="54052CE8">
      <w:pPr>
        <w:ind w:firstLine="420"/>
        <w:rPr>
          <w:rFonts w:ascii="宋体" w:hAnsi="宋体"/>
          <w:szCs w:val="21"/>
        </w:rPr>
      </w:pPr>
      <w:r>
        <w:rPr>
          <w:rFonts w:hint="eastAsia" w:ascii="宋体" w:hAnsi="宋体"/>
          <w:szCs w:val="21"/>
        </w:rPr>
        <w:t>根据《全国人口普查条例》和国务院的决定，我国以2010年11月1日零时为标准时点进行了第六次全国人口普查</w:t>
      </w:r>
      <w:r>
        <w:rPr>
          <w:rFonts w:hint="eastAsia" w:ascii="宋体" w:hAnsi="宋体"/>
          <w:szCs w:val="21"/>
          <w:vertAlign w:val="superscript"/>
          <w:lang w:val="en-US" w:eastAsia="zh-CN"/>
        </w:rPr>
        <w:t>[</w:t>
      </w:r>
      <w:r>
        <w:rPr>
          <w:rFonts w:ascii="宋体" w:hAnsi="宋体"/>
          <w:szCs w:val="21"/>
          <w:vertAlign w:val="superscript"/>
        </w:rPr>
        <w:t>2</w:t>
      </w:r>
      <w:r>
        <w:rPr>
          <w:rFonts w:hint="eastAsia" w:ascii="宋体" w:hAnsi="宋体"/>
          <w:szCs w:val="21"/>
          <w:vertAlign w:val="superscript"/>
          <w:lang w:val="en-US" w:eastAsia="zh-CN"/>
        </w:rPr>
        <w:t>]</w:t>
      </w:r>
      <w:r>
        <w:rPr>
          <w:rFonts w:hint="eastAsia" w:ascii="宋体" w:hAnsi="宋体"/>
          <w:szCs w:val="21"/>
        </w:rPr>
        <w:t>。在国务院、省、市、南雄市政府和镇政府（街道办）的统一领导下，在全体普查对象的支持配合下，通过广大普查工作人员的艰苦努力，圆满完成了人口普查快速汇总任务。现将快速汇总的主要数据公布如下：</w:t>
      </w:r>
    </w:p>
    <w:p w14:paraId="293A7271">
      <w:pPr>
        <w:ind w:firstLine="422"/>
        <w:rPr>
          <w:rFonts w:ascii="宋体" w:hAnsi="宋体"/>
          <w:b/>
          <w:szCs w:val="21"/>
        </w:rPr>
      </w:pPr>
      <w:r>
        <w:rPr>
          <w:rFonts w:hint="eastAsia" w:ascii="宋体" w:hAnsi="宋体"/>
          <w:b/>
          <w:szCs w:val="21"/>
        </w:rPr>
        <w:t>一、全市常住人口</w:t>
      </w:r>
    </w:p>
    <w:p w14:paraId="0EB17F96">
      <w:pPr>
        <w:ind w:firstLine="420"/>
        <w:rPr>
          <w:rFonts w:ascii="宋体" w:hAnsi="宋体"/>
          <w:szCs w:val="21"/>
        </w:rPr>
      </w:pPr>
      <w:r>
        <w:rPr>
          <w:rFonts w:hint="eastAsia" w:ascii="宋体" w:hAnsi="宋体"/>
          <w:szCs w:val="21"/>
        </w:rPr>
        <w:t>全市常住人口</w:t>
      </w:r>
      <w:r>
        <w:rPr>
          <w:rFonts w:hint="eastAsia" w:ascii="宋体" w:hAnsi="宋体"/>
          <w:szCs w:val="21"/>
          <w:vertAlign w:val="superscript"/>
          <w:lang w:val="en-US" w:eastAsia="zh-CN"/>
        </w:rPr>
        <w:t>[3]</w:t>
      </w:r>
      <w:r>
        <w:rPr>
          <w:rFonts w:hint="eastAsia" w:ascii="宋体" w:hAnsi="宋体"/>
          <w:szCs w:val="21"/>
        </w:rPr>
        <w:t>为316179人，同第五次人口普查2000年11月1日零时的372844人相比，十年共减少56665人，降低15.20%，年平均降低率为1.64%。</w:t>
      </w:r>
    </w:p>
    <w:p w14:paraId="4A1962F2">
      <w:pPr>
        <w:ind w:firstLine="422"/>
        <w:rPr>
          <w:rFonts w:ascii="宋体" w:hAnsi="宋体"/>
          <w:b/>
          <w:szCs w:val="21"/>
        </w:rPr>
      </w:pPr>
      <w:r>
        <w:rPr>
          <w:rFonts w:hint="eastAsia" w:ascii="宋体" w:hAnsi="宋体"/>
          <w:b/>
          <w:szCs w:val="21"/>
        </w:rPr>
        <w:t>二、家庭户人口</w:t>
      </w:r>
    </w:p>
    <w:p w14:paraId="3D6D478B">
      <w:pPr>
        <w:ind w:firstLine="420"/>
        <w:rPr>
          <w:rFonts w:ascii="宋体" w:hAnsi="宋体"/>
          <w:szCs w:val="21"/>
        </w:rPr>
      </w:pPr>
      <w:r>
        <w:rPr>
          <w:rFonts w:hint="eastAsia" w:ascii="宋体" w:hAnsi="宋体"/>
          <w:szCs w:val="21"/>
        </w:rPr>
        <w:t>全市常住人口中共有家庭户</w:t>
      </w:r>
      <w:r>
        <w:rPr>
          <w:rFonts w:hint="eastAsia" w:ascii="宋体" w:hAnsi="宋体"/>
          <w:szCs w:val="21"/>
          <w:vertAlign w:val="superscript"/>
          <w:lang w:val="en-US" w:eastAsia="zh-CN"/>
        </w:rPr>
        <w:t>[4]</w:t>
      </w:r>
      <w:r>
        <w:rPr>
          <w:rFonts w:hint="eastAsia" w:ascii="宋体" w:hAnsi="宋体"/>
          <w:szCs w:val="21"/>
        </w:rPr>
        <w:t>105969户，家庭户人口为303358人，平均每个家庭户的人口为2.86人，比2000年第五次人口查的3.45人减少0.59人。</w:t>
      </w:r>
    </w:p>
    <w:p w14:paraId="74FB6195">
      <w:pPr>
        <w:ind w:firstLine="422"/>
        <w:rPr>
          <w:rFonts w:ascii="宋体" w:hAnsi="宋体"/>
          <w:b/>
          <w:szCs w:val="21"/>
        </w:rPr>
      </w:pPr>
      <w:r>
        <w:rPr>
          <w:rFonts w:hint="eastAsia" w:ascii="宋体" w:hAnsi="宋体"/>
          <w:b/>
          <w:szCs w:val="21"/>
        </w:rPr>
        <w:t>三、性别构成</w:t>
      </w:r>
    </w:p>
    <w:p w14:paraId="3D07C0EA">
      <w:pPr>
        <w:ind w:firstLine="420"/>
        <w:rPr>
          <w:rFonts w:ascii="宋体" w:hAnsi="宋体"/>
          <w:szCs w:val="21"/>
        </w:rPr>
      </w:pPr>
      <w:r>
        <w:rPr>
          <w:rFonts w:hint="eastAsia" w:ascii="宋体" w:hAnsi="宋体"/>
          <w:szCs w:val="21"/>
        </w:rPr>
        <w:t>全市常住人口中，男性人口为156263人，占49.42%，女性人口为159916人，占50.58%。总人口性别比（以女性为100，男性对女性的比例）由2000年第五次全国人口普查的98.93下降为97.72。</w:t>
      </w:r>
    </w:p>
    <w:p w14:paraId="4F052EB2">
      <w:pPr>
        <w:ind w:firstLine="422"/>
        <w:rPr>
          <w:rFonts w:ascii="宋体" w:hAnsi="宋体"/>
          <w:b/>
          <w:szCs w:val="21"/>
        </w:rPr>
      </w:pPr>
      <w:r>
        <w:rPr>
          <w:rFonts w:hint="eastAsia" w:ascii="宋体" w:hAnsi="宋体"/>
          <w:b/>
          <w:szCs w:val="21"/>
        </w:rPr>
        <w:t>四、年龄构成</w:t>
      </w:r>
    </w:p>
    <w:p w14:paraId="60F2875C">
      <w:pPr>
        <w:ind w:firstLine="420"/>
        <w:rPr>
          <w:rFonts w:ascii="宋体" w:hAnsi="宋体"/>
          <w:szCs w:val="21"/>
        </w:rPr>
      </w:pPr>
      <w:r>
        <w:rPr>
          <w:rFonts w:hint="eastAsia" w:ascii="宋体" w:hAnsi="宋体"/>
          <w:szCs w:val="21"/>
        </w:rPr>
        <w:t>全市常住人口中，0-14岁人口为70774人占22.38%；15-64岁人口为208303人，占65.89%；65岁及以上人口为37102人，占11.73%。同2000年第五次全国人口普查相比，0-14岁人口的比重下降5.99个百分点，15-64岁人口的比重上升2.60个百分点，65岁及以上人口的比重上升3.39个百分点。</w:t>
      </w:r>
    </w:p>
    <w:p w14:paraId="0DB9F86C">
      <w:pPr>
        <w:ind w:firstLine="422"/>
        <w:rPr>
          <w:rFonts w:ascii="宋体" w:hAnsi="宋体"/>
          <w:b/>
          <w:szCs w:val="21"/>
        </w:rPr>
      </w:pPr>
      <w:r>
        <w:rPr>
          <w:rFonts w:hint="eastAsia" w:ascii="宋体" w:hAnsi="宋体"/>
          <w:b/>
          <w:szCs w:val="21"/>
        </w:rPr>
        <w:t>五、各种受教育程度人口</w:t>
      </w:r>
    </w:p>
    <w:p w14:paraId="3A34F3F7">
      <w:pPr>
        <w:ind w:firstLine="420"/>
        <w:rPr>
          <w:rFonts w:ascii="宋体" w:hAnsi="宋体"/>
          <w:szCs w:val="21"/>
        </w:rPr>
      </w:pPr>
      <w:r>
        <w:rPr>
          <w:rFonts w:hint="eastAsia" w:ascii="宋体" w:hAnsi="宋体"/>
          <w:szCs w:val="21"/>
        </w:rPr>
        <w:t>全市常住人口中，具有大学（指大专以上）程度六次全国人口普查公报统计局月20日的人口为10429人；具有高中（含中专）程度的人口为36631人；具有初中程度的人口为10544人；具有小学程度的人口为11500人（以上各程受教育的人包括各类学校的毕业生、肄业生和在校生）。</w:t>
      </w:r>
    </w:p>
    <w:p w14:paraId="3CE1EE52">
      <w:pPr>
        <w:ind w:firstLine="420"/>
        <w:rPr>
          <w:rFonts w:ascii="宋体" w:hAnsi="宋体"/>
          <w:szCs w:val="21"/>
        </w:rPr>
      </w:pPr>
      <w:r>
        <w:rPr>
          <w:rFonts w:hint="eastAsia" w:ascii="宋体" w:hAnsi="宋体"/>
          <w:szCs w:val="21"/>
        </w:rPr>
        <w:t>同2000年第五次全国人口查相比，每10万人中具有大学程度的由1927人上升为3298人；具有高中程度的由8955人上升为11586人；具有初中程度的由24803人上升为33381人；具有小学程度的由45022人下降为36467人。</w:t>
      </w:r>
    </w:p>
    <w:p w14:paraId="6CD1EEA9">
      <w:pPr>
        <w:ind w:firstLine="420"/>
        <w:rPr>
          <w:rFonts w:ascii="宋体" w:hAnsi="宋体"/>
          <w:szCs w:val="21"/>
        </w:rPr>
      </w:pPr>
      <w:r>
        <w:rPr>
          <w:rFonts w:hint="eastAsia" w:ascii="宋体" w:hAnsi="宋体"/>
          <w:szCs w:val="21"/>
        </w:rPr>
        <w:t>全市常住人口中，文盲人口（15岁及以上不识字的人）为17898人，同2000年第五次全国人口普查相比，文盲人口减少14792人，文盲率</w:t>
      </w:r>
      <w:r>
        <w:rPr>
          <w:rFonts w:ascii="宋体" w:hAnsi="宋体"/>
          <w:szCs w:val="21"/>
          <w:vertAlign w:val="superscript"/>
        </w:rPr>
        <w:t>5</w:t>
      </w:r>
      <w:r>
        <w:rPr>
          <w:rFonts w:hint="eastAsia" w:ascii="宋体" w:hAnsi="宋体"/>
          <w:szCs w:val="21"/>
        </w:rPr>
        <w:t>由12.27%下降为5.66%，下降6.61个百分点</w:t>
      </w:r>
    </w:p>
    <w:p w14:paraId="4E1B4B19">
      <w:pPr>
        <w:ind w:firstLine="422"/>
        <w:rPr>
          <w:rFonts w:ascii="宋体" w:hAnsi="宋体"/>
          <w:b/>
          <w:szCs w:val="21"/>
        </w:rPr>
      </w:pPr>
      <w:r>
        <w:rPr>
          <w:rFonts w:hint="eastAsia" w:ascii="宋体" w:hAnsi="宋体"/>
          <w:b/>
          <w:szCs w:val="21"/>
        </w:rPr>
        <w:t>六、人口密度</w:t>
      </w:r>
    </w:p>
    <w:p w14:paraId="766AD2E8">
      <w:pPr>
        <w:ind w:firstLine="420"/>
        <w:rPr>
          <w:rFonts w:ascii="宋体" w:hAnsi="宋体"/>
          <w:szCs w:val="21"/>
        </w:rPr>
      </w:pPr>
      <w:r>
        <w:rPr>
          <w:rFonts w:hint="eastAsia" w:ascii="宋体" w:hAnsi="宋体"/>
          <w:szCs w:val="21"/>
        </w:rPr>
        <w:t>全市人口密度</w:t>
      </w:r>
      <w:r>
        <w:rPr>
          <w:rFonts w:ascii="宋体" w:hAnsi="宋体"/>
          <w:szCs w:val="21"/>
          <w:vertAlign w:val="superscript"/>
        </w:rPr>
        <w:t>6</w:t>
      </w:r>
      <w:r>
        <w:rPr>
          <w:rFonts w:hint="eastAsia" w:ascii="宋体" w:hAnsi="宋体"/>
          <w:szCs w:val="21"/>
        </w:rPr>
        <w:t>为134人平方公里，比2000年第五次人口普查的158人减少24人。</w:t>
      </w:r>
    </w:p>
    <w:p w14:paraId="69FE857E">
      <w:pPr>
        <w:ind w:firstLine="420"/>
        <w:rPr>
          <w:rFonts w:ascii="宋体" w:hAnsi="宋体"/>
          <w:szCs w:val="21"/>
        </w:rPr>
      </w:pPr>
      <w:r>
        <w:rPr>
          <w:rFonts w:hint="eastAsia" w:ascii="宋体" w:hAnsi="宋体"/>
          <w:szCs w:val="21"/>
        </w:rPr>
        <w:t>注释：</w:t>
      </w:r>
    </w:p>
    <w:p w14:paraId="26C22088">
      <w:pPr>
        <w:ind w:firstLine="420"/>
        <w:rPr>
          <w:rFonts w:ascii="宋体" w:hAnsi="宋体"/>
          <w:szCs w:val="21"/>
        </w:rPr>
      </w:pPr>
      <w:r>
        <w:rPr>
          <w:rFonts w:hint="eastAsia" w:ascii="宋体" w:hAnsi="宋体"/>
          <w:szCs w:val="21"/>
        </w:rPr>
        <w:t>[1]本公报中数据均为初步汇总数。</w:t>
      </w:r>
    </w:p>
    <w:p w14:paraId="678A9509">
      <w:pPr>
        <w:ind w:firstLine="420"/>
        <w:rPr>
          <w:rFonts w:ascii="宋体" w:hAnsi="宋体"/>
          <w:szCs w:val="21"/>
        </w:rPr>
      </w:pPr>
      <w:r>
        <w:rPr>
          <w:rFonts w:hint="eastAsia" w:ascii="宋体" w:hAnsi="宋体"/>
          <w:szCs w:val="21"/>
        </w:rPr>
        <w:t>[2]普查登记的对象是指普查标准时点在中华人民共和国境内的自然人以及在中华人民共和国境外但末定居的中国公民，不包括在中华人民共和国境内短期停留的境外人员。</w:t>
      </w:r>
    </w:p>
    <w:p w14:paraId="1D338309">
      <w:pPr>
        <w:ind w:firstLine="420"/>
        <w:rPr>
          <w:rFonts w:ascii="宋体" w:hAnsi="宋体"/>
          <w:szCs w:val="21"/>
        </w:rPr>
      </w:pPr>
      <w:r>
        <w:rPr>
          <w:rFonts w:hint="eastAsia" w:ascii="宋体" w:hAnsi="宋体"/>
          <w:szCs w:val="21"/>
        </w:rPr>
        <w:t>[3]全市及各乡镇、街道的人口，是指普查登记的2010年11月1日零时的常住人口。常住人口包括，居住在本乡镇街道、户口所在的乡镇街道半年以上的人；户口在本乡镇街道、外出不满半年或在境外工作学习的人。</w:t>
      </w:r>
    </w:p>
    <w:p w14:paraId="0EDA1166">
      <w:pPr>
        <w:ind w:firstLine="420"/>
        <w:rPr>
          <w:rFonts w:ascii="宋体" w:hAnsi="宋体"/>
          <w:szCs w:val="21"/>
        </w:rPr>
      </w:pPr>
      <w:r>
        <w:rPr>
          <w:rFonts w:hint="eastAsia" w:ascii="宋体" w:hAnsi="宋体"/>
          <w:szCs w:val="21"/>
        </w:rPr>
        <w:t>[4]家庭户是指以家庭成员关系为主、居住一处共同生活的人组成的户。</w:t>
      </w:r>
    </w:p>
    <w:p w14:paraId="7A1CFD61">
      <w:pPr>
        <w:ind w:firstLine="420"/>
        <w:rPr>
          <w:rFonts w:ascii="宋体" w:hAnsi="宋体"/>
          <w:szCs w:val="21"/>
        </w:rPr>
      </w:pPr>
      <w:r>
        <w:rPr>
          <w:rFonts w:hint="eastAsia" w:ascii="宋体" w:hAnsi="宋体"/>
          <w:szCs w:val="21"/>
        </w:rPr>
        <w:t>[5]文盲率是指全市常住人口中15岁及以上不识字的人口所古比重。</w:t>
      </w:r>
    </w:p>
    <w:p w14:paraId="4AF135A1">
      <w:pPr>
        <w:ind w:firstLine="420"/>
        <w:rPr>
          <w:rFonts w:ascii="宋体" w:hAnsi="宋体"/>
          <w:szCs w:val="21"/>
        </w:rPr>
      </w:pPr>
      <w:r>
        <w:rPr>
          <w:rFonts w:hint="eastAsia" w:ascii="宋体" w:hAnsi="宋体"/>
          <w:szCs w:val="21"/>
        </w:rPr>
        <w:t>[6]人口密度按市国土局提供的2010年底土地面积计算。</w:t>
      </w:r>
    </w:p>
    <w:p w14:paraId="570C00D0">
      <w:pPr>
        <w:pStyle w:val="2"/>
      </w:pPr>
      <w:r>
        <w:rPr>
          <w:rFonts w:hint="eastAsia"/>
        </w:rPr>
        <w:t>附录</w:t>
      </w:r>
    </w:p>
    <w:p w14:paraId="578F3BF3">
      <w:pPr>
        <w:pStyle w:val="3"/>
      </w:pPr>
      <w:r>
        <w:rPr>
          <w:rFonts w:hint="eastAsia"/>
        </w:rPr>
        <w:t>南雄市人民政府工作规则</w:t>
      </w:r>
    </w:p>
    <w:p w14:paraId="7D099AF0">
      <w:pPr>
        <w:ind w:firstLine="422"/>
        <w:jc w:val="center"/>
        <w:rPr>
          <w:rFonts w:ascii="宋体" w:hAnsi="宋体"/>
          <w:b/>
          <w:szCs w:val="21"/>
        </w:rPr>
      </w:pPr>
      <w:r>
        <w:rPr>
          <w:rFonts w:hint="eastAsia" w:ascii="宋体" w:hAnsi="宋体"/>
          <w:b/>
          <w:szCs w:val="21"/>
        </w:rPr>
        <w:t>第一章 总则</w:t>
      </w:r>
    </w:p>
    <w:p w14:paraId="37807AB5">
      <w:pPr>
        <w:ind w:firstLine="420"/>
        <w:rPr>
          <w:rFonts w:ascii="宋体" w:hAnsi="宋体"/>
          <w:szCs w:val="21"/>
        </w:rPr>
      </w:pPr>
      <w:r>
        <w:rPr>
          <w:rFonts w:hint="eastAsia" w:ascii="宋体" w:hAnsi="宋体"/>
          <w:szCs w:val="21"/>
        </w:rPr>
        <w:t>一、根据《中华人民共和国宪法》、《中华人民共和国地方各级人民代表大会和地方各级人民政府组织法》、《国务院工作规则》和《广东省人民政府工作规则》，结合本市实际，制定本规则。</w:t>
      </w:r>
    </w:p>
    <w:p w14:paraId="403E80A1">
      <w:pPr>
        <w:ind w:firstLine="420"/>
        <w:rPr>
          <w:rFonts w:ascii="宋体" w:hAnsi="宋体"/>
          <w:szCs w:val="21"/>
        </w:rPr>
      </w:pPr>
      <w:r>
        <w:rPr>
          <w:rFonts w:hint="eastAsia" w:ascii="宋体" w:hAnsi="宋体"/>
          <w:szCs w:val="21"/>
        </w:rPr>
        <w:t>二、市政府工作的指导思想是：高举中国特色社会主义伟大旗帜，以邓小平理论和“三个代表”重要思想为指导，全面贯彻落实科学发展观，坚决贯彻党中央、国务院和上级党委、政府及中共南雄市委的各项工作部署，严格执行国家法律、法规，实行科学民主决策，坚持依法行政，推行政务公开，健全监督制度，加强廉政建设，全面履行政府职能，努力提高政府行政能力和管理水平，建设行为规范、运转协调、公正透明、务实高效的廉洁政府。</w:t>
      </w:r>
    </w:p>
    <w:p w14:paraId="72B48F78">
      <w:pPr>
        <w:ind w:firstLine="420"/>
        <w:rPr>
          <w:rFonts w:ascii="宋体" w:hAnsi="宋体"/>
          <w:szCs w:val="21"/>
        </w:rPr>
      </w:pPr>
      <w:r>
        <w:rPr>
          <w:rFonts w:hint="eastAsia" w:ascii="宋体" w:hAnsi="宋体"/>
          <w:szCs w:val="21"/>
        </w:rPr>
        <w:t>三、市政府组成人员要履行宪法和法律赋予的职责，坚持解放思想、实事求是、与时俱进、开拓创新、忠于职守、服从命令、顾全大局，全心全意为人民服务。</w:t>
      </w:r>
    </w:p>
    <w:p w14:paraId="6D0BCB00">
      <w:pPr>
        <w:ind w:firstLine="420"/>
        <w:rPr>
          <w:rFonts w:ascii="宋体" w:hAnsi="宋体"/>
          <w:szCs w:val="21"/>
        </w:rPr>
      </w:pPr>
      <w:r>
        <w:rPr>
          <w:rFonts w:hint="eastAsia" w:ascii="宋体" w:hAnsi="宋体"/>
          <w:szCs w:val="21"/>
        </w:rPr>
        <w:t>四、市政府对南雄市人民代表大会及其常务委员会和韶关市政府负责并报告工作。</w:t>
      </w:r>
    </w:p>
    <w:p w14:paraId="360451F7">
      <w:pPr>
        <w:ind w:firstLine="420"/>
        <w:rPr>
          <w:rFonts w:ascii="宋体" w:hAnsi="宋体"/>
          <w:szCs w:val="21"/>
        </w:rPr>
      </w:pPr>
      <w:r>
        <w:rPr>
          <w:rFonts w:hint="eastAsia" w:ascii="宋体" w:hAnsi="宋体"/>
          <w:szCs w:val="21"/>
        </w:rPr>
        <w:t>五、市政府各工作部门依照法律、法规和规章行使职权，进一步转变政府职能、管理方式和工作作风，按照上级政府的统一部署相对集中行政审批权，全力推进政务公开和政府信息公开，切实贯彻上级党委、政府和市委的各项工作部署，提高行政效能。</w:t>
      </w:r>
    </w:p>
    <w:p w14:paraId="3797EAFB">
      <w:pPr>
        <w:ind w:firstLine="422"/>
        <w:jc w:val="center"/>
        <w:rPr>
          <w:rFonts w:ascii="宋体" w:hAnsi="宋体"/>
          <w:b/>
          <w:szCs w:val="21"/>
        </w:rPr>
      </w:pPr>
      <w:r>
        <w:rPr>
          <w:rFonts w:hint="eastAsia" w:ascii="宋体" w:hAnsi="宋体"/>
          <w:b/>
          <w:szCs w:val="21"/>
        </w:rPr>
        <w:t>第二章 政府职权</w:t>
      </w:r>
    </w:p>
    <w:p w14:paraId="58DACF64">
      <w:pPr>
        <w:ind w:firstLine="420"/>
        <w:rPr>
          <w:rFonts w:ascii="宋体" w:hAnsi="宋体"/>
          <w:szCs w:val="21"/>
        </w:rPr>
      </w:pPr>
      <w:r>
        <w:rPr>
          <w:rFonts w:hint="eastAsia" w:ascii="宋体" w:hAnsi="宋体"/>
          <w:szCs w:val="21"/>
        </w:rPr>
        <w:t>六、根据《中华人民共和国地方各级人民代表录政府工作规则大会和地方各级人民政府组织法》规定，市政府履行以下职权：</w:t>
      </w:r>
    </w:p>
    <w:p w14:paraId="1FFF6B9B">
      <w:pPr>
        <w:ind w:firstLine="420"/>
        <w:rPr>
          <w:rFonts w:ascii="宋体" w:hAnsi="宋体"/>
          <w:szCs w:val="21"/>
        </w:rPr>
      </w:pPr>
      <w:r>
        <w:rPr>
          <w:rFonts w:hint="eastAsia" w:ascii="宋体" w:hAnsi="宋体"/>
          <w:szCs w:val="21"/>
        </w:rPr>
        <w:t>（一）认真执行上级党委、政府和市委的决议与决定，执行市人民代表大会及其常务委员会的决议，以及上级国家行政机关的决议和命令，规定行政措施，发布决定和命令；</w:t>
      </w:r>
    </w:p>
    <w:p w14:paraId="22FF023E">
      <w:pPr>
        <w:ind w:firstLine="420"/>
        <w:rPr>
          <w:rFonts w:ascii="宋体" w:hAnsi="宋体"/>
          <w:szCs w:val="21"/>
        </w:rPr>
      </w:pPr>
      <w:r>
        <w:rPr>
          <w:rFonts w:hint="eastAsia" w:ascii="宋体" w:hAnsi="宋体"/>
          <w:szCs w:val="21"/>
        </w:rPr>
        <w:t>（二）领导所属各工作部门和各镇人民政府、街道办事处的工作；</w:t>
      </w:r>
    </w:p>
    <w:p w14:paraId="3DAE4629">
      <w:pPr>
        <w:ind w:firstLine="420"/>
        <w:rPr>
          <w:rFonts w:ascii="宋体" w:hAnsi="宋体"/>
          <w:szCs w:val="21"/>
        </w:rPr>
      </w:pPr>
      <w:r>
        <w:rPr>
          <w:rFonts w:hint="eastAsia" w:ascii="宋体" w:hAnsi="宋体"/>
          <w:szCs w:val="21"/>
        </w:rPr>
        <w:t>（三）改变或者撤销所属各工作部门和各镇人民政府、街道办事处的不适当的决定；</w:t>
      </w:r>
    </w:p>
    <w:p w14:paraId="5A8314D2">
      <w:pPr>
        <w:ind w:firstLine="420"/>
        <w:rPr>
          <w:rFonts w:ascii="宋体" w:hAnsi="宋体"/>
          <w:szCs w:val="21"/>
        </w:rPr>
      </w:pPr>
      <w:r>
        <w:rPr>
          <w:rFonts w:hint="eastAsia" w:ascii="宋体" w:hAnsi="宋体"/>
          <w:szCs w:val="21"/>
        </w:rPr>
        <w:t>（四）编制和执行市国民经济和社会发展计划、预算，领导和管理本行政区域内经济社会发展等行政事务；</w:t>
      </w:r>
    </w:p>
    <w:p w14:paraId="1115A1C8">
      <w:pPr>
        <w:ind w:firstLine="420"/>
        <w:rPr>
          <w:rFonts w:ascii="宋体" w:hAnsi="宋体"/>
          <w:szCs w:val="21"/>
        </w:rPr>
      </w:pPr>
      <w:r>
        <w:rPr>
          <w:rFonts w:hint="eastAsia" w:ascii="宋体" w:hAnsi="宋体"/>
          <w:szCs w:val="21"/>
        </w:rPr>
        <w:t>（五）审定市属行政事业单位机构编制，依照法律的规定任免、培训、考核和奖惩国家行政机关工作人员；</w:t>
      </w:r>
    </w:p>
    <w:p w14:paraId="0F151688">
      <w:pPr>
        <w:ind w:firstLine="420"/>
        <w:rPr>
          <w:rFonts w:ascii="宋体" w:hAnsi="宋体"/>
          <w:szCs w:val="21"/>
        </w:rPr>
      </w:pPr>
      <w:r>
        <w:rPr>
          <w:rFonts w:hint="eastAsia" w:ascii="宋体" w:hAnsi="宋体"/>
          <w:szCs w:val="21"/>
        </w:rPr>
        <w:t>（六）保护全民所有财产和劳动群众集体所有的财产，保护公民私人所有的合法财产，维护社会秩序，保障公民人身权利、民主权利和其他权利；</w:t>
      </w:r>
    </w:p>
    <w:p w14:paraId="42D941D3">
      <w:pPr>
        <w:ind w:firstLine="420"/>
        <w:rPr>
          <w:rFonts w:ascii="宋体" w:hAnsi="宋体"/>
          <w:szCs w:val="21"/>
        </w:rPr>
      </w:pPr>
      <w:r>
        <w:rPr>
          <w:rFonts w:hint="eastAsia" w:ascii="宋体" w:hAnsi="宋体"/>
          <w:szCs w:val="21"/>
        </w:rPr>
        <w:t>（七）保护各种经济组织的合法权益；</w:t>
      </w:r>
    </w:p>
    <w:p w14:paraId="3C983BE3">
      <w:pPr>
        <w:ind w:firstLine="420"/>
        <w:rPr>
          <w:rFonts w:ascii="宋体" w:hAnsi="宋体"/>
          <w:szCs w:val="21"/>
        </w:rPr>
      </w:pPr>
      <w:r>
        <w:rPr>
          <w:rFonts w:hint="eastAsia" w:ascii="宋体" w:hAnsi="宋体"/>
          <w:szCs w:val="21"/>
        </w:rPr>
        <w:t>（八）办理人大代表、政协委员提出的议案、意见、建议及提案；</w:t>
      </w:r>
    </w:p>
    <w:p w14:paraId="64B4B035">
      <w:pPr>
        <w:ind w:firstLine="420"/>
        <w:rPr>
          <w:rFonts w:ascii="宋体" w:hAnsi="宋体"/>
          <w:szCs w:val="21"/>
        </w:rPr>
      </w:pPr>
      <w:r>
        <w:rPr>
          <w:rFonts w:hint="eastAsia" w:ascii="宋体" w:hAnsi="宋体"/>
          <w:szCs w:val="21"/>
        </w:rPr>
        <w:t>（九）保障宪法和法律赋予妇女的男女平等、同工同酬和婚姻自由等各项权利；</w:t>
      </w:r>
    </w:p>
    <w:p w14:paraId="7F91F808">
      <w:pPr>
        <w:ind w:firstLine="420"/>
        <w:rPr>
          <w:rFonts w:ascii="宋体" w:hAnsi="宋体"/>
          <w:szCs w:val="21"/>
        </w:rPr>
      </w:pPr>
      <w:r>
        <w:rPr>
          <w:rFonts w:hint="eastAsia" w:ascii="宋体" w:hAnsi="宋体"/>
          <w:szCs w:val="21"/>
        </w:rPr>
        <w:t>（十）办理上级国家行政机关和市委交办的其他事项。</w:t>
      </w:r>
    </w:p>
    <w:p w14:paraId="7562BAA8">
      <w:pPr>
        <w:ind w:firstLine="422"/>
        <w:jc w:val="center"/>
        <w:rPr>
          <w:rFonts w:ascii="宋体" w:hAnsi="宋体"/>
          <w:b/>
          <w:szCs w:val="21"/>
        </w:rPr>
      </w:pPr>
      <w:r>
        <w:rPr>
          <w:rFonts w:hint="eastAsia" w:ascii="宋体" w:hAnsi="宋体"/>
          <w:b/>
          <w:szCs w:val="21"/>
        </w:rPr>
        <w:t>第三章 市政府及其组成人员</w:t>
      </w:r>
    </w:p>
    <w:p w14:paraId="00E92824">
      <w:pPr>
        <w:ind w:firstLine="420"/>
        <w:rPr>
          <w:rFonts w:ascii="宋体" w:hAnsi="宋体"/>
          <w:szCs w:val="21"/>
        </w:rPr>
      </w:pPr>
      <w:r>
        <w:rPr>
          <w:rFonts w:hint="eastAsia" w:ascii="宋体" w:hAnsi="宋体"/>
          <w:szCs w:val="21"/>
        </w:rPr>
        <w:t>七、市政府由下列人员组成：市长、副市长、市长助理、市政府组成部门的主任和局长。</w:t>
      </w:r>
    </w:p>
    <w:p w14:paraId="38F180E6">
      <w:pPr>
        <w:ind w:firstLine="420"/>
        <w:rPr>
          <w:rFonts w:ascii="宋体" w:hAnsi="宋体"/>
          <w:szCs w:val="21"/>
        </w:rPr>
      </w:pPr>
      <w:r>
        <w:rPr>
          <w:rFonts w:hint="eastAsia" w:ascii="宋体" w:hAnsi="宋体"/>
          <w:szCs w:val="21"/>
        </w:rPr>
        <w:t>（一）市政府实行市长负责制，市长领导市政府工作。副市长、市长助理协助市长工作。</w:t>
      </w:r>
    </w:p>
    <w:p w14:paraId="5B2F9041">
      <w:pPr>
        <w:ind w:firstLine="420"/>
        <w:rPr>
          <w:rFonts w:ascii="宋体" w:hAnsi="宋体"/>
          <w:szCs w:val="21"/>
        </w:rPr>
      </w:pPr>
      <w:r>
        <w:rPr>
          <w:rFonts w:hint="eastAsia" w:ascii="宋体" w:hAnsi="宋体"/>
          <w:szCs w:val="21"/>
        </w:rPr>
        <w:t>（二）市长召集和主持市政府全体会议、市政府常务会议和市长办公会议。市政府工作中的重大事项，必须经市政府全体会议或市政府常务会议讨论决定。日常工作中的重要问题和紧急突发事件，召开市长办公会议或市政府专题会议研究处理。</w:t>
      </w:r>
    </w:p>
    <w:p w14:paraId="3270E257">
      <w:pPr>
        <w:ind w:firstLine="420"/>
        <w:rPr>
          <w:rFonts w:ascii="宋体" w:hAnsi="宋体"/>
          <w:szCs w:val="21"/>
        </w:rPr>
      </w:pPr>
      <w:r>
        <w:rPr>
          <w:rFonts w:hint="eastAsia" w:ascii="宋体" w:hAnsi="宋体"/>
          <w:szCs w:val="21"/>
        </w:rPr>
        <w:t>（三）副市长、市长助理按分工负责处理分管工作。受市长委托，负责其他方面的工作或专项任务，并可代表市政府进行外事活动。</w:t>
      </w:r>
    </w:p>
    <w:p w14:paraId="602137FC">
      <w:pPr>
        <w:ind w:firstLine="420"/>
        <w:rPr>
          <w:rFonts w:ascii="宋体" w:hAnsi="宋体"/>
          <w:szCs w:val="21"/>
        </w:rPr>
      </w:pPr>
      <w:r>
        <w:rPr>
          <w:rFonts w:hint="eastAsia" w:ascii="宋体" w:hAnsi="宋体"/>
          <w:szCs w:val="21"/>
        </w:rPr>
        <w:t>（四）市政府办公室主任在市长领导下，负责处理安排市政府机关的日常工作。</w:t>
      </w:r>
    </w:p>
    <w:p w14:paraId="561C7B02">
      <w:pPr>
        <w:ind w:firstLine="420"/>
        <w:rPr>
          <w:rFonts w:ascii="宋体" w:hAnsi="宋体"/>
          <w:szCs w:val="21"/>
        </w:rPr>
      </w:pPr>
      <w:r>
        <w:rPr>
          <w:rFonts w:hint="eastAsia" w:ascii="宋体" w:hAnsi="宋体"/>
          <w:szCs w:val="21"/>
        </w:rPr>
        <w:t>（五）市政府办公室主任和局长负责本部门的工作，根据法律、法规、规章和国家方针政策以及市政府决定，在本部门的职权范围内履职，行使权力。</w:t>
      </w:r>
    </w:p>
    <w:p w14:paraId="50A0C69F">
      <w:pPr>
        <w:ind w:firstLine="420"/>
        <w:rPr>
          <w:rFonts w:ascii="宋体" w:hAnsi="宋体"/>
          <w:szCs w:val="21"/>
        </w:rPr>
      </w:pPr>
      <w:r>
        <w:rPr>
          <w:rFonts w:hint="eastAsia" w:ascii="宋体" w:hAnsi="宋体"/>
          <w:szCs w:val="21"/>
        </w:rPr>
        <w:t>审计局在市政府和上级审计部门领导下，依法独立行使审计监督权，不受其他行政机关、社会团体和个人的干涉。</w:t>
      </w:r>
    </w:p>
    <w:p w14:paraId="4B499C4E">
      <w:pPr>
        <w:ind w:firstLine="420"/>
        <w:rPr>
          <w:rFonts w:ascii="宋体" w:hAnsi="宋体"/>
          <w:szCs w:val="21"/>
        </w:rPr>
      </w:pPr>
      <w:r>
        <w:rPr>
          <w:rFonts w:hint="eastAsia" w:ascii="宋体" w:hAnsi="宋体"/>
          <w:szCs w:val="21"/>
        </w:rPr>
        <w:t>市政府各部门必须认真履行工作职能。凡属职责范围内的工作，应积极主动完成；工作有交叉的，主管部门应主动与有关部门协商，有关部门应积极配合；各部门要顾全大局，维护政令统一，切实贯彻落实市政府各项工作部署。</w:t>
      </w:r>
    </w:p>
    <w:p w14:paraId="189D88F0">
      <w:pPr>
        <w:ind w:firstLine="422"/>
        <w:jc w:val="center"/>
        <w:rPr>
          <w:rFonts w:ascii="宋体" w:hAnsi="宋体"/>
          <w:b/>
          <w:szCs w:val="21"/>
        </w:rPr>
      </w:pPr>
      <w:r>
        <w:rPr>
          <w:rFonts w:hint="eastAsia" w:ascii="宋体" w:hAnsi="宋体"/>
          <w:b/>
          <w:szCs w:val="21"/>
        </w:rPr>
        <w:t>第四章 全面履行政府职能</w:t>
      </w:r>
    </w:p>
    <w:p w14:paraId="12E1ABC3">
      <w:pPr>
        <w:ind w:firstLine="420"/>
        <w:rPr>
          <w:rFonts w:ascii="宋体" w:hAnsi="宋体"/>
          <w:szCs w:val="21"/>
        </w:rPr>
      </w:pPr>
      <w:r>
        <w:rPr>
          <w:rFonts w:hint="eastAsia" w:ascii="宋体" w:hAnsi="宋体"/>
          <w:szCs w:val="21"/>
        </w:rPr>
        <w:t>八、市政府及各部门要加快政府职能转变，全面履行经济调节、市场监管、社会管理和公共服务职能。</w:t>
      </w:r>
    </w:p>
    <w:p w14:paraId="0DBAA366">
      <w:pPr>
        <w:ind w:firstLine="420"/>
        <w:rPr>
          <w:rFonts w:ascii="宋体" w:hAnsi="宋体"/>
          <w:szCs w:val="21"/>
        </w:rPr>
      </w:pPr>
      <w:r>
        <w:rPr>
          <w:rFonts w:hint="eastAsia" w:ascii="宋体" w:hAnsi="宋体"/>
          <w:szCs w:val="21"/>
        </w:rPr>
        <w:t>九、健全经济调节职能，主要运用经济、法律手段和必要的行政手段，引导和调控全市经济运行，调整和优化经济结构，加强区域经济合作和对外经济贸易合作，促进全市经济社会又好又快发展。</w:t>
      </w:r>
    </w:p>
    <w:p w14:paraId="15580312">
      <w:pPr>
        <w:ind w:firstLine="420"/>
        <w:rPr>
          <w:rFonts w:ascii="宋体" w:hAnsi="宋体"/>
          <w:szCs w:val="21"/>
        </w:rPr>
      </w:pPr>
      <w:r>
        <w:rPr>
          <w:rFonts w:hint="eastAsia" w:ascii="宋体" w:hAnsi="宋体"/>
          <w:szCs w:val="21"/>
        </w:rPr>
        <w:t>十、加强市场监管，创造公平的法制环境，完善行政执法、行业自律、舆论监督、群众参与相结合的市场监管体系，建立健全社会信用体系，整顿和规范市场经济秩序，形成统一开放、竞争有序的现代市场体系。</w:t>
      </w:r>
    </w:p>
    <w:p w14:paraId="1E85E238">
      <w:pPr>
        <w:ind w:firstLine="420"/>
        <w:rPr>
          <w:rFonts w:ascii="宋体" w:hAnsi="宋体"/>
          <w:szCs w:val="21"/>
        </w:rPr>
      </w:pPr>
      <w:r>
        <w:rPr>
          <w:rFonts w:hint="eastAsia" w:ascii="宋体" w:hAnsi="宋体"/>
          <w:szCs w:val="21"/>
        </w:rPr>
        <w:t>十一、认真履行社会管理职能，完善社会保障体系，依法管理和规范社会组织、社会事务，妥善处理社会矛盾，维护社会秩序和社会稳定，促进社会公平公正。加强城乡基层群众性自治组织和社区建设。培育并引导各类民间组织健康发展，充分发挥其作用。依法建立健全各种突发公共事件应急机制，提高政府应对公共危机的能力。</w:t>
      </w:r>
    </w:p>
    <w:p w14:paraId="4554621D">
      <w:pPr>
        <w:ind w:firstLine="420"/>
        <w:jc w:val="center"/>
        <w:rPr>
          <w:rFonts w:ascii="宋体" w:hAnsi="宋体"/>
          <w:szCs w:val="21"/>
        </w:rPr>
      </w:pPr>
      <w:r>
        <w:rPr>
          <w:rFonts w:hint="eastAsia" w:ascii="宋体" w:hAnsi="宋体"/>
          <w:szCs w:val="21"/>
        </w:rPr>
        <w:t>十二、强化公共服务职能，健全公共服务体系，增强基本公共服务能力，促进基本公共服务均等化。</w:t>
      </w:r>
      <w:r>
        <w:rPr>
          <w:rFonts w:hint="eastAsia" w:ascii="宋体" w:hAnsi="宋体"/>
          <w:b/>
          <w:szCs w:val="21"/>
        </w:rPr>
        <w:t>第五章 实行科学民主决策</w:t>
      </w:r>
    </w:p>
    <w:p w14:paraId="14E45066">
      <w:pPr>
        <w:ind w:firstLine="420"/>
        <w:rPr>
          <w:rFonts w:ascii="宋体" w:hAnsi="宋体"/>
          <w:szCs w:val="21"/>
        </w:rPr>
      </w:pPr>
      <w:r>
        <w:rPr>
          <w:rFonts w:hint="eastAsia" w:ascii="宋体" w:hAnsi="宋体"/>
          <w:szCs w:val="21"/>
        </w:rPr>
        <w:t>十三、市政府及各部门要健全重大事项决策的规则和程序，完善群众参与、专家咨询和政府决策相结合的决策机制，实行依法决策、科学决策和民主决策。</w:t>
      </w:r>
    </w:p>
    <w:p w14:paraId="7A42A6A2">
      <w:pPr>
        <w:ind w:firstLine="420"/>
        <w:rPr>
          <w:rFonts w:ascii="宋体" w:hAnsi="宋体"/>
          <w:szCs w:val="21"/>
        </w:rPr>
      </w:pPr>
      <w:r>
        <w:rPr>
          <w:rFonts w:hint="eastAsia" w:ascii="宋体" w:hAnsi="宋体"/>
          <w:szCs w:val="21"/>
        </w:rPr>
        <w:t>十四、全市国民经济和社会发展计划、财政预算草案及执行情况、宏观调控和改革开放的重要政策措施、社会管理事务、规范性文件草案、有关政府投资建设和关系社会稳定及其他需要由市政府决策的重大事项，由市政府全体会议或市政府常务会议讨论和决定。</w:t>
      </w:r>
    </w:p>
    <w:p w14:paraId="6A526235">
      <w:pPr>
        <w:ind w:firstLine="420"/>
        <w:rPr>
          <w:rFonts w:ascii="宋体" w:hAnsi="宋体"/>
          <w:szCs w:val="21"/>
        </w:rPr>
      </w:pPr>
      <w:r>
        <w:rPr>
          <w:rFonts w:hint="eastAsia" w:ascii="宋体" w:hAnsi="宋体"/>
          <w:szCs w:val="21"/>
        </w:rPr>
        <w:t>十五、市政府各部门提请市政府讨论决定的重大决策建议，必须以基础性、战略性研究或发展规划为依据，经过专家或研究、咨询、中介机构的论证评估或法律分析；涉及相关部门的，应充分协商；涉及乡镇的，应事前征求意见；涉及广大人民群众切身利益的，一般应通过社会公示或听证会等形式听取意见和建议。</w:t>
      </w:r>
    </w:p>
    <w:p w14:paraId="22078E38">
      <w:pPr>
        <w:ind w:firstLine="420"/>
        <w:rPr>
          <w:rFonts w:ascii="宋体" w:hAnsi="宋体"/>
          <w:szCs w:val="21"/>
        </w:rPr>
      </w:pPr>
      <w:r>
        <w:rPr>
          <w:rFonts w:hint="eastAsia" w:ascii="宋体" w:hAnsi="宋体"/>
          <w:szCs w:val="21"/>
        </w:rPr>
        <w:t>十六、市政府在作出重大决策前，根据需要应通过召开座谈会等形式，直接听取人大代表、政协委员、工商联、人民团体、专家学者、“阳光使者”及基层干部群众等方面的意见和建议。</w:t>
      </w:r>
    </w:p>
    <w:p w14:paraId="5C3F7E3E">
      <w:pPr>
        <w:ind w:firstLine="420"/>
        <w:rPr>
          <w:rFonts w:ascii="宋体" w:hAnsi="宋体"/>
          <w:szCs w:val="21"/>
        </w:rPr>
      </w:pPr>
      <w:r>
        <w:rPr>
          <w:rFonts w:hint="eastAsia" w:ascii="宋体" w:hAnsi="宋体"/>
          <w:szCs w:val="21"/>
        </w:rPr>
        <w:t>十七、市政府各部门、各镇人民政府、街道办事处必须坚决贯彻落实市政府的重大决策和工作部署，及时跟踪和反馈执行情况，并加强督促检查，确保政令畅通。</w:t>
      </w:r>
    </w:p>
    <w:p w14:paraId="3D5A512A">
      <w:pPr>
        <w:ind w:firstLine="422"/>
        <w:jc w:val="center"/>
        <w:rPr>
          <w:rFonts w:ascii="宋体" w:hAnsi="宋体"/>
          <w:b/>
          <w:szCs w:val="21"/>
        </w:rPr>
      </w:pPr>
      <w:r>
        <w:rPr>
          <w:rFonts w:hint="eastAsia" w:ascii="宋体" w:hAnsi="宋体"/>
          <w:b/>
          <w:szCs w:val="21"/>
        </w:rPr>
        <w:t>第六章 坚持依法行政</w:t>
      </w:r>
    </w:p>
    <w:p w14:paraId="028891ED">
      <w:pPr>
        <w:ind w:firstLine="420"/>
        <w:rPr>
          <w:rFonts w:ascii="宋体" w:hAnsi="宋体"/>
          <w:szCs w:val="21"/>
        </w:rPr>
      </w:pPr>
      <w:r>
        <w:rPr>
          <w:rFonts w:hint="eastAsia" w:ascii="宋体" w:hAnsi="宋体"/>
          <w:szCs w:val="21"/>
        </w:rPr>
        <w:t>十八、依法行政，规范行政权力。市政府及各部门要按照合法行政、合理行政、程序正当、高效便民、诚实守信、权责一致的要求行使行政权力，强化责任意识，不断提高依法行政的能力和水平。</w:t>
      </w:r>
    </w:p>
    <w:p w14:paraId="5E7DC8A7">
      <w:pPr>
        <w:ind w:firstLine="420"/>
        <w:rPr>
          <w:rFonts w:ascii="宋体" w:hAnsi="宋体"/>
          <w:szCs w:val="21"/>
        </w:rPr>
      </w:pPr>
      <w:r>
        <w:rPr>
          <w:rFonts w:hint="eastAsia" w:ascii="宋体" w:hAnsi="宋体"/>
          <w:szCs w:val="21"/>
        </w:rPr>
        <w:t>十九、市政府根据社会主义市场经济发展、社会全面进步和扩大对外开放的需要，适时制定规范性文件，修改或废止不相适应的规范性文件，确保规范性文件的质量。</w:t>
      </w:r>
    </w:p>
    <w:p w14:paraId="618349E3">
      <w:pPr>
        <w:ind w:firstLine="420"/>
        <w:rPr>
          <w:rFonts w:ascii="宋体" w:hAnsi="宋体"/>
          <w:szCs w:val="21"/>
        </w:rPr>
      </w:pPr>
      <w:r>
        <w:rPr>
          <w:rFonts w:hint="eastAsia" w:ascii="宋体" w:hAnsi="宋体"/>
          <w:szCs w:val="21"/>
        </w:rPr>
        <w:t>二十、提请市政府讨论的规范性文件草案由市政府法制局审查或组织起草，经市政府常务会议讨论、审定。市政府规范性文件的解释工作由市政府法制局承办。</w:t>
      </w:r>
    </w:p>
    <w:p w14:paraId="1551A367">
      <w:pPr>
        <w:ind w:firstLine="420"/>
        <w:rPr>
          <w:rFonts w:ascii="宋体" w:hAnsi="宋体"/>
          <w:szCs w:val="21"/>
        </w:rPr>
      </w:pPr>
      <w:r>
        <w:rPr>
          <w:rFonts w:hint="eastAsia" w:ascii="宋体" w:hAnsi="宋体"/>
          <w:szCs w:val="21"/>
        </w:rPr>
        <w:t>二十一、市政府各部门制定规范性文件，必须符合法律、法规、规章、国家的方针政策和市政府的有关规定，并征求相关部门意见。涉及两个以上部门职权范围的事项，应由市政府制定规范性文件、发布决定，或由有关部门联合制定规范性文件。其中，涉及群众切身利益、社会关注度高的事项，应采取多种形式向社会公开征求意见；重要涉外、涉港台事项，应当事先请示市政府；部门规范性文件要依法及时报市政府备案，由市政府法制局审查并定期向市政府报告。制定规范性文件机关要定期对规范性文件进行清理。</w:t>
      </w:r>
    </w:p>
    <w:p w14:paraId="38B20A3B">
      <w:pPr>
        <w:ind w:firstLine="420"/>
        <w:rPr>
          <w:rFonts w:ascii="宋体" w:hAnsi="宋体"/>
          <w:szCs w:val="21"/>
        </w:rPr>
      </w:pPr>
      <w:r>
        <w:rPr>
          <w:rFonts w:hint="eastAsia" w:ascii="宋体" w:hAnsi="宋体"/>
          <w:szCs w:val="21"/>
        </w:rPr>
        <w:t>二十二、按照行政执法与经济利益脱钩、与责任挂钩的原则，理顺行政执法体制，科学配置执法机关的职责和权限，相对集中行政处罚权，加强执法机关的执法协调，推进综合行政执法工作。严格实行行政执法责任制和执法过错追究制，切实做到依法办事、公正执法、文明执法。</w:t>
      </w:r>
    </w:p>
    <w:p w14:paraId="5F9FDFD8">
      <w:pPr>
        <w:ind w:firstLine="422"/>
        <w:jc w:val="center"/>
        <w:rPr>
          <w:rFonts w:ascii="宋体" w:hAnsi="宋体"/>
          <w:b/>
          <w:szCs w:val="21"/>
        </w:rPr>
      </w:pPr>
      <w:r>
        <w:rPr>
          <w:rFonts w:hint="eastAsia" w:ascii="宋体" w:hAnsi="宋体"/>
          <w:b/>
          <w:szCs w:val="21"/>
        </w:rPr>
        <w:t>第七章 推进政务公开</w:t>
      </w:r>
    </w:p>
    <w:p w14:paraId="0003B616">
      <w:pPr>
        <w:ind w:firstLine="420"/>
        <w:rPr>
          <w:rFonts w:ascii="宋体" w:hAnsi="宋体"/>
          <w:szCs w:val="21"/>
        </w:rPr>
      </w:pPr>
      <w:r>
        <w:rPr>
          <w:rFonts w:hint="eastAsia" w:ascii="宋体" w:hAnsi="宋体"/>
          <w:szCs w:val="21"/>
        </w:rPr>
        <w:t>二十三、市政府及各部门要认真贯彻《中华人民共和国</w:t>
      </w:r>
      <w:r>
        <w:rPr>
          <w:rFonts w:hint="eastAsia" w:ascii="宋体" w:hAnsi="宋体"/>
          <w:szCs w:val="21"/>
          <w:lang w:val="en-US" w:eastAsia="zh-CN"/>
        </w:rPr>
        <w:t>政府</w:t>
      </w:r>
      <w:r>
        <w:rPr>
          <w:rFonts w:hint="eastAsia" w:ascii="宋体" w:hAnsi="宋体"/>
          <w:szCs w:val="21"/>
        </w:rPr>
        <w:t>信息公开条例》，大力推进政务公开，健全政府信息公开制度，完善各类公开办事制度，提高政府工作透明度。</w:t>
      </w:r>
    </w:p>
    <w:p w14:paraId="0F95525A">
      <w:pPr>
        <w:ind w:firstLine="420"/>
        <w:rPr>
          <w:rFonts w:ascii="宋体" w:hAnsi="宋体"/>
          <w:szCs w:val="21"/>
        </w:rPr>
      </w:pPr>
      <w:r>
        <w:rPr>
          <w:rFonts w:hint="eastAsia" w:ascii="宋体" w:hAnsi="宋体"/>
          <w:szCs w:val="21"/>
        </w:rPr>
        <w:t>二十四、市政府全体会议、市政府常务会议、市长办公会议和市府工作会议讨论决定的事项、市政府及各部门制定的政策，除需要保密的外，应及时公布。</w:t>
      </w:r>
    </w:p>
    <w:p w14:paraId="090BC9DD">
      <w:pPr>
        <w:ind w:firstLine="420"/>
        <w:rPr>
          <w:rFonts w:ascii="宋体" w:hAnsi="宋体"/>
          <w:szCs w:val="21"/>
        </w:rPr>
      </w:pPr>
      <w:r>
        <w:rPr>
          <w:rFonts w:hint="eastAsia" w:ascii="宋体" w:hAnsi="宋体"/>
          <w:szCs w:val="21"/>
        </w:rPr>
        <w:t>二十五、凡涉及群众切身利益、需要群众广泛知晓的事项以及上级规定需要公开的其他事项，均应通过政府网站、政府公告及报刊、广播、电视等方式，依法、及时、准确地向社会公开。</w:t>
      </w:r>
    </w:p>
    <w:p w14:paraId="00C0A8C3">
      <w:pPr>
        <w:ind w:firstLine="422"/>
        <w:jc w:val="center"/>
        <w:rPr>
          <w:rFonts w:ascii="宋体" w:hAnsi="宋体"/>
          <w:b/>
          <w:szCs w:val="21"/>
        </w:rPr>
      </w:pPr>
      <w:r>
        <w:rPr>
          <w:rFonts w:hint="eastAsia" w:ascii="宋体" w:hAnsi="宋体"/>
          <w:b/>
          <w:szCs w:val="21"/>
        </w:rPr>
        <w:t>第八章 加强行政监督</w:t>
      </w:r>
    </w:p>
    <w:p w14:paraId="241F3985">
      <w:pPr>
        <w:ind w:firstLine="420"/>
        <w:rPr>
          <w:rFonts w:ascii="宋体" w:hAnsi="宋体"/>
          <w:szCs w:val="21"/>
        </w:rPr>
      </w:pPr>
      <w:r>
        <w:rPr>
          <w:rFonts w:hint="eastAsia" w:ascii="宋体" w:hAnsi="宋体"/>
          <w:szCs w:val="21"/>
        </w:rPr>
        <w:t>二十六、市政府要自觉接受上级机关的监督同时自觉接受市人民代表大会及其常务委员会的法律监督和工作监督，认真负责地向其报告工作，接受询问和质询，依法备案政府规范性文件；自觉接受市政协的民主监督，虚心听取意见和建议</w:t>
      </w:r>
    </w:p>
    <w:p w14:paraId="3F0DE598">
      <w:pPr>
        <w:ind w:firstLine="420"/>
        <w:rPr>
          <w:rFonts w:ascii="宋体" w:hAnsi="宋体"/>
          <w:szCs w:val="21"/>
        </w:rPr>
      </w:pPr>
      <w:r>
        <w:rPr>
          <w:rFonts w:hint="eastAsia" w:ascii="宋体" w:hAnsi="宋体"/>
          <w:szCs w:val="21"/>
        </w:rPr>
        <w:t>二十七、市政府各部门要按照行政诉讼法及有关法律、法规规定，自觉接受司法监督；同时要自觉接受监察、审计等部门的专项监督，对司法监督和专项监督中发现的问题要认真查处和整改并向市政府报告。</w:t>
      </w:r>
    </w:p>
    <w:p w14:paraId="619EC4DF">
      <w:pPr>
        <w:ind w:firstLine="420"/>
        <w:rPr>
          <w:rFonts w:ascii="宋体" w:hAnsi="宋体"/>
          <w:szCs w:val="21"/>
        </w:rPr>
      </w:pPr>
      <w:r>
        <w:rPr>
          <w:rFonts w:hint="eastAsia" w:ascii="宋体" w:hAnsi="宋体"/>
          <w:szCs w:val="21"/>
        </w:rPr>
        <w:t>二十八、加强行政系统内部监督。市政府各部门要严格执行行政复议法和规范性文件审查制度，及时废止或修改违反法律、法规和规章的规范性文件，纠正违法的或不当的行政行为，并征询和认真听取各镇政府、街道办事处及其部门的意见和建议。</w:t>
      </w:r>
    </w:p>
    <w:p w14:paraId="626C97B8">
      <w:pPr>
        <w:ind w:firstLine="420"/>
        <w:rPr>
          <w:rFonts w:ascii="宋体" w:hAnsi="宋体"/>
          <w:szCs w:val="21"/>
        </w:rPr>
      </w:pPr>
      <w:r>
        <w:rPr>
          <w:rFonts w:hint="eastAsia" w:ascii="宋体" w:hAnsi="宋体"/>
          <w:szCs w:val="21"/>
        </w:rPr>
        <w:t>二十九、市政府及各部门要重视人民群众来信来访工作，进一步落实信访工作责任，完善信访制度，不断拓宽同人民群众联系的渠道；市政府领导同志及各部门负责人要亲自阅处重要的群众来信，督促处理有关信访反映的问题。</w:t>
      </w:r>
    </w:p>
    <w:p w14:paraId="69DAADC1">
      <w:pPr>
        <w:ind w:firstLine="420"/>
        <w:rPr>
          <w:rFonts w:ascii="宋体" w:hAnsi="宋体"/>
          <w:szCs w:val="21"/>
        </w:rPr>
      </w:pPr>
      <w:r>
        <w:rPr>
          <w:rFonts w:hint="eastAsia" w:ascii="宋体" w:hAnsi="宋体"/>
          <w:szCs w:val="21"/>
        </w:rPr>
        <w:t>三十、市政府及各部门要接受舆论和群众的监督。对新闻媒体报道和各方面反映的重大问题，市政府及有关部门要认真查处和整改，并向市政府报告。要加强各类政务公开载体的建设，发布政务信息，便于群众知情、参与和监督，重视群众和其他组织通过多种方式对行政行为实施的监督。</w:t>
      </w:r>
    </w:p>
    <w:p w14:paraId="7252EFF2">
      <w:pPr>
        <w:ind w:firstLine="422"/>
        <w:jc w:val="center"/>
        <w:rPr>
          <w:rFonts w:ascii="宋体" w:hAnsi="宋体"/>
          <w:b/>
          <w:szCs w:val="21"/>
        </w:rPr>
      </w:pPr>
      <w:r>
        <w:rPr>
          <w:rFonts w:hint="eastAsia" w:ascii="宋体" w:hAnsi="宋体"/>
          <w:b/>
          <w:szCs w:val="21"/>
        </w:rPr>
        <w:t>第九章 工作安排布局</w:t>
      </w:r>
    </w:p>
    <w:p w14:paraId="3064725F">
      <w:pPr>
        <w:ind w:firstLine="420"/>
        <w:rPr>
          <w:rFonts w:ascii="宋体" w:hAnsi="宋体"/>
          <w:szCs w:val="21"/>
        </w:rPr>
      </w:pPr>
      <w:r>
        <w:rPr>
          <w:rFonts w:hint="eastAsia" w:ascii="宋体" w:hAnsi="宋体"/>
          <w:szCs w:val="21"/>
        </w:rPr>
        <w:t>三十一、市政府及各部门要加强工作的计划性、系统性和预见性。根据市人民代表大会审议通过的《政府工作报告》的部署，结合各部门的工作实际，确保实现市政府年度和届内工作目标任务。</w:t>
      </w:r>
    </w:p>
    <w:p w14:paraId="017C382B">
      <w:pPr>
        <w:ind w:firstLine="420"/>
        <w:rPr>
          <w:rFonts w:ascii="宋体" w:hAnsi="宋体"/>
          <w:szCs w:val="21"/>
        </w:rPr>
      </w:pPr>
      <w:r>
        <w:rPr>
          <w:rFonts w:hint="eastAsia" w:ascii="宋体" w:hAnsi="宋体"/>
          <w:szCs w:val="21"/>
        </w:rPr>
        <w:t>三十二、市政府提出年度或阶段性重点工作目标，确定需要审议的规范性文件、市政府召开的全体会议、常务会议、市长办公会议、市府工作会议以及全市性会议和制发的公文等事项，形成市政府年度或阶段性工作安排布局，下发执行。</w:t>
      </w:r>
    </w:p>
    <w:p w14:paraId="7FEA2B90">
      <w:pPr>
        <w:ind w:firstLine="420"/>
        <w:rPr>
          <w:rFonts w:ascii="宋体" w:hAnsi="宋体"/>
          <w:szCs w:val="21"/>
        </w:rPr>
      </w:pPr>
      <w:r>
        <w:rPr>
          <w:rFonts w:hint="eastAsia" w:ascii="宋体" w:hAnsi="宋体"/>
          <w:szCs w:val="21"/>
        </w:rPr>
        <w:t>三十三、市政府各部门，各镇人民政府、街道办事处要认真落实市政府年度或阶段性工作安排布局，并在年中和年末向市政府报告执行情况；市政府安排和部署的重要工作的贯彻落实情况要专题报告；重大、特殊、紧急事项要及时请示或报告。市政府各位副市长、市长助理要加强对分管工作的督促检查，按市政府统一部署推进落实。市政府办公室、市监察局要加强对市政府工作安排部署的督查考核，适时作出通报。市政府对各部门实行年度工作目标责任制考核。</w:t>
      </w:r>
    </w:p>
    <w:p w14:paraId="5D5DCD7E">
      <w:pPr>
        <w:ind w:firstLine="422"/>
        <w:jc w:val="center"/>
        <w:rPr>
          <w:rFonts w:ascii="宋体" w:hAnsi="宋体"/>
          <w:b/>
          <w:szCs w:val="21"/>
        </w:rPr>
      </w:pPr>
      <w:r>
        <w:rPr>
          <w:rFonts w:hint="eastAsia" w:ascii="宋体" w:hAnsi="宋体"/>
          <w:b/>
          <w:szCs w:val="21"/>
        </w:rPr>
        <w:t>第十章 加强廉政建设</w:t>
      </w:r>
    </w:p>
    <w:p w14:paraId="117459AF">
      <w:pPr>
        <w:ind w:firstLine="420"/>
        <w:rPr>
          <w:rFonts w:ascii="宋体" w:hAnsi="宋体"/>
          <w:szCs w:val="21"/>
        </w:rPr>
      </w:pPr>
      <w:r>
        <w:rPr>
          <w:rFonts w:hint="eastAsia" w:ascii="宋体" w:hAnsi="宋体"/>
          <w:szCs w:val="21"/>
        </w:rPr>
        <w:t>三十四、市政府各部门要从严治政。对职权范围内的事项要按程序和时限积极负责地办理，对不符合规定的事项要坚持原则不得办理；对因推诿、拖延等官僚作风及失职、渎职造成影响和损失的，要追究责任；对越权办事、以权谋私等违规、违纪、违法行为，要严肃查处。</w:t>
      </w:r>
    </w:p>
    <w:p w14:paraId="44DA2008">
      <w:pPr>
        <w:ind w:firstLine="420"/>
        <w:rPr>
          <w:rFonts w:ascii="宋体" w:hAnsi="宋体"/>
          <w:szCs w:val="21"/>
        </w:rPr>
      </w:pPr>
      <w:r>
        <w:rPr>
          <w:rFonts w:hint="eastAsia" w:ascii="宋体" w:hAnsi="宋体"/>
          <w:szCs w:val="21"/>
        </w:rPr>
        <w:t>三十五、市政府及各部门要严格执行财经纪律，规范公务接待，不得用公款相互送礼和宴请，不得接受基层的送礼和宴请。要艰苦奋斗、勤俭节约，切实降低行政成本，建设节约型机关。</w:t>
      </w:r>
    </w:p>
    <w:p w14:paraId="566CBD0E">
      <w:pPr>
        <w:ind w:firstLine="420"/>
        <w:rPr>
          <w:rFonts w:ascii="宋体" w:hAnsi="宋体"/>
          <w:szCs w:val="21"/>
        </w:rPr>
      </w:pPr>
      <w:r>
        <w:rPr>
          <w:rFonts w:hint="eastAsia" w:ascii="宋体" w:hAnsi="宋体"/>
          <w:szCs w:val="21"/>
        </w:rPr>
        <w:t>三十六、市政府组成人员要廉洁从政，严格执行中央、省、韶关市和我市有关廉洁自律的规定，不得利用职权和职务影响为本人或特定关系人谋取不正当利益；要严格要求亲属和身边的工作人员，不得利用特殊身份拉关系、谋私利。</w:t>
      </w:r>
    </w:p>
    <w:p w14:paraId="6A3FE573">
      <w:pPr>
        <w:ind w:firstLine="422"/>
        <w:jc w:val="center"/>
        <w:rPr>
          <w:rFonts w:ascii="宋体" w:hAnsi="宋体"/>
          <w:b/>
          <w:szCs w:val="21"/>
        </w:rPr>
      </w:pPr>
      <w:r>
        <w:rPr>
          <w:rFonts w:hint="eastAsia" w:ascii="宋体" w:hAnsi="宋体"/>
          <w:b/>
          <w:szCs w:val="21"/>
        </w:rPr>
        <w:t>第十一章 会议制度</w:t>
      </w:r>
    </w:p>
    <w:p w14:paraId="1BA2A6AF">
      <w:pPr>
        <w:ind w:firstLine="420"/>
        <w:rPr>
          <w:rFonts w:ascii="宋体" w:hAnsi="宋体"/>
          <w:szCs w:val="21"/>
        </w:rPr>
      </w:pPr>
      <w:r>
        <w:rPr>
          <w:rFonts w:hint="eastAsia" w:ascii="宋体" w:hAnsi="宋体"/>
          <w:szCs w:val="21"/>
        </w:rPr>
        <w:t>三十七、市政府实行全体会议、常务会议、市长办公会议和市府工作会议制度。</w:t>
      </w:r>
    </w:p>
    <w:p w14:paraId="1FB18777">
      <w:pPr>
        <w:ind w:firstLine="420"/>
        <w:rPr>
          <w:rFonts w:ascii="宋体" w:hAnsi="宋体"/>
          <w:szCs w:val="21"/>
        </w:rPr>
      </w:pPr>
      <w:r>
        <w:rPr>
          <w:rFonts w:hint="eastAsia" w:ascii="宋体" w:hAnsi="宋体"/>
          <w:szCs w:val="21"/>
        </w:rPr>
        <w:t>（一）市政府全体会议</w:t>
      </w:r>
    </w:p>
    <w:p w14:paraId="5DB09820">
      <w:pPr>
        <w:ind w:firstLine="420"/>
        <w:rPr>
          <w:rFonts w:ascii="宋体" w:hAnsi="宋体"/>
          <w:szCs w:val="21"/>
        </w:rPr>
      </w:pPr>
      <w:r>
        <w:rPr>
          <w:rFonts w:hint="eastAsia" w:ascii="宋体" w:hAnsi="宋体"/>
          <w:szCs w:val="21"/>
        </w:rPr>
        <w:t>市政府全体会议由市政府组成人员组成，由市长或市长委托常务副市长召集和主持。会议的主要任务是：</w:t>
      </w:r>
    </w:p>
    <w:p w14:paraId="2E06C71D">
      <w:pPr>
        <w:ind w:firstLine="420"/>
        <w:rPr>
          <w:rFonts w:ascii="宋体" w:hAnsi="宋体"/>
          <w:szCs w:val="21"/>
        </w:rPr>
      </w:pPr>
      <w:r>
        <w:rPr>
          <w:rFonts w:hint="eastAsia" w:ascii="宋体" w:hAnsi="宋体"/>
          <w:szCs w:val="21"/>
        </w:rPr>
        <w:t>1、传达贯彻党中央、国务院，省委、省政府，韶关市委、市政府，南雄市委的重要指示、决定，以及市人大的重要决议；</w:t>
      </w:r>
    </w:p>
    <w:p w14:paraId="301B305B">
      <w:pPr>
        <w:ind w:firstLine="420"/>
        <w:rPr>
          <w:rFonts w:ascii="宋体" w:hAnsi="宋体"/>
          <w:szCs w:val="21"/>
        </w:rPr>
      </w:pPr>
      <w:r>
        <w:rPr>
          <w:rFonts w:hint="eastAsia" w:ascii="宋体" w:hAnsi="宋体"/>
          <w:szCs w:val="21"/>
        </w:rPr>
        <w:t>2、讨论决定市政府工作中的重大事项；</w:t>
      </w:r>
    </w:p>
    <w:p w14:paraId="67902A32">
      <w:pPr>
        <w:ind w:firstLine="420"/>
        <w:rPr>
          <w:rFonts w:ascii="宋体" w:hAnsi="宋体"/>
          <w:szCs w:val="21"/>
        </w:rPr>
      </w:pPr>
      <w:r>
        <w:rPr>
          <w:rFonts w:hint="eastAsia" w:ascii="宋体" w:hAnsi="宋体"/>
          <w:szCs w:val="21"/>
        </w:rPr>
        <w:t>3、部署市政府的重要工作。市政府全体会议原则上每半年召开一次，特殊情况可临时召开。根据需要安排市政府办公室副主任、有关镇（街道）、部门负责人和市政府“阳光使者”列席。列席会议的人员名单，由市政府办公室主任审核后报市长审定。</w:t>
      </w:r>
    </w:p>
    <w:p w14:paraId="74A2A2F9">
      <w:pPr>
        <w:ind w:firstLine="420"/>
        <w:rPr>
          <w:rFonts w:ascii="宋体" w:hAnsi="宋体"/>
          <w:szCs w:val="21"/>
        </w:rPr>
      </w:pPr>
      <w:r>
        <w:rPr>
          <w:rFonts w:hint="eastAsia" w:ascii="宋体" w:hAnsi="宋体"/>
          <w:szCs w:val="21"/>
        </w:rPr>
        <w:t>（二）市政府常务会议</w:t>
      </w:r>
    </w:p>
    <w:p w14:paraId="2E39738E">
      <w:pPr>
        <w:ind w:firstLine="420"/>
        <w:rPr>
          <w:rFonts w:ascii="宋体" w:hAnsi="宋体"/>
          <w:szCs w:val="21"/>
        </w:rPr>
      </w:pPr>
      <w:r>
        <w:rPr>
          <w:rFonts w:hint="eastAsia" w:ascii="宋体" w:hAnsi="宋体"/>
          <w:szCs w:val="21"/>
        </w:rPr>
        <w:t>市政府常务会议是研究处理市政府工作中重大事项的会议。市政府常务会议的主要任务是：</w:t>
      </w:r>
    </w:p>
    <w:p w14:paraId="63BCACEC">
      <w:pPr>
        <w:ind w:firstLine="420"/>
        <w:rPr>
          <w:rFonts w:ascii="宋体" w:hAnsi="宋体"/>
          <w:szCs w:val="21"/>
        </w:rPr>
      </w:pPr>
      <w:r>
        <w:rPr>
          <w:rFonts w:hint="eastAsia" w:ascii="宋体" w:hAnsi="宋体"/>
          <w:szCs w:val="21"/>
        </w:rPr>
        <w:t>1、传达和研究贯彻党中央、国务院及上级党委、政府和南雄市委的重要指示和决定；</w:t>
      </w:r>
    </w:p>
    <w:p w14:paraId="3D64F944">
      <w:pPr>
        <w:ind w:firstLine="420"/>
        <w:rPr>
          <w:rFonts w:ascii="宋体" w:hAnsi="宋体"/>
          <w:szCs w:val="21"/>
        </w:rPr>
      </w:pPr>
      <w:r>
        <w:rPr>
          <w:rFonts w:hint="eastAsia" w:ascii="宋体" w:hAnsi="宋体"/>
          <w:szCs w:val="21"/>
        </w:rPr>
        <w:t>2、传达和贯彻市人大及其常委会的决议；</w:t>
      </w:r>
    </w:p>
    <w:p w14:paraId="45D4230E">
      <w:pPr>
        <w:ind w:firstLine="420"/>
        <w:rPr>
          <w:rFonts w:ascii="宋体" w:hAnsi="宋体"/>
          <w:szCs w:val="21"/>
        </w:rPr>
      </w:pPr>
      <w:r>
        <w:rPr>
          <w:rFonts w:hint="eastAsia" w:ascii="宋体" w:hAnsi="宋体"/>
          <w:szCs w:val="21"/>
        </w:rPr>
        <w:t>3、讨论决定市政府工作中的重要事项；</w:t>
      </w:r>
    </w:p>
    <w:p w14:paraId="1A9EF3CD">
      <w:pPr>
        <w:ind w:firstLine="420"/>
        <w:rPr>
          <w:rFonts w:ascii="宋体" w:hAnsi="宋体"/>
          <w:szCs w:val="21"/>
        </w:rPr>
      </w:pPr>
      <w:r>
        <w:rPr>
          <w:rFonts w:hint="eastAsia" w:ascii="宋体" w:hAnsi="宋体"/>
          <w:szCs w:val="21"/>
        </w:rPr>
        <w:t>4、讨论和通过市政府规范性文件；</w:t>
      </w:r>
    </w:p>
    <w:p w14:paraId="3AF7AE6B">
      <w:pPr>
        <w:ind w:firstLine="420"/>
        <w:rPr>
          <w:rFonts w:ascii="宋体" w:hAnsi="宋体"/>
          <w:szCs w:val="21"/>
        </w:rPr>
      </w:pPr>
      <w:r>
        <w:rPr>
          <w:rFonts w:hint="eastAsia" w:ascii="宋体" w:hAnsi="宋体"/>
          <w:szCs w:val="21"/>
        </w:rPr>
        <w:t>5、通报和讨论市政府其他重要事项。</w:t>
      </w:r>
    </w:p>
    <w:p w14:paraId="70E1380C">
      <w:pPr>
        <w:ind w:firstLine="420"/>
        <w:rPr>
          <w:rFonts w:ascii="宋体" w:hAnsi="宋体"/>
          <w:szCs w:val="21"/>
        </w:rPr>
      </w:pPr>
      <w:r>
        <w:rPr>
          <w:rFonts w:hint="eastAsia" w:ascii="宋体" w:hAnsi="宋体"/>
          <w:szCs w:val="21"/>
        </w:rPr>
        <w:t>市政府常务会议由市长、副市长、市长助理和市政府办公室主任组成，由市长或市长委托常务副市长主持。根据会议的内容需要，安排市政府有关部门、单位和镇人民政府、街道办事处要负责人，以及市政府“阳光使者”列席会议。</w:t>
      </w:r>
    </w:p>
    <w:p w14:paraId="33A8C5B5">
      <w:pPr>
        <w:ind w:firstLine="420"/>
        <w:rPr>
          <w:rFonts w:ascii="宋体" w:hAnsi="宋体"/>
          <w:szCs w:val="21"/>
        </w:rPr>
      </w:pPr>
      <w:r>
        <w:rPr>
          <w:rFonts w:hint="eastAsia" w:ascii="宋体" w:hAnsi="宋体"/>
          <w:szCs w:val="21"/>
        </w:rPr>
        <w:t>市政府常务会议必须有半数以上成员参加方可开会。市政府常务会议一般每月召开一次。市政府直属单位、各镇人民政府（街道办事处）请求纳入常务会议的议题，应先由市政府办公室主任、副主任或分管副市长、市长助理进行协调，提出协调意见后，由市长或市长委托副市长确定是否纳入常务会议议题。</w:t>
      </w:r>
    </w:p>
    <w:p w14:paraId="255375CC">
      <w:pPr>
        <w:ind w:firstLine="420"/>
        <w:rPr>
          <w:rFonts w:ascii="宋体" w:hAnsi="宋体"/>
          <w:szCs w:val="21"/>
        </w:rPr>
      </w:pPr>
      <w:r>
        <w:rPr>
          <w:rFonts w:hint="eastAsia" w:ascii="宋体" w:hAnsi="宋体"/>
          <w:szCs w:val="21"/>
        </w:rPr>
        <w:t>市长，副市长、市长助理分管的工作在权限内能处理的，不必提交常务会议讨论。</w:t>
      </w:r>
    </w:p>
    <w:p w14:paraId="4966CF36">
      <w:pPr>
        <w:ind w:firstLine="420"/>
        <w:rPr>
          <w:rFonts w:ascii="宋体" w:hAnsi="宋体"/>
          <w:szCs w:val="21"/>
        </w:rPr>
      </w:pPr>
      <w:r>
        <w:rPr>
          <w:rFonts w:hint="eastAsia" w:ascii="宋体" w:hAnsi="宋体"/>
          <w:szCs w:val="21"/>
        </w:rPr>
        <w:t>在议题确定后，由市政府办公室通知有关主办单位，主办单位按每个议题向常务会议提供25份相关材料。</w:t>
      </w:r>
    </w:p>
    <w:p w14:paraId="0C5D84A1">
      <w:pPr>
        <w:ind w:firstLine="420"/>
        <w:rPr>
          <w:rFonts w:ascii="宋体" w:hAnsi="宋体"/>
          <w:szCs w:val="21"/>
        </w:rPr>
      </w:pPr>
      <w:r>
        <w:rPr>
          <w:rFonts w:hint="eastAsia" w:ascii="宋体" w:hAnsi="宋体"/>
          <w:szCs w:val="21"/>
        </w:rPr>
        <w:t>（三）市长办公会议</w:t>
      </w:r>
    </w:p>
    <w:p w14:paraId="7C9160F0">
      <w:pPr>
        <w:ind w:firstLine="420"/>
        <w:rPr>
          <w:rFonts w:ascii="宋体" w:hAnsi="宋体"/>
          <w:szCs w:val="21"/>
        </w:rPr>
      </w:pPr>
      <w:r>
        <w:rPr>
          <w:rFonts w:hint="eastAsia" w:ascii="宋体" w:hAnsi="宋体"/>
          <w:szCs w:val="21"/>
        </w:rPr>
        <w:t>市长办公会议主要讨论研究日常工作中事关全局，需要及时处理的事项。市长办公会议的主要任务是：</w:t>
      </w:r>
    </w:p>
    <w:p w14:paraId="77BAA5E2">
      <w:pPr>
        <w:ind w:firstLine="420"/>
        <w:rPr>
          <w:rFonts w:ascii="宋体" w:hAnsi="宋体"/>
          <w:szCs w:val="21"/>
        </w:rPr>
      </w:pPr>
      <w:r>
        <w:rPr>
          <w:rFonts w:hint="eastAsia" w:ascii="宋体" w:hAnsi="宋体"/>
          <w:szCs w:val="21"/>
        </w:rPr>
        <w:t>1、传达和研究贯彻韶关市政府和市政府有关部门召开的全市性工作会议精神；</w:t>
      </w:r>
    </w:p>
    <w:p w14:paraId="0C65DA17">
      <w:pPr>
        <w:ind w:firstLine="420"/>
        <w:rPr>
          <w:rFonts w:ascii="宋体" w:hAnsi="宋体"/>
          <w:szCs w:val="21"/>
        </w:rPr>
      </w:pPr>
      <w:r>
        <w:rPr>
          <w:rFonts w:hint="eastAsia" w:ascii="宋体" w:hAnsi="宋体"/>
          <w:szCs w:val="21"/>
        </w:rPr>
        <w:t>2、研究市政府工作中事关全局、需要统筹安排的事项；</w:t>
      </w:r>
    </w:p>
    <w:p w14:paraId="42BF7B9E">
      <w:pPr>
        <w:ind w:firstLine="420"/>
        <w:rPr>
          <w:rFonts w:ascii="宋体" w:hAnsi="宋体"/>
          <w:szCs w:val="21"/>
        </w:rPr>
      </w:pPr>
      <w:r>
        <w:rPr>
          <w:rFonts w:hint="eastAsia" w:ascii="宋体" w:hAnsi="宋体"/>
          <w:szCs w:val="21"/>
        </w:rPr>
        <w:t>3、研究处理市政府日常工作中的其他具体事项。</w:t>
      </w:r>
    </w:p>
    <w:p w14:paraId="17036073">
      <w:pPr>
        <w:ind w:firstLine="420"/>
        <w:rPr>
          <w:rFonts w:ascii="宋体" w:hAnsi="宋体"/>
          <w:szCs w:val="21"/>
        </w:rPr>
      </w:pPr>
      <w:r>
        <w:rPr>
          <w:rFonts w:hint="eastAsia" w:ascii="宋体" w:hAnsi="宋体"/>
          <w:szCs w:val="21"/>
        </w:rPr>
        <w:t>市长办公会议不定期举行，根据需要，可安排市政府办公室副主任、有关部门和镇人民政府（街道办事处）主要负责人列席会议。</w:t>
      </w:r>
    </w:p>
    <w:p w14:paraId="4DC2CBBF">
      <w:pPr>
        <w:ind w:firstLine="420"/>
        <w:rPr>
          <w:rFonts w:ascii="宋体" w:hAnsi="宋体"/>
          <w:szCs w:val="21"/>
        </w:rPr>
      </w:pPr>
      <w:r>
        <w:rPr>
          <w:rFonts w:hint="eastAsia" w:ascii="宋体" w:hAnsi="宋体"/>
          <w:szCs w:val="21"/>
        </w:rPr>
        <w:t>（四）市政府工作会议</w:t>
      </w:r>
    </w:p>
    <w:p w14:paraId="62D78BE7">
      <w:pPr>
        <w:ind w:firstLine="420"/>
        <w:rPr>
          <w:rFonts w:ascii="宋体" w:hAnsi="宋体"/>
          <w:szCs w:val="21"/>
        </w:rPr>
      </w:pPr>
      <w:r>
        <w:rPr>
          <w:rFonts w:hint="eastAsia" w:ascii="宋体" w:hAnsi="宋体"/>
          <w:szCs w:val="21"/>
        </w:rPr>
        <w:t>市政府工作议研究市政府工作中属于实施、推进性质的具体问题。市政府专题会议主要任务是：</w:t>
      </w:r>
    </w:p>
    <w:p w14:paraId="7BF073E5">
      <w:pPr>
        <w:ind w:firstLine="420"/>
        <w:rPr>
          <w:rFonts w:ascii="宋体" w:hAnsi="宋体"/>
          <w:szCs w:val="21"/>
        </w:rPr>
      </w:pPr>
      <w:r>
        <w:rPr>
          <w:rFonts w:hint="eastAsia" w:ascii="宋体" w:hAnsi="宋体"/>
          <w:szCs w:val="21"/>
        </w:rPr>
        <w:t>1、研究政府工作中属于市长、副市长、市长助理分管职责范围内需要统筹协调的具体事项；</w:t>
      </w:r>
    </w:p>
    <w:p w14:paraId="2FAF332A">
      <w:pPr>
        <w:ind w:firstLine="420"/>
        <w:rPr>
          <w:rFonts w:ascii="宋体" w:hAnsi="宋体"/>
          <w:szCs w:val="21"/>
        </w:rPr>
      </w:pPr>
      <w:r>
        <w:rPr>
          <w:rFonts w:hint="eastAsia" w:ascii="宋体" w:hAnsi="宋体"/>
          <w:szCs w:val="21"/>
        </w:rPr>
        <w:t>2、研究对突发事件的处理意见；</w:t>
      </w:r>
    </w:p>
    <w:p w14:paraId="5272CAA5">
      <w:pPr>
        <w:ind w:firstLine="420"/>
        <w:rPr>
          <w:rFonts w:ascii="宋体" w:hAnsi="宋体"/>
          <w:szCs w:val="21"/>
        </w:rPr>
      </w:pPr>
      <w:r>
        <w:rPr>
          <w:rFonts w:hint="eastAsia" w:ascii="宋体" w:hAnsi="宋体"/>
          <w:szCs w:val="21"/>
        </w:rPr>
        <w:t>3、研究处理上级政府或市委、市政府决定事项的具体贯彻落实意见等。</w:t>
      </w:r>
    </w:p>
    <w:p w14:paraId="733E0C7E">
      <w:pPr>
        <w:ind w:firstLine="420"/>
        <w:rPr>
          <w:rFonts w:ascii="宋体" w:hAnsi="宋体"/>
          <w:szCs w:val="21"/>
        </w:rPr>
      </w:pPr>
      <w:r>
        <w:rPr>
          <w:rFonts w:hint="eastAsia" w:ascii="宋体" w:hAnsi="宋体"/>
          <w:szCs w:val="21"/>
        </w:rPr>
        <w:t>市政府工作会议由市长、副市长、市长助理主持召开，不定期举行。会议议题、参加会议人员由会议主持人确定。</w:t>
      </w:r>
    </w:p>
    <w:p w14:paraId="01494E2C">
      <w:pPr>
        <w:ind w:firstLine="420"/>
        <w:rPr>
          <w:rFonts w:ascii="宋体" w:hAnsi="宋体"/>
          <w:szCs w:val="21"/>
        </w:rPr>
      </w:pPr>
      <w:r>
        <w:rPr>
          <w:rFonts w:hint="eastAsia" w:ascii="宋体" w:hAnsi="宋体"/>
          <w:szCs w:val="21"/>
        </w:rPr>
        <w:t>三十八、市政府全体会议、市政府常务会议、市长办公会议、市府工作会议的组织工作，由市政府办公室负责。</w:t>
      </w:r>
    </w:p>
    <w:p w14:paraId="7F0C62C2">
      <w:pPr>
        <w:ind w:firstLine="420"/>
        <w:rPr>
          <w:rFonts w:ascii="宋体" w:hAnsi="宋体"/>
          <w:szCs w:val="21"/>
        </w:rPr>
      </w:pPr>
      <w:r>
        <w:rPr>
          <w:rFonts w:hint="eastAsia" w:ascii="宋体" w:hAnsi="宋体"/>
          <w:szCs w:val="21"/>
        </w:rPr>
        <w:t>三十九、市政府全体会议、市政府常务会议、市长办公会议的会议纪要，由办公室主任审核后，报市长或召集会议的常务副市长签发。市政府副市长、市长助理主持召开的市府工作会议纪要，由市政府办公室联系副主任审核，报主持召开会议的副市长或市长助理签发。</w:t>
      </w:r>
    </w:p>
    <w:p w14:paraId="24E61651">
      <w:pPr>
        <w:ind w:firstLine="420"/>
        <w:rPr>
          <w:rFonts w:ascii="宋体" w:hAnsi="宋体"/>
          <w:szCs w:val="21"/>
        </w:rPr>
      </w:pPr>
      <w:r>
        <w:rPr>
          <w:rFonts w:hint="eastAsia" w:ascii="宋体" w:hAnsi="宋体"/>
          <w:szCs w:val="21"/>
        </w:rPr>
        <w:t>四十、严格会议审批管理。市政府及各部门以市政府名义召开的工作会议，根据需要不定期召开。其主要任务是：部署涉及全市性的重要专项工作。凡属副市长、市长助理和市政府各部门、各镇（街道）职责权限范围内决定、审批的事项，或会前未经协调的事项，不安排市政府会议讨论研究。</w:t>
      </w:r>
    </w:p>
    <w:p w14:paraId="7977306D">
      <w:pPr>
        <w:ind w:firstLine="420"/>
        <w:rPr>
          <w:rFonts w:ascii="宋体" w:hAnsi="宋体"/>
          <w:szCs w:val="21"/>
        </w:rPr>
      </w:pPr>
      <w:r>
        <w:rPr>
          <w:rFonts w:hint="eastAsia" w:ascii="宋体" w:hAnsi="宋体"/>
          <w:szCs w:val="21"/>
        </w:rPr>
        <w:t>（一）市政府召开的需通知各镇人民政府、街道办事处和市政府各部门主要负责人参加的全市性会议，由市政府办公室主任核报市长或副市长、市长助理批准。</w:t>
      </w:r>
    </w:p>
    <w:p w14:paraId="5434B24D">
      <w:pPr>
        <w:ind w:firstLine="420"/>
        <w:rPr>
          <w:rFonts w:ascii="宋体" w:hAnsi="宋体"/>
          <w:szCs w:val="21"/>
        </w:rPr>
      </w:pPr>
      <w:r>
        <w:rPr>
          <w:rFonts w:hint="eastAsia" w:ascii="宋体" w:hAnsi="宋体"/>
          <w:szCs w:val="21"/>
        </w:rPr>
        <w:t>（二）市政府或市政府办公室召开的需通知有关镇（街道）分管领导和市政府有关部门领导参加的专题会议，由市政府办公室联系副主任或主任核报分管副市长、市长助理批准。</w:t>
      </w:r>
    </w:p>
    <w:p w14:paraId="23C66367">
      <w:pPr>
        <w:ind w:firstLine="420"/>
        <w:rPr>
          <w:rFonts w:ascii="宋体" w:hAnsi="宋体"/>
          <w:szCs w:val="21"/>
        </w:rPr>
      </w:pPr>
      <w:r>
        <w:rPr>
          <w:rFonts w:hint="eastAsia" w:ascii="宋体" w:hAnsi="宋体"/>
          <w:szCs w:val="21"/>
        </w:rPr>
        <w:t>（三）如在某一阶段召开的全市性会议较多时，应按照精简数量、提高效率的原则，进行统筹安排。</w:t>
      </w:r>
    </w:p>
    <w:p w14:paraId="2DBDF2AA">
      <w:pPr>
        <w:ind w:firstLine="420"/>
        <w:rPr>
          <w:rFonts w:ascii="宋体" w:hAnsi="宋体"/>
          <w:szCs w:val="21"/>
        </w:rPr>
      </w:pPr>
      <w:r>
        <w:rPr>
          <w:rFonts w:hint="eastAsia" w:ascii="宋体" w:hAnsi="宋体"/>
          <w:szCs w:val="21"/>
        </w:rPr>
        <w:t>（四）市政府及各部门要大力精简全市性会议，尽量压缩规模，压缩时间，提高效率，节省开支。</w:t>
      </w:r>
    </w:p>
    <w:p w14:paraId="6275D7FC">
      <w:pPr>
        <w:ind w:firstLine="420"/>
        <w:rPr>
          <w:rFonts w:ascii="宋体" w:hAnsi="宋体"/>
          <w:szCs w:val="21"/>
        </w:rPr>
      </w:pPr>
      <w:r>
        <w:rPr>
          <w:rFonts w:hint="eastAsia" w:ascii="宋体" w:hAnsi="宋体"/>
          <w:szCs w:val="21"/>
        </w:rPr>
        <w:t>四十一、市政府会议的决定事项，由市政府办公室督办落实。</w:t>
      </w:r>
    </w:p>
    <w:p w14:paraId="404D7803">
      <w:pPr>
        <w:ind w:firstLine="420"/>
        <w:rPr>
          <w:rFonts w:ascii="宋体" w:hAnsi="宋体"/>
          <w:szCs w:val="21"/>
        </w:rPr>
      </w:pPr>
      <w:r>
        <w:rPr>
          <w:rFonts w:hint="eastAsia" w:ascii="宋体" w:hAnsi="宋体"/>
          <w:szCs w:val="21"/>
        </w:rPr>
        <w:t>四十二、严肃会议纪律</w:t>
      </w:r>
    </w:p>
    <w:p w14:paraId="2544E664">
      <w:pPr>
        <w:ind w:firstLine="420"/>
        <w:rPr>
          <w:rFonts w:ascii="宋体" w:hAnsi="宋体"/>
          <w:szCs w:val="21"/>
        </w:rPr>
      </w:pPr>
      <w:r>
        <w:rPr>
          <w:rFonts w:hint="eastAsia" w:ascii="宋体" w:hAnsi="宋体"/>
          <w:szCs w:val="21"/>
        </w:rPr>
        <w:t>（一）严格会议请假制度。市政府领导同志如不能出席市政府全体会议、市政府常务会议、市长办公会议，向市长请假；如对议题有意见或建议，可在会前书面提出。市政府组成部门的负责同志和其他需要参加会议的人员应按通知要求出席会议，不能出席会议的，提前向市政府办公室主任请假，未经同意不得由他人代替出席会议。会议出席情况由市政府办公室汇总后向市长、分管副市长报告。</w:t>
      </w:r>
    </w:p>
    <w:p w14:paraId="20AEF657">
      <w:pPr>
        <w:ind w:firstLine="420"/>
        <w:rPr>
          <w:rFonts w:ascii="宋体" w:hAnsi="宋体"/>
          <w:szCs w:val="21"/>
        </w:rPr>
      </w:pPr>
      <w:r>
        <w:rPr>
          <w:rFonts w:hint="eastAsia" w:ascii="宋体" w:hAnsi="宋体"/>
          <w:szCs w:val="21"/>
        </w:rPr>
        <w:t>（二）会议期间，参会人员的手机必须调到振动、静音或关机状态，在会场接听电话时不能干扰他人、禁止在会场内大声喧哗；禁止在会场内吸烟。</w:t>
      </w:r>
    </w:p>
    <w:p w14:paraId="0FEA1043">
      <w:pPr>
        <w:ind w:firstLine="420"/>
        <w:rPr>
          <w:rFonts w:ascii="宋体" w:hAnsi="宋体"/>
          <w:szCs w:val="21"/>
        </w:rPr>
      </w:pPr>
      <w:r>
        <w:rPr>
          <w:rFonts w:hint="eastAsia" w:ascii="宋体" w:hAnsi="宋体"/>
          <w:szCs w:val="21"/>
        </w:rPr>
        <w:t>四十三、为保证市政府领导集中精力研究处理政府工作中的重大问题，除市委、市人大、市政府、市政协统一组织安排的活动外，市政府领导一般不出席各镇、各部门召开的布置、总结部门业务工作的会议以及其他事务性活动。各镇、各部门确需邀请市政府领导出席会议和其他事务性活动的，应事先书面报告市政府，由市政府办公室统筹安排。</w:t>
      </w:r>
    </w:p>
    <w:p w14:paraId="7F652433">
      <w:pPr>
        <w:ind w:firstLine="422"/>
        <w:jc w:val="center"/>
        <w:rPr>
          <w:rFonts w:ascii="宋体" w:hAnsi="宋体"/>
          <w:b/>
          <w:szCs w:val="21"/>
        </w:rPr>
      </w:pPr>
      <w:r>
        <w:rPr>
          <w:rFonts w:hint="eastAsia" w:ascii="宋体" w:hAnsi="宋体"/>
          <w:b/>
          <w:szCs w:val="21"/>
        </w:rPr>
        <w:t>第十二章 公文审批制度</w:t>
      </w:r>
    </w:p>
    <w:p w14:paraId="4F9588A1">
      <w:pPr>
        <w:ind w:firstLine="420"/>
        <w:rPr>
          <w:rFonts w:ascii="宋体" w:hAnsi="宋体"/>
          <w:szCs w:val="21"/>
        </w:rPr>
      </w:pPr>
      <w:r>
        <w:rPr>
          <w:rFonts w:hint="eastAsia" w:ascii="宋体" w:hAnsi="宋体"/>
          <w:szCs w:val="21"/>
        </w:rPr>
        <w:t>四十四、市政府办公室负责市政府各类公文的处理、承办工作，负责协助市政府领导审核或者组织起草以市政府和市政府办公室名义制发的公文。</w:t>
      </w:r>
    </w:p>
    <w:p w14:paraId="32D84E26">
      <w:pPr>
        <w:ind w:firstLine="420"/>
        <w:rPr>
          <w:rFonts w:ascii="宋体" w:hAnsi="宋体"/>
          <w:szCs w:val="21"/>
        </w:rPr>
      </w:pPr>
      <w:r>
        <w:rPr>
          <w:rFonts w:hint="eastAsia" w:ascii="宋体" w:hAnsi="宋体"/>
          <w:szCs w:val="21"/>
        </w:rPr>
        <w:t>四十五、各部门，各镇人民政府、街道办事处报送市政府的公文，应符合《国家行政机关公文处理办法》，由市政府办公室人秘股统一受理。除市政府领导同志交办事项和必须直接报送的绝密事项外，不得直接向市政府领导同志个人报送公文。市政府领导同志批示过的公文，统一交市政府办公室转办、处理。各部门报送市政府的请示性公文，部门间如有分歧意见，主办部门的主要负责人要主动协商，不能取得一致意见的，应列出各方理据，提出办理建议。</w:t>
      </w:r>
    </w:p>
    <w:p w14:paraId="29DA49D2">
      <w:pPr>
        <w:ind w:firstLine="420"/>
        <w:rPr>
          <w:rFonts w:ascii="宋体" w:hAnsi="宋体"/>
          <w:szCs w:val="21"/>
        </w:rPr>
      </w:pPr>
      <w:r>
        <w:rPr>
          <w:rFonts w:hint="eastAsia" w:ascii="宋体" w:hAnsi="宋体"/>
          <w:szCs w:val="21"/>
        </w:rPr>
        <w:t>各部门，各镇人民政府、街道办事处报送市政府审批的公文，由市政府办公室按工作分工呈市政府相关领导同志审批，重大事项报市长审批，一般性文件不横传。</w:t>
      </w:r>
    </w:p>
    <w:p w14:paraId="793588E9">
      <w:pPr>
        <w:ind w:firstLine="420"/>
        <w:rPr>
          <w:rFonts w:ascii="宋体" w:hAnsi="宋体"/>
          <w:szCs w:val="21"/>
        </w:rPr>
      </w:pPr>
      <w:r>
        <w:rPr>
          <w:rFonts w:hint="eastAsia" w:ascii="宋体" w:hAnsi="宋体"/>
          <w:szCs w:val="21"/>
        </w:rPr>
        <w:t>四十六、公文审批签发按以下规定办理：</w:t>
      </w:r>
    </w:p>
    <w:p w14:paraId="101514B5">
      <w:pPr>
        <w:ind w:firstLine="420"/>
        <w:rPr>
          <w:rFonts w:ascii="宋体" w:hAnsi="宋体"/>
          <w:szCs w:val="21"/>
        </w:rPr>
      </w:pPr>
      <w:r>
        <w:rPr>
          <w:rFonts w:hint="eastAsia" w:ascii="宋体" w:hAnsi="宋体"/>
          <w:szCs w:val="21"/>
        </w:rPr>
        <w:t>（一）以市政府名义发文或以市政府名义向韶关市政府报告工作，经市政府分管领导同志审核后，由市长或市长委托常务副市长签发。涉及税费、项目审批、土地审批、国有资产处置、配套资金承诺等公文，由市长签发。</w:t>
      </w:r>
    </w:p>
    <w:p w14:paraId="38768074">
      <w:pPr>
        <w:ind w:firstLine="420"/>
        <w:rPr>
          <w:rFonts w:ascii="宋体" w:hAnsi="宋体"/>
          <w:szCs w:val="21"/>
        </w:rPr>
      </w:pPr>
      <w:r>
        <w:rPr>
          <w:rFonts w:hint="eastAsia" w:ascii="宋体" w:hAnsi="宋体"/>
          <w:szCs w:val="21"/>
        </w:rPr>
        <w:t>（二）市政府出台的规范性文件必须经市政府法制局审核把关，报市政府常务会议讨论通过后，行文执行。</w:t>
      </w:r>
    </w:p>
    <w:p w14:paraId="41A521BD">
      <w:pPr>
        <w:ind w:firstLine="420"/>
        <w:rPr>
          <w:rFonts w:ascii="宋体" w:hAnsi="宋体"/>
          <w:szCs w:val="21"/>
        </w:rPr>
      </w:pPr>
      <w:r>
        <w:rPr>
          <w:rFonts w:hint="eastAsia" w:ascii="宋体" w:hAnsi="宋体"/>
          <w:szCs w:val="21"/>
        </w:rPr>
        <w:t>（三）市政府公布的规范性文件、决定，向市人民代表大会或市人民代表大会常务委员会提出的议案、人员任免请示，由市长签署。</w:t>
      </w:r>
    </w:p>
    <w:p w14:paraId="47E68508">
      <w:pPr>
        <w:ind w:firstLine="420"/>
        <w:rPr>
          <w:rFonts w:ascii="宋体" w:hAnsi="宋体"/>
          <w:szCs w:val="21"/>
        </w:rPr>
      </w:pPr>
      <w:r>
        <w:rPr>
          <w:rFonts w:hint="eastAsia" w:ascii="宋体" w:hAnsi="宋体"/>
          <w:szCs w:val="21"/>
        </w:rPr>
        <w:t>（四）属传达韶关市政府决定事项和需要以市政府办公室名义发文的，由分管的市政府领导同志审阅后签发；属市政府办公室职责范围内的发文，由办公室主任、副主任签发。</w:t>
      </w:r>
    </w:p>
    <w:p w14:paraId="60B0B226">
      <w:pPr>
        <w:ind w:firstLine="420"/>
        <w:rPr>
          <w:rFonts w:ascii="宋体" w:hAnsi="宋体"/>
          <w:szCs w:val="21"/>
        </w:rPr>
      </w:pPr>
      <w:r>
        <w:rPr>
          <w:rFonts w:hint="eastAsia" w:ascii="宋体" w:hAnsi="宋体"/>
          <w:szCs w:val="21"/>
        </w:rPr>
        <w:t>（五）除应由市长审批签发以外的市政府文件，属于一位副市长、市长助理分管工作范围内的，由分管副市长、市长助理审批签发；涉及两位以上副市长、市长助理分管工作的，经有关副市长会审会签提出意见后，由市长或负责市政府常务工作的副市长审批签发。市政府向韶关市政府有关部门请求批准事项和商洽工作的公文，由分管副市长、市长助理审批签发，涉及重要事项的核报市长审批签发。</w:t>
      </w:r>
    </w:p>
    <w:p w14:paraId="3A6A50B7">
      <w:pPr>
        <w:ind w:firstLine="420"/>
        <w:rPr>
          <w:rFonts w:ascii="宋体" w:hAnsi="宋体"/>
          <w:szCs w:val="21"/>
        </w:rPr>
      </w:pPr>
      <w:r>
        <w:rPr>
          <w:rFonts w:hint="eastAsia" w:ascii="宋体" w:hAnsi="宋体"/>
          <w:szCs w:val="21"/>
        </w:rPr>
        <w:t>市政府与市委联合行文，由市政府办公室主任或分管该项工作副主任审核，报市政府市长或有关副市长、市长助理会签后，送市委领导签发。</w:t>
      </w:r>
    </w:p>
    <w:p w14:paraId="00486E86">
      <w:pPr>
        <w:ind w:firstLine="420"/>
        <w:rPr>
          <w:rFonts w:ascii="宋体" w:hAnsi="宋体"/>
          <w:szCs w:val="21"/>
        </w:rPr>
      </w:pPr>
      <w:r>
        <w:rPr>
          <w:rFonts w:hint="eastAsia" w:ascii="宋体" w:hAnsi="宋体"/>
          <w:szCs w:val="21"/>
        </w:rPr>
        <w:t>（六）以市政府办公室名义下发的公文，由市政府办公室主任或分管副主任审批签发。涉及重要事项的，核报分管副市长、市长助理签发。涉及文秘、会议、活动、督查、值班、信息、行政事务、书刊编辑等内容的市政府办公室公文，由分管公文副主任审批签发，涉及重要内容的由市政府办公室主任审批签发。</w:t>
      </w:r>
    </w:p>
    <w:p w14:paraId="01EEE709">
      <w:pPr>
        <w:ind w:firstLine="420"/>
        <w:rPr>
          <w:rFonts w:ascii="宋体" w:hAnsi="宋体"/>
          <w:szCs w:val="21"/>
        </w:rPr>
      </w:pPr>
      <w:r>
        <w:rPr>
          <w:rFonts w:hint="eastAsia" w:ascii="宋体" w:hAnsi="宋体"/>
          <w:szCs w:val="21"/>
        </w:rPr>
        <w:t>市政府办公室与市委办公室联合行文，由市政府办公室主任或分管该项工作副主任会签；涉及重大事项的，由市政府办公室主任或分管该项工作副主任与市委办领导会签后送市委、市政府领导签发；</w:t>
      </w:r>
    </w:p>
    <w:p w14:paraId="336C7ED9">
      <w:pPr>
        <w:ind w:firstLine="420"/>
        <w:rPr>
          <w:rFonts w:ascii="宋体" w:hAnsi="宋体"/>
          <w:szCs w:val="21"/>
        </w:rPr>
      </w:pPr>
      <w:r>
        <w:rPr>
          <w:rFonts w:hint="eastAsia" w:ascii="宋体" w:hAnsi="宋体"/>
          <w:szCs w:val="21"/>
        </w:rPr>
        <w:t>（七）市政府及各部门要进一步精简公文。部门职权范围内的事务，由部门自行发文或联合发文，不得要求市政府批转或市政府办公室转发。</w:t>
      </w:r>
    </w:p>
    <w:p w14:paraId="0BDC5489">
      <w:pPr>
        <w:ind w:firstLine="420"/>
        <w:rPr>
          <w:rFonts w:ascii="宋体" w:hAnsi="宋体"/>
          <w:szCs w:val="21"/>
        </w:rPr>
      </w:pPr>
      <w:r>
        <w:rPr>
          <w:rFonts w:hint="eastAsia" w:ascii="宋体" w:hAnsi="宋体"/>
          <w:szCs w:val="21"/>
        </w:rPr>
        <w:t>口头或电话答复等方式可以处理的问题，一律不发文件。</w:t>
      </w:r>
    </w:p>
    <w:p w14:paraId="288D3204">
      <w:pPr>
        <w:ind w:firstLine="420"/>
        <w:rPr>
          <w:rFonts w:ascii="宋体" w:hAnsi="宋体"/>
          <w:szCs w:val="21"/>
        </w:rPr>
      </w:pPr>
      <w:r>
        <w:rPr>
          <w:rFonts w:hint="eastAsia" w:ascii="宋体" w:hAnsi="宋体"/>
          <w:szCs w:val="21"/>
        </w:rPr>
        <w:t>要大力推进电子政务，加快网络化办公进程，提高公文办理的效率。</w:t>
      </w:r>
    </w:p>
    <w:p w14:paraId="32F00092">
      <w:pPr>
        <w:ind w:firstLine="420"/>
        <w:rPr>
          <w:rFonts w:ascii="宋体" w:hAnsi="宋体"/>
          <w:szCs w:val="21"/>
        </w:rPr>
      </w:pPr>
      <w:r>
        <w:rPr>
          <w:rFonts w:hint="eastAsia" w:ascii="宋体" w:hAnsi="宋体"/>
          <w:szCs w:val="21"/>
        </w:rPr>
        <w:t>（八）市政府各部门不得越级行文、多头报文、重复发文，不得随意扩大文件的分发范围。属于主管部门职权范围内的具体问题，应当直接报送部门处理。部门之间对有关问题未经协商一致，不得各自向下行文。除以函的形式商洽工作、询问和答复问题、审核事项外，未经市政府批准，市政府各部门不得直接向下级政府正式行文。属于业务性较强或行业性的重要工作或其他需要市政府同意的事项，按规定程序报经市政府领导审定后，可加“经市政府同意”字样自行发文。加“经市政府同意”字样由部门发文的文件文稿，按市政府文件审核及送签程序办理。</w:t>
      </w:r>
    </w:p>
    <w:p w14:paraId="20E8C4BD">
      <w:pPr>
        <w:ind w:firstLine="420"/>
        <w:rPr>
          <w:rFonts w:ascii="宋体" w:hAnsi="宋体"/>
          <w:szCs w:val="21"/>
        </w:rPr>
      </w:pPr>
      <w:r>
        <w:rPr>
          <w:rFonts w:hint="eastAsia" w:ascii="宋体" w:hAnsi="宋体"/>
          <w:szCs w:val="21"/>
        </w:rPr>
        <w:t>（九）市政府及市政府办公室的公文，除需要保密的，应及时向社会公布。</w:t>
      </w:r>
    </w:p>
    <w:p w14:paraId="696164D3">
      <w:pPr>
        <w:ind w:firstLine="422"/>
        <w:jc w:val="center"/>
        <w:rPr>
          <w:rFonts w:ascii="宋体" w:hAnsi="宋体"/>
          <w:b/>
          <w:szCs w:val="21"/>
        </w:rPr>
      </w:pPr>
      <w:r>
        <w:rPr>
          <w:rFonts w:hint="eastAsia" w:ascii="宋体" w:hAnsi="宋体"/>
          <w:b/>
          <w:szCs w:val="21"/>
        </w:rPr>
        <w:t>第十三章 强化督查督办</w:t>
      </w:r>
    </w:p>
    <w:p w14:paraId="2F8B2F77">
      <w:pPr>
        <w:ind w:firstLine="420"/>
        <w:rPr>
          <w:rFonts w:ascii="宋体" w:hAnsi="宋体"/>
          <w:szCs w:val="21"/>
        </w:rPr>
      </w:pPr>
      <w:r>
        <w:rPr>
          <w:rFonts w:hint="eastAsia" w:ascii="宋体" w:hAnsi="宋体"/>
          <w:szCs w:val="21"/>
        </w:rPr>
        <w:t>四十七、政府所有工作都要做到有布置、有检查。对重点工程、重大项目，市政府分管领导每月组织一次督查，各镇、政府各部门承担的重点工作任务，主要负责人要直接抓上手，靠前指挥。督查过程中发现问题，要及时组织协调会办解决。</w:t>
      </w:r>
    </w:p>
    <w:p w14:paraId="63FB4091">
      <w:pPr>
        <w:ind w:firstLine="420"/>
        <w:rPr>
          <w:rFonts w:ascii="宋体" w:hAnsi="宋体"/>
          <w:szCs w:val="21"/>
        </w:rPr>
      </w:pPr>
      <w:r>
        <w:rPr>
          <w:rFonts w:hint="eastAsia" w:ascii="宋体" w:hAnsi="宋体"/>
          <w:szCs w:val="21"/>
        </w:rPr>
        <w:t>四十八、督查工作的重点内容包括：全市经济社会发展中重点工程、重点项目和为民办实事项目进展情况，市政府全体会议、常务会议和市长办公会议研究决定事项的落实情况，市政府领导同志批示、交办事项的办理情况等。</w:t>
      </w:r>
    </w:p>
    <w:p w14:paraId="3361485E">
      <w:pPr>
        <w:ind w:firstLine="420"/>
        <w:rPr>
          <w:rFonts w:ascii="宋体" w:hAnsi="宋体"/>
          <w:szCs w:val="21"/>
        </w:rPr>
      </w:pPr>
      <w:r>
        <w:rPr>
          <w:rFonts w:hint="eastAsia" w:ascii="宋体" w:hAnsi="宋体"/>
          <w:szCs w:val="21"/>
        </w:rPr>
        <w:t>四十九、市政府办公室和监察局具体负责政务督查工作的组织、协调、检查和反馈工作，要做好月度情况收集汇总工作，及时编发《政务督查》。市监察局负责对相关部门贯彻落实政府重大决策、重点工作部署和重点工作推进情况加强监督检査和效能监察，切实提高行政效能。对涉及全局的重点工作完成进度不理想的，要进行专项督查，直至目标任务全面完成。</w:t>
      </w:r>
    </w:p>
    <w:p w14:paraId="0EBDD120">
      <w:pPr>
        <w:ind w:firstLine="420"/>
        <w:rPr>
          <w:rFonts w:ascii="宋体" w:hAnsi="宋体"/>
          <w:szCs w:val="21"/>
        </w:rPr>
      </w:pPr>
      <w:r>
        <w:rPr>
          <w:rFonts w:hint="eastAsia" w:ascii="宋体" w:hAnsi="宋体"/>
          <w:szCs w:val="21"/>
        </w:rPr>
        <w:t>五十、各镇人民政府、街道办事处和政府各部门对市政府的各项决策和部署，要认真落实，及时报告，做到事事有交待、件件有回音。督查部门对工作落实不力的，要敢于动真碰硬，及时给予批评教育；对进度不快或者效果不明显的，要帮助分析原因，加强指导；对没有特殊原因又无正当理由，迟迟不见行动、没有落实的，要及时给予通报批评、诫免谈话。产生严重后果的，给予必要的政纪处分，直至追究法律责任。</w:t>
      </w:r>
    </w:p>
    <w:p w14:paraId="7909B6E2">
      <w:pPr>
        <w:ind w:firstLine="422"/>
        <w:jc w:val="center"/>
        <w:rPr>
          <w:rFonts w:ascii="宋体" w:hAnsi="宋体"/>
          <w:b/>
          <w:szCs w:val="21"/>
        </w:rPr>
      </w:pPr>
      <w:r>
        <w:rPr>
          <w:rFonts w:hint="eastAsia" w:ascii="宋体" w:hAnsi="宋体"/>
          <w:b/>
          <w:szCs w:val="21"/>
        </w:rPr>
        <w:t>第十四章 人事编制管理制度</w:t>
      </w:r>
    </w:p>
    <w:p w14:paraId="47ADFF9F">
      <w:pPr>
        <w:ind w:firstLine="420"/>
        <w:rPr>
          <w:rFonts w:ascii="宋体" w:hAnsi="宋体"/>
          <w:szCs w:val="21"/>
        </w:rPr>
      </w:pPr>
      <w:r>
        <w:rPr>
          <w:rFonts w:hint="eastAsia" w:ascii="宋体" w:hAnsi="宋体"/>
          <w:szCs w:val="21"/>
        </w:rPr>
        <w:t>五十一、为强化和规范人事编制管理，推进阳光人事，对全市人事编制管理做如下规定：</w:t>
      </w:r>
    </w:p>
    <w:p w14:paraId="246FB632">
      <w:pPr>
        <w:ind w:firstLine="420"/>
        <w:rPr>
          <w:rFonts w:ascii="宋体" w:hAnsi="宋体"/>
          <w:szCs w:val="21"/>
        </w:rPr>
      </w:pPr>
      <w:r>
        <w:rPr>
          <w:rFonts w:hint="eastAsia" w:ascii="宋体" w:hAnsi="宋体"/>
          <w:szCs w:val="21"/>
        </w:rPr>
        <w:t>（一）凡要求提交市编委会讨论的请示或报告，须经主管部门和分管市领导提出明确意见，否则不上市编委会讨论。</w:t>
      </w:r>
    </w:p>
    <w:p w14:paraId="7D37B94D">
      <w:pPr>
        <w:ind w:firstLine="420"/>
        <w:rPr>
          <w:rFonts w:ascii="宋体" w:hAnsi="宋体"/>
          <w:szCs w:val="21"/>
        </w:rPr>
      </w:pPr>
      <w:r>
        <w:rPr>
          <w:rFonts w:hint="eastAsia" w:ascii="宋体" w:hAnsi="宋体"/>
          <w:szCs w:val="21"/>
        </w:rPr>
        <w:t>（二）严把“进人关”。凡要增加财政拨款的人员变动，包括从经费自筹事业单位调入财政补助事业单位，要经市编委会讨论。</w:t>
      </w:r>
    </w:p>
    <w:p w14:paraId="300BED8A">
      <w:pPr>
        <w:ind w:firstLine="420"/>
        <w:rPr>
          <w:rFonts w:ascii="宋体" w:hAnsi="宋体"/>
          <w:szCs w:val="21"/>
        </w:rPr>
      </w:pPr>
      <w:r>
        <w:rPr>
          <w:rFonts w:hint="eastAsia" w:ascii="宋体" w:hAnsi="宋体"/>
          <w:szCs w:val="21"/>
        </w:rPr>
        <w:t>（三）公务员从乡镇调入机关（街道）或从街道调入机关，要经市编委会讨论；公务员在机关之间、乡镇之间互相调动，在调入单位有空编的情况下，经市主管领导同意，可办理调动，但要到市编办办理列编手续。</w:t>
      </w:r>
    </w:p>
    <w:p w14:paraId="24D1D16F">
      <w:pPr>
        <w:ind w:firstLine="420"/>
        <w:rPr>
          <w:rFonts w:ascii="宋体" w:hAnsi="宋体"/>
          <w:szCs w:val="21"/>
        </w:rPr>
      </w:pPr>
      <w:r>
        <w:rPr>
          <w:rFonts w:hint="eastAsia" w:ascii="宋体" w:hAnsi="宋体"/>
          <w:szCs w:val="21"/>
        </w:rPr>
        <w:t>（四）凡人员调动要由人社部门确认其身份，并且要先经编制部门办理列编手续后，人社部门再办理调动手续，财政部门凭列编手续核发工资。</w:t>
      </w:r>
    </w:p>
    <w:p w14:paraId="5A6B8CA0">
      <w:pPr>
        <w:ind w:firstLine="420"/>
        <w:rPr>
          <w:rFonts w:ascii="宋体" w:hAnsi="宋体"/>
          <w:szCs w:val="21"/>
        </w:rPr>
      </w:pPr>
      <w:r>
        <w:rPr>
          <w:rFonts w:hint="eastAsia" w:ascii="宋体" w:hAnsi="宋体"/>
          <w:szCs w:val="21"/>
        </w:rPr>
        <w:t>（五）机关事业单位新录用人员要先向市编委申请使用编制，由人社部门负责招录；完成录用手续后，再到市编办办理新进人员的列编手续，财政部门凭列编手续核发工资。</w:t>
      </w:r>
    </w:p>
    <w:p w14:paraId="5EA7B5E5">
      <w:pPr>
        <w:ind w:firstLine="420"/>
        <w:rPr>
          <w:rFonts w:ascii="宋体" w:hAnsi="宋体"/>
          <w:szCs w:val="21"/>
        </w:rPr>
      </w:pPr>
      <w:r>
        <w:rPr>
          <w:rFonts w:hint="eastAsia" w:ascii="宋体" w:hAnsi="宋体"/>
          <w:szCs w:val="21"/>
        </w:rPr>
        <w:t>（六）除特殊情况外，原则上每个季度召开次编委会会议。</w:t>
      </w:r>
    </w:p>
    <w:p w14:paraId="347D62CF">
      <w:pPr>
        <w:ind w:firstLine="422"/>
        <w:jc w:val="center"/>
        <w:rPr>
          <w:rFonts w:ascii="宋体" w:hAnsi="宋体"/>
          <w:b/>
          <w:szCs w:val="21"/>
        </w:rPr>
      </w:pPr>
      <w:r>
        <w:rPr>
          <w:rFonts w:hint="eastAsia" w:ascii="宋体" w:hAnsi="宋体"/>
          <w:b/>
          <w:szCs w:val="21"/>
        </w:rPr>
        <w:t>第十五章 城市规划管理例会制度</w:t>
      </w:r>
    </w:p>
    <w:p w14:paraId="70B4974D">
      <w:pPr>
        <w:ind w:firstLine="420"/>
        <w:rPr>
          <w:rFonts w:ascii="宋体" w:hAnsi="宋体"/>
          <w:szCs w:val="21"/>
        </w:rPr>
      </w:pPr>
      <w:r>
        <w:rPr>
          <w:rFonts w:hint="eastAsia" w:ascii="宋体" w:hAnsi="宋体"/>
          <w:szCs w:val="21"/>
        </w:rPr>
        <w:t>五十二、根据《中华人民共和国城乡规划法》、《广东省控制性详细规划管理条例》等法律法规的规定，为加强我市城市规划，设立南雄市城市规划委员会，实行城市规划管理例会制度。</w:t>
      </w:r>
    </w:p>
    <w:p w14:paraId="32371430">
      <w:pPr>
        <w:ind w:firstLine="420"/>
        <w:rPr>
          <w:rFonts w:ascii="宋体" w:hAnsi="宋体"/>
          <w:szCs w:val="21"/>
        </w:rPr>
      </w:pPr>
      <w:r>
        <w:rPr>
          <w:rFonts w:hint="eastAsia" w:ascii="宋体" w:hAnsi="宋体"/>
          <w:szCs w:val="21"/>
        </w:rPr>
        <w:t>（一）城市规划委员会为市人民政府进行城市规划决策的议事机构。城市规划委员会的主要职责是：</w:t>
      </w:r>
    </w:p>
    <w:p w14:paraId="71E96294">
      <w:pPr>
        <w:ind w:firstLine="420"/>
        <w:rPr>
          <w:rFonts w:ascii="宋体" w:hAnsi="宋体"/>
          <w:szCs w:val="21"/>
        </w:rPr>
      </w:pPr>
      <w:r>
        <w:rPr>
          <w:rFonts w:hint="eastAsia" w:ascii="宋体" w:hAnsi="宋体"/>
          <w:szCs w:val="21"/>
        </w:rPr>
        <w:t>1、对市域、城镇体系规划、城市总体规划、分区规划、风景名胜区规划草案进行审议；</w:t>
      </w:r>
    </w:p>
    <w:p w14:paraId="06BDCB7D">
      <w:pPr>
        <w:ind w:firstLine="420"/>
        <w:rPr>
          <w:rFonts w:ascii="宋体" w:hAnsi="宋体"/>
          <w:szCs w:val="21"/>
        </w:rPr>
      </w:pPr>
      <w:r>
        <w:rPr>
          <w:rFonts w:hint="eastAsia" w:ascii="宋体" w:hAnsi="宋体"/>
          <w:szCs w:val="21"/>
        </w:rPr>
        <w:t>2、对城市规划未确定和待确定的重大项目的选址进行审议；</w:t>
      </w:r>
    </w:p>
    <w:p w14:paraId="5306AB8F">
      <w:pPr>
        <w:ind w:firstLine="420"/>
        <w:rPr>
          <w:rFonts w:ascii="宋体" w:hAnsi="宋体"/>
          <w:szCs w:val="21"/>
        </w:rPr>
      </w:pPr>
      <w:r>
        <w:rPr>
          <w:rFonts w:hint="eastAsia" w:ascii="宋体" w:hAnsi="宋体"/>
          <w:szCs w:val="21"/>
        </w:rPr>
        <w:t>3、提出年度市区规划编制计划，审议市区详细规划并监督实施；</w:t>
      </w:r>
    </w:p>
    <w:p w14:paraId="654070E9">
      <w:pPr>
        <w:ind w:firstLine="420"/>
        <w:rPr>
          <w:rFonts w:ascii="宋体" w:hAnsi="宋体"/>
          <w:szCs w:val="21"/>
        </w:rPr>
      </w:pPr>
      <w:r>
        <w:rPr>
          <w:rFonts w:hint="eastAsia" w:ascii="宋体" w:hAnsi="宋体"/>
          <w:szCs w:val="21"/>
        </w:rPr>
        <w:t>4、审议专项规划、重点地段城市设计以及市政府授予的其他职责。</w:t>
      </w:r>
    </w:p>
    <w:p w14:paraId="5AA1E4A4">
      <w:pPr>
        <w:ind w:firstLine="420"/>
        <w:rPr>
          <w:rFonts w:ascii="宋体" w:hAnsi="宋体"/>
          <w:szCs w:val="21"/>
        </w:rPr>
      </w:pPr>
      <w:r>
        <w:rPr>
          <w:rFonts w:hint="eastAsia" w:ascii="宋体" w:hAnsi="宋体"/>
          <w:szCs w:val="21"/>
        </w:rPr>
        <w:t>（二）市规划委员会由24名委员组成，其中公务人员11名、专业技术人员13名。设主任委员、副主任委员、秘书长各一名，分别由市长、主管城市建设的副市长、住房和乡规划建设局长担任。其余公务人员，由发展改革、文教卫生体育、国土资源、交通运输、水务、环保、城管等部门代表组成；专业技术人员委员由有关专家和社会人士组成。</w:t>
      </w:r>
    </w:p>
    <w:p w14:paraId="16558599">
      <w:pPr>
        <w:ind w:firstLine="420"/>
        <w:rPr>
          <w:rFonts w:ascii="宋体" w:hAnsi="宋体"/>
          <w:szCs w:val="21"/>
        </w:rPr>
      </w:pPr>
      <w:r>
        <w:rPr>
          <w:rFonts w:hint="eastAsia" w:ascii="宋体" w:hAnsi="宋体"/>
          <w:szCs w:val="21"/>
        </w:rPr>
        <w:t>市规划委员会下设办公室，主任由秘书长兼任，负责处理市规划委员会的日常事务。</w:t>
      </w:r>
    </w:p>
    <w:p w14:paraId="7CC64F01">
      <w:pPr>
        <w:ind w:firstLine="420"/>
        <w:rPr>
          <w:rFonts w:ascii="宋体" w:hAnsi="宋体"/>
          <w:szCs w:val="21"/>
        </w:rPr>
      </w:pPr>
      <w:r>
        <w:rPr>
          <w:rFonts w:hint="eastAsia" w:ascii="宋体" w:hAnsi="宋体"/>
          <w:szCs w:val="21"/>
        </w:rPr>
        <w:t>（三）市规划委员会会议原则上每两个月召开一次，由主任或主任指定副主任召集。每次会议到会人数不得少于16名，其中专业技术人员不得少于与会委员的二分之一。会议作出的决议，必须获得参会人数的三分之二且不少于委员总数的半数通过。</w:t>
      </w:r>
    </w:p>
    <w:p w14:paraId="54726752">
      <w:pPr>
        <w:ind w:firstLine="422"/>
        <w:jc w:val="center"/>
        <w:rPr>
          <w:rFonts w:ascii="宋体" w:hAnsi="宋体"/>
          <w:b/>
          <w:szCs w:val="21"/>
        </w:rPr>
      </w:pPr>
      <w:r>
        <w:rPr>
          <w:rFonts w:hint="eastAsia" w:ascii="宋体" w:hAnsi="宋体"/>
          <w:b/>
          <w:szCs w:val="21"/>
        </w:rPr>
        <w:t>第十六章 外事活动和公务接待制度</w:t>
      </w:r>
    </w:p>
    <w:p w14:paraId="75AC42E3">
      <w:pPr>
        <w:ind w:firstLine="420"/>
        <w:rPr>
          <w:rFonts w:ascii="宋体" w:hAnsi="宋体"/>
          <w:szCs w:val="21"/>
        </w:rPr>
      </w:pPr>
      <w:r>
        <w:rPr>
          <w:rFonts w:hint="eastAsia" w:ascii="宋体" w:hAnsi="宋体"/>
          <w:szCs w:val="21"/>
        </w:rPr>
        <w:t>五十三、出访及出席外事活动制度</w:t>
      </w:r>
    </w:p>
    <w:p w14:paraId="75A587CC">
      <w:pPr>
        <w:ind w:firstLine="420"/>
        <w:rPr>
          <w:rFonts w:ascii="宋体" w:hAnsi="宋体"/>
          <w:szCs w:val="21"/>
        </w:rPr>
      </w:pPr>
      <w:r>
        <w:rPr>
          <w:rFonts w:hint="eastAsia" w:ascii="宋体" w:hAnsi="宋体"/>
          <w:szCs w:val="21"/>
        </w:rPr>
        <w:t>市政府领导同志出席外事活动，按外事规定的要求办理。市长出访，按上级有关规定办理。副市长、市长助理出访，经分管外事工作的副市长审核，报市长同意后报市委书记审批。</w:t>
      </w:r>
    </w:p>
    <w:p w14:paraId="11E5F113">
      <w:pPr>
        <w:ind w:firstLine="420"/>
        <w:rPr>
          <w:rFonts w:ascii="宋体" w:hAnsi="宋体"/>
          <w:szCs w:val="21"/>
        </w:rPr>
      </w:pPr>
      <w:r>
        <w:rPr>
          <w:rFonts w:hint="eastAsia" w:ascii="宋体" w:hAnsi="宋体"/>
          <w:szCs w:val="21"/>
        </w:rPr>
        <w:t>五十四、政务接待制度</w:t>
      </w:r>
    </w:p>
    <w:p w14:paraId="4D4EFA15">
      <w:pPr>
        <w:ind w:firstLine="420"/>
        <w:rPr>
          <w:rFonts w:ascii="宋体" w:hAnsi="宋体"/>
          <w:szCs w:val="21"/>
        </w:rPr>
      </w:pPr>
      <w:r>
        <w:rPr>
          <w:rFonts w:hint="eastAsia" w:ascii="宋体" w:hAnsi="宋体"/>
          <w:szCs w:val="21"/>
        </w:rPr>
        <w:t>（一）韶关市政府领导来雄调研，由市长、副市长、市长助理接待。市政府办公室会同相关部门具体负责。</w:t>
      </w:r>
    </w:p>
    <w:p w14:paraId="0507B255">
      <w:pPr>
        <w:ind w:firstLine="420"/>
        <w:rPr>
          <w:rFonts w:ascii="宋体" w:hAnsi="宋体"/>
          <w:szCs w:val="21"/>
        </w:rPr>
      </w:pPr>
      <w:r>
        <w:rPr>
          <w:rFonts w:hint="eastAsia" w:ascii="宋体" w:hAnsi="宋体"/>
          <w:szCs w:val="21"/>
        </w:rPr>
        <w:t>（二）以韶关市政府名义派出的综合性工作组，由市政府出面接待，市长，有关副市长、市长助理参加。市政府办公室会同相关部门负责。</w:t>
      </w:r>
    </w:p>
    <w:p w14:paraId="465F9687">
      <w:pPr>
        <w:ind w:firstLine="420"/>
        <w:rPr>
          <w:rFonts w:ascii="宋体" w:hAnsi="宋体"/>
          <w:szCs w:val="21"/>
        </w:rPr>
      </w:pPr>
      <w:r>
        <w:rPr>
          <w:rFonts w:hint="eastAsia" w:ascii="宋体" w:hAnsi="宋体"/>
          <w:szCs w:val="21"/>
        </w:rPr>
        <w:t>（三）韶关市部门派出的业务性工作组，由市政府有关部门对口接待。如有主任、局长带队，有关部门应提前报告市政府办公室，由市政府办公室协调市政府分管副市长、市长助理或市长参与接待。</w:t>
      </w:r>
    </w:p>
    <w:p w14:paraId="3B8BFD44">
      <w:pPr>
        <w:ind w:firstLine="420"/>
        <w:rPr>
          <w:rFonts w:ascii="宋体" w:hAnsi="宋体"/>
          <w:szCs w:val="21"/>
        </w:rPr>
      </w:pPr>
      <w:r>
        <w:rPr>
          <w:rFonts w:hint="eastAsia" w:ascii="宋体" w:hAnsi="宋体"/>
          <w:szCs w:val="21"/>
        </w:rPr>
        <w:t>（四）外地来雄参观、考察的地市级以上行政领导和市长、副市长、市长助理邀请的客人、客商的接待，由市长或分管副市长、市长助理出面接待。</w:t>
      </w:r>
    </w:p>
    <w:p w14:paraId="7DD208F5">
      <w:pPr>
        <w:ind w:firstLine="420"/>
        <w:rPr>
          <w:rFonts w:ascii="宋体" w:hAnsi="宋体"/>
          <w:szCs w:val="21"/>
        </w:rPr>
      </w:pPr>
      <w:r>
        <w:rPr>
          <w:rFonts w:hint="eastAsia" w:ascii="宋体" w:hAnsi="宋体"/>
          <w:szCs w:val="21"/>
        </w:rPr>
        <w:t>（五）接待上级领导和有关客人，需要警车开道的，应报市政府市长或常务副市长批准，并由市政府办公室主任或联系副主任衔接落实。</w:t>
      </w:r>
    </w:p>
    <w:p w14:paraId="7D05BE2F">
      <w:pPr>
        <w:ind w:firstLine="420"/>
        <w:rPr>
          <w:rFonts w:ascii="宋体" w:hAnsi="宋体"/>
          <w:szCs w:val="21"/>
        </w:rPr>
      </w:pPr>
      <w:r>
        <w:rPr>
          <w:rFonts w:hint="eastAsia" w:ascii="宋体" w:hAnsi="宋体"/>
          <w:szCs w:val="21"/>
        </w:rPr>
        <w:t>具体政务接待范围、标准及其它有关规定，按政务接待规则办理。</w:t>
      </w:r>
    </w:p>
    <w:p w14:paraId="36DCC52C">
      <w:pPr>
        <w:ind w:firstLine="422"/>
        <w:jc w:val="center"/>
        <w:rPr>
          <w:rFonts w:ascii="宋体" w:hAnsi="宋体"/>
          <w:b/>
          <w:szCs w:val="21"/>
        </w:rPr>
      </w:pPr>
      <w:r>
        <w:rPr>
          <w:rFonts w:hint="eastAsia" w:ascii="宋体" w:hAnsi="宋体"/>
          <w:b/>
          <w:szCs w:val="21"/>
        </w:rPr>
        <w:t>第十七章 作风纪律</w:t>
      </w:r>
    </w:p>
    <w:p w14:paraId="43AA582F">
      <w:pPr>
        <w:ind w:firstLine="420"/>
        <w:rPr>
          <w:rFonts w:ascii="宋体" w:hAnsi="宋体"/>
          <w:szCs w:val="21"/>
        </w:rPr>
      </w:pPr>
      <w:r>
        <w:rPr>
          <w:rFonts w:hint="eastAsia" w:ascii="宋体" w:hAnsi="宋体"/>
          <w:szCs w:val="21"/>
        </w:rPr>
        <w:t>五十五、市政府组成人员要带头树立起科学的态度和实干的作风。要把加强调查研究和科学管理摆到重要位置，通过科学的制度安排、合理的职责划分、有效的绩效考评和扎实的工作措施，提高政府工作的效率和质量。</w:t>
      </w:r>
    </w:p>
    <w:p w14:paraId="1DA3E10A">
      <w:pPr>
        <w:ind w:firstLine="420"/>
        <w:rPr>
          <w:rFonts w:ascii="宋体" w:hAnsi="宋体"/>
          <w:szCs w:val="21"/>
        </w:rPr>
      </w:pPr>
      <w:r>
        <w:rPr>
          <w:rFonts w:hint="eastAsia" w:ascii="宋体" w:hAnsi="宋体"/>
          <w:szCs w:val="21"/>
        </w:rPr>
        <w:t>五十六、市政府组成人员要自觉坚持全心全意为人民服务的宗旨，坚决防止和克服形式主义、官僚主义。</w:t>
      </w:r>
    </w:p>
    <w:p w14:paraId="435B40A5">
      <w:pPr>
        <w:ind w:firstLine="420"/>
        <w:rPr>
          <w:rFonts w:ascii="宋体" w:hAnsi="宋体"/>
          <w:szCs w:val="21"/>
        </w:rPr>
      </w:pPr>
      <w:r>
        <w:rPr>
          <w:rFonts w:hint="eastAsia" w:ascii="宋体" w:hAnsi="宋体"/>
          <w:szCs w:val="21"/>
        </w:rPr>
        <w:t>五十七、市政府组成人员要坚决维护团结、维护大局，在市委、市政府的领导下开展工作，增强大局观念，强化服务意识，做到小局服从大局，局部服从全局。市政府领导成员分工负责，互相配合，精诚团结，形成合力。</w:t>
      </w:r>
    </w:p>
    <w:p w14:paraId="4C3F4149">
      <w:pPr>
        <w:ind w:firstLine="420"/>
        <w:rPr>
          <w:rFonts w:ascii="宋体" w:hAnsi="宋体"/>
          <w:szCs w:val="21"/>
        </w:rPr>
      </w:pPr>
      <w:r>
        <w:rPr>
          <w:rFonts w:hint="eastAsia" w:ascii="宋体" w:hAnsi="宋体"/>
          <w:szCs w:val="21"/>
        </w:rPr>
        <w:t>五十八、市政府组成人员要崇尚实干、崇尚创新，做学习的表率，建设学习型机关。</w:t>
      </w:r>
    </w:p>
    <w:p w14:paraId="3DBF7D47">
      <w:pPr>
        <w:ind w:firstLine="420"/>
        <w:rPr>
          <w:rFonts w:ascii="宋体" w:hAnsi="宋体"/>
          <w:szCs w:val="21"/>
        </w:rPr>
      </w:pPr>
      <w:r>
        <w:rPr>
          <w:rFonts w:hint="eastAsia" w:ascii="宋体" w:hAnsi="宋体"/>
          <w:szCs w:val="21"/>
        </w:rPr>
        <w:t>五十九、市政府组成人员要带头执行党风廉政建设的有关规定，努力建设和维护廉洁政府的形象。不得用公款相互送礼和宴请；严格要求亲属和身边的工作人员，不得利用特殊身份拉关系、谋私利。要坚持标本兼治、综合治理、惩防并举、注重预防的方针，进一步加大反腐倡廉力度，坚决查处违纪违法案件，努力从源头上预防和治理腐败。</w:t>
      </w:r>
    </w:p>
    <w:p w14:paraId="5263F8B6">
      <w:pPr>
        <w:ind w:firstLine="420"/>
        <w:rPr>
          <w:rFonts w:ascii="宋体" w:hAnsi="宋体"/>
          <w:szCs w:val="21"/>
        </w:rPr>
      </w:pPr>
      <w:r>
        <w:rPr>
          <w:rFonts w:hint="eastAsia" w:ascii="宋体" w:hAnsi="宋体"/>
          <w:szCs w:val="21"/>
        </w:rPr>
        <w:t>六十、市政府领导要密切联系群众，每年应安排一定时间深入农村、企业和基层单位，深入调查研究，解决实际问题。下基层应轻车简从，减少陪同，简化接待。</w:t>
      </w:r>
    </w:p>
    <w:p w14:paraId="4A2A6B6B">
      <w:pPr>
        <w:ind w:firstLine="420"/>
        <w:rPr>
          <w:rFonts w:ascii="宋体" w:hAnsi="宋体"/>
          <w:szCs w:val="21"/>
        </w:rPr>
      </w:pPr>
      <w:r>
        <w:rPr>
          <w:rFonts w:hint="eastAsia" w:ascii="宋体" w:hAnsi="宋体"/>
          <w:szCs w:val="21"/>
        </w:rPr>
        <w:t>六十一、市政府组成人员必须坚决执行市政府决定；如有不同意见可在市政府内部提出，在市政府没有重新作出决定前，不得有任何与市政府决定相违背的言行；代表市政府发表讲话或文章，个人发表涉及未经市政府研究决定的重大问题及事项的讲话或文章，事先须经市政府同意。</w:t>
      </w:r>
    </w:p>
    <w:p w14:paraId="67972F6F">
      <w:pPr>
        <w:ind w:firstLine="420"/>
        <w:rPr>
          <w:rFonts w:ascii="宋体" w:hAnsi="宋体"/>
          <w:szCs w:val="21"/>
        </w:rPr>
      </w:pPr>
      <w:r>
        <w:rPr>
          <w:rFonts w:hint="eastAsia" w:ascii="宋体" w:hAnsi="宋体"/>
          <w:szCs w:val="21"/>
        </w:rPr>
        <w:t>六十二、严格请假制度。副市长、市长助理出访、出差和休假，应事先报告市长，由市政府办公室通报市政府其他领导同志。同时，按照市政府AB角分工，落实好相关责任。</w:t>
      </w:r>
    </w:p>
    <w:p w14:paraId="77E09BF5">
      <w:pPr>
        <w:ind w:firstLine="420"/>
        <w:rPr>
          <w:rFonts w:ascii="宋体" w:hAnsi="宋体"/>
          <w:szCs w:val="21"/>
        </w:rPr>
      </w:pPr>
      <w:r>
        <w:rPr>
          <w:rFonts w:hint="eastAsia" w:ascii="宋体" w:hAnsi="宋体"/>
          <w:szCs w:val="21"/>
        </w:rPr>
        <w:t>市政府各部门、各镇（街道）主要领导离开南雄外出，应事先向分管或联系本单位的市长助理、副市长，市长请示，并书面报市政府办公室，同时明确在家主持工作的同志。未经市长批准同意不得外出。</w:t>
      </w:r>
    </w:p>
    <w:p w14:paraId="24E16B15">
      <w:pPr>
        <w:ind w:firstLine="420"/>
        <w:rPr>
          <w:rFonts w:ascii="宋体" w:hAnsi="宋体"/>
          <w:szCs w:val="21"/>
        </w:rPr>
      </w:pPr>
      <w:r>
        <w:rPr>
          <w:rFonts w:hint="eastAsia" w:ascii="宋体" w:hAnsi="宋体"/>
          <w:szCs w:val="21"/>
        </w:rPr>
        <w:t>市政府领导，各部门、镇（街道）主要领导外出期间必须保证通信畅通，便于工作联系。</w:t>
      </w:r>
    </w:p>
    <w:p w14:paraId="1616A87F">
      <w:pPr>
        <w:ind w:firstLine="420"/>
        <w:rPr>
          <w:rFonts w:ascii="宋体" w:hAnsi="宋体"/>
          <w:szCs w:val="21"/>
        </w:rPr>
      </w:pPr>
      <w:r>
        <w:rPr>
          <w:rFonts w:hint="eastAsia" w:ascii="宋体" w:hAnsi="宋体"/>
          <w:szCs w:val="21"/>
        </w:rPr>
        <w:t>六十三、市政府及各部门要从严执政，规范行政行为，增强服务观念，认真履行职责，树立规范服务、清正廉洁、从严治政的新风。要大力推行政务“阳光工程”，规范政务管理，建立和推行首问负责制、限时审批制和失职追究制；对职责范围内的事项要按程序和时限积极主动地办理，对不符合规定的事项要坚持原则不得办理；对因推诿、拖延等官僚作风造成影响和损失的，要启动问责制追究责任；对越权办事、以权谋私等违规、违纪、违法行为，要严肃查处。</w:t>
      </w:r>
    </w:p>
    <w:p w14:paraId="279E8453">
      <w:pPr>
        <w:ind w:firstLine="422"/>
        <w:jc w:val="center"/>
        <w:rPr>
          <w:rFonts w:ascii="宋体" w:hAnsi="宋体"/>
          <w:b/>
          <w:szCs w:val="21"/>
        </w:rPr>
      </w:pPr>
      <w:r>
        <w:rPr>
          <w:rFonts w:hint="eastAsia" w:ascii="宋体" w:hAnsi="宋体"/>
          <w:b/>
          <w:szCs w:val="21"/>
        </w:rPr>
        <w:t>第十八章 加强同人大代表政协委员的联系</w:t>
      </w:r>
    </w:p>
    <w:p w14:paraId="0EA69899">
      <w:pPr>
        <w:ind w:firstLine="420"/>
        <w:rPr>
          <w:rFonts w:ascii="宋体" w:hAnsi="宋体"/>
          <w:szCs w:val="21"/>
        </w:rPr>
      </w:pPr>
      <w:r>
        <w:rPr>
          <w:rFonts w:hint="eastAsia" w:ascii="宋体" w:hAnsi="宋体"/>
          <w:szCs w:val="21"/>
        </w:rPr>
        <w:t>六十四、市政府及各部门要进一步加强同人大代表、政协委员的联系，认真办理人大代表的建议、批评、意见和政协委员的提案，并作为考核各部门领导干部的重要内容。</w:t>
      </w:r>
    </w:p>
    <w:p w14:paraId="5FD0FE97">
      <w:pPr>
        <w:ind w:firstLine="420"/>
        <w:rPr>
          <w:rFonts w:ascii="宋体" w:hAnsi="宋体"/>
          <w:szCs w:val="21"/>
        </w:rPr>
      </w:pPr>
      <w:r>
        <w:rPr>
          <w:rFonts w:hint="eastAsia" w:ascii="宋体" w:hAnsi="宋体"/>
          <w:szCs w:val="21"/>
        </w:rPr>
        <w:t>（一）各部门主要负责同志要亲自负责人大代表建议和政协委员提案的办理工作，落实具体承办人员，及时解决办理工作中存在的问题，对重要建议和提案要亲自办理。</w:t>
      </w:r>
    </w:p>
    <w:p w14:paraId="3526D92F">
      <w:pPr>
        <w:ind w:firstLine="420"/>
        <w:rPr>
          <w:rFonts w:ascii="宋体" w:hAnsi="宋体"/>
          <w:szCs w:val="21"/>
        </w:rPr>
      </w:pPr>
      <w:r>
        <w:rPr>
          <w:rFonts w:hint="eastAsia" w:ascii="宋体" w:hAnsi="宋体"/>
          <w:szCs w:val="21"/>
        </w:rPr>
        <w:t>（二）各部门对承办的建议、提案，凡能够解决的，应及时解决；因客观条件限制，一时不能解决的，应积极创造条件解决或纳入计划、规划逐步解决；确属难以解决的，应如实说明情况。</w:t>
      </w:r>
    </w:p>
    <w:p w14:paraId="01F3EFEE">
      <w:pPr>
        <w:ind w:firstLine="420"/>
        <w:rPr>
          <w:rFonts w:ascii="宋体" w:hAnsi="宋体"/>
          <w:szCs w:val="21"/>
        </w:rPr>
      </w:pPr>
      <w:r>
        <w:rPr>
          <w:rFonts w:hint="eastAsia" w:ascii="宋体" w:hAnsi="宋体"/>
          <w:szCs w:val="21"/>
        </w:rPr>
        <w:t>（三）对涉及我市经济、社会发展和政府工作全局的重要建议、提案，可列入市长办公会或市政府专题会议讨论。</w:t>
      </w:r>
    </w:p>
    <w:p w14:paraId="5E843521">
      <w:pPr>
        <w:ind w:firstLine="420"/>
        <w:rPr>
          <w:rFonts w:ascii="宋体" w:hAnsi="宋体"/>
          <w:szCs w:val="21"/>
        </w:rPr>
      </w:pPr>
      <w:r>
        <w:rPr>
          <w:rFonts w:hint="eastAsia" w:ascii="宋体" w:hAnsi="宋体"/>
          <w:szCs w:val="21"/>
        </w:rPr>
        <w:t>（四）市政府及各部门要加强办理人大代表建议和政协委员提案工作的检查督促，及时总结办理工作的经验。</w:t>
      </w:r>
    </w:p>
    <w:p w14:paraId="3A92846C">
      <w:pPr>
        <w:ind w:firstLine="420"/>
        <w:rPr>
          <w:rFonts w:ascii="宋体" w:hAnsi="宋体"/>
          <w:szCs w:val="21"/>
        </w:rPr>
      </w:pPr>
      <w:r>
        <w:rPr>
          <w:rFonts w:hint="eastAsia" w:ascii="宋体" w:hAnsi="宋体"/>
          <w:szCs w:val="21"/>
        </w:rPr>
        <w:t>（五）每年“两会”结束后，市政府办公室应及时将“两会”期间提出的议案、建议和提案办理工作进行责任分解，并及时交办。</w:t>
      </w:r>
    </w:p>
    <w:p w14:paraId="3B6D0361">
      <w:pPr>
        <w:ind w:firstLine="420"/>
        <w:rPr>
          <w:rFonts w:ascii="宋体" w:hAnsi="宋体"/>
          <w:szCs w:val="21"/>
        </w:rPr>
      </w:pPr>
      <w:r>
        <w:rPr>
          <w:rFonts w:hint="eastAsia" w:ascii="宋体" w:hAnsi="宋体"/>
          <w:szCs w:val="21"/>
        </w:rPr>
        <w:t>六十五、努力拓宽市政府与人大代表、政协委员的联系渠道：</w:t>
      </w:r>
    </w:p>
    <w:p w14:paraId="3B34CEC8">
      <w:pPr>
        <w:ind w:firstLine="420"/>
        <w:rPr>
          <w:rFonts w:ascii="宋体" w:hAnsi="宋体"/>
          <w:szCs w:val="21"/>
        </w:rPr>
      </w:pPr>
      <w:r>
        <w:rPr>
          <w:rFonts w:hint="eastAsia" w:ascii="宋体" w:hAnsi="宋体"/>
          <w:szCs w:val="21"/>
        </w:rPr>
        <w:t>（一）市人民代表大会、市政协全体会议期间，市政府要按规定报告、通报工作；市政府组成人员和有关部门负责人应按规定到会听取意见。</w:t>
      </w:r>
    </w:p>
    <w:p w14:paraId="2F3F889D">
      <w:pPr>
        <w:ind w:firstLine="420"/>
        <w:rPr>
          <w:rFonts w:ascii="宋体" w:hAnsi="宋体"/>
          <w:szCs w:val="21"/>
        </w:rPr>
      </w:pPr>
      <w:r>
        <w:rPr>
          <w:rFonts w:hint="eastAsia" w:ascii="宋体" w:hAnsi="宋体"/>
          <w:szCs w:val="21"/>
        </w:rPr>
        <w:t>（二）市政府全体会议、市政府常务会议、市长办公会议和市府工作会议或全市性的工作会议，应邀请市人大常委会、市政协的领导参加。市政府各部门讨论重要工作时，应邀请本系统的人大代表、政协委员参加会议。</w:t>
      </w:r>
    </w:p>
    <w:p w14:paraId="22D2DDF1">
      <w:pPr>
        <w:ind w:firstLine="420"/>
        <w:rPr>
          <w:rFonts w:ascii="宋体" w:hAnsi="宋体"/>
          <w:szCs w:val="21"/>
        </w:rPr>
      </w:pPr>
      <w:r>
        <w:rPr>
          <w:rFonts w:hint="eastAsia" w:ascii="宋体" w:hAnsi="宋体"/>
          <w:szCs w:val="21"/>
        </w:rPr>
        <w:t>（三）市人大常委会、市政协常委会召开会议时，市政府及各部门应根据会议涉及政府工作的议题，向会议报告、通报政府工作，接受询问。</w:t>
      </w:r>
    </w:p>
    <w:p w14:paraId="682C598B">
      <w:pPr>
        <w:ind w:firstLine="420"/>
        <w:rPr>
          <w:rFonts w:ascii="宋体" w:hAnsi="宋体"/>
          <w:szCs w:val="21"/>
        </w:rPr>
      </w:pPr>
      <w:r>
        <w:rPr>
          <w:rFonts w:hint="eastAsia" w:ascii="宋体" w:hAnsi="宋体"/>
          <w:szCs w:val="21"/>
        </w:rPr>
        <w:t>（四）市政府及各部门对一些重大问题或专业性问题组织的调查研究、重大检查活动应邀请有关人大代表、政协委员参加。</w:t>
      </w:r>
    </w:p>
    <w:p w14:paraId="0D35B33D">
      <w:pPr>
        <w:ind w:firstLine="422"/>
        <w:jc w:val="center"/>
        <w:rPr>
          <w:rFonts w:ascii="宋体" w:hAnsi="宋体"/>
          <w:b/>
          <w:szCs w:val="21"/>
        </w:rPr>
      </w:pPr>
      <w:r>
        <w:rPr>
          <w:rFonts w:hint="eastAsia" w:ascii="宋体" w:hAnsi="宋体"/>
          <w:b/>
          <w:szCs w:val="21"/>
        </w:rPr>
        <w:t>第十九章 附则</w:t>
      </w:r>
    </w:p>
    <w:p w14:paraId="268B2A6D">
      <w:pPr>
        <w:ind w:firstLine="420"/>
        <w:rPr>
          <w:rFonts w:ascii="宋体" w:hAnsi="宋体"/>
          <w:szCs w:val="21"/>
        </w:rPr>
      </w:pPr>
      <w:r>
        <w:rPr>
          <w:rFonts w:hint="eastAsia" w:ascii="宋体" w:hAnsi="宋体"/>
          <w:szCs w:val="21"/>
        </w:rPr>
        <w:t>六十六、市人民政府直属机构、派出机构和直属事业单位适用本规则。</w:t>
      </w:r>
    </w:p>
    <w:p w14:paraId="51EC8352">
      <w:pPr>
        <w:ind w:firstLine="420"/>
        <w:rPr>
          <w:rFonts w:ascii="宋体" w:hAnsi="宋体"/>
          <w:szCs w:val="21"/>
        </w:rPr>
      </w:pPr>
      <w:r>
        <w:rPr>
          <w:rFonts w:hint="eastAsia" w:ascii="宋体" w:hAnsi="宋体"/>
          <w:szCs w:val="21"/>
        </w:rPr>
        <w:t>六十七、本规则由市政府办公室负责解释。</w:t>
      </w:r>
    </w:p>
    <w:p w14:paraId="21AACBC5">
      <w:pPr>
        <w:ind w:firstLine="420"/>
        <w:rPr>
          <w:rFonts w:ascii="宋体" w:hAnsi="宋体"/>
          <w:szCs w:val="21"/>
        </w:rPr>
      </w:pPr>
      <w:r>
        <w:rPr>
          <w:rFonts w:hint="eastAsia" w:ascii="宋体" w:hAnsi="宋体"/>
          <w:szCs w:val="21"/>
        </w:rPr>
        <w:t>六十八、本规则从发布之日起执行。市政府二〇〇三年四月二十一日《关于印发〈南雄市人民政府议事规则〉的通知》（雄府[2003]20号）即时废止。</w:t>
      </w:r>
    </w:p>
    <w:tbl>
      <w:tblPr>
        <w:tblStyle w:val="15"/>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31EA9BA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1780140E">
            <w:pPr>
              <w:ind w:firstLine="0" w:firstLineChars="0"/>
              <w:rPr>
                <w:rFonts w:ascii="宋体" w:hAnsi="宋体"/>
                <w:szCs w:val="21"/>
              </w:rPr>
            </w:pPr>
            <w:r>
              <w:rPr>
                <w:rFonts w:ascii="宋体" w:hAnsi="宋体"/>
                <w:szCs w:val="21"/>
              </w:rPr>
              <w:pict>
                <v:shape id="_x0000_i1043" o:spt="75" type="#_x0000_t75" style="height:351pt;width:487.5pt;" filled="f" o:preferrelative="t" stroked="f" coordsize="21600,21600">
                  <v:path/>
                  <v:fill on="f" focussize="0,0"/>
                  <v:stroke on="f" joinstyle="miter"/>
                  <v:imagedata r:id="rId114" o:title="南雄年鉴2012-61"/>
                  <o:lock v:ext="edit" aspectratio="t"/>
                  <w10:wrap type="none"/>
                  <w10:anchorlock/>
                </v:shape>
              </w:pict>
            </w:r>
          </w:p>
        </w:tc>
      </w:tr>
    </w:tbl>
    <w:p w14:paraId="3A422A35">
      <w:pPr>
        <w:pStyle w:val="3"/>
      </w:pPr>
      <w:r>
        <w:rPr>
          <w:rFonts w:hint="eastAsia"/>
        </w:rPr>
        <w:t>专题研究</w:t>
      </w:r>
    </w:p>
    <w:p w14:paraId="041AB29C">
      <w:pPr>
        <w:pStyle w:val="4"/>
      </w:pPr>
      <w:r>
        <w:rPr>
          <w:rFonts w:hint="eastAsia"/>
        </w:rPr>
        <w:t>雄州县治设于溪塘之考证</w:t>
      </w:r>
    </w:p>
    <w:p w14:paraId="2A03B28C">
      <w:pPr>
        <w:ind w:firstLine="420"/>
        <w:jc w:val="center"/>
        <w:rPr>
          <w:rFonts w:ascii="宋体" w:hAnsi="宋体"/>
          <w:szCs w:val="21"/>
        </w:rPr>
      </w:pPr>
      <w:r>
        <w:rPr>
          <w:rFonts w:hint="eastAsia" w:ascii="宋体" w:hAnsi="宋体"/>
          <w:szCs w:val="21"/>
        </w:rPr>
        <w:t>沈荣全</w:t>
      </w:r>
    </w:p>
    <w:p w14:paraId="0E956890">
      <w:pPr>
        <w:ind w:firstLine="420"/>
        <w:rPr>
          <w:rFonts w:ascii="宋体" w:hAnsi="宋体"/>
          <w:szCs w:val="21"/>
        </w:rPr>
      </w:pPr>
      <w:r>
        <w:rPr>
          <w:rFonts w:hint="eastAsia" w:ascii="宋体" w:hAnsi="宋体"/>
          <w:szCs w:val="21"/>
        </w:rPr>
        <w:t>常言道，历史的车轮滚滚向前，这是任何力量都无法阻挡的。任凭你繁华似锦、昌盛一时，终究都逃不过那无情的岁月，它们都必将渐渐地沉寂在历史的长河之中。或淡出人们的视线，或消失在人们的记忆中……南汉雄州第一城——溪塘也是如此。</w:t>
      </w:r>
    </w:p>
    <w:p w14:paraId="3EE0B5B5">
      <w:pPr>
        <w:ind w:firstLine="420"/>
        <w:rPr>
          <w:rFonts w:ascii="宋体" w:hAnsi="宋体"/>
          <w:szCs w:val="21"/>
        </w:rPr>
      </w:pPr>
      <w:r>
        <w:rPr>
          <w:rFonts w:hint="eastAsia" w:ascii="宋体" w:hAnsi="宋体"/>
          <w:szCs w:val="21"/>
        </w:rPr>
        <w:t>“奔腾流水赴前滩，中有巨磷直泻难；每叹江河日愈下，特生此石挽狂澜。</w:t>
      </w:r>
    </w:p>
    <w:p w14:paraId="5407B08C">
      <w:pPr>
        <w:ind w:firstLine="420"/>
        <w:rPr>
          <w:rFonts w:ascii="宋体" w:hAnsi="宋体"/>
          <w:szCs w:val="21"/>
        </w:rPr>
      </w:pPr>
      <w:r>
        <w:rPr>
          <w:rFonts w:hint="eastAsia" w:ascii="宋体" w:hAnsi="宋体"/>
          <w:szCs w:val="21"/>
        </w:rPr>
        <w:t>参天竹树几千章，密叶浓阴锁上方；惟有钟声关不住，晨昏嫋嫋到村庄。</w:t>
      </w:r>
    </w:p>
    <w:p w14:paraId="12E43429">
      <w:pPr>
        <w:ind w:firstLine="420"/>
        <w:rPr>
          <w:rFonts w:ascii="宋体" w:hAnsi="宋体"/>
          <w:szCs w:val="21"/>
        </w:rPr>
      </w:pPr>
      <w:r>
        <w:rPr>
          <w:rFonts w:hint="eastAsia" w:ascii="宋体" w:hAnsi="宋体"/>
          <w:szCs w:val="21"/>
        </w:rPr>
        <w:t>挺拔苍松仰面看，肌皮生甲紫泥乾；影摇千尺龙蛇动，声撼半天风雨寒。</w:t>
      </w:r>
    </w:p>
    <w:p w14:paraId="487A88DA">
      <w:pPr>
        <w:ind w:firstLine="420"/>
        <w:rPr>
          <w:rFonts w:ascii="宋体" w:hAnsi="宋体"/>
          <w:szCs w:val="21"/>
        </w:rPr>
      </w:pPr>
      <w:r>
        <w:rPr>
          <w:rFonts w:hint="eastAsia" w:ascii="宋体" w:hAnsi="宋体"/>
          <w:szCs w:val="21"/>
        </w:rPr>
        <w:t>嵯峨栋宇后如何，曲沼清盈泛绿莎；日出微风来水面，粉墙犹觉画纹多。</w:t>
      </w:r>
    </w:p>
    <w:p w14:paraId="4C8DE787">
      <w:pPr>
        <w:ind w:firstLine="420"/>
        <w:rPr>
          <w:rFonts w:ascii="宋体" w:hAnsi="宋体"/>
          <w:szCs w:val="21"/>
        </w:rPr>
      </w:pPr>
      <w:r>
        <w:rPr>
          <w:rFonts w:hint="eastAsia" w:ascii="宋体" w:hAnsi="宋体"/>
          <w:szCs w:val="21"/>
        </w:rPr>
        <w:t>如屏如障渡头东，遥看行舟破浪雄；此际临流思濯足，满怀欣畅一江风。</w:t>
      </w:r>
    </w:p>
    <w:p w14:paraId="41FB6CFB">
      <w:pPr>
        <w:ind w:firstLine="420"/>
        <w:rPr>
          <w:rFonts w:ascii="宋体" w:hAnsi="宋体"/>
          <w:szCs w:val="21"/>
        </w:rPr>
      </w:pPr>
      <w:r>
        <w:rPr>
          <w:rFonts w:hint="eastAsia" w:ascii="宋体" w:hAnsi="宋体"/>
          <w:szCs w:val="21"/>
        </w:rPr>
        <w:t>晨昏漠漠起炊烟，甫接南邻北院连；浓淡相交成阵候，清泉俯看若云天。</w:t>
      </w:r>
    </w:p>
    <w:p w14:paraId="06B6EAB0">
      <w:pPr>
        <w:ind w:firstLine="420"/>
        <w:rPr>
          <w:rFonts w:ascii="宋体" w:hAnsi="宋体"/>
          <w:szCs w:val="21"/>
        </w:rPr>
      </w:pPr>
      <w:r>
        <w:rPr>
          <w:rFonts w:hint="eastAsia" w:ascii="宋体" w:hAnsi="宋体"/>
          <w:szCs w:val="21"/>
        </w:rPr>
        <w:t>松阴散乱夕阳斜，万树丛中噪暮鸦；唤得陇头人反蓧，牧童吹笛度桑麻。</w:t>
      </w:r>
    </w:p>
    <w:p w14:paraId="0B7D4584">
      <w:pPr>
        <w:ind w:firstLine="420"/>
        <w:rPr>
          <w:rFonts w:ascii="宋体" w:hAnsi="宋体"/>
          <w:szCs w:val="21"/>
        </w:rPr>
      </w:pPr>
      <w:r>
        <w:rPr>
          <w:rFonts w:hint="eastAsia" w:ascii="宋体" w:hAnsi="宋体"/>
          <w:szCs w:val="21"/>
        </w:rPr>
        <w:t>秋来潦尽涨痕收，一派安澜水细流；不必芦花沿岸吐，恍疑白鹭集沙洲。”</w:t>
      </w:r>
    </w:p>
    <w:p w14:paraId="3BB795CE">
      <w:pPr>
        <w:ind w:firstLine="420"/>
        <w:rPr>
          <w:rFonts w:ascii="宋体" w:hAnsi="宋体"/>
          <w:szCs w:val="21"/>
        </w:rPr>
      </w:pPr>
      <w:r>
        <w:rPr>
          <w:rFonts w:hint="eastAsia" w:ascii="宋体" w:hAnsi="宋体"/>
          <w:szCs w:val="21"/>
        </w:rPr>
        <w:t>这就是南雄市黄坑镇古溪塘水西著名的八景诗。</w:t>
      </w:r>
    </w:p>
    <w:p w14:paraId="068C8D5D">
      <w:pPr>
        <w:ind w:firstLine="420"/>
        <w:rPr>
          <w:rFonts w:ascii="宋体" w:hAnsi="宋体"/>
          <w:szCs w:val="21"/>
        </w:rPr>
      </w:pPr>
      <w:r>
        <w:rPr>
          <w:rFonts w:hint="eastAsia" w:ascii="宋体" w:hAnsi="宋体"/>
          <w:szCs w:val="21"/>
        </w:rPr>
        <w:t>诗中所描绘的一幅幅美景令人陶醉又令人遐想。</w:t>
      </w:r>
    </w:p>
    <w:p w14:paraId="581D6035">
      <w:pPr>
        <w:ind w:firstLine="420"/>
        <w:rPr>
          <w:rFonts w:ascii="宋体" w:hAnsi="宋体"/>
          <w:szCs w:val="21"/>
        </w:rPr>
      </w:pPr>
      <w:r>
        <w:rPr>
          <w:rFonts w:hint="eastAsia" w:ascii="宋体" w:hAnsi="宋体"/>
          <w:szCs w:val="21"/>
        </w:rPr>
        <w:t>诗记载了历史，诗又见证了历史；</w:t>
      </w:r>
    </w:p>
    <w:p w14:paraId="448A61D5">
      <w:pPr>
        <w:ind w:firstLine="420"/>
        <w:rPr>
          <w:rFonts w:ascii="宋体" w:hAnsi="宋体"/>
          <w:szCs w:val="21"/>
        </w:rPr>
      </w:pPr>
      <w:r>
        <w:rPr>
          <w:rFonts w:hint="eastAsia" w:ascii="宋体" w:hAnsi="宋体"/>
          <w:szCs w:val="21"/>
        </w:rPr>
        <w:t>诗是一幅画，诗又是一座永恒的丰碑；</w:t>
      </w:r>
    </w:p>
    <w:p w14:paraId="67123D22">
      <w:pPr>
        <w:ind w:firstLine="420"/>
        <w:rPr>
          <w:rFonts w:ascii="宋体" w:hAnsi="宋体"/>
          <w:szCs w:val="21"/>
        </w:rPr>
      </w:pPr>
      <w:r>
        <w:rPr>
          <w:rFonts w:hint="eastAsia" w:ascii="宋体" w:hAnsi="宋体"/>
          <w:szCs w:val="21"/>
        </w:rPr>
        <w:t>从“晨昏漠漠起炊烟，甫接南邻北院连；浓淡相交成阵候，清泉俯看若云天。”的诗句中，我们仿佛看到了溪塘当年“千家村，百家姓”那炊烟缭绕的兴旺景象。</w:t>
      </w:r>
    </w:p>
    <w:p w14:paraId="2B248F0B">
      <w:pPr>
        <w:ind w:firstLine="420"/>
        <w:rPr>
          <w:rFonts w:ascii="宋体" w:hAnsi="宋体"/>
          <w:szCs w:val="21"/>
        </w:rPr>
      </w:pPr>
      <w:r>
        <w:rPr>
          <w:rFonts w:hint="eastAsia" w:ascii="宋体" w:hAnsi="宋体"/>
          <w:szCs w:val="21"/>
        </w:rPr>
        <w:t>从“如屏如障渡头东，遥看行舟破浪雄；此际临流思濯足，满怀欣畅一江风。”诗句中，我们好象又看到了浈江河上日过千帆、夜行百船的繁忙情景。</w:t>
      </w:r>
    </w:p>
    <w:p w14:paraId="7212E3B4">
      <w:pPr>
        <w:ind w:firstLine="420"/>
        <w:rPr>
          <w:rFonts w:ascii="宋体" w:hAnsi="宋体"/>
          <w:szCs w:val="21"/>
        </w:rPr>
      </w:pPr>
      <w:r>
        <w:rPr>
          <w:rFonts w:hint="eastAsia" w:ascii="宋体" w:hAnsi="宋体"/>
          <w:szCs w:val="21"/>
        </w:rPr>
        <w:t>……</w:t>
      </w:r>
    </w:p>
    <w:p w14:paraId="3FD184B0">
      <w:pPr>
        <w:ind w:firstLine="420"/>
        <w:rPr>
          <w:rFonts w:ascii="宋体" w:hAnsi="宋体"/>
          <w:szCs w:val="21"/>
        </w:rPr>
      </w:pPr>
      <w:r>
        <w:rPr>
          <w:rFonts w:hint="eastAsia" w:ascii="宋体" w:hAnsi="宋体"/>
          <w:szCs w:val="21"/>
        </w:rPr>
        <w:t>（一）最早的雄州县治设于溪塘。</w:t>
      </w:r>
    </w:p>
    <w:p w14:paraId="10186F35">
      <w:pPr>
        <w:ind w:firstLine="420"/>
        <w:rPr>
          <w:rFonts w:ascii="宋体" w:hAnsi="宋体"/>
          <w:szCs w:val="21"/>
        </w:rPr>
      </w:pPr>
      <w:r>
        <w:rPr>
          <w:rFonts w:hint="eastAsia" w:ascii="宋体" w:hAnsi="宋体"/>
          <w:szCs w:val="21"/>
        </w:rPr>
        <w:t>溪塘，位于广东省南雄市的偏东北部，现分属于广东省韶关市南雄市（县级）黄坑镇溪塘村委会和塘源村委会，明代属莲溪二都管辖。</w:t>
      </w:r>
    </w:p>
    <w:p w14:paraId="0909D275">
      <w:pPr>
        <w:ind w:firstLine="420"/>
        <w:rPr>
          <w:rFonts w:ascii="宋体" w:hAnsi="宋体"/>
          <w:szCs w:val="21"/>
        </w:rPr>
      </w:pPr>
      <w:r>
        <w:rPr>
          <w:rFonts w:hint="eastAsia" w:ascii="宋体" w:hAnsi="宋体"/>
          <w:szCs w:val="21"/>
        </w:rPr>
        <w:t>明朝户部尚书谭大初在明嘉靖四十三年（1564年）撰写的《溪塘水东陈氏地舆记》中描述：“雄城东七十里古志名莲溪，初置雄州，经之营之，度地居民则于溪塘是卜，此古营建处也，学宫神庙设其制，衙署城池定其规，至今基址犹不朽焉。”谭大初撰写的《溪塘水东陈氏地舆记》非常清楚地为后人揭开了“最早的浈昌（雄州）县治又是在何处”的千古之谜。</w:t>
      </w:r>
    </w:p>
    <w:p w14:paraId="6483D600">
      <w:pPr>
        <w:ind w:firstLine="420"/>
        <w:rPr>
          <w:rFonts w:ascii="宋体" w:hAnsi="宋体"/>
          <w:szCs w:val="21"/>
        </w:rPr>
      </w:pPr>
      <w:r>
        <w:rPr>
          <w:rFonts w:hint="eastAsia" w:ascii="宋体" w:hAnsi="宋体"/>
          <w:szCs w:val="21"/>
        </w:rPr>
        <w:t>由此可见，最早的浈昌（雄州）县治就是在溪塘。</w:t>
      </w:r>
    </w:p>
    <w:p w14:paraId="06009ED6">
      <w:pPr>
        <w:ind w:firstLine="420"/>
        <w:rPr>
          <w:rFonts w:ascii="宋体" w:hAnsi="宋体"/>
          <w:szCs w:val="21"/>
        </w:rPr>
      </w:pPr>
      <w:r>
        <w:rPr>
          <w:rFonts w:hint="eastAsia" w:ascii="宋体" w:hAnsi="宋体"/>
          <w:szCs w:val="21"/>
        </w:rPr>
        <w:t>除此之外，我们还能从许多家谱资料中得到佐证；</w:t>
      </w:r>
    </w:p>
    <w:p w14:paraId="78C2E9AD">
      <w:pPr>
        <w:ind w:firstLine="420"/>
        <w:rPr>
          <w:rFonts w:ascii="宋体" w:hAnsi="宋体"/>
          <w:szCs w:val="21"/>
        </w:rPr>
      </w:pPr>
      <w:r>
        <w:rPr>
          <w:rFonts w:hint="eastAsia" w:ascii="宋体" w:hAnsi="宋体"/>
          <w:szCs w:val="21"/>
        </w:rPr>
        <w:t>据广州番禺探花山理事会、李邵三十七世孙南海李勇资料记载：</w:t>
      </w:r>
    </w:p>
    <w:p w14:paraId="7CEB4B2C">
      <w:pPr>
        <w:ind w:firstLine="420"/>
        <w:rPr>
          <w:rFonts w:ascii="宋体" w:hAnsi="宋体"/>
          <w:szCs w:val="21"/>
        </w:rPr>
      </w:pPr>
      <w:r>
        <w:rPr>
          <w:rFonts w:hint="eastAsia" w:ascii="宋体" w:hAnsi="宋体"/>
          <w:szCs w:val="21"/>
        </w:rPr>
        <w:t>北宋真宗赵恒大中祥符元年（戊申公元1008年），李邵之父维光，时任湖北黄梅县令，为政敌上本诛杀，祸及家人，李邵含冤逃脱。</w:t>
      </w:r>
    </w:p>
    <w:p w14:paraId="1E0DBBF7">
      <w:pPr>
        <w:ind w:firstLine="420"/>
        <w:rPr>
          <w:rFonts w:ascii="宋体" w:hAnsi="宋体"/>
          <w:szCs w:val="21"/>
        </w:rPr>
      </w:pPr>
      <w:r>
        <w:rPr>
          <w:rFonts w:hint="eastAsia" w:ascii="宋体" w:hAnsi="宋体"/>
          <w:szCs w:val="21"/>
        </w:rPr>
        <w:t>李邵祖大中祥符二年（公元1009年），避敌追迫，逃离江西，奔南雄保昌县溪塘镇栖身。（溪塘今属南雄黄坑镇溪塘村。）</w:t>
      </w:r>
    </w:p>
    <w:p w14:paraId="0B4E7E2A">
      <w:pPr>
        <w:ind w:firstLine="420"/>
        <w:rPr>
          <w:rFonts w:ascii="宋体" w:hAnsi="宋体"/>
          <w:szCs w:val="21"/>
        </w:rPr>
      </w:pPr>
      <w:r>
        <w:rPr>
          <w:rFonts w:hint="eastAsia" w:ascii="宋体" w:hAnsi="宋体"/>
          <w:szCs w:val="21"/>
        </w:rPr>
        <w:t>李邵祖未仕时曾回江西吉安府泰和县渡头村（先称桥头乡），迎娶自小定婚的萧氏夫人，此时仇家失势，无力追迫。李邵祖与萧氏完婚后仍在南雄溪塘居住。</w:t>
      </w:r>
    </w:p>
    <w:p w14:paraId="4C78A7C1">
      <w:pPr>
        <w:ind w:firstLine="420"/>
        <w:rPr>
          <w:rFonts w:ascii="宋体" w:hAnsi="宋体"/>
          <w:szCs w:val="21"/>
        </w:rPr>
      </w:pPr>
      <w:r>
        <w:rPr>
          <w:rFonts w:hint="eastAsia" w:ascii="宋体" w:hAnsi="宋体"/>
          <w:szCs w:val="21"/>
        </w:rPr>
        <w:t>邵公登北宋仁宗赵祯景祐年（公元1034年）甲戌科进士，时届五十，大器晚成。任殿中侍御史，父辈含冤早已得雪，换了皇帝，拟归江西旧居。其子李琰，业已成家，学业有成。李邵祖继任泗州军事，一时不便迁回江西旧居，子孙仍居南雄保昌县溪塘镇。</w:t>
      </w:r>
    </w:p>
    <w:p w14:paraId="73944C73">
      <w:pPr>
        <w:ind w:firstLine="420"/>
        <w:rPr>
          <w:rFonts w:ascii="宋体" w:hAnsi="宋体"/>
          <w:szCs w:val="21"/>
        </w:rPr>
      </w:pPr>
      <w:r>
        <w:rPr>
          <w:rFonts w:hint="eastAsia" w:ascii="宋体" w:hAnsi="宋体"/>
          <w:szCs w:val="21"/>
        </w:rPr>
        <w:t>李邵祖后来告老归田，落叶归根，自携萧氏回江西吉安泰和县祖居之地，让子孙居南雄新家，以为可进可退，宋朝时局动乱，也不知道何处能安居乐业，留条后路于南雄。</w:t>
      </w:r>
    </w:p>
    <w:p w14:paraId="00B908AA">
      <w:pPr>
        <w:ind w:firstLine="420"/>
        <w:rPr>
          <w:rFonts w:ascii="宋体" w:hAnsi="宋体"/>
          <w:szCs w:val="21"/>
        </w:rPr>
      </w:pPr>
      <w:r>
        <w:rPr>
          <w:rFonts w:hint="eastAsia" w:ascii="宋体" w:hAnsi="宋体"/>
          <w:szCs w:val="21"/>
        </w:rPr>
        <w:t>临告老还乡前，李邵祖上表奏请仁宗封诰萧氏夫人，萧氏因忠贞不二，克守妇道，仁宗以泰和县地名，封萧氏夫人为永泰郡君（有小宗谱误记为永嘉郡君）。</w:t>
      </w:r>
    </w:p>
    <w:p w14:paraId="44794387">
      <w:pPr>
        <w:ind w:firstLine="420"/>
        <w:rPr>
          <w:rFonts w:ascii="宋体" w:hAnsi="宋体"/>
          <w:szCs w:val="21"/>
        </w:rPr>
      </w:pPr>
      <w:r>
        <w:rPr>
          <w:rFonts w:hint="eastAsia" w:ascii="宋体" w:hAnsi="宋体"/>
          <w:szCs w:val="21"/>
        </w:rPr>
        <w:t>李邵祖及萧氏夫人均故于江西吉安泰和县，两人自幼定亲，不离不弃，一生恩爱到白头，故后同穴，葬于江西吉安（时称吉州）泰和县狮岭，墓穴坐壬向丙，兼亥己之原。子琰，孙缉，曾孙仙开及仙芝。后来仙芝公自保昌县（即今南雄市）溪塘镇迁广州番禺居住。</w:t>
      </w:r>
    </w:p>
    <w:p w14:paraId="2070D13A">
      <w:pPr>
        <w:ind w:firstLine="420"/>
        <w:rPr>
          <w:rFonts w:ascii="宋体" w:hAnsi="宋体"/>
          <w:szCs w:val="21"/>
        </w:rPr>
      </w:pPr>
      <w:r>
        <w:rPr>
          <w:rFonts w:hint="eastAsia" w:ascii="宋体" w:hAnsi="宋体"/>
          <w:szCs w:val="21"/>
        </w:rPr>
        <w:t>又据电白县凰渐房（《李氏族谱》卷首）记载：</w:t>
      </w:r>
    </w:p>
    <w:p w14:paraId="30F08FE0">
      <w:pPr>
        <w:ind w:firstLine="420"/>
        <w:rPr>
          <w:rFonts w:ascii="宋体" w:hAnsi="宋体"/>
          <w:szCs w:val="21"/>
        </w:rPr>
      </w:pPr>
      <w:r>
        <w:rPr>
          <w:rFonts w:hint="eastAsia" w:ascii="宋体" w:hAnsi="宋体"/>
          <w:szCs w:val="21"/>
        </w:rPr>
        <w:t>71世：邵：字毅滔，系出唐西平郡忠武王晟之第三子愬公之裔也，乃维光公之子，胜公之孙。母金氏夫人。生于宋太宗十七年壬辰（公元九九二）三月十四酉时。自唐代十二世德义公因官至江西节度使，始从甘肃迁江西省吉安府城。至宋真宗十一年戊申（公元一零零八），父维光公被敌杀害于湖北黄梅任上。邵公于真宗十二年（公元一零零九），因敌追逼，遂奔岭南之南雄（古称保昌）县溪塘镇栖身。后闭户潜修，登仁宗十三年景祐元年（公元一零三四）甲戌科进士，第除殿中侍御史。历官朝请大夫，泗州军事。死后，于宋徽宗大观二年戊子（公元一一零八）追赠朝议大夫。《方舆胜览》载公父子赦诰藏文溪府。娶江西省吉安府太（泰）和县渡头村萧氏，特封永嘉郡君。死后合葬江西省南安府白象岭，卯乙向（一说合葬太和县狮岭，坐壬向西兼亥己之原）生一子：琰。</w:t>
      </w:r>
    </w:p>
    <w:p w14:paraId="1CEC8D8F">
      <w:pPr>
        <w:ind w:firstLine="420"/>
        <w:rPr>
          <w:rFonts w:ascii="宋体" w:hAnsi="宋体"/>
          <w:szCs w:val="21"/>
        </w:rPr>
      </w:pPr>
      <w:r>
        <w:rPr>
          <w:rFonts w:hint="eastAsia" w:ascii="宋体" w:hAnsi="宋体"/>
          <w:szCs w:val="21"/>
        </w:rPr>
        <w:t>72世：琰：字瑞雄，朝议大夫邵公之子，母萧氏夫人。生于宋仁宗皇祐五年癸巳（公元1053）九月十八日。登神宗元丰（公元1079）科进士第。官至朝请郎、骁骑都尉，帝赐鱼袋，《南雄志》有载。娶始兴邓氏，封清福县君。续娶饶氏。生一子名缉。</w:t>
      </w:r>
    </w:p>
    <w:p w14:paraId="6DD1D15A">
      <w:pPr>
        <w:ind w:firstLine="420"/>
        <w:rPr>
          <w:rFonts w:ascii="宋体" w:hAnsi="宋体"/>
          <w:szCs w:val="21"/>
        </w:rPr>
      </w:pPr>
      <w:r>
        <w:rPr>
          <w:rFonts w:hint="eastAsia" w:ascii="宋体" w:hAnsi="宋体"/>
          <w:szCs w:val="21"/>
        </w:rPr>
        <w:t>73世：缉：字信廉。朝请郎琰公之子。母邓氏夫人。官封朝议大夫。娶梁氏。生卒缺。公葬于南雄梅花塘席帽山，午丁向。梁氏夫人随男仙芝迁往广州府番禺县河南鹭岗村，卒葬河南海阳里白沙坑康褐塘，己丙向。生二子：仙开、仙芝。仙开公回原籍江西省吉安府住，官至山东济南府。</w:t>
      </w:r>
    </w:p>
    <w:p w14:paraId="55313764">
      <w:pPr>
        <w:ind w:firstLine="420"/>
        <w:rPr>
          <w:rFonts w:ascii="宋体" w:hAnsi="宋体"/>
          <w:szCs w:val="21"/>
        </w:rPr>
      </w:pPr>
      <w:r>
        <w:rPr>
          <w:rFonts w:hint="eastAsia" w:ascii="宋体" w:hAnsi="宋体"/>
          <w:szCs w:val="21"/>
        </w:rPr>
        <w:t>74世：仙芝：乃朝议大夫缉公之子也。母梁氏。以祖父恩荫，历官承奉大夫，朝议大夫。始从南雄（古称保昌）县迁居广州番禺河南鹭岗村。生卒缺。葬在番禺同南里猛涌乡多石岗，坐丁向癸之原，名曰铁灶留丹。因葬后，其裔孙昂英（番禺人），文田（顺德人）二人先后中探花，所以当地群众称它为探花山，远近闻名。其后裔定清明节为扫该墓日期。</w:t>
      </w:r>
    </w:p>
    <w:p w14:paraId="531A23D2">
      <w:pPr>
        <w:ind w:firstLine="420"/>
        <w:rPr>
          <w:rFonts w:ascii="宋体" w:hAnsi="宋体"/>
          <w:szCs w:val="21"/>
        </w:rPr>
      </w:pPr>
      <w:r>
        <w:rPr>
          <w:rFonts w:hint="eastAsia" w:ascii="宋体" w:hAnsi="宋体"/>
          <w:szCs w:val="21"/>
        </w:rPr>
        <w:t>此上两份资料所记载的内容是基本一致的。</w:t>
      </w:r>
    </w:p>
    <w:p w14:paraId="6C87B539">
      <w:pPr>
        <w:ind w:firstLine="420"/>
        <w:rPr>
          <w:rFonts w:ascii="宋体" w:hAnsi="宋体"/>
          <w:szCs w:val="21"/>
        </w:rPr>
      </w:pPr>
      <w:r>
        <w:rPr>
          <w:rFonts w:hint="eastAsia" w:ascii="宋体" w:hAnsi="宋体"/>
          <w:szCs w:val="21"/>
        </w:rPr>
        <w:t>另据早年广东人民图书馆收藏的连州族谱资料记载：</w:t>
      </w:r>
    </w:p>
    <w:p w14:paraId="11824341">
      <w:pPr>
        <w:ind w:firstLine="420"/>
        <w:rPr>
          <w:rFonts w:ascii="宋体" w:hAnsi="宋体"/>
          <w:szCs w:val="21"/>
        </w:rPr>
      </w:pPr>
      <w:r>
        <w:rPr>
          <w:rFonts w:hint="eastAsia" w:ascii="宋体" w:hAnsi="宋体"/>
          <w:szCs w:val="21"/>
        </w:rPr>
        <w:t>四世讳克艺，仕宋真宗咸淳间为径略使，因避乱移居南雄府保昌县溪塘镇，娶夫人方氏生一子名邵。真宗年号只有：咸平（998年—1003年）、景德（1004年—1007年）、大中祥符（1008年1016年）、天禧（1017年—1021年）、乾兴（1022年），由此可见，其族谱上所写的“咸淳”就应该是“咸平”才正确。那么，由此可以推断出：连州一脉进入南雄府保昌县溪塘镇的时间就应该早于公元1003年。</w:t>
      </w:r>
    </w:p>
    <w:p w14:paraId="3282C358">
      <w:pPr>
        <w:ind w:firstLine="420"/>
        <w:rPr>
          <w:rFonts w:ascii="宋体" w:hAnsi="宋体"/>
          <w:szCs w:val="21"/>
        </w:rPr>
      </w:pPr>
      <w:r>
        <w:rPr>
          <w:rFonts w:hint="eastAsia" w:ascii="宋体" w:hAnsi="宋体"/>
          <w:szCs w:val="21"/>
        </w:rPr>
        <w:t>上述资料足以证明：水西李氏居住在溪塘的历史已超过千年了。并且说明了千年之前，溪塘就是一个幅员辽阔、涵盖着周边多个村庄、人口密集（溪塘过去是一个称之为“千家村、百家姓”的地方）、商贾繁荣的地方，所以古溪塘才有可能称之为“镇”。</w:t>
      </w:r>
    </w:p>
    <w:p w14:paraId="5D99069A">
      <w:pPr>
        <w:ind w:firstLine="420"/>
        <w:rPr>
          <w:rFonts w:ascii="宋体" w:hAnsi="宋体"/>
          <w:szCs w:val="21"/>
        </w:rPr>
      </w:pPr>
      <w:r>
        <w:rPr>
          <w:rFonts w:hint="eastAsia" w:ascii="宋体" w:hAnsi="宋体"/>
          <w:szCs w:val="21"/>
        </w:rPr>
        <w:t>（二）南雄历经古代三朝的州府所在地</w:t>
      </w:r>
    </w:p>
    <w:p w14:paraId="445A3CD5">
      <w:pPr>
        <w:ind w:firstLine="420"/>
        <w:rPr>
          <w:rFonts w:ascii="宋体" w:hAnsi="宋体"/>
          <w:szCs w:val="21"/>
        </w:rPr>
      </w:pPr>
      <w:r>
        <w:rPr>
          <w:rFonts w:hint="eastAsia" w:ascii="宋体" w:hAnsi="宋体"/>
          <w:szCs w:val="21"/>
        </w:rPr>
        <w:t>溪塘一名到底始于何时？</w:t>
      </w:r>
    </w:p>
    <w:p w14:paraId="25D09084">
      <w:pPr>
        <w:ind w:firstLine="420"/>
        <w:rPr>
          <w:rFonts w:ascii="宋体" w:hAnsi="宋体"/>
          <w:szCs w:val="21"/>
        </w:rPr>
      </w:pPr>
      <w:r>
        <w:rPr>
          <w:rFonts w:hint="eastAsia" w:ascii="宋体" w:hAnsi="宋体"/>
          <w:szCs w:val="21"/>
        </w:rPr>
        <w:t>据元《南雄路志》记载：“大守镇距州七十里，旧制监官文武各一员，收税兼管烟火。绍兴间改为溪塘镇，只置武臣一员。租额年终收钱一千一百二十二贯三百七十六文，缘收趁不敷，于邹提刑任内立定年额收钱八百六十四贯四百九十一文。省春纲税钱旧例收钱一千九百余贯。从准。”（注：绍兴年间是指公元1131年至1162年，历32年。）</w:t>
      </w:r>
    </w:p>
    <w:p w14:paraId="27C00863">
      <w:pPr>
        <w:ind w:firstLine="420"/>
        <w:rPr>
          <w:rFonts w:ascii="宋体" w:hAnsi="宋体"/>
          <w:szCs w:val="21"/>
        </w:rPr>
      </w:pPr>
      <w:r>
        <w:rPr>
          <w:rFonts w:hint="eastAsia" w:ascii="宋体" w:hAnsi="宋体"/>
          <w:szCs w:val="21"/>
        </w:rPr>
        <w:t>这段史料明明白白的记载着，溪塘原称之为“大宁镇”，绍兴年间才改称为“溪塘镇”。这与后来迁徙到南番顺的李氏族谱记载完全吻合。</w:t>
      </w:r>
    </w:p>
    <w:p w14:paraId="64A4DFE6">
      <w:pPr>
        <w:ind w:firstLine="420"/>
        <w:rPr>
          <w:rFonts w:ascii="宋体" w:hAnsi="宋体"/>
          <w:szCs w:val="21"/>
        </w:rPr>
      </w:pPr>
      <w:r>
        <w:rPr>
          <w:rFonts w:hint="eastAsia" w:ascii="宋体" w:hAnsi="宋体"/>
          <w:szCs w:val="21"/>
        </w:rPr>
        <w:t>那么古时置的浈昌县治又是否在今南雄市区呢？如前所述，今南雄州城池始建于宋皇祐四年（1052年），名为斗城，这就说明了宋皇祐四年（1052年）之前是没有如今的雄州城的。南汉刘岩立国称帝的乾亨四年（920年）雄州在溪塘，宋时改南雄州，而最早的浈昌县治始建于唐光宅元年（684年），这期间唯一能够做出解释的是，南汉朝承接了浈昌县治城池。由此说明浈昌县城在古溪塘立足了236年（684-920年），南汉朝在此把县升格为州，县治州治同城。</w:t>
      </w:r>
    </w:p>
    <w:p w14:paraId="519E5D9E">
      <w:pPr>
        <w:ind w:firstLine="420"/>
        <w:rPr>
          <w:rFonts w:ascii="宋体" w:hAnsi="宋体"/>
          <w:szCs w:val="21"/>
        </w:rPr>
      </w:pPr>
      <w:r>
        <w:rPr>
          <w:rFonts w:hint="eastAsia" w:ascii="宋体" w:hAnsi="宋体"/>
          <w:szCs w:val="21"/>
        </w:rPr>
        <w:t>南汉亡，北宋立，此时的南雄州府依然在溪塘，直至宋皇祐四年（1052年）在今南雄始建起了州城才把南雄州的治所迁至今南雄州城。</w:t>
      </w:r>
    </w:p>
    <w:p w14:paraId="3E450E5A">
      <w:pPr>
        <w:ind w:firstLine="420"/>
        <w:rPr>
          <w:rFonts w:ascii="宋体" w:hAnsi="宋体"/>
          <w:szCs w:val="21"/>
        </w:rPr>
      </w:pPr>
      <w:r>
        <w:rPr>
          <w:rFonts w:hint="eastAsia" w:ascii="宋体" w:hAnsi="宋体"/>
          <w:szCs w:val="21"/>
        </w:rPr>
        <w:t>历史的记载、民间的传说，南雄建城池只有古溪塘和今南雄市区两地。而古溪塘又曾是“千家村、百家姓”之望郡地。以河为界分水东、水西水南（坪岗圩）三大片区，东至今乌迳镇的江口圩，西至黄坑镇的耶溪村，南至南亩镇的官溪村，北至枫坑小溪河，基本是明时期设的莲溪二都范围，面积约20多平方公里。舆图宽广，一望平原，两傍夹道中达大河，其水左环右抱，旋绕而流，舟之往来，幅员四通八达，商贾行人可以远近交集，路通江西、湖广、福建三省，地势坦荡。山岭秀丽：参天竹树几千章，密叶浓阴销上方。江河曲折：如屏如障渡头东，遥看行舟破浪雄。村庄密集：晨昏漠漠起炊烟，甫接南邻北院连。四季分明：秋来潦尽涨痕收，一派安澜水细流。这就是古有盛名连接大江南北主要交通要道“乌迳路”的必经之地——溪塘镇。</w:t>
      </w:r>
    </w:p>
    <w:p w14:paraId="3E5B3797">
      <w:pPr>
        <w:ind w:firstLine="420"/>
        <w:rPr>
          <w:rFonts w:ascii="宋体" w:hAnsi="宋体"/>
          <w:szCs w:val="21"/>
        </w:rPr>
      </w:pPr>
      <w:r>
        <w:rPr>
          <w:rFonts w:hint="eastAsia" w:ascii="宋体" w:hAnsi="宋体"/>
          <w:szCs w:val="21"/>
        </w:rPr>
        <w:t>由此可以推断：溪塘是历经唐、南汉、北宋的三朝南雄州府所在地。</w:t>
      </w:r>
    </w:p>
    <w:p w14:paraId="5B841B47">
      <w:pPr>
        <w:pStyle w:val="4"/>
      </w:pPr>
      <w:r>
        <w:rPr>
          <w:rFonts w:hint="eastAsia"/>
        </w:rPr>
        <w:t>百顺古道</w:t>
      </w:r>
    </w:p>
    <w:p w14:paraId="74AFC2E0">
      <w:pPr>
        <w:ind w:firstLine="420"/>
        <w:jc w:val="center"/>
        <w:rPr>
          <w:rFonts w:ascii="宋体" w:hAnsi="宋体"/>
          <w:szCs w:val="21"/>
        </w:rPr>
      </w:pPr>
      <w:r>
        <w:rPr>
          <w:rFonts w:hint="eastAsia" w:ascii="宋体" w:hAnsi="宋体"/>
          <w:szCs w:val="21"/>
        </w:rPr>
        <w:t>沈荣金</w:t>
      </w:r>
    </w:p>
    <w:p w14:paraId="039F030F">
      <w:pPr>
        <w:ind w:firstLine="420"/>
        <w:rPr>
          <w:rFonts w:ascii="宋体" w:hAnsi="宋体"/>
          <w:szCs w:val="21"/>
        </w:rPr>
      </w:pPr>
      <w:r>
        <w:rPr>
          <w:rFonts w:hint="eastAsia" w:ascii="宋体" w:hAnsi="宋体"/>
          <w:szCs w:val="21"/>
        </w:rPr>
        <w:t>百顺是一个具有悠久历史文化的地方，古往今来有许多达官贵人、文人墨客都从这里走过，同时还在这古道上留下了许许多多动人的故事。但千百年来这条重要的古道却未引起人们的关注。</w:t>
      </w:r>
    </w:p>
    <w:p w14:paraId="66EBBB41">
      <w:pPr>
        <w:ind w:firstLine="420"/>
        <w:rPr>
          <w:rFonts w:ascii="宋体" w:hAnsi="宋体"/>
          <w:szCs w:val="21"/>
        </w:rPr>
      </w:pPr>
      <w:r>
        <w:rPr>
          <w:rFonts w:hint="eastAsia" w:ascii="宋体" w:hAnsi="宋体"/>
          <w:szCs w:val="21"/>
        </w:rPr>
        <w:t>百顺古道从百顺向西延伸，途经甘地——上张——邓洞—左龙——扶溪——仁化，此路段约60公里，共有“五拱四板九座桥”。</w:t>
      </w:r>
    </w:p>
    <w:p w14:paraId="112FAFAB">
      <w:pPr>
        <w:ind w:firstLine="420"/>
        <w:rPr>
          <w:rFonts w:ascii="宋体" w:hAnsi="宋体"/>
          <w:szCs w:val="21"/>
        </w:rPr>
      </w:pPr>
      <w:r>
        <w:rPr>
          <w:rFonts w:hint="eastAsia" w:ascii="宋体" w:hAnsi="宋体"/>
          <w:szCs w:val="21"/>
        </w:rPr>
        <w:t>五座石拱桥是：</w:t>
      </w:r>
    </w:p>
    <w:p w14:paraId="654592E0">
      <w:pPr>
        <w:ind w:firstLine="420"/>
        <w:rPr>
          <w:rFonts w:ascii="宋体" w:hAnsi="宋体"/>
          <w:szCs w:val="21"/>
        </w:rPr>
      </w:pPr>
      <w:r>
        <w:rPr>
          <w:rFonts w:hint="eastAsia" w:ascii="宋体" w:hAnsi="宋体"/>
          <w:szCs w:val="21"/>
        </w:rPr>
        <w:t>（1）左龙邓洞有一座叫“大湾俚”石桥（从左龙圹头电站进三百米左右）；</w:t>
      </w:r>
    </w:p>
    <w:p w14:paraId="18266A80">
      <w:pPr>
        <w:ind w:firstLine="420"/>
        <w:rPr>
          <w:rFonts w:ascii="宋体" w:hAnsi="宋体"/>
          <w:szCs w:val="21"/>
        </w:rPr>
      </w:pPr>
      <w:r>
        <w:rPr>
          <w:rFonts w:hint="eastAsia" w:ascii="宋体" w:hAnsi="宋体"/>
          <w:szCs w:val="21"/>
        </w:rPr>
        <w:t>（2）西溪水出口至大河有一座叫“打石桥”</w:t>
      </w:r>
    </w:p>
    <w:p w14:paraId="710DC3A6">
      <w:pPr>
        <w:ind w:firstLine="420"/>
        <w:rPr>
          <w:rFonts w:ascii="宋体" w:hAnsi="宋体"/>
          <w:szCs w:val="21"/>
        </w:rPr>
      </w:pPr>
      <w:r>
        <w:rPr>
          <w:rFonts w:hint="eastAsia" w:ascii="宋体" w:hAnsi="宋体"/>
          <w:szCs w:val="21"/>
        </w:rPr>
        <w:t>（3）沉洞水出口至邓洞河有一座叫“老拱桥”；</w:t>
      </w:r>
    </w:p>
    <w:p w14:paraId="222CE59F">
      <w:pPr>
        <w:ind w:firstLine="420"/>
        <w:rPr>
          <w:rFonts w:ascii="宋体" w:hAnsi="宋体"/>
          <w:szCs w:val="21"/>
        </w:rPr>
      </w:pPr>
      <w:r>
        <w:rPr>
          <w:rFonts w:hint="eastAsia" w:ascii="宋体" w:hAnsi="宋体"/>
          <w:szCs w:val="21"/>
        </w:rPr>
        <w:t>（4）邓洞水口有一座叫“寡婆桥”；</w:t>
      </w:r>
    </w:p>
    <w:p w14:paraId="62D4D744">
      <w:pPr>
        <w:ind w:firstLine="420"/>
        <w:rPr>
          <w:rFonts w:ascii="宋体" w:hAnsi="宋体"/>
          <w:szCs w:val="21"/>
        </w:rPr>
      </w:pPr>
      <w:r>
        <w:rPr>
          <w:rFonts w:hint="eastAsia" w:ascii="宋体" w:hAnsi="宋体"/>
          <w:szCs w:val="21"/>
        </w:rPr>
        <w:t>（5）三角垇与猪仔峡交界有一座叫猪仔峡石桥。</w:t>
      </w:r>
    </w:p>
    <w:p w14:paraId="3B936023">
      <w:pPr>
        <w:ind w:firstLine="420"/>
        <w:rPr>
          <w:rFonts w:ascii="宋体" w:hAnsi="宋体"/>
          <w:szCs w:val="21"/>
        </w:rPr>
      </w:pPr>
      <w:r>
        <w:rPr>
          <w:rFonts w:hint="eastAsia" w:ascii="宋体" w:hAnsi="宋体"/>
          <w:szCs w:val="21"/>
        </w:rPr>
        <w:t>四座板桥是：</w:t>
      </w:r>
    </w:p>
    <w:p w14:paraId="7DA28F74">
      <w:pPr>
        <w:ind w:firstLine="420"/>
        <w:rPr>
          <w:rFonts w:ascii="宋体" w:hAnsi="宋体"/>
          <w:szCs w:val="21"/>
        </w:rPr>
      </w:pPr>
      <w:r>
        <w:rPr>
          <w:rFonts w:hint="eastAsia" w:ascii="宋体" w:hAnsi="宋体"/>
          <w:szCs w:val="21"/>
        </w:rPr>
        <w:t>（1）左龙板桥：左龙坝俚与黄屋过河处，</w:t>
      </w:r>
    </w:p>
    <w:p w14:paraId="0B4BB952">
      <w:pPr>
        <w:ind w:firstLine="420"/>
        <w:rPr>
          <w:rFonts w:ascii="宋体" w:hAnsi="宋体"/>
          <w:szCs w:val="21"/>
        </w:rPr>
      </w:pPr>
      <w:r>
        <w:rPr>
          <w:rFonts w:hint="eastAsia" w:ascii="宋体" w:hAnsi="宋体"/>
          <w:szCs w:val="21"/>
        </w:rPr>
        <w:t>（2）甘地板桥：甘地游屋书房门口过河处，</w:t>
      </w:r>
    </w:p>
    <w:p w14:paraId="61ABEEDE">
      <w:pPr>
        <w:ind w:firstLine="420"/>
        <w:rPr>
          <w:rFonts w:ascii="宋体" w:hAnsi="宋体"/>
          <w:szCs w:val="21"/>
        </w:rPr>
      </w:pPr>
      <w:r>
        <w:rPr>
          <w:rFonts w:hint="eastAsia" w:ascii="宋体" w:hAnsi="宋体"/>
          <w:szCs w:val="21"/>
        </w:rPr>
        <w:t>（3）芒光坝板桥：百顺何屋芒光坝去猪仔峡，</w:t>
      </w:r>
    </w:p>
    <w:p w14:paraId="3970A59E">
      <w:pPr>
        <w:ind w:firstLine="420"/>
        <w:rPr>
          <w:rFonts w:ascii="宋体" w:hAnsi="宋体"/>
          <w:szCs w:val="21"/>
        </w:rPr>
      </w:pPr>
      <w:r>
        <w:rPr>
          <w:rFonts w:hint="eastAsia" w:ascii="宋体" w:hAnsi="宋体"/>
          <w:szCs w:val="21"/>
        </w:rPr>
        <w:t>（4）黄屋城板桥：百顺黄屋城仁里村大门口进百顺老圩处。</w:t>
      </w:r>
    </w:p>
    <w:p w14:paraId="06CC5FD4">
      <w:pPr>
        <w:ind w:firstLine="420"/>
        <w:rPr>
          <w:rFonts w:ascii="宋体" w:hAnsi="宋体"/>
          <w:szCs w:val="21"/>
        </w:rPr>
      </w:pPr>
      <w:r>
        <w:rPr>
          <w:rFonts w:hint="eastAsia" w:ascii="宋体" w:hAnsi="宋体"/>
          <w:szCs w:val="21"/>
        </w:rPr>
        <w:t>另外还有四处遮风避雨歇脚的茶亭：</w:t>
      </w:r>
    </w:p>
    <w:p w14:paraId="386F32B6">
      <w:pPr>
        <w:ind w:firstLine="420"/>
        <w:rPr>
          <w:rFonts w:ascii="宋体" w:hAnsi="宋体"/>
          <w:szCs w:val="21"/>
        </w:rPr>
      </w:pPr>
      <w:r>
        <w:rPr>
          <w:rFonts w:hint="eastAsia" w:ascii="宋体" w:hAnsi="宋体"/>
          <w:szCs w:val="21"/>
        </w:rPr>
        <w:t>l、勒头俚茶亭：在扶溪大庙进四百米左右的地方；</w:t>
      </w:r>
    </w:p>
    <w:p w14:paraId="3DFF5C6A">
      <w:pPr>
        <w:ind w:firstLine="420"/>
        <w:rPr>
          <w:rFonts w:ascii="宋体" w:hAnsi="宋体"/>
          <w:szCs w:val="21"/>
        </w:rPr>
      </w:pPr>
      <w:r>
        <w:rPr>
          <w:rFonts w:hint="eastAsia" w:ascii="宋体" w:hAnsi="宋体"/>
          <w:szCs w:val="21"/>
        </w:rPr>
        <w:t>2、新路岭茶亭：在左龙至扶溪的大坵田垇往下三百米左右的地方；</w:t>
      </w:r>
    </w:p>
    <w:p w14:paraId="1BBE2F04">
      <w:pPr>
        <w:ind w:firstLine="420"/>
        <w:rPr>
          <w:rFonts w:ascii="宋体" w:hAnsi="宋体"/>
          <w:szCs w:val="21"/>
        </w:rPr>
      </w:pPr>
      <w:r>
        <w:rPr>
          <w:rFonts w:hint="eastAsia" w:ascii="宋体" w:hAnsi="宋体"/>
          <w:szCs w:val="21"/>
        </w:rPr>
        <w:t>3、乱沙坝茶亭：在打石桥处出三百米路上右边；</w:t>
      </w:r>
    </w:p>
    <w:p w14:paraId="7F5C81E3">
      <w:pPr>
        <w:ind w:firstLine="420"/>
        <w:rPr>
          <w:rFonts w:ascii="宋体" w:hAnsi="宋体"/>
          <w:szCs w:val="21"/>
        </w:rPr>
      </w:pPr>
      <w:r>
        <w:rPr>
          <w:rFonts w:hint="eastAsia" w:ascii="宋体" w:hAnsi="宋体"/>
          <w:szCs w:val="21"/>
        </w:rPr>
        <w:t>4、三角垇茶亭：在甘地至百顺路段大田面上地方。</w:t>
      </w:r>
    </w:p>
    <w:p w14:paraId="1ABE2950">
      <w:pPr>
        <w:ind w:firstLine="420"/>
        <w:rPr>
          <w:rFonts w:ascii="宋体" w:hAnsi="宋体"/>
          <w:szCs w:val="21"/>
        </w:rPr>
      </w:pPr>
      <w:r>
        <w:rPr>
          <w:rFonts w:hint="eastAsia" w:ascii="宋体" w:hAnsi="宋体"/>
          <w:szCs w:val="21"/>
        </w:rPr>
        <w:t>百顺路向东延伸的路线是：百顺→石溪水→老村→溪头→大坪塘坑→半迳水→苍石→风雨亭→营堡前→古塘→水西（南雄城区），此路段约60公里。</w:t>
      </w:r>
    </w:p>
    <w:p w14:paraId="738AF512">
      <w:pPr>
        <w:ind w:firstLine="420"/>
        <w:rPr>
          <w:rFonts w:ascii="宋体" w:hAnsi="宋体"/>
          <w:szCs w:val="21"/>
        </w:rPr>
      </w:pPr>
      <w:r>
        <w:rPr>
          <w:rFonts w:hint="eastAsia" w:ascii="宋体" w:hAnsi="宋体"/>
          <w:szCs w:val="21"/>
        </w:rPr>
        <w:t>历代以来，百顺古道虽然山高路险，但它依然是南雄通往西北部地区的一条重要道路，同时也是一条必经之路。</w:t>
      </w:r>
    </w:p>
    <w:p w14:paraId="589F7FAF">
      <w:pPr>
        <w:pStyle w:val="4"/>
      </w:pPr>
      <w:r>
        <w:rPr>
          <w:rFonts w:hint="eastAsia"/>
        </w:rPr>
        <w:t>李昴英诗碑</w:t>
      </w:r>
    </w:p>
    <w:p w14:paraId="6E2814D8">
      <w:pPr>
        <w:ind w:firstLine="420"/>
        <w:jc w:val="center"/>
        <w:rPr>
          <w:rFonts w:ascii="宋体" w:hAnsi="宋体"/>
          <w:szCs w:val="21"/>
        </w:rPr>
      </w:pPr>
      <w:r>
        <w:rPr>
          <w:rFonts w:hint="eastAsia" w:ascii="宋体" w:hAnsi="宋体"/>
          <w:szCs w:val="21"/>
        </w:rPr>
        <w:t>沈荣金</w:t>
      </w:r>
    </w:p>
    <w:p w14:paraId="57DB1552">
      <w:pPr>
        <w:ind w:firstLine="420"/>
        <w:rPr>
          <w:rFonts w:ascii="宋体" w:hAnsi="宋体"/>
          <w:szCs w:val="21"/>
        </w:rPr>
      </w:pPr>
      <w:r>
        <w:rPr>
          <w:rFonts w:hint="eastAsia" w:ascii="宋体" w:hAnsi="宋体"/>
          <w:szCs w:val="21"/>
        </w:rPr>
        <w:t>李昴英，裔出唐西平王李晟之后。其先祖李邵（一世）嫡传三代在保昌县溪塘镇（即今广东省南雄市黄坑镇溪塘水西李屋村），四世仙芝。自仙芝始，由溪塘徙居广州番禺河南鹭岗村。昴英乃六世祖天棐之长子。</w:t>
      </w:r>
    </w:p>
    <w:p w14:paraId="40FE3BB3">
      <w:pPr>
        <w:ind w:firstLine="420"/>
        <w:rPr>
          <w:rFonts w:ascii="宋体" w:hAnsi="宋体"/>
          <w:szCs w:val="21"/>
        </w:rPr>
      </w:pPr>
      <w:r>
        <w:rPr>
          <w:rFonts w:hint="eastAsia" w:ascii="宋体" w:hAnsi="宋体"/>
          <w:szCs w:val="21"/>
        </w:rPr>
        <w:t>李昴英（1200-1257），字俊明，号文溪。东番禺人。南宋名臣。早年受业崔与之门下，主修《春秋》。南宋宝庆二年（1226），上京会试，原已被取定为状元，唯因其治学的《春秋》观点未为皇帝欣赏，故尔改取为第三名，因此而成为广东科举考试的第一位探花。初任临汀推官，历秘书郎、宗正丞、著作郎。嘉佑三年（1239年），直秘阁福建提举。淳佑初，官吏部郎，累擢龙图阁待制吏部侍郎。李昴英为人孤直耿介，不依附权贵，在任上不畏强暴，曾弹劾权臣史嵩之、赵与筹。理宗曾称之“南人无党”。</w:t>
      </w:r>
    </w:p>
    <w:p w14:paraId="0CF1DE2C">
      <w:pPr>
        <w:ind w:firstLine="420"/>
        <w:rPr>
          <w:rFonts w:ascii="宋体" w:hAnsi="宋体"/>
          <w:szCs w:val="21"/>
        </w:rPr>
      </w:pPr>
      <w:r>
        <w:rPr>
          <w:rFonts w:hint="eastAsia" w:ascii="宋体" w:hAnsi="宋体"/>
          <w:szCs w:val="21"/>
        </w:rPr>
        <w:t>宋淳祐六年（1246年）李昴英从番禺启程赶往京城就职，六月到达梅岭。其时正值炎热盛夏，人们此时行走一定会汗流浃背、口干难耐。但由于梅关古道两旁古木参天、山涧泉水长流不断，在此行走自然就有了一种清凉的感觉了。再加上六月乃是梅岭梅子成熟的季节，常被行客摘来止渴。李昴英被古道上的清泉和景色深深地迷住了。此时，天空突然下起了大雨，他触景生情，顺景拈来《雨行梅关二首》：</w:t>
      </w:r>
    </w:p>
    <w:p w14:paraId="355E931A">
      <w:pPr>
        <w:ind w:firstLine="420"/>
        <w:jc w:val="center"/>
        <w:rPr>
          <w:rFonts w:ascii="宋体" w:hAnsi="宋体"/>
          <w:szCs w:val="21"/>
        </w:rPr>
      </w:pPr>
      <w:r>
        <w:rPr>
          <w:rFonts w:hint="eastAsia" w:ascii="宋体" w:hAnsi="宋体"/>
          <w:szCs w:val="21"/>
        </w:rPr>
        <w:t>（一）</w:t>
      </w:r>
    </w:p>
    <w:p w14:paraId="688E76E2">
      <w:pPr>
        <w:ind w:firstLine="420"/>
        <w:rPr>
          <w:rFonts w:ascii="宋体" w:hAnsi="宋体"/>
          <w:szCs w:val="21"/>
        </w:rPr>
      </w:pPr>
      <w:r>
        <w:rPr>
          <w:rFonts w:hint="eastAsia" w:ascii="宋体" w:hAnsi="宋体"/>
          <w:szCs w:val="21"/>
        </w:rPr>
        <w:t>浓岚西合冻云痴，水墨连屏斗崛奇。冲雨此行风景别，满山翠滴水帘垂。</w:t>
      </w:r>
    </w:p>
    <w:p w14:paraId="237A1569">
      <w:pPr>
        <w:ind w:firstLine="420"/>
        <w:jc w:val="center"/>
        <w:rPr>
          <w:rFonts w:ascii="宋体" w:hAnsi="宋体"/>
          <w:szCs w:val="21"/>
        </w:rPr>
      </w:pPr>
      <w:r>
        <w:rPr>
          <w:rFonts w:hint="eastAsia" w:ascii="宋体" w:hAnsi="宋体"/>
          <w:szCs w:val="21"/>
        </w:rPr>
        <w:t>（二）</w:t>
      </w:r>
    </w:p>
    <w:p w14:paraId="78D9659B">
      <w:pPr>
        <w:ind w:firstLine="420"/>
        <w:rPr>
          <w:rFonts w:ascii="宋体" w:hAnsi="宋体"/>
          <w:szCs w:val="21"/>
        </w:rPr>
      </w:pPr>
      <w:r>
        <w:rPr>
          <w:rFonts w:hint="eastAsia" w:ascii="宋体" w:hAnsi="宋体"/>
          <w:szCs w:val="21"/>
        </w:rPr>
        <w:t>通宵雨滴急催梅，枝北枝南晓尽开。多谢花神好看客，随车十里雪香来。</w:t>
      </w:r>
    </w:p>
    <w:p w14:paraId="46A5AF81">
      <w:pPr>
        <w:ind w:firstLine="420"/>
        <w:rPr>
          <w:rFonts w:ascii="宋体" w:hAnsi="宋体"/>
          <w:szCs w:val="21"/>
        </w:rPr>
      </w:pPr>
      <w:r>
        <w:rPr>
          <w:rFonts w:hint="eastAsia" w:ascii="宋体" w:hAnsi="宋体"/>
          <w:szCs w:val="21"/>
        </w:rPr>
        <w:t>也许是由于雨下得太大的缘故，李昴英无法前行，只得在梅关上的云封寺住下来，于是又有了《云封寺二首》</w:t>
      </w:r>
    </w:p>
    <w:p w14:paraId="060010B5">
      <w:pPr>
        <w:ind w:firstLine="420"/>
        <w:jc w:val="center"/>
        <w:rPr>
          <w:rFonts w:ascii="宋体" w:hAnsi="宋体"/>
          <w:szCs w:val="21"/>
        </w:rPr>
      </w:pPr>
      <w:r>
        <w:rPr>
          <w:rFonts w:hint="eastAsia" w:ascii="宋体" w:hAnsi="宋体"/>
          <w:szCs w:val="21"/>
        </w:rPr>
        <w:t>（一）</w:t>
      </w:r>
    </w:p>
    <w:p w14:paraId="64F6EA3D">
      <w:pPr>
        <w:ind w:firstLine="420"/>
        <w:rPr>
          <w:rFonts w:ascii="宋体" w:hAnsi="宋体"/>
          <w:szCs w:val="21"/>
        </w:rPr>
      </w:pPr>
      <w:r>
        <w:rPr>
          <w:rFonts w:hint="eastAsia" w:ascii="宋体" w:hAnsi="宋体"/>
          <w:szCs w:val="21"/>
        </w:rPr>
        <w:t>凿通危石张文献，勘破禅关卢祖师。奇事已堪夸北客，梅花先暖亦南枝。</w:t>
      </w:r>
    </w:p>
    <w:p w14:paraId="1EA200A9">
      <w:pPr>
        <w:ind w:firstLine="420"/>
        <w:jc w:val="center"/>
        <w:rPr>
          <w:rFonts w:ascii="宋体" w:hAnsi="宋体"/>
          <w:szCs w:val="21"/>
        </w:rPr>
      </w:pPr>
      <w:r>
        <w:rPr>
          <w:rFonts w:hint="eastAsia" w:ascii="宋体" w:hAnsi="宋体"/>
          <w:szCs w:val="21"/>
        </w:rPr>
        <w:t>（二）</w:t>
      </w:r>
    </w:p>
    <w:p w14:paraId="743AD98E">
      <w:pPr>
        <w:ind w:firstLine="420"/>
        <w:rPr>
          <w:rFonts w:ascii="宋体" w:hAnsi="宋体"/>
          <w:szCs w:val="21"/>
        </w:rPr>
      </w:pPr>
      <w:r>
        <w:rPr>
          <w:rFonts w:hint="eastAsia" w:ascii="宋体" w:hAnsi="宋体"/>
          <w:szCs w:val="21"/>
        </w:rPr>
        <w:t>征舆六月度梅关，大地清凉树影斑。行客不须梅止渴，流泉到耳冷潺潺。</w:t>
      </w:r>
    </w:p>
    <w:p w14:paraId="0B76F1B3">
      <w:pPr>
        <w:ind w:firstLine="420"/>
        <w:rPr>
          <w:rFonts w:ascii="宋体" w:hAnsi="宋体"/>
          <w:szCs w:val="21"/>
        </w:rPr>
      </w:pPr>
      <w:r>
        <w:rPr>
          <w:rFonts w:hint="eastAsia" w:ascii="宋体" w:hAnsi="宋体"/>
          <w:szCs w:val="21"/>
        </w:rPr>
        <w:t>经考证，李昴英在六月路过大庾岭只有两次机会，一次是送父亲灵柩归乡，另一次就是以上这次进京。而送父亲灵柩归乡的心情是非常悲痛的，哪有心情去游览寺庙和观赏风景呢？所以据此推断，《雨行梅关二首》和《云封寺二首》都是在此次进京时所作的。</w:t>
      </w:r>
    </w:p>
    <w:p w14:paraId="00D1A42E">
      <w:pPr>
        <w:ind w:firstLine="420"/>
        <w:rPr>
          <w:rFonts w:ascii="宋体" w:hAnsi="宋体"/>
          <w:szCs w:val="21"/>
        </w:rPr>
      </w:pPr>
      <w:r>
        <w:rPr>
          <w:rFonts w:hint="eastAsia" w:ascii="宋体" w:hAnsi="宋体"/>
          <w:szCs w:val="21"/>
        </w:rPr>
        <w:t>这就是南宋廉直谏官李昴英给梅关留下的千古名诗。</w:t>
      </w:r>
    </w:p>
    <w:p w14:paraId="2B7CB407">
      <w:pPr>
        <w:ind w:firstLine="420"/>
        <w:rPr>
          <w:rFonts w:ascii="宋体" w:hAnsi="宋体"/>
          <w:szCs w:val="21"/>
        </w:rPr>
      </w:pPr>
      <w:r>
        <w:rPr>
          <w:rFonts w:hint="eastAsia" w:ascii="宋体" w:hAnsi="宋体"/>
          <w:szCs w:val="21"/>
        </w:rPr>
        <w:t>2010年冬，由李昴英后裔捐资在梅关古道云封寺旧址旁边立了上述四首诗的石碑。</w:t>
      </w:r>
    </w:p>
    <w:p w14:paraId="4EA56E8B">
      <w:pPr>
        <w:ind w:firstLine="420"/>
        <w:rPr>
          <w:rFonts w:ascii="宋体" w:hAnsi="宋体"/>
          <w:szCs w:val="21"/>
        </w:rPr>
      </w:pPr>
      <w:r>
        <w:rPr>
          <w:rFonts w:hint="eastAsia" w:ascii="宋体" w:hAnsi="宋体"/>
          <w:szCs w:val="21"/>
        </w:rPr>
        <w:t>2011年初夏，该诗碑向内侧移动了约10米。</w:t>
      </w:r>
    </w:p>
    <w:p w14:paraId="312CEB8E">
      <w:pPr>
        <w:pStyle w:val="4"/>
      </w:pPr>
      <w:r>
        <w:rPr>
          <w:rFonts w:hint="eastAsia"/>
        </w:rPr>
        <w:t>梅关古道史话</w:t>
      </w:r>
    </w:p>
    <w:p w14:paraId="2CA40309">
      <w:pPr>
        <w:ind w:firstLine="420"/>
        <w:jc w:val="center"/>
        <w:rPr>
          <w:rFonts w:ascii="宋体" w:hAnsi="宋体"/>
          <w:szCs w:val="21"/>
        </w:rPr>
      </w:pPr>
      <w:r>
        <w:rPr>
          <w:rFonts w:hint="eastAsia" w:ascii="宋体" w:hAnsi="宋体"/>
          <w:szCs w:val="21"/>
        </w:rPr>
        <w:t>沈荣金</w:t>
      </w:r>
    </w:p>
    <w:p w14:paraId="6E9A0DC1">
      <w:pPr>
        <w:ind w:firstLine="420"/>
        <w:rPr>
          <w:rFonts w:ascii="宋体" w:hAnsi="宋体"/>
          <w:szCs w:val="21"/>
        </w:rPr>
      </w:pPr>
      <w:r>
        <w:rPr>
          <w:rFonts w:hint="eastAsia" w:ascii="宋体" w:hAnsi="宋体"/>
          <w:szCs w:val="21"/>
        </w:rPr>
        <w:t>梅关古沈梅关关楼地处梅岭山巅，以“关楼隔断南北天”的气势，耸立于梅岭分水界上。关北15.1米处有一处用红粉石横向砌成的界线，此处便是江广两省的分界之处。用一只脚踏在这里便是半只脚在广东、半只脚在江西了，故此也有“一脚踏二省”之说。早些年，这里曾立有一块巨石，上面刻着“一脚踏二省”。</w:t>
      </w:r>
    </w:p>
    <w:tbl>
      <w:tblPr>
        <w:tblStyle w:val="15"/>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2F73A43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5DE78D10">
            <w:pPr>
              <w:ind w:firstLine="0" w:firstLineChars="0"/>
              <w:rPr>
                <w:rFonts w:ascii="宋体" w:hAnsi="宋体"/>
                <w:szCs w:val="21"/>
              </w:rPr>
            </w:pPr>
            <w:r>
              <w:rPr>
                <w:rFonts w:ascii="宋体" w:hAnsi="宋体"/>
                <w:szCs w:val="21"/>
              </w:rPr>
              <w:pict>
                <v:shape id="_x0000_i1044" o:spt="75" type="#_x0000_t75" style="height:324pt;width:486.75pt;" filled="f" o:preferrelative="t" stroked="f" coordsize="21600,21600">
                  <v:path/>
                  <v:fill on="f" focussize="0,0"/>
                  <v:stroke on="f" joinstyle="miter"/>
                  <v:imagedata r:id="rId115" o:title="南雄年鉴2012-62"/>
                  <o:lock v:ext="edit" aspectratio="t"/>
                  <w10:wrap type="none"/>
                  <w10:anchorlock/>
                </v:shape>
              </w:pict>
            </w:r>
          </w:p>
        </w:tc>
      </w:tr>
    </w:tbl>
    <w:p w14:paraId="2B6468FE">
      <w:pPr>
        <w:ind w:firstLine="0" w:firstLineChars="0"/>
        <w:jc w:val="center"/>
        <w:rPr>
          <w:rFonts w:ascii="宋体" w:hAnsi="宋体"/>
          <w:szCs w:val="21"/>
        </w:rPr>
      </w:pPr>
      <w:r>
        <w:rPr>
          <w:rFonts w:hint="eastAsia" w:ascii="宋体" w:hAnsi="宋体"/>
          <w:szCs w:val="21"/>
        </w:rPr>
        <w:t>关楼上的岭南第一关</w:t>
      </w:r>
    </w:p>
    <w:p w14:paraId="661834CD">
      <w:pPr>
        <w:ind w:firstLine="420"/>
        <w:rPr>
          <w:rFonts w:ascii="宋体" w:hAnsi="宋体"/>
          <w:szCs w:val="21"/>
        </w:rPr>
      </w:pPr>
      <w:r>
        <w:rPr>
          <w:rFonts w:hint="eastAsia" w:ascii="宋体" w:hAnsi="宋体"/>
          <w:szCs w:val="21"/>
        </w:rPr>
        <w:t>公元前221年，秦始皇横扫六国统一中原。两年后，他派尉屠睢率五十万大军，分五路进军百越，大约十万人为一路人马。其中一路沿赣江而上，遇到了江西大余县与广东南雄县交界的大余岭，这个历来被称为五岭第一岭的地方，山脉连绵不绝，山势极为险峻，是岭南与中原间难以逾越的一道巨大屏障。但秦朝大军最终花费巨大精力打通了梅岭关，才使得秦朝大军从大余梅岭山隘进入岭南地区，滚滚铁骑和无数辎重才得以从这里通过。</w:t>
      </w:r>
    </w:p>
    <w:p w14:paraId="069501AC">
      <w:pPr>
        <w:ind w:firstLine="420"/>
        <w:rPr>
          <w:rFonts w:ascii="宋体" w:hAnsi="宋体"/>
          <w:szCs w:val="21"/>
        </w:rPr>
      </w:pPr>
      <w:r>
        <w:rPr>
          <w:rFonts w:hint="eastAsia" w:ascii="宋体" w:hAnsi="宋体"/>
          <w:szCs w:val="21"/>
        </w:rPr>
        <w:t>秦始皇为了加强对岭南的控制，遂于梅岭要塞设置横浦关，拨以重兵</w:t>
      </w:r>
      <w:r>
        <w:rPr>
          <w:rFonts w:hint="eastAsia" w:ascii="宋体" w:hAnsi="宋体" w:cs="宋体"/>
          <w:color w:val="080808"/>
          <w:szCs w:val="21"/>
        </w:rPr>
        <w:t>戍</w:t>
      </w:r>
      <w:r>
        <w:rPr>
          <w:rFonts w:hint="eastAsia" w:ascii="宋体" w:hAnsi="宋体"/>
          <w:szCs w:val="21"/>
        </w:rPr>
        <w:t>守。这也是历史上第一次在梅岭山隘设立关口。所以说，秦始皇是修建梅岭通道的第一人。但是，有人说秦始皇时期修建的梅岭通道并不是指现在的梅关古道，其旧址是在今雄余公路上，旧称小梅关。对于这个历史问题还有待于进一步的考证。</w:t>
      </w:r>
    </w:p>
    <w:p w14:paraId="7D874A6D">
      <w:pPr>
        <w:ind w:firstLine="420"/>
        <w:rPr>
          <w:rFonts w:ascii="宋体" w:hAnsi="宋体"/>
          <w:szCs w:val="21"/>
        </w:rPr>
      </w:pPr>
      <w:r>
        <w:rPr>
          <w:rFonts w:hint="eastAsia" w:ascii="宋体" w:hAnsi="宋体"/>
          <w:szCs w:val="21"/>
        </w:rPr>
        <w:t>那么，今存的梅关古道又是源于何时呢？</w:t>
      </w:r>
    </w:p>
    <w:p w14:paraId="383A749A">
      <w:pPr>
        <w:ind w:firstLine="420"/>
        <w:rPr>
          <w:rFonts w:ascii="宋体" w:hAnsi="宋体"/>
          <w:szCs w:val="21"/>
        </w:rPr>
      </w:pPr>
      <w:r>
        <w:rPr>
          <w:rFonts w:hint="eastAsia" w:ascii="宋体" w:hAnsi="宋体"/>
          <w:szCs w:val="21"/>
        </w:rPr>
        <w:t>张九龄在《开凿大余岭路序》中记载的时间是“开元四载冬十有一月”，因为这是他本人留下的原始记录，并经过了后代的考据证明，应该更为可信。应该就是在开元四年十一月，张九龄奏表朝廷，唐玄宗同意了他的请求，下诏开凿大余岭（即今梅关古道）。</w:t>
      </w:r>
    </w:p>
    <w:p w14:paraId="0EEF94A7">
      <w:pPr>
        <w:ind w:firstLine="420"/>
        <w:rPr>
          <w:rFonts w:ascii="宋体" w:hAnsi="宋体"/>
          <w:szCs w:val="21"/>
        </w:rPr>
      </w:pPr>
      <w:r>
        <w:rPr>
          <w:rFonts w:hint="eastAsia" w:ascii="宋体" w:hAnsi="宋体"/>
          <w:szCs w:val="21"/>
        </w:rPr>
        <w:t>在张九龄施工之前，当时大唐的国际商道出现了由海洋通往内河直达中原的运输方式，那一时期广州成了海上运输的物资集散地。由于货物量增加，原本只是用于军事需要的秦代梅岭通道已经无法承载商业运输的重负。面对这一现状，张九龄提出在梅岭开辟新路，以利通畅货流。初登帝位的唐玄宗立即批准了这一方案。</w:t>
      </w:r>
    </w:p>
    <w:p w14:paraId="4106282D">
      <w:pPr>
        <w:ind w:firstLine="420"/>
        <w:rPr>
          <w:rFonts w:ascii="宋体" w:hAnsi="宋体"/>
          <w:szCs w:val="21"/>
        </w:rPr>
      </w:pPr>
      <w:r>
        <w:rPr>
          <w:rFonts w:hint="eastAsia" w:ascii="宋体" w:hAnsi="宋体"/>
          <w:szCs w:val="21"/>
        </w:rPr>
        <w:t>此时或许有人会问：原来秦始皇已经开通了一条通道，为什么张九龄要开凿另一条呢？史料记载，张九龄经过对梅岭的反复考察勘测，最终选择了一条由南雄到大余距离最短的路段。这条路比秦朝时的梅关古道缩短了整整四公里，这四公里对于古人而言要多走将近两小时，如果负重行走将更为艰难，所以新修通的梅关通道带来了更高的效率。</w:t>
      </w:r>
    </w:p>
    <w:p w14:paraId="64CE25A5">
      <w:pPr>
        <w:ind w:firstLine="420"/>
        <w:rPr>
          <w:rFonts w:ascii="宋体" w:hAnsi="宋体"/>
          <w:szCs w:val="21"/>
        </w:rPr>
      </w:pPr>
      <w:r>
        <w:rPr>
          <w:rFonts w:hint="eastAsia" w:ascii="宋体" w:hAnsi="宋体"/>
          <w:szCs w:val="21"/>
        </w:rPr>
        <w:t>史料记载，张九龄奉诏亲自上阵，率民工开凿。经过官民通力合作，在一个冬闲季节，使危崖百丈的梅岭山隘成为一条宽坦的官方驿道。同时，为了方便过往官员和商旅，还在驿道沿途修建了驿站、茶亭、客店、货栈等。</w:t>
      </w:r>
    </w:p>
    <w:p w14:paraId="52CF58AB">
      <w:pPr>
        <w:ind w:firstLine="420"/>
        <w:rPr>
          <w:rFonts w:ascii="宋体" w:hAnsi="宋体"/>
          <w:szCs w:val="21"/>
        </w:rPr>
      </w:pPr>
      <w:r>
        <w:rPr>
          <w:rFonts w:hint="eastAsia" w:ascii="宋体" w:hAnsi="宋体"/>
          <w:szCs w:val="21"/>
        </w:rPr>
        <w:t>这些史料说明了，现存的梅关古道应该是自张九龄开凿以后才有的，这里俗称大梅关。</w:t>
      </w:r>
    </w:p>
    <w:p w14:paraId="20BBBF74">
      <w:pPr>
        <w:ind w:firstLine="420"/>
        <w:rPr>
          <w:rFonts w:ascii="宋体" w:hAnsi="宋体"/>
          <w:szCs w:val="21"/>
        </w:rPr>
      </w:pPr>
      <w:r>
        <w:rPr>
          <w:rFonts w:hint="eastAsia" w:ascii="宋体" w:hAnsi="宋体"/>
          <w:szCs w:val="21"/>
        </w:rPr>
        <w:t>千余年来，梅关古道历经风霜岁月，历史上皆有过几次重要的维护。</w:t>
      </w:r>
    </w:p>
    <w:p w14:paraId="64CF5871">
      <w:pPr>
        <w:ind w:firstLine="420"/>
        <w:rPr>
          <w:rFonts w:ascii="宋体" w:hAnsi="宋体"/>
          <w:szCs w:val="21"/>
        </w:rPr>
      </w:pPr>
      <w:r>
        <w:rPr>
          <w:rFonts w:hint="eastAsia" w:ascii="宋体" w:hAnsi="宋体"/>
          <w:szCs w:val="21"/>
        </w:rPr>
        <w:t>如宋嘉祐八年（1063年），蔡挺提刑江西，提举虔州盐。当他看到大余岭路衰落的状况时，深为忧虑，便与其兄蔡抗协商重修通道。蔡抗修岭南，蔡挺修岭北，全长共三十里。他们还在沿途修建了几座旅客休憩的凉亭，并且“课民植松夹道，以休行者”。经过这番整修，此路又成车马之途，客商前后相望，络绎不绝。</w:t>
      </w:r>
    </w:p>
    <w:tbl>
      <w:tblPr>
        <w:tblStyle w:val="15"/>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4B4D549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253126FC">
            <w:pPr>
              <w:ind w:firstLine="0" w:firstLineChars="0"/>
              <w:rPr>
                <w:rFonts w:ascii="宋体" w:hAnsi="宋体"/>
                <w:szCs w:val="21"/>
              </w:rPr>
            </w:pPr>
            <w:r>
              <w:rPr>
                <w:rFonts w:ascii="宋体" w:hAnsi="宋体"/>
                <w:szCs w:val="21"/>
              </w:rPr>
              <w:pict>
                <v:shape id="_x0000_i1045" o:spt="75" type="#_x0000_t75" style="height:324pt;width:486.75pt;" filled="f" o:preferrelative="t" stroked="f" coordsize="21600,21600">
                  <v:path/>
                  <v:fill on="f" focussize="0,0"/>
                  <v:stroke on="f" joinstyle="miter"/>
                  <v:imagedata r:id="rId116" o:title="南雄年鉴2012-63"/>
                  <o:lock v:ext="edit" aspectratio="t"/>
                  <w10:wrap type="none"/>
                  <w10:anchorlock/>
                </v:shape>
              </w:pict>
            </w:r>
          </w:p>
        </w:tc>
      </w:tr>
    </w:tbl>
    <w:p w14:paraId="340C5663">
      <w:pPr>
        <w:ind w:firstLine="0" w:firstLineChars="0"/>
        <w:jc w:val="center"/>
        <w:rPr>
          <w:rFonts w:ascii="宋体" w:hAnsi="宋体"/>
          <w:szCs w:val="21"/>
        </w:rPr>
      </w:pPr>
      <w:r>
        <w:rPr>
          <w:rFonts w:hint="eastAsia" w:ascii="宋体" w:hAnsi="宋体"/>
          <w:szCs w:val="21"/>
        </w:rPr>
        <w:t>关楼上的南粤雄关</w:t>
      </w:r>
    </w:p>
    <w:p w14:paraId="19DD2EF9">
      <w:pPr>
        <w:ind w:firstLine="420"/>
        <w:rPr>
          <w:rFonts w:ascii="宋体" w:hAnsi="宋体"/>
          <w:szCs w:val="21"/>
        </w:rPr>
      </w:pPr>
      <w:r>
        <w:rPr>
          <w:rFonts w:hint="eastAsia" w:ascii="宋体" w:hAnsi="宋体"/>
          <w:szCs w:val="21"/>
        </w:rPr>
        <w:t>又如明成化十四年（1478年），张弼出任南安知府。他一到任，看到梅关古道遭到了严重毁坏，原砌路的砖石破败不堪，导致行人过往困难，因此决定重修此路，修路经费由政府向民间集资和向盐商征税筹得，“每千税一”。此次重修始于成化十五年（1479年）八月，竣工于成化十六年十月。在重修过程中，正值福建、江西诸郡闹饥荒，他招募饥民修路，借以贩饥，饥民无不踊跃参加。张弼亲自带领民众登岭修凿，修路全长二十五里，路面宽丈。经过张弼这番修凿，梅关道又成车马坦坦之途。</w:t>
      </w:r>
    </w:p>
    <w:tbl>
      <w:tblPr>
        <w:tblStyle w:val="15"/>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5E6743F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590886A4">
            <w:pPr>
              <w:ind w:firstLine="0" w:firstLineChars="0"/>
              <w:rPr>
                <w:rFonts w:ascii="宋体" w:hAnsi="宋体"/>
                <w:szCs w:val="21"/>
              </w:rPr>
            </w:pPr>
            <w:r>
              <w:rPr>
                <w:rFonts w:ascii="宋体" w:hAnsi="宋体"/>
                <w:szCs w:val="21"/>
              </w:rPr>
              <w:pict>
                <v:shape id="_x0000_i1046" o:spt="75" type="#_x0000_t75" style="height:126pt;width:486pt;" filled="f" o:preferrelative="t" stroked="f" coordsize="21600,21600">
                  <v:path/>
                  <v:fill on="f" focussize="0,0"/>
                  <v:stroke on="f" joinstyle="miter"/>
                  <v:imagedata r:id="rId117" o:title="南雄年鉴2012-64"/>
                  <o:lock v:ext="edit" aspectratio="t"/>
                  <w10:wrap type="none"/>
                  <w10:anchorlock/>
                </v:shape>
              </w:pict>
            </w:r>
          </w:p>
        </w:tc>
      </w:tr>
    </w:tbl>
    <w:p w14:paraId="3B5517A9">
      <w:pPr>
        <w:ind w:firstLine="0" w:firstLineChars="0"/>
        <w:jc w:val="center"/>
        <w:rPr>
          <w:rFonts w:ascii="宋体" w:hAnsi="宋体"/>
          <w:szCs w:val="21"/>
        </w:rPr>
      </w:pPr>
      <w:r>
        <w:rPr>
          <w:rFonts w:hint="eastAsia" w:ascii="宋体" w:hAnsi="宋体"/>
          <w:szCs w:val="21"/>
        </w:rPr>
        <w:t>原始刻的岭南第一关</w:t>
      </w:r>
    </w:p>
    <w:p w14:paraId="762CA5C4">
      <w:pPr>
        <w:ind w:firstLine="420"/>
        <w:rPr>
          <w:rFonts w:ascii="宋体" w:hAnsi="宋体"/>
          <w:szCs w:val="21"/>
        </w:rPr>
      </w:pPr>
      <w:r>
        <w:rPr>
          <w:rFonts w:hint="eastAsia" w:ascii="宋体" w:hAnsi="宋体"/>
          <w:szCs w:val="21"/>
        </w:rPr>
        <w:t>明成化十九年（1483年），江璞刻“岭南第关”悬挂于关楼之上（江璞，字伯温，江西贵溪进士，明成化十一年（1475年）至二十年（1484）任南雄知府）。</w:t>
      </w:r>
    </w:p>
    <w:p w14:paraId="49920B73">
      <w:pPr>
        <w:ind w:firstLine="420"/>
        <w:rPr>
          <w:rFonts w:ascii="宋体" w:hAnsi="宋体"/>
          <w:szCs w:val="21"/>
        </w:rPr>
      </w:pPr>
      <w:r>
        <w:rPr>
          <w:rFonts w:hint="eastAsia" w:ascii="宋体" w:hAnsi="宋体"/>
          <w:szCs w:val="21"/>
        </w:rPr>
        <w:t>再如明万历二十六年（公元1598年），南雄知府蒋杰修梅关关楼（蒋杰，贵州普安进士，明万历二十四年（1596年）至二十六年（1598）任南雄知府）。今关楼城门上南北两面都有石匾，北面的石刻额匾是“南粤雄关”四个大字，南面的石刻额匾是“岭南第一关”五个大字。这南北两块额匾都是明神宗万历二十六年（戊戌年）南雄知府蒋杰所题。在这两块额匾之前还发生了错刻额匾的事情，当初石匠刻错的额匾至今还保存在南雄境内。</w:t>
      </w:r>
    </w:p>
    <w:p w14:paraId="0ED776F5">
      <w:pPr>
        <w:ind w:firstLine="420"/>
        <w:rPr>
          <w:rFonts w:ascii="宋体" w:hAnsi="宋体"/>
          <w:szCs w:val="21"/>
        </w:rPr>
      </w:pPr>
      <w:r>
        <w:rPr>
          <w:rFonts w:hint="eastAsia" w:ascii="宋体" w:hAnsi="宋体"/>
          <w:szCs w:val="21"/>
        </w:rPr>
        <w:t>为什么会有错刻了的额匾呢？据说，当时南雄知府蒋杰把“南粤雄关”和“岭南第一关”题写好后就交给了县差。县差立即找到南雄打石街的刘石匠来做这件事，并对刘石匠说道：南面刻“岭南第关”，北面刻“南粤雄关”。刘石匠听完后也没多问，就按通常为人们刻宗祠石匾一样，用一块石头，两面刻字，一面刻了“南粤雄关”，另一面刻了“岭南第一关”。刻好后就叫人来取，县衙来人看，糟了，你这额匾是怎么刻的呀？我的关楼5米多厚，放在哪个位置也只能看到一面的字呀，另外你刻的字竞然一面是正的，另一面是倒的，这也太不像话了。于是，责令石匠重新用两块石头来刻，一块刻“南粤雄关”，另一块刻“岭南第关”，这就是今天人们所看到的“南粵雄关”和“岭南第一关”额匾。而原来错刻了的额匾却世世代代保存在打石街刘石匠的家里（南雄打石街，旧时是一条连接永康路和大成街的小街道，位于今三影塔的前面）。后来这块错刻了的额匾被移到了南雄博物馆保存。该石匾长1.82米，宽0.46米厚0.088米，2002年之后已被转移到另处珍藏。</w:t>
      </w:r>
    </w:p>
    <w:p w14:paraId="6808E329">
      <w:pPr>
        <w:ind w:firstLine="420"/>
        <w:rPr>
          <w:rFonts w:ascii="宋体" w:hAnsi="宋体"/>
          <w:szCs w:val="21"/>
        </w:rPr>
      </w:pPr>
      <w:r>
        <w:rPr>
          <w:rFonts w:hint="eastAsia" w:ascii="宋体" w:hAnsi="宋体"/>
          <w:szCs w:val="21"/>
        </w:rPr>
        <w:t>此外，关楼南面关门两侧有一对联：“梅止行人渴关防暴客来”，系光绪癸未年闽汀李化题。由南往北出关楼左侧约2米处竖立一块赭红色大石碑，上刻有“梅岭”两个大字，题款为“康熙岁次己未春三月”，落款被人凿掉了。此碑高3.03米，宽1.21米，厚0.145米。系清康熙十八年南雄知府张凤翔所题（张凤翔，陕西人，由镶红旗恩监，康熙十八年至二十一年任南雄知府。碑上所刻的“康熙岁次己未春三月”即公元1679年春三月。）</w:t>
      </w:r>
    </w:p>
    <w:p w14:paraId="158FDA50">
      <w:pPr>
        <w:ind w:firstLine="420"/>
        <w:rPr>
          <w:rFonts w:ascii="宋体" w:hAnsi="宋体"/>
          <w:szCs w:val="21"/>
        </w:rPr>
      </w:pPr>
      <w:r>
        <w:rPr>
          <w:rFonts w:hint="eastAsia" w:ascii="宋体" w:hAnsi="宋体"/>
          <w:szCs w:val="21"/>
        </w:rPr>
        <w:t>自梅关古道修建以来，南来北往的商旅挑夫“日有数千”。直到清末粤汉铁路修筑之前，梅关古道都是当时沟通长江流域和珠江流域最快捷的“高速公路”，也许正是由于这条“高速公路”的存在，唐玄宗的宠妃杨玉环才能在长安吃到渴望已久的岭南鲜荔枝。</w:t>
      </w:r>
    </w:p>
    <w:tbl>
      <w:tblPr>
        <w:tblStyle w:val="15"/>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094D2FD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566A27B3">
            <w:pPr>
              <w:ind w:firstLine="0" w:firstLineChars="0"/>
              <w:rPr>
                <w:rFonts w:ascii="宋体" w:hAnsi="宋体"/>
                <w:szCs w:val="21"/>
              </w:rPr>
            </w:pPr>
            <w:r>
              <w:rPr>
                <w:rFonts w:ascii="宋体" w:hAnsi="宋体"/>
                <w:szCs w:val="21"/>
              </w:rPr>
              <w:pict>
                <v:shape id="_x0000_i1047" o:spt="75" type="#_x0000_t75" style="height:123pt;width:486.75pt;" filled="f" o:preferrelative="t" stroked="f" coordsize="21600,21600">
                  <v:path/>
                  <v:fill on="f" focussize="0,0"/>
                  <v:stroke on="f" joinstyle="miter"/>
                  <v:imagedata r:id="rId118" o:title="南雄年鉴2012-65"/>
                  <o:lock v:ext="edit" aspectratio="t"/>
                  <w10:wrap type="none"/>
                  <w10:anchorlock/>
                </v:shape>
              </w:pict>
            </w:r>
          </w:p>
        </w:tc>
      </w:tr>
    </w:tbl>
    <w:p w14:paraId="1FBFC44F">
      <w:pPr>
        <w:ind w:firstLine="0" w:firstLineChars="0"/>
        <w:jc w:val="center"/>
        <w:rPr>
          <w:rFonts w:ascii="宋体" w:hAnsi="宋体"/>
          <w:szCs w:val="21"/>
        </w:rPr>
      </w:pPr>
      <w:r>
        <w:rPr>
          <w:rFonts w:hint="eastAsia" w:ascii="宋体" w:hAnsi="宋体"/>
          <w:szCs w:val="21"/>
        </w:rPr>
        <w:t>原始刻南粤雄关</w:t>
      </w:r>
    </w:p>
    <w:p w14:paraId="4FCE5714">
      <w:pPr>
        <w:ind w:firstLine="420"/>
        <w:rPr>
          <w:rFonts w:ascii="宋体" w:hAnsi="宋体"/>
          <w:szCs w:val="21"/>
        </w:rPr>
      </w:pPr>
      <w:r>
        <w:rPr>
          <w:rFonts w:hint="eastAsia" w:ascii="宋体" w:hAnsi="宋体"/>
          <w:szCs w:val="21"/>
        </w:rPr>
        <w:t>明清以后，经过多次大规模的扩修，“商贾如云，货物如雨，万足践履，冬无寒土”，更为盛极一时。而梅岭南北的府城，也随着商业交往的频繁而日趋发展。</w:t>
      </w:r>
    </w:p>
    <w:p w14:paraId="658B8FCC">
      <w:pPr>
        <w:ind w:firstLine="420"/>
        <w:rPr>
          <w:rFonts w:ascii="宋体" w:hAnsi="宋体"/>
          <w:szCs w:val="21"/>
        </w:rPr>
      </w:pPr>
      <w:r>
        <w:rPr>
          <w:rFonts w:hint="eastAsia" w:ascii="宋体" w:hAnsi="宋体"/>
          <w:szCs w:val="21"/>
        </w:rPr>
        <w:t>然而，清道光二十年鸦片战争后，随着五口通商和粤汉铁路的修通，曾经是沟通岭南以至中原内地的梅关古道随之日渐衰退了。如今，粤赣两省的货物运输大多改由赣粤公路所取代，曾经繁盛一时的梅岭古驿道便趋冷落直到废弃了。</w:t>
      </w:r>
    </w:p>
    <w:p w14:paraId="2A51B95D">
      <w:pPr>
        <w:ind w:firstLine="420"/>
        <w:rPr>
          <w:rFonts w:ascii="宋体" w:hAnsi="宋体"/>
          <w:szCs w:val="21"/>
        </w:rPr>
      </w:pPr>
      <w:r>
        <w:rPr>
          <w:rFonts w:hint="eastAsia" w:ascii="宋体" w:hAnsi="宋体"/>
          <w:szCs w:val="21"/>
        </w:rPr>
        <w:t>本文主要参考：</w:t>
      </w:r>
    </w:p>
    <w:p w14:paraId="646B993D">
      <w:pPr>
        <w:ind w:firstLine="420"/>
        <w:rPr>
          <w:rFonts w:ascii="宋体" w:hAnsi="宋体"/>
          <w:szCs w:val="21"/>
        </w:rPr>
      </w:pPr>
      <w:r>
        <w:rPr>
          <w:rFonts w:hint="eastAsia" w:ascii="宋体" w:hAnsi="宋体"/>
          <w:szCs w:val="21"/>
        </w:rPr>
        <w:t>《直隶南雄州志》和刘国伟的“梅关古道”一文。</w:t>
      </w:r>
    </w:p>
    <w:sectPr>
      <w:headerReference r:id="rId7" w:type="first"/>
      <w:footerReference r:id="rId10" w:type="first"/>
      <w:headerReference r:id="rId5" w:type="default"/>
      <w:footerReference r:id="rId8" w:type="default"/>
      <w:headerReference r:id="rId6" w:type="even"/>
      <w:footerReference r:id="rId9" w:type="even"/>
      <w:pgSz w:w="11906" w:h="16838"/>
      <w:pgMar w:top="1440" w:right="1080" w:bottom="1440" w:left="108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20"/>
      </w:pPr>
      <w:r>
        <w:separator/>
      </w:r>
    </w:p>
  </w:endnote>
  <w:endnote w:type="continuationSeparator" w:id="1">
    <w:p>
      <w:pPr>
        <w:spacing w:line="240" w:lineRule="auto"/>
        <w:ind w:firstLine="42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panose1 w:val="02010600030101010101"/>
    <w:charset w:val="86"/>
    <w:family w:val="auto"/>
    <w:pitch w:val="default"/>
    <w:sig w:usb0="A00002BF" w:usb1="38CF7CFA" w:usb2="00000016" w:usb3="00000000" w:csb0="0004000F" w:csb1="00000000"/>
  </w:font>
  <w:font w:name="等线 Light">
    <w:panose1 w:val="02010600030101010101"/>
    <w:charset w:val="86"/>
    <w:family w:val="auto"/>
    <w:pitch w:val="default"/>
    <w:sig w:usb0="A00002BF" w:usb1="38CF7CFA" w:usb2="00000016" w:usb3="00000000" w:csb0="0004000F" w:csb1="00000000"/>
  </w:font>
  <w:font w:name="MS Gothic">
    <w:panose1 w:val="020B0609070205080204"/>
    <w:charset w:val="80"/>
    <w:family w:val="modern"/>
    <w:pitch w:val="default"/>
    <w:sig w:usb0="E00002FF" w:usb1="6AC7FDFB" w:usb2="08000012" w:usb3="00000000" w:csb0="4002009F" w:csb1="DFD70000"/>
  </w:font>
  <w:font w:name="HiddenHorzOCR">
    <w:altName w:val="Yu Gothic"/>
    <w:panose1 w:val="00000000000000000000"/>
    <w:charset w:val="80"/>
    <w:family w:val="auto"/>
    <w:pitch w:val="default"/>
    <w:sig w:usb0="00000000" w:usb1="00000000" w:usb2="00000010" w:usb3="00000000" w:csb0="00020000" w:csb1="00000000"/>
  </w:font>
  <w:font w:name="Yu Gothic">
    <w:panose1 w:val="020B0400000000000000"/>
    <w:charset w:val="80"/>
    <w:family w:val="auto"/>
    <w:pitch w:val="default"/>
    <w:sig w:usb0="E00002FF" w:usb1="2AC7FDFF" w:usb2="00000016" w:usb3="00000000" w:csb0="2002009F" w:csb1="00000000"/>
  </w:font>
  <w:font w:name="微软雅黑">
    <w:panose1 w:val="020B0503020204020204"/>
    <w:charset w:val="86"/>
    <w:family w:val="swiss"/>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CE44985">
    <w:pPr>
      <w:pStyle w:val="11"/>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464F38D">
    <w:pPr>
      <w:pStyle w:val="11"/>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4E93E31">
    <w:pPr>
      <w:pStyle w:val="11"/>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20"/>
      </w:pPr>
      <w:r>
        <w:separator/>
      </w:r>
    </w:p>
  </w:footnote>
  <w:footnote w:type="continuationSeparator" w:id="1">
    <w:p>
      <w:pPr>
        <w:spacing w:line="360" w:lineRule="auto"/>
        <w:ind w:firstLine="42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87C7E05">
    <w:pPr>
      <w:pStyle w:val="12"/>
      <w:ind w:firstLine="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BB42719">
    <w:pPr>
      <w:pStyle w:val="12"/>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A277D71">
    <w:pPr>
      <w:pStyle w:val="12"/>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3BACF84"/>
    <w:multiLevelType w:val="singleLevel"/>
    <w:tmpl w:val="83BACF84"/>
    <w:lvl w:ilvl="0" w:tentative="0">
      <w:start w:val="1"/>
      <w:numFmt w:val="chineseCounting"/>
      <w:suff w:val="nothing"/>
      <w:lvlText w:val="（%1）"/>
      <w:lvlJc w:val="left"/>
      <w:rPr>
        <w:rFonts w:hint="eastAsia"/>
      </w:rPr>
    </w:lvl>
  </w:abstractNum>
  <w:abstractNum w:abstractNumId="1">
    <w:nsid w:val="98BE5B75"/>
    <w:multiLevelType w:val="singleLevel"/>
    <w:tmpl w:val="98BE5B75"/>
    <w:lvl w:ilvl="0" w:tentative="0">
      <w:start w:val="1"/>
      <w:numFmt w:val="decimal"/>
      <w:suff w:val="nothing"/>
      <w:lvlText w:val="（%1）"/>
      <w:lvlJc w:val="left"/>
    </w:lvl>
  </w:abstractNum>
  <w:abstractNum w:abstractNumId="2">
    <w:nsid w:val="9E07204E"/>
    <w:multiLevelType w:val="singleLevel"/>
    <w:tmpl w:val="9E07204E"/>
    <w:lvl w:ilvl="0" w:tentative="0">
      <w:start w:val="5"/>
      <w:numFmt w:val="chineseCounting"/>
      <w:suff w:val="nothing"/>
      <w:lvlText w:val="%1、"/>
      <w:lvlJc w:val="left"/>
      <w:rPr>
        <w:rFonts w:hint="eastAsia"/>
      </w:rPr>
    </w:lvl>
  </w:abstractNum>
  <w:abstractNum w:abstractNumId="3">
    <w:nsid w:val="A04398AA"/>
    <w:multiLevelType w:val="singleLevel"/>
    <w:tmpl w:val="A04398AA"/>
    <w:lvl w:ilvl="0" w:tentative="0">
      <w:start w:val="2"/>
      <w:numFmt w:val="chineseCounting"/>
      <w:suff w:val="nothing"/>
      <w:lvlText w:val="%1、"/>
      <w:lvlJc w:val="left"/>
      <w:rPr>
        <w:rFonts w:hint="eastAsia"/>
      </w:rPr>
    </w:lvl>
  </w:abstractNum>
  <w:abstractNum w:abstractNumId="4">
    <w:nsid w:val="A5D09F93"/>
    <w:multiLevelType w:val="singleLevel"/>
    <w:tmpl w:val="A5D09F93"/>
    <w:lvl w:ilvl="0" w:tentative="0">
      <w:start w:val="1"/>
      <w:numFmt w:val="decimal"/>
      <w:suff w:val="nothing"/>
      <w:lvlText w:val="%1、"/>
      <w:lvlJc w:val="left"/>
    </w:lvl>
  </w:abstractNum>
  <w:abstractNum w:abstractNumId="5">
    <w:nsid w:val="C266E727"/>
    <w:multiLevelType w:val="singleLevel"/>
    <w:tmpl w:val="C266E727"/>
    <w:lvl w:ilvl="0" w:tentative="0">
      <w:start w:val="1"/>
      <w:numFmt w:val="decimal"/>
      <w:suff w:val="nothing"/>
      <w:lvlText w:val="%1、"/>
      <w:lvlJc w:val="left"/>
    </w:lvl>
  </w:abstractNum>
  <w:abstractNum w:abstractNumId="6">
    <w:nsid w:val="C519B99B"/>
    <w:multiLevelType w:val="singleLevel"/>
    <w:tmpl w:val="C519B99B"/>
    <w:lvl w:ilvl="0" w:tentative="0">
      <w:start w:val="1"/>
      <w:numFmt w:val="decimal"/>
      <w:suff w:val="nothing"/>
      <w:lvlText w:val="%1、"/>
      <w:lvlJc w:val="left"/>
    </w:lvl>
  </w:abstractNum>
  <w:abstractNum w:abstractNumId="7">
    <w:nsid w:val="C9B680EF"/>
    <w:multiLevelType w:val="singleLevel"/>
    <w:tmpl w:val="C9B680EF"/>
    <w:lvl w:ilvl="0" w:tentative="0">
      <w:start w:val="1"/>
      <w:numFmt w:val="decimal"/>
      <w:suff w:val="nothing"/>
      <w:lvlText w:val="%1、"/>
      <w:lvlJc w:val="left"/>
    </w:lvl>
  </w:abstractNum>
  <w:abstractNum w:abstractNumId="8">
    <w:nsid w:val="D912E86A"/>
    <w:multiLevelType w:val="singleLevel"/>
    <w:tmpl w:val="D912E86A"/>
    <w:lvl w:ilvl="0" w:tentative="0">
      <w:start w:val="1"/>
      <w:numFmt w:val="decimal"/>
      <w:suff w:val="nothing"/>
      <w:lvlText w:val="%1、"/>
      <w:lvlJc w:val="left"/>
    </w:lvl>
  </w:abstractNum>
  <w:abstractNum w:abstractNumId="9">
    <w:nsid w:val="DE465EE3"/>
    <w:multiLevelType w:val="singleLevel"/>
    <w:tmpl w:val="DE465EE3"/>
    <w:lvl w:ilvl="0" w:tentative="0">
      <w:start w:val="1"/>
      <w:numFmt w:val="chineseCounting"/>
      <w:suff w:val="nothing"/>
      <w:lvlText w:val="（%1）"/>
      <w:lvlJc w:val="left"/>
      <w:rPr>
        <w:rFonts w:hint="eastAsia"/>
      </w:rPr>
    </w:lvl>
  </w:abstractNum>
  <w:abstractNum w:abstractNumId="10">
    <w:nsid w:val="DE58DBB8"/>
    <w:multiLevelType w:val="singleLevel"/>
    <w:tmpl w:val="DE58DBB8"/>
    <w:lvl w:ilvl="0" w:tentative="0">
      <w:start w:val="1"/>
      <w:numFmt w:val="chineseCounting"/>
      <w:suff w:val="nothing"/>
      <w:lvlText w:val="（%1）"/>
      <w:lvlJc w:val="left"/>
      <w:rPr>
        <w:rFonts w:hint="eastAsia"/>
      </w:rPr>
    </w:lvl>
  </w:abstractNum>
  <w:abstractNum w:abstractNumId="11">
    <w:nsid w:val="E79EDBE9"/>
    <w:multiLevelType w:val="singleLevel"/>
    <w:tmpl w:val="E79EDBE9"/>
    <w:lvl w:ilvl="0" w:tentative="0">
      <w:start w:val="1"/>
      <w:numFmt w:val="decimal"/>
      <w:suff w:val="nothing"/>
      <w:lvlText w:val="%1、"/>
      <w:lvlJc w:val="left"/>
    </w:lvl>
  </w:abstractNum>
  <w:abstractNum w:abstractNumId="12">
    <w:nsid w:val="F1FB01CD"/>
    <w:multiLevelType w:val="singleLevel"/>
    <w:tmpl w:val="F1FB01CD"/>
    <w:lvl w:ilvl="0" w:tentative="0">
      <w:start w:val="1"/>
      <w:numFmt w:val="decimal"/>
      <w:suff w:val="nothing"/>
      <w:lvlText w:val="%1、"/>
      <w:lvlJc w:val="left"/>
    </w:lvl>
  </w:abstractNum>
  <w:abstractNum w:abstractNumId="13">
    <w:nsid w:val="F71DB601"/>
    <w:multiLevelType w:val="singleLevel"/>
    <w:tmpl w:val="F71DB601"/>
    <w:lvl w:ilvl="0" w:tentative="0">
      <w:start w:val="1"/>
      <w:numFmt w:val="decimal"/>
      <w:suff w:val="nothing"/>
      <w:lvlText w:val="%1、"/>
      <w:lvlJc w:val="left"/>
    </w:lvl>
  </w:abstractNum>
  <w:abstractNum w:abstractNumId="14">
    <w:nsid w:val="0924B193"/>
    <w:multiLevelType w:val="singleLevel"/>
    <w:tmpl w:val="0924B193"/>
    <w:lvl w:ilvl="0" w:tentative="0">
      <w:start w:val="1"/>
      <w:numFmt w:val="decimal"/>
      <w:suff w:val="nothing"/>
      <w:lvlText w:val="%1、"/>
      <w:lvlJc w:val="left"/>
    </w:lvl>
  </w:abstractNum>
  <w:abstractNum w:abstractNumId="15">
    <w:nsid w:val="0CA263B3"/>
    <w:multiLevelType w:val="singleLevel"/>
    <w:tmpl w:val="0CA263B3"/>
    <w:lvl w:ilvl="0" w:tentative="0">
      <w:start w:val="1"/>
      <w:numFmt w:val="chineseCounting"/>
      <w:suff w:val="nothing"/>
      <w:lvlText w:val="（%1）"/>
      <w:lvlJc w:val="left"/>
      <w:rPr>
        <w:rFonts w:hint="eastAsia"/>
      </w:rPr>
    </w:lvl>
  </w:abstractNum>
  <w:abstractNum w:abstractNumId="16">
    <w:nsid w:val="2E4C998F"/>
    <w:multiLevelType w:val="singleLevel"/>
    <w:tmpl w:val="2E4C998F"/>
    <w:lvl w:ilvl="0" w:tentative="0">
      <w:start w:val="1"/>
      <w:numFmt w:val="decimal"/>
      <w:suff w:val="nothing"/>
      <w:lvlText w:val="（%1）"/>
      <w:lvlJc w:val="left"/>
    </w:lvl>
  </w:abstractNum>
  <w:abstractNum w:abstractNumId="17">
    <w:nsid w:val="33FD73A1"/>
    <w:multiLevelType w:val="singleLevel"/>
    <w:tmpl w:val="33FD73A1"/>
    <w:lvl w:ilvl="0" w:tentative="0">
      <w:start w:val="1"/>
      <w:numFmt w:val="chineseCounting"/>
      <w:suff w:val="nothing"/>
      <w:lvlText w:val="（%1）"/>
      <w:lvlJc w:val="left"/>
      <w:rPr>
        <w:rFonts w:hint="eastAsia"/>
      </w:rPr>
    </w:lvl>
  </w:abstractNum>
  <w:abstractNum w:abstractNumId="18">
    <w:nsid w:val="65842857"/>
    <w:multiLevelType w:val="singleLevel"/>
    <w:tmpl w:val="65842857"/>
    <w:lvl w:ilvl="0" w:tentative="0">
      <w:start w:val="1"/>
      <w:numFmt w:val="chineseCounting"/>
      <w:suff w:val="nothing"/>
      <w:lvlText w:val="%1、"/>
      <w:lvlJc w:val="left"/>
      <w:rPr>
        <w:rFonts w:hint="eastAsia"/>
      </w:rPr>
    </w:lvl>
  </w:abstractNum>
  <w:abstractNum w:abstractNumId="19">
    <w:nsid w:val="72163851"/>
    <w:multiLevelType w:val="singleLevel"/>
    <w:tmpl w:val="72163851"/>
    <w:lvl w:ilvl="0" w:tentative="0">
      <w:start w:val="1"/>
      <w:numFmt w:val="decimal"/>
      <w:suff w:val="nothing"/>
      <w:lvlText w:val="%1、"/>
      <w:lvlJc w:val="left"/>
    </w:lvl>
  </w:abstractNum>
  <w:num w:numId="1">
    <w:abstractNumId w:val="17"/>
  </w:num>
  <w:num w:numId="2">
    <w:abstractNumId w:val="3"/>
  </w:num>
  <w:num w:numId="3">
    <w:abstractNumId w:val="2"/>
  </w:num>
  <w:num w:numId="4">
    <w:abstractNumId w:val="5"/>
  </w:num>
  <w:num w:numId="5">
    <w:abstractNumId w:val="18"/>
  </w:num>
  <w:num w:numId="6">
    <w:abstractNumId w:val="10"/>
  </w:num>
  <w:num w:numId="7">
    <w:abstractNumId w:val="15"/>
  </w:num>
  <w:num w:numId="8">
    <w:abstractNumId w:val="9"/>
  </w:num>
  <w:num w:numId="9">
    <w:abstractNumId w:val="0"/>
  </w:num>
  <w:num w:numId="10">
    <w:abstractNumId w:val="4"/>
  </w:num>
  <w:num w:numId="11">
    <w:abstractNumId w:val="19"/>
  </w:num>
  <w:num w:numId="12">
    <w:abstractNumId w:val="14"/>
  </w:num>
  <w:num w:numId="13">
    <w:abstractNumId w:val="1"/>
  </w:num>
  <w:num w:numId="14">
    <w:abstractNumId w:val="16"/>
  </w:num>
  <w:num w:numId="15">
    <w:abstractNumId w:val="7"/>
  </w:num>
  <w:num w:numId="16">
    <w:abstractNumId w:val="12"/>
  </w:num>
  <w:num w:numId="17">
    <w:abstractNumId w:val="8"/>
  </w:num>
  <w:num w:numId="18">
    <w:abstractNumId w:val="6"/>
  </w:num>
  <w:num w:numId="19">
    <w:abstractNumId w:val="13"/>
  </w:num>
  <w:num w:numId="20">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1"/>
  <w:bordersDoNotSurroundFooter w:val="1"/>
  <w:hideSpellingErrors/>
  <w:documentProtection w:enforcement="0"/>
  <w:defaultTabStop w:val="420"/>
  <w:drawingGridHorizontalSpacing w:val="105"/>
  <w:drawingGridVerticalSpacing w:val="156"/>
  <w:displayHorizontalDrawingGridEvery w:val="2"/>
  <w:displayVerticalDrawingGridEvery w:val="2"/>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2"/>
  </w:compat>
  <w:docVars>
    <w:docVar w:name="commondata" w:val="eyJoZGlkIjoiMDkwNjc2OWNjMmQ3ZDNiMmE4OTE5ZmNmMzZkZWE4ZDkifQ=="/>
  </w:docVars>
  <w:rsids>
    <w:rsidRoot w:val="00C66EE2"/>
    <w:rsid w:val="00013A93"/>
    <w:rsid w:val="00025FE2"/>
    <w:rsid w:val="00034727"/>
    <w:rsid w:val="00044DDA"/>
    <w:rsid w:val="00055FFE"/>
    <w:rsid w:val="00057771"/>
    <w:rsid w:val="000612B2"/>
    <w:rsid w:val="00062464"/>
    <w:rsid w:val="00063D37"/>
    <w:rsid w:val="00091888"/>
    <w:rsid w:val="00091DB8"/>
    <w:rsid w:val="00096FDC"/>
    <w:rsid w:val="000A15B6"/>
    <w:rsid w:val="000A6F0C"/>
    <w:rsid w:val="000B1D28"/>
    <w:rsid w:val="000B4F01"/>
    <w:rsid w:val="000D0243"/>
    <w:rsid w:val="000D5D31"/>
    <w:rsid w:val="000E452C"/>
    <w:rsid w:val="000F30F2"/>
    <w:rsid w:val="000F4BA0"/>
    <w:rsid w:val="000F6AA4"/>
    <w:rsid w:val="00112230"/>
    <w:rsid w:val="00114C80"/>
    <w:rsid w:val="001272E0"/>
    <w:rsid w:val="001272F5"/>
    <w:rsid w:val="001300D6"/>
    <w:rsid w:val="00134F7B"/>
    <w:rsid w:val="00145FBF"/>
    <w:rsid w:val="00151006"/>
    <w:rsid w:val="00151FC3"/>
    <w:rsid w:val="00153334"/>
    <w:rsid w:val="00157D73"/>
    <w:rsid w:val="00163D11"/>
    <w:rsid w:val="001713A4"/>
    <w:rsid w:val="00173FDE"/>
    <w:rsid w:val="001840E9"/>
    <w:rsid w:val="001A1544"/>
    <w:rsid w:val="001A6E58"/>
    <w:rsid w:val="001B11FF"/>
    <w:rsid w:val="001B1C16"/>
    <w:rsid w:val="001C0314"/>
    <w:rsid w:val="001C13FF"/>
    <w:rsid w:val="001C2156"/>
    <w:rsid w:val="001E087C"/>
    <w:rsid w:val="001F512B"/>
    <w:rsid w:val="001F647F"/>
    <w:rsid w:val="0020182D"/>
    <w:rsid w:val="00204377"/>
    <w:rsid w:val="0020550E"/>
    <w:rsid w:val="00207C32"/>
    <w:rsid w:val="00216173"/>
    <w:rsid w:val="00221E13"/>
    <w:rsid w:val="002249A0"/>
    <w:rsid w:val="002320E8"/>
    <w:rsid w:val="00241802"/>
    <w:rsid w:val="00243F95"/>
    <w:rsid w:val="002477A7"/>
    <w:rsid w:val="00251278"/>
    <w:rsid w:val="00251345"/>
    <w:rsid w:val="00251901"/>
    <w:rsid w:val="002519B0"/>
    <w:rsid w:val="0025350F"/>
    <w:rsid w:val="002607AF"/>
    <w:rsid w:val="0027621A"/>
    <w:rsid w:val="0028109B"/>
    <w:rsid w:val="0028493C"/>
    <w:rsid w:val="002A2D57"/>
    <w:rsid w:val="002A46FE"/>
    <w:rsid w:val="002A5C95"/>
    <w:rsid w:val="002A6AE9"/>
    <w:rsid w:val="002A790C"/>
    <w:rsid w:val="002B4012"/>
    <w:rsid w:val="002C06E5"/>
    <w:rsid w:val="002C38BE"/>
    <w:rsid w:val="002D07EB"/>
    <w:rsid w:val="002D44A2"/>
    <w:rsid w:val="002E2644"/>
    <w:rsid w:val="002F29D1"/>
    <w:rsid w:val="002F564B"/>
    <w:rsid w:val="00303A1F"/>
    <w:rsid w:val="00317E07"/>
    <w:rsid w:val="00322D57"/>
    <w:rsid w:val="003246EB"/>
    <w:rsid w:val="003327E1"/>
    <w:rsid w:val="003420B4"/>
    <w:rsid w:val="00356AE9"/>
    <w:rsid w:val="003609E1"/>
    <w:rsid w:val="00365433"/>
    <w:rsid w:val="0037369E"/>
    <w:rsid w:val="00373708"/>
    <w:rsid w:val="0037647F"/>
    <w:rsid w:val="00382552"/>
    <w:rsid w:val="003834C9"/>
    <w:rsid w:val="003A0622"/>
    <w:rsid w:val="003A5A4D"/>
    <w:rsid w:val="003B7EB2"/>
    <w:rsid w:val="003C6776"/>
    <w:rsid w:val="003C6C06"/>
    <w:rsid w:val="003D0E2B"/>
    <w:rsid w:val="003D49AC"/>
    <w:rsid w:val="003D4F8D"/>
    <w:rsid w:val="003D6E61"/>
    <w:rsid w:val="003E4C4B"/>
    <w:rsid w:val="003E50F6"/>
    <w:rsid w:val="003F5A36"/>
    <w:rsid w:val="00401090"/>
    <w:rsid w:val="004041F7"/>
    <w:rsid w:val="00415ACA"/>
    <w:rsid w:val="00424C4D"/>
    <w:rsid w:val="00424E72"/>
    <w:rsid w:val="00433CEA"/>
    <w:rsid w:val="0045479A"/>
    <w:rsid w:val="00460BBE"/>
    <w:rsid w:val="00476F7D"/>
    <w:rsid w:val="0048382C"/>
    <w:rsid w:val="00483B55"/>
    <w:rsid w:val="004A08CC"/>
    <w:rsid w:val="004A7830"/>
    <w:rsid w:val="004B2A93"/>
    <w:rsid w:val="004B2FB9"/>
    <w:rsid w:val="004D40A6"/>
    <w:rsid w:val="004E22C6"/>
    <w:rsid w:val="004F2226"/>
    <w:rsid w:val="005055AB"/>
    <w:rsid w:val="00510C8A"/>
    <w:rsid w:val="00511D35"/>
    <w:rsid w:val="00525F19"/>
    <w:rsid w:val="00533615"/>
    <w:rsid w:val="00534F6D"/>
    <w:rsid w:val="00541259"/>
    <w:rsid w:val="00543172"/>
    <w:rsid w:val="005650EE"/>
    <w:rsid w:val="00565D09"/>
    <w:rsid w:val="00566657"/>
    <w:rsid w:val="00567BA6"/>
    <w:rsid w:val="005831FB"/>
    <w:rsid w:val="00583553"/>
    <w:rsid w:val="00597983"/>
    <w:rsid w:val="005A02D0"/>
    <w:rsid w:val="005A77EC"/>
    <w:rsid w:val="005B29EF"/>
    <w:rsid w:val="005C093D"/>
    <w:rsid w:val="005C1C0B"/>
    <w:rsid w:val="005C3E65"/>
    <w:rsid w:val="005D28CB"/>
    <w:rsid w:val="005D7435"/>
    <w:rsid w:val="005E00A7"/>
    <w:rsid w:val="005E0E1C"/>
    <w:rsid w:val="005E11A0"/>
    <w:rsid w:val="005E36BD"/>
    <w:rsid w:val="005E474A"/>
    <w:rsid w:val="00606922"/>
    <w:rsid w:val="0060757C"/>
    <w:rsid w:val="00610783"/>
    <w:rsid w:val="00640F57"/>
    <w:rsid w:val="0064750E"/>
    <w:rsid w:val="00651A7B"/>
    <w:rsid w:val="006571D8"/>
    <w:rsid w:val="00657204"/>
    <w:rsid w:val="00666E8A"/>
    <w:rsid w:val="00667BDB"/>
    <w:rsid w:val="00670023"/>
    <w:rsid w:val="0068339F"/>
    <w:rsid w:val="00691E49"/>
    <w:rsid w:val="006A037B"/>
    <w:rsid w:val="006B2424"/>
    <w:rsid w:val="006B7ED5"/>
    <w:rsid w:val="006C6251"/>
    <w:rsid w:val="006E78E5"/>
    <w:rsid w:val="006E7F4F"/>
    <w:rsid w:val="006F4793"/>
    <w:rsid w:val="006F6982"/>
    <w:rsid w:val="006F6F1C"/>
    <w:rsid w:val="007109B6"/>
    <w:rsid w:val="00713647"/>
    <w:rsid w:val="0071759B"/>
    <w:rsid w:val="00723436"/>
    <w:rsid w:val="0073454B"/>
    <w:rsid w:val="00734901"/>
    <w:rsid w:val="00736E16"/>
    <w:rsid w:val="00741195"/>
    <w:rsid w:val="00752B32"/>
    <w:rsid w:val="0075556B"/>
    <w:rsid w:val="00764602"/>
    <w:rsid w:val="0077095E"/>
    <w:rsid w:val="00774A1B"/>
    <w:rsid w:val="007837EC"/>
    <w:rsid w:val="00786EAD"/>
    <w:rsid w:val="00786F76"/>
    <w:rsid w:val="0078768E"/>
    <w:rsid w:val="00795A7C"/>
    <w:rsid w:val="007979DC"/>
    <w:rsid w:val="007B041C"/>
    <w:rsid w:val="007C3368"/>
    <w:rsid w:val="007C73DB"/>
    <w:rsid w:val="007E4D24"/>
    <w:rsid w:val="007E76F5"/>
    <w:rsid w:val="007F1D19"/>
    <w:rsid w:val="007F4F2B"/>
    <w:rsid w:val="007F7475"/>
    <w:rsid w:val="00810577"/>
    <w:rsid w:val="008133DD"/>
    <w:rsid w:val="008205A8"/>
    <w:rsid w:val="0082412C"/>
    <w:rsid w:val="0082548C"/>
    <w:rsid w:val="00836FFB"/>
    <w:rsid w:val="0084000D"/>
    <w:rsid w:val="00841C4A"/>
    <w:rsid w:val="00842EA4"/>
    <w:rsid w:val="008440F3"/>
    <w:rsid w:val="008442A1"/>
    <w:rsid w:val="008628E8"/>
    <w:rsid w:val="00862DBE"/>
    <w:rsid w:val="0087419F"/>
    <w:rsid w:val="00884872"/>
    <w:rsid w:val="00886988"/>
    <w:rsid w:val="00896124"/>
    <w:rsid w:val="008A1C43"/>
    <w:rsid w:val="008A1F40"/>
    <w:rsid w:val="008A624C"/>
    <w:rsid w:val="008A7111"/>
    <w:rsid w:val="008B02CE"/>
    <w:rsid w:val="008C10C6"/>
    <w:rsid w:val="008C4F87"/>
    <w:rsid w:val="008C5E5E"/>
    <w:rsid w:val="008D1234"/>
    <w:rsid w:val="008E722A"/>
    <w:rsid w:val="008F1A17"/>
    <w:rsid w:val="008F7C6F"/>
    <w:rsid w:val="009057F1"/>
    <w:rsid w:val="0091347D"/>
    <w:rsid w:val="0092023F"/>
    <w:rsid w:val="00924ECF"/>
    <w:rsid w:val="009257EF"/>
    <w:rsid w:val="00936984"/>
    <w:rsid w:val="009408D7"/>
    <w:rsid w:val="00941A8B"/>
    <w:rsid w:val="00953884"/>
    <w:rsid w:val="00960991"/>
    <w:rsid w:val="00961C63"/>
    <w:rsid w:val="00963007"/>
    <w:rsid w:val="00964EEA"/>
    <w:rsid w:val="00966618"/>
    <w:rsid w:val="00967BC4"/>
    <w:rsid w:val="00976D4A"/>
    <w:rsid w:val="00976E0F"/>
    <w:rsid w:val="009878BE"/>
    <w:rsid w:val="00990F6A"/>
    <w:rsid w:val="0099482E"/>
    <w:rsid w:val="009A0EE7"/>
    <w:rsid w:val="009A51B7"/>
    <w:rsid w:val="009A738A"/>
    <w:rsid w:val="009A7F50"/>
    <w:rsid w:val="009B05DF"/>
    <w:rsid w:val="009B3B82"/>
    <w:rsid w:val="009C0D58"/>
    <w:rsid w:val="009C2BDD"/>
    <w:rsid w:val="009C41F3"/>
    <w:rsid w:val="009C51C5"/>
    <w:rsid w:val="009C76E2"/>
    <w:rsid w:val="009D1E3B"/>
    <w:rsid w:val="009E3C73"/>
    <w:rsid w:val="009F407F"/>
    <w:rsid w:val="00A005EF"/>
    <w:rsid w:val="00A00A3C"/>
    <w:rsid w:val="00A13412"/>
    <w:rsid w:val="00A23E60"/>
    <w:rsid w:val="00A24A28"/>
    <w:rsid w:val="00A31226"/>
    <w:rsid w:val="00A324E7"/>
    <w:rsid w:val="00A334C6"/>
    <w:rsid w:val="00A35CFB"/>
    <w:rsid w:val="00A41482"/>
    <w:rsid w:val="00A606F4"/>
    <w:rsid w:val="00A6537D"/>
    <w:rsid w:val="00A67D46"/>
    <w:rsid w:val="00A72E6C"/>
    <w:rsid w:val="00A74ACA"/>
    <w:rsid w:val="00A847C5"/>
    <w:rsid w:val="00A8576D"/>
    <w:rsid w:val="00A90026"/>
    <w:rsid w:val="00A90E48"/>
    <w:rsid w:val="00A96A11"/>
    <w:rsid w:val="00A97D76"/>
    <w:rsid w:val="00AA0ED6"/>
    <w:rsid w:val="00AA5534"/>
    <w:rsid w:val="00AC3A62"/>
    <w:rsid w:val="00AE6653"/>
    <w:rsid w:val="00AF4125"/>
    <w:rsid w:val="00B16A35"/>
    <w:rsid w:val="00B233AC"/>
    <w:rsid w:val="00B2402F"/>
    <w:rsid w:val="00B26E94"/>
    <w:rsid w:val="00B31BF8"/>
    <w:rsid w:val="00B3591A"/>
    <w:rsid w:val="00B379B2"/>
    <w:rsid w:val="00B50263"/>
    <w:rsid w:val="00B6069C"/>
    <w:rsid w:val="00B66E0A"/>
    <w:rsid w:val="00B7573B"/>
    <w:rsid w:val="00B81AAB"/>
    <w:rsid w:val="00B82EAE"/>
    <w:rsid w:val="00B8787D"/>
    <w:rsid w:val="00B907C6"/>
    <w:rsid w:val="00B92E70"/>
    <w:rsid w:val="00B944B1"/>
    <w:rsid w:val="00B94AF6"/>
    <w:rsid w:val="00B957C8"/>
    <w:rsid w:val="00B95DA0"/>
    <w:rsid w:val="00BA6216"/>
    <w:rsid w:val="00BB0ACD"/>
    <w:rsid w:val="00BB7231"/>
    <w:rsid w:val="00BC36EB"/>
    <w:rsid w:val="00BC385B"/>
    <w:rsid w:val="00BD12D8"/>
    <w:rsid w:val="00BD31E7"/>
    <w:rsid w:val="00BE79A7"/>
    <w:rsid w:val="00BF2EE1"/>
    <w:rsid w:val="00C07504"/>
    <w:rsid w:val="00C11478"/>
    <w:rsid w:val="00C14A64"/>
    <w:rsid w:val="00C1733B"/>
    <w:rsid w:val="00C37334"/>
    <w:rsid w:val="00C376EB"/>
    <w:rsid w:val="00C42A60"/>
    <w:rsid w:val="00C46958"/>
    <w:rsid w:val="00C63937"/>
    <w:rsid w:val="00C66EE2"/>
    <w:rsid w:val="00C675F7"/>
    <w:rsid w:val="00C678CD"/>
    <w:rsid w:val="00C70122"/>
    <w:rsid w:val="00C704D4"/>
    <w:rsid w:val="00C80960"/>
    <w:rsid w:val="00C912D7"/>
    <w:rsid w:val="00C94E17"/>
    <w:rsid w:val="00CA4B19"/>
    <w:rsid w:val="00CA61FC"/>
    <w:rsid w:val="00CD3F0E"/>
    <w:rsid w:val="00CD461D"/>
    <w:rsid w:val="00CD7224"/>
    <w:rsid w:val="00D00D27"/>
    <w:rsid w:val="00D03B6A"/>
    <w:rsid w:val="00D2197C"/>
    <w:rsid w:val="00D273EB"/>
    <w:rsid w:val="00D34BB6"/>
    <w:rsid w:val="00D47933"/>
    <w:rsid w:val="00D52180"/>
    <w:rsid w:val="00D57AF6"/>
    <w:rsid w:val="00D63B35"/>
    <w:rsid w:val="00D6676C"/>
    <w:rsid w:val="00D852DC"/>
    <w:rsid w:val="00DA1690"/>
    <w:rsid w:val="00DA697C"/>
    <w:rsid w:val="00DB35E1"/>
    <w:rsid w:val="00DB6BD5"/>
    <w:rsid w:val="00DB7226"/>
    <w:rsid w:val="00DB7E9B"/>
    <w:rsid w:val="00DC3DBB"/>
    <w:rsid w:val="00DC48E4"/>
    <w:rsid w:val="00DC633D"/>
    <w:rsid w:val="00DD109E"/>
    <w:rsid w:val="00DD2EE1"/>
    <w:rsid w:val="00DE22D7"/>
    <w:rsid w:val="00E03871"/>
    <w:rsid w:val="00E122B4"/>
    <w:rsid w:val="00E13EA2"/>
    <w:rsid w:val="00E21263"/>
    <w:rsid w:val="00E22947"/>
    <w:rsid w:val="00E26502"/>
    <w:rsid w:val="00E34BF6"/>
    <w:rsid w:val="00E379C9"/>
    <w:rsid w:val="00E421AF"/>
    <w:rsid w:val="00E5536A"/>
    <w:rsid w:val="00E57DCA"/>
    <w:rsid w:val="00E6387E"/>
    <w:rsid w:val="00E64DD0"/>
    <w:rsid w:val="00E7078F"/>
    <w:rsid w:val="00E70FA2"/>
    <w:rsid w:val="00E75363"/>
    <w:rsid w:val="00E955C6"/>
    <w:rsid w:val="00EA1F9C"/>
    <w:rsid w:val="00EB2D3F"/>
    <w:rsid w:val="00EB3BDD"/>
    <w:rsid w:val="00EC3DA5"/>
    <w:rsid w:val="00EC6446"/>
    <w:rsid w:val="00EC66B5"/>
    <w:rsid w:val="00ED2C5C"/>
    <w:rsid w:val="00ED4A91"/>
    <w:rsid w:val="00ED6880"/>
    <w:rsid w:val="00EE28CA"/>
    <w:rsid w:val="00EE46E3"/>
    <w:rsid w:val="00EE4A1B"/>
    <w:rsid w:val="00EF0172"/>
    <w:rsid w:val="00EF21EF"/>
    <w:rsid w:val="00EF66E5"/>
    <w:rsid w:val="00EF7197"/>
    <w:rsid w:val="00F07EB2"/>
    <w:rsid w:val="00F13A8C"/>
    <w:rsid w:val="00F14B11"/>
    <w:rsid w:val="00F1683D"/>
    <w:rsid w:val="00F20ED2"/>
    <w:rsid w:val="00F311E5"/>
    <w:rsid w:val="00F3405C"/>
    <w:rsid w:val="00F409E3"/>
    <w:rsid w:val="00F422B7"/>
    <w:rsid w:val="00F51AB6"/>
    <w:rsid w:val="00F51C4D"/>
    <w:rsid w:val="00F5263D"/>
    <w:rsid w:val="00F53276"/>
    <w:rsid w:val="00F60AC3"/>
    <w:rsid w:val="00F64D96"/>
    <w:rsid w:val="00F65A4A"/>
    <w:rsid w:val="00F66D55"/>
    <w:rsid w:val="00F72209"/>
    <w:rsid w:val="00F841F5"/>
    <w:rsid w:val="00F84D8F"/>
    <w:rsid w:val="00FB1E65"/>
    <w:rsid w:val="00FB2838"/>
    <w:rsid w:val="00FC7BFC"/>
    <w:rsid w:val="00FE001B"/>
    <w:rsid w:val="00FE4CEA"/>
    <w:rsid w:val="00FF103E"/>
    <w:rsid w:val="00FF2A6A"/>
    <w:rsid w:val="01C40EF3"/>
    <w:rsid w:val="022B1408"/>
    <w:rsid w:val="02F70AB6"/>
    <w:rsid w:val="057C070C"/>
    <w:rsid w:val="070119FF"/>
    <w:rsid w:val="09FC2FE9"/>
    <w:rsid w:val="0AB53C1A"/>
    <w:rsid w:val="0DBA1603"/>
    <w:rsid w:val="173D0485"/>
    <w:rsid w:val="17F03FD1"/>
    <w:rsid w:val="18673A9C"/>
    <w:rsid w:val="1B723206"/>
    <w:rsid w:val="1C604601"/>
    <w:rsid w:val="1D4A4435"/>
    <w:rsid w:val="1E284902"/>
    <w:rsid w:val="1FB4061A"/>
    <w:rsid w:val="242E6FD0"/>
    <w:rsid w:val="2573204F"/>
    <w:rsid w:val="26245849"/>
    <w:rsid w:val="286875DD"/>
    <w:rsid w:val="2A205C93"/>
    <w:rsid w:val="2C7A3CC3"/>
    <w:rsid w:val="2D9806BA"/>
    <w:rsid w:val="2DA2480B"/>
    <w:rsid w:val="30C424CA"/>
    <w:rsid w:val="31A82455"/>
    <w:rsid w:val="33A73EC3"/>
    <w:rsid w:val="33F407FF"/>
    <w:rsid w:val="36563C78"/>
    <w:rsid w:val="3942270B"/>
    <w:rsid w:val="398470DE"/>
    <w:rsid w:val="39D73970"/>
    <w:rsid w:val="3A4132C5"/>
    <w:rsid w:val="3AC42CC1"/>
    <w:rsid w:val="3F157458"/>
    <w:rsid w:val="42887DE7"/>
    <w:rsid w:val="43A65054"/>
    <w:rsid w:val="45996C60"/>
    <w:rsid w:val="49B03933"/>
    <w:rsid w:val="4A034194"/>
    <w:rsid w:val="4C496C8E"/>
    <w:rsid w:val="4D6D251B"/>
    <w:rsid w:val="4EFC778A"/>
    <w:rsid w:val="51257DF2"/>
    <w:rsid w:val="542A0BBB"/>
    <w:rsid w:val="543665CF"/>
    <w:rsid w:val="5531609D"/>
    <w:rsid w:val="59856944"/>
    <w:rsid w:val="5A2C3F9F"/>
    <w:rsid w:val="5A702F1E"/>
    <w:rsid w:val="5B365368"/>
    <w:rsid w:val="5F2367DF"/>
    <w:rsid w:val="60827570"/>
    <w:rsid w:val="65517A84"/>
    <w:rsid w:val="6ED36C87"/>
    <w:rsid w:val="6F406FE7"/>
    <w:rsid w:val="6FC463C7"/>
    <w:rsid w:val="7104150C"/>
    <w:rsid w:val="7240475B"/>
    <w:rsid w:val="739921F2"/>
    <w:rsid w:val="78160215"/>
    <w:rsid w:val="7B233469"/>
    <w:rsid w:val="7BE90480"/>
    <w:rsid w:val="7DAA32A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semiHidden="0"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qFormat="1"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qFormat="1"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39" w:semiHidden="0" w:name="Table Grid"/>
    <w:lsdException w:uiPriority="99" w:name="Table Theme"/>
    <w:lsdException w:qFormat="1" w:unhideWhenUsed="0" w:uiPriority="99" w:name="Placeholder Text"/>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360" w:lineRule="auto"/>
      <w:ind w:firstLine="200" w:firstLineChars="200"/>
      <w:jc w:val="both"/>
    </w:pPr>
    <w:rPr>
      <w:rFonts w:eastAsia="宋体" w:asciiTheme="minorHAnsi" w:hAnsiTheme="minorHAnsi" w:cstheme="minorBidi"/>
      <w:kern w:val="2"/>
      <w:sz w:val="21"/>
      <w:szCs w:val="22"/>
      <w:lang w:val="en-US" w:eastAsia="zh-CN" w:bidi="ar-SA"/>
    </w:rPr>
  </w:style>
  <w:style w:type="paragraph" w:styleId="2">
    <w:name w:val="heading 1"/>
    <w:next w:val="1"/>
    <w:link w:val="19"/>
    <w:qFormat/>
    <w:uiPriority w:val="9"/>
    <w:pPr>
      <w:keepNext/>
      <w:keepLines/>
      <w:spacing w:before="340" w:after="330" w:line="578" w:lineRule="auto"/>
      <w:jc w:val="center"/>
      <w:outlineLvl w:val="0"/>
    </w:pPr>
    <w:rPr>
      <w:rFonts w:eastAsia="宋体" w:asciiTheme="minorHAnsi" w:hAnsiTheme="minorHAnsi" w:cstheme="minorBidi"/>
      <w:b/>
      <w:bCs/>
      <w:kern w:val="44"/>
      <w:sz w:val="44"/>
      <w:szCs w:val="44"/>
      <w:lang w:val="en-US" w:eastAsia="zh-CN" w:bidi="ar-SA"/>
    </w:rPr>
  </w:style>
  <w:style w:type="paragraph" w:styleId="3">
    <w:name w:val="heading 2"/>
    <w:next w:val="1"/>
    <w:link w:val="22"/>
    <w:unhideWhenUsed/>
    <w:qFormat/>
    <w:uiPriority w:val="9"/>
    <w:pPr>
      <w:keepNext/>
      <w:keepLines/>
      <w:spacing w:before="260" w:after="260" w:line="416" w:lineRule="auto"/>
      <w:jc w:val="center"/>
      <w:outlineLvl w:val="1"/>
    </w:pPr>
    <w:rPr>
      <w:rFonts w:eastAsia="宋体" w:asciiTheme="majorHAnsi" w:hAnsiTheme="majorHAnsi" w:cstheme="majorBidi"/>
      <w:b/>
      <w:bCs/>
      <w:kern w:val="2"/>
      <w:sz w:val="36"/>
      <w:szCs w:val="32"/>
      <w:lang w:val="en-US" w:eastAsia="zh-CN" w:bidi="ar-SA"/>
    </w:rPr>
  </w:style>
  <w:style w:type="paragraph" w:styleId="4">
    <w:name w:val="heading 3"/>
    <w:next w:val="1"/>
    <w:link w:val="20"/>
    <w:unhideWhenUsed/>
    <w:qFormat/>
    <w:uiPriority w:val="9"/>
    <w:pPr>
      <w:keepNext/>
      <w:keepLines/>
      <w:spacing w:before="260" w:after="260" w:line="416" w:lineRule="auto"/>
      <w:jc w:val="center"/>
      <w:outlineLvl w:val="2"/>
    </w:pPr>
    <w:rPr>
      <w:rFonts w:eastAsia="宋体" w:asciiTheme="minorHAnsi" w:hAnsiTheme="minorHAnsi" w:cstheme="minorBidi"/>
      <w:b/>
      <w:bCs/>
      <w:kern w:val="2"/>
      <w:sz w:val="32"/>
      <w:szCs w:val="32"/>
      <w:lang w:val="en-US" w:eastAsia="zh-CN" w:bidi="ar-SA"/>
    </w:rPr>
  </w:style>
  <w:style w:type="paragraph" w:styleId="5">
    <w:name w:val="heading 4"/>
    <w:next w:val="1"/>
    <w:link w:val="21"/>
    <w:unhideWhenUsed/>
    <w:qFormat/>
    <w:uiPriority w:val="9"/>
    <w:pPr>
      <w:keepNext/>
      <w:keepLines/>
      <w:spacing w:line="360" w:lineRule="auto"/>
      <w:jc w:val="center"/>
      <w:outlineLvl w:val="3"/>
    </w:pPr>
    <w:rPr>
      <w:rFonts w:eastAsia="宋体" w:asciiTheme="majorHAnsi" w:hAnsiTheme="majorHAnsi" w:cstheme="majorBidi"/>
      <w:b/>
      <w:bCs/>
      <w:kern w:val="2"/>
      <w:sz w:val="30"/>
      <w:szCs w:val="28"/>
      <w:lang w:val="en-US" w:eastAsia="zh-CN" w:bidi="ar-SA"/>
    </w:rPr>
  </w:style>
  <w:style w:type="paragraph" w:styleId="6">
    <w:name w:val="heading 5"/>
    <w:basedOn w:val="1"/>
    <w:next w:val="1"/>
    <w:link w:val="33"/>
    <w:semiHidden/>
    <w:unhideWhenUsed/>
    <w:qFormat/>
    <w:uiPriority w:val="9"/>
    <w:pPr>
      <w:keepNext/>
      <w:keepLines/>
      <w:spacing w:before="280" w:after="290" w:line="376" w:lineRule="auto"/>
      <w:outlineLvl w:val="4"/>
    </w:pPr>
    <w:rPr>
      <w:b/>
      <w:bCs/>
      <w:sz w:val="28"/>
      <w:szCs w:val="28"/>
    </w:rPr>
  </w:style>
  <w:style w:type="character" w:default="1" w:styleId="16">
    <w:name w:val="Default Paragraph Font"/>
    <w:semiHidden/>
    <w:unhideWhenUsed/>
    <w:qFormat/>
    <w:uiPriority w:val="1"/>
  </w:style>
  <w:style w:type="table" w:default="1" w:styleId="14">
    <w:name w:val="Normal Table"/>
    <w:semiHidden/>
    <w:unhideWhenUsed/>
    <w:qFormat/>
    <w:uiPriority w:val="99"/>
    <w:tblPr>
      <w:tblCellMar>
        <w:top w:w="0" w:type="dxa"/>
        <w:left w:w="108" w:type="dxa"/>
        <w:bottom w:w="0" w:type="dxa"/>
        <w:right w:w="108" w:type="dxa"/>
      </w:tblCellMar>
    </w:tblPr>
  </w:style>
  <w:style w:type="paragraph" w:styleId="7">
    <w:name w:val="Document Map"/>
    <w:basedOn w:val="1"/>
    <w:link w:val="31"/>
    <w:semiHidden/>
    <w:unhideWhenUsed/>
    <w:qFormat/>
    <w:uiPriority w:val="99"/>
    <w:rPr>
      <w:rFonts w:ascii="宋体"/>
      <w:sz w:val="18"/>
      <w:szCs w:val="18"/>
    </w:rPr>
  </w:style>
  <w:style w:type="paragraph" w:styleId="8">
    <w:name w:val="annotation text"/>
    <w:basedOn w:val="1"/>
    <w:link w:val="26"/>
    <w:semiHidden/>
    <w:unhideWhenUsed/>
    <w:qFormat/>
    <w:uiPriority w:val="99"/>
    <w:pPr>
      <w:jc w:val="left"/>
    </w:pPr>
  </w:style>
  <w:style w:type="paragraph" w:styleId="9">
    <w:name w:val="Date"/>
    <w:basedOn w:val="1"/>
    <w:next w:val="1"/>
    <w:link w:val="25"/>
    <w:semiHidden/>
    <w:unhideWhenUsed/>
    <w:qFormat/>
    <w:uiPriority w:val="99"/>
    <w:pPr>
      <w:ind w:left="100" w:leftChars="2500"/>
    </w:pPr>
  </w:style>
  <w:style w:type="paragraph" w:styleId="10">
    <w:name w:val="Balloon Text"/>
    <w:basedOn w:val="1"/>
    <w:link w:val="28"/>
    <w:semiHidden/>
    <w:unhideWhenUsed/>
    <w:qFormat/>
    <w:uiPriority w:val="99"/>
    <w:pPr>
      <w:spacing w:line="240" w:lineRule="auto"/>
    </w:pPr>
    <w:rPr>
      <w:sz w:val="18"/>
      <w:szCs w:val="18"/>
    </w:rPr>
  </w:style>
  <w:style w:type="paragraph" w:styleId="11">
    <w:name w:val="footer"/>
    <w:basedOn w:val="1"/>
    <w:link w:val="30"/>
    <w:unhideWhenUsed/>
    <w:qFormat/>
    <w:uiPriority w:val="99"/>
    <w:pPr>
      <w:tabs>
        <w:tab w:val="center" w:pos="4153"/>
        <w:tab w:val="right" w:pos="8306"/>
      </w:tabs>
      <w:snapToGrid w:val="0"/>
      <w:spacing w:line="240" w:lineRule="auto"/>
      <w:jc w:val="left"/>
    </w:pPr>
    <w:rPr>
      <w:sz w:val="18"/>
      <w:szCs w:val="18"/>
    </w:rPr>
  </w:style>
  <w:style w:type="paragraph" w:styleId="12">
    <w:name w:val="header"/>
    <w:basedOn w:val="1"/>
    <w:link w:val="29"/>
    <w:unhideWhenUsed/>
    <w:qFormat/>
    <w:uiPriority w:val="99"/>
    <w:pPr>
      <w:pBdr>
        <w:bottom w:val="single" w:color="auto" w:sz="6" w:space="1"/>
      </w:pBdr>
      <w:tabs>
        <w:tab w:val="center" w:pos="4153"/>
        <w:tab w:val="right" w:pos="8306"/>
      </w:tabs>
      <w:snapToGrid w:val="0"/>
      <w:spacing w:line="240" w:lineRule="auto"/>
      <w:jc w:val="center"/>
    </w:pPr>
    <w:rPr>
      <w:sz w:val="18"/>
      <w:szCs w:val="18"/>
    </w:rPr>
  </w:style>
  <w:style w:type="paragraph" w:styleId="13">
    <w:name w:val="annotation subject"/>
    <w:basedOn w:val="8"/>
    <w:next w:val="8"/>
    <w:link w:val="27"/>
    <w:semiHidden/>
    <w:unhideWhenUsed/>
    <w:qFormat/>
    <w:uiPriority w:val="99"/>
    <w:rPr>
      <w:b/>
      <w:bCs/>
    </w:rPr>
  </w:style>
  <w:style w:type="table" w:styleId="15">
    <w:name w:val="Table Grid"/>
    <w:basedOn w:val="14"/>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7">
    <w:name w:val="Emphasis"/>
    <w:basedOn w:val="16"/>
    <w:qFormat/>
    <w:uiPriority w:val="20"/>
    <w:rPr>
      <w:i/>
      <w:iCs/>
    </w:rPr>
  </w:style>
  <w:style w:type="character" w:styleId="18">
    <w:name w:val="annotation reference"/>
    <w:basedOn w:val="16"/>
    <w:semiHidden/>
    <w:unhideWhenUsed/>
    <w:qFormat/>
    <w:uiPriority w:val="99"/>
    <w:rPr>
      <w:sz w:val="21"/>
      <w:szCs w:val="21"/>
    </w:rPr>
  </w:style>
  <w:style w:type="character" w:customStyle="1" w:styleId="19">
    <w:name w:val="标题 1 Char"/>
    <w:basedOn w:val="16"/>
    <w:link w:val="2"/>
    <w:qFormat/>
    <w:uiPriority w:val="9"/>
    <w:rPr>
      <w:rFonts w:asciiTheme="minorHAnsi" w:hAnsiTheme="minorHAnsi" w:cstheme="minorBidi"/>
      <w:b/>
      <w:bCs/>
      <w:kern w:val="44"/>
      <w:sz w:val="44"/>
      <w:szCs w:val="44"/>
    </w:rPr>
  </w:style>
  <w:style w:type="character" w:customStyle="1" w:styleId="20">
    <w:name w:val="标题 3 Char"/>
    <w:basedOn w:val="16"/>
    <w:link w:val="4"/>
    <w:qFormat/>
    <w:uiPriority w:val="9"/>
    <w:rPr>
      <w:rFonts w:asciiTheme="minorHAnsi" w:hAnsiTheme="minorHAnsi" w:cstheme="minorBidi"/>
      <w:b/>
      <w:bCs/>
      <w:kern w:val="2"/>
      <w:sz w:val="32"/>
      <w:szCs w:val="32"/>
    </w:rPr>
  </w:style>
  <w:style w:type="character" w:customStyle="1" w:styleId="21">
    <w:name w:val="标题 4 Char"/>
    <w:basedOn w:val="16"/>
    <w:link w:val="5"/>
    <w:qFormat/>
    <w:uiPriority w:val="9"/>
    <w:rPr>
      <w:rFonts w:asciiTheme="majorHAnsi" w:hAnsiTheme="majorHAnsi" w:cstheme="majorBidi"/>
      <w:b/>
      <w:bCs/>
      <w:kern w:val="2"/>
      <w:sz w:val="30"/>
      <w:szCs w:val="28"/>
    </w:rPr>
  </w:style>
  <w:style w:type="character" w:customStyle="1" w:styleId="22">
    <w:name w:val="标题 2 Char"/>
    <w:basedOn w:val="16"/>
    <w:link w:val="3"/>
    <w:qFormat/>
    <w:uiPriority w:val="9"/>
    <w:rPr>
      <w:rFonts w:asciiTheme="majorHAnsi" w:hAnsiTheme="majorHAnsi" w:cstheme="majorBidi"/>
      <w:b/>
      <w:bCs/>
      <w:kern w:val="2"/>
      <w:sz w:val="36"/>
      <w:szCs w:val="32"/>
    </w:rPr>
  </w:style>
  <w:style w:type="paragraph" w:styleId="23">
    <w:name w:val="No Spacing"/>
    <w:qFormat/>
    <w:uiPriority w:val="1"/>
    <w:pPr>
      <w:widowControl w:val="0"/>
      <w:spacing w:line="360" w:lineRule="auto"/>
      <w:jc w:val="both"/>
    </w:pPr>
    <w:rPr>
      <w:rFonts w:eastAsia="宋体" w:asciiTheme="minorHAnsi" w:hAnsiTheme="minorHAnsi" w:cstheme="minorBidi"/>
      <w:kern w:val="2"/>
      <w:sz w:val="21"/>
      <w:szCs w:val="22"/>
      <w:lang w:val="en-US" w:eastAsia="zh-CN" w:bidi="ar-SA"/>
    </w:rPr>
  </w:style>
  <w:style w:type="character" w:styleId="24">
    <w:name w:val="Placeholder Text"/>
    <w:basedOn w:val="16"/>
    <w:semiHidden/>
    <w:qFormat/>
    <w:uiPriority w:val="99"/>
    <w:rPr>
      <w:color w:val="808080"/>
    </w:rPr>
  </w:style>
  <w:style w:type="character" w:customStyle="1" w:styleId="25">
    <w:name w:val="日期 Char"/>
    <w:basedOn w:val="16"/>
    <w:link w:val="9"/>
    <w:semiHidden/>
    <w:qFormat/>
    <w:uiPriority w:val="99"/>
    <w:rPr>
      <w:rFonts w:eastAsia="宋体"/>
    </w:rPr>
  </w:style>
  <w:style w:type="character" w:customStyle="1" w:styleId="26">
    <w:name w:val="批注文字 Char"/>
    <w:basedOn w:val="16"/>
    <w:link w:val="8"/>
    <w:semiHidden/>
    <w:qFormat/>
    <w:uiPriority w:val="99"/>
    <w:rPr>
      <w:rFonts w:eastAsia="宋体"/>
    </w:rPr>
  </w:style>
  <w:style w:type="character" w:customStyle="1" w:styleId="27">
    <w:name w:val="批注主题 Char"/>
    <w:basedOn w:val="26"/>
    <w:link w:val="13"/>
    <w:semiHidden/>
    <w:qFormat/>
    <w:uiPriority w:val="99"/>
    <w:rPr>
      <w:rFonts w:eastAsia="宋体"/>
      <w:b/>
      <w:bCs/>
    </w:rPr>
  </w:style>
  <w:style w:type="character" w:customStyle="1" w:styleId="28">
    <w:name w:val="批注框文本 Char"/>
    <w:basedOn w:val="16"/>
    <w:link w:val="10"/>
    <w:semiHidden/>
    <w:qFormat/>
    <w:uiPriority w:val="99"/>
    <w:rPr>
      <w:rFonts w:eastAsia="宋体"/>
      <w:sz w:val="18"/>
      <w:szCs w:val="18"/>
    </w:rPr>
  </w:style>
  <w:style w:type="character" w:customStyle="1" w:styleId="29">
    <w:name w:val="页眉 Char"/>
    <w:basedOn w:val="16"/>
    <w:link w:val="12"/>
    <w:qFormat/>
    <w:uiPriority w:val="99"/>
    <w:rPr>
      <w:rFonts w:asciiTheme="minorHAnsi" w:hAnsiTheme="minorHAnsi" w:cstheme="minorBidi"/>
      <w:kern w:val="2"/>
      <w:sz w:val="18"/>
      <w:szCs w:val="18"/>
    </w:rPr>
  </w:style>
  <w:style w:type="character" w:customStyle="1" w:styleId="30">
    <w:name w:val="页脚 Char"/>
    <w:basedOn w:val="16"/>
    <w:link w:val="11"/>
    <w:qFormat/>
    <w:uiPriority w:val="99"/>
    <w:rPr>
      <w:rFonts w:asciiTheme="minorHAnsi" w:hAnsiTheme="minorHAnsi" w:cstheme="minorBidi"/>
      <w:kern w:val="2"/>
      <w:sz w:val="18"/>
      <w:szCs w:val="18"/>
    </w:rPr>
  </w:style>
  <w:style w:type="character" w:customStyle="1" w:styleId="31">
    <w:name w:val="文档结构图 Char"/>
    <w:basedOn w:val="16"/>
    <w:link w:val="7"/>
    <w:semiHidden/>
    <w:qFormat/>
    <w:uiPriority w:val="99"/>
    <w:rPr>
      <w:rFonts w:ascii="宋体" w:hAnsiTheme="minorHAnsi" w:cstheme="minorBidi"/>
      <w:kern w:val="2"/>
      <w:sz w:val="18"/>
      <w:szCs w:val="18"/>
    </w:rPr>
  </w:style>
  <w:style w:type="paragraph" w:customStyle="1" w:styleId="32">
    <w:name w:val="Revision"/>
    <w:hidden/>
    <w:semiHidden/>
    <w:qFormat/>
    <w:uiPriority w:val="99"/>
    <w:rPr>
      <w:rFonts w:eastAsia="宋体" w:asciiTheme="minorHAnsi" w:hAnsiTheme="minorHAnsi" w:cstheme="minorBidi"/>
      <w:kern w:val="2"/>
      <w:sz w:val="21"/>
      <w:szCs w:val="22"/>
      <w:lang w:val="en-US" w:eastAsia="zh-CN" w:bidi="ar-SA"/>
    </w:rPr>
  </w:style>
  <w:style w:type="character" w:customStyle="1" w:styleId="33">
    <w:name w:val="标题 5 Char"/>
    <w:basedOn w:val="16"/>
    <w:link w:val="6"/>
    <w:semiHidden/>
    <w:qFormat/>
    <w:uiPriority w:val="9"/>
    <w:rPr>
      <w:rFonts w:asciiTheme="minorHAnsi" w:hAnsiTheme="minorHAnsi" w:cstheme="minorBidi"/>
      <w:b/>
      <w:bCs/>
      <w:kern w:val="2"/>
      <w:sz w:val="28"/>
      <w:szCs w:val="28"/>
    </w:rPr>
  </w:style>
  <w:style w:type="paragraph" w:customStyle="1" w:styleId="34">
    <w:name w:val="样式1"/>
    <w:basedOn w:val="1"/>
    <w:qFormat/>
    <w:uiPriority w:val="0"/>
    <w:pPr>
      <w:ind w:firstLine="0" w:firstLineChars="0"/>
    </w:pPr>
  </w:style>
  <w:style w:type="character" w:customStyle="1" w:styleId="35">
    <w:name w:val="font01"/>
    <w:basedOn w:val="16"/>
    <w:qFormat/>
    <w:uiPriority w:val="0"/>
    <w:rPr>
      <w:rFonts w:hint="default" w:ascii="Arial" w:hAnsi="Arial" w:cs="Arial"/>
      <w:color w:val="000000"/>
      <w:sz w:val="20"/>
      <w:szCs w:val="20"/>
      <w:u w:val="none"/>
    </w:rPr>
  </w:style>
  <w:style w:type="character" w:customStyle="1" w:styleId="36">
    <w:name w:val="font11"/>
    <w:basedOn w:val="16"/>
    <w:qFormat/>
    <w:uiPriority w:val="0"/>
    <w:rPr>
      <w:rFonts w:hint="eastAsia" w:ascii="宋体" w:hAnsi="宋体" w:eastAsia="宋体" w:cs="宋体"/>
      <w:color w:val="000000"/>
      <w:sz w:val="20"/>
      <w:szCs w:val="20"/>
      <w:u w:val="none"/>
    </w:rPr>
  </w:style>
</w:styles>
</file>

<file path=word/_rels/document.xml.rels><?xml version="1.0" encoding="UTF-8" standalone="yes"?>
<Relationships xmlns="http://schemas.openxmlformats.org/package/2006/relationships"><Relationship Id="rId99" Type="http://schemas.openxmlformats.org/officeDocument/2006/relationships/image" Target="media/image88.jpeg"/><Relationship Id="rId98" Type="http://schemas.openxmlformats.org/officeDocument/2006/relationships/image" Target="media/image87.jpeg"/><Relationship Id="rId97" Type="http://schemas.openxmlformats.org/officeDocument/2006/relationships/image" Target="media/image86.jpeg"/><Relationship Id="rId96" Type="http://schemas.openxmlformats.org/officeDocument/2006/relationships/image" Target="media/image85.jpeg"/><Relationship Id="rId95" Type="http://schemas.openxmlformats.org/officeDocument/2006/relationships/image" Target="media/image84.jpeg"/><Relationship Id="rId94" Type="http://schemas.openxmlformats.org/officeDocument/2006/relationships/image" Target="media/image83.jpeg"/><Relationship Id="rId93" Type="http://schemas.openxmlformats.org/officeDocument/2006/relationships/image" Target="media/image82.jpeg"/><Relationship Id="rId92" Type="http://schemas.openxmlformats.org/officeDocument/2006/relationships/image" Target="media/image81.jpeg"/><Relationship Id="rId91" Type="http://schemas.openxmlformats.org/officeDocument/2006/relationships/image" Target="media/image80.jpeg"/><Relationship Id="rId90" Type="http://schemas.openxmlformats.org/officeDocument/2006/relationships/image" Target="media/image79.jpeg"/><Relationship Id="rId9" Type="http://schemas.openxmlformats.org/officeDocument/2006/relationships/footer" Target="footer2.xml"/><Relationship Id="rId89" Type="http://schemas.openxmlformats.org/officeDocument/2006/relationships/image" Target="media/image78.jpeg"/><Relationship Id="rId88" Type="http://schemas.openxmlformats.org/officeDocument/2006/relationships/image" Target="media/image77.jpeg"/><Relationship Id="rId87" Type="http://schemas.openxmlformats.org/officeDocument/2006/relationships/image" Target="media/image76.jpeg"/><Relationship Id="rId86" Type="http://schemas.openxmlformats.org/officeDocument/2006/relationships/image" Target="media/image75.jpeg"/><Relationship Id="rId85" Type="http://schemas.openxmlformats.org/officeDocument/2006/relationships/image" Target="media/image74.jpeg"/><Relationship Id="rId84" Type="http://schemas.openxmlformats.org/officeDocument/2006/relationships/image" Target="media/image73.jpeg"/><Relationship Id="rId83" Type="http://schemas.openxmlformats.org/officeDocument/2006/relationships/image" Target="media/image72.jpeg"/><Relationship Id="rId82" Type="http://schemas.openxmlformats.org/officeDocument/2006/relationships/image" Target="media/image71.jpeg"/><Relationship Id="rId81" Type="http://schemas.openxmlformats.org/officeDocument/2006/relationships/image" Target="media/image70.jpeg"/><Relationship Id="rId80" Type="http://schemas.openxmlformats.org/officeDocument/2006/relationships/image" Target="media/image69.jpeg"/><Relationship Id="rId8" Type="http://schemas.openxmlformats.org/officeDocument/2006/relationships/footer" Target="footer1.xml"/><Relationship Id="rId79" Type="http://schemas.openxmlformats.org/officeDocument/2006/relationships/image" Target="media/image68.jpeg"/><Relationship Id="rId78" Type="http://schemas.openxmlformats.org/officeDocument/2006/relationships/image" Target="media/image67.jpeg"/><Relationship Id="rId77" Type="http://schemas.openxmlformats.org/officeDocument/2006/relationships/image" Target="media/image66.jpeg"/><Relationship Id="rId76" Type="http://schemas.openxmlformats.org/officeDocument/2006/relationships/image" Target="media/image65.jpeg"/><Relationship Id="rId75" Type="http://schemas.openxmlformats.org/officeDocument/2006/relationships/image" Target="media/image64.jpeg"/><Relationship Id="rId74" Type="http://schemas.openxmlformats.org/officeDocument/2006/relationships/image" Target="media/image63.jpeg"/><Relationship Id="rId73" Type="http://schemas.openxmlformats.org/officeDocument/2006/relationships/image" Target="media/image62.jpeg"/><Relationship Id="rId72" Type="http://schemas.openxmlformats.org/officeDocument/2006/relationships/image" Target="media/image61.jpeg"/><Relationship Id="rId71" Type="http://schemas.openxmlformats.org/officeDocument/2006/relationships/image" Target="media/image60.jpeg"/><Relationship Id="rId70" Type="http://schemas.openxmlformats.org/officeDocument/2006/relationships/image" Target="media/image59.jpeg"/><Relationship Id="rId7" Type="http://schemas.openxmlformats.org/officeDocument/2006/relationships/header" Target="header3.xml"/><Relationship Id="rId69" Type="http://schemas.openxmlformats.org/officeDocument/2006/relationships/image" Target="media/image58.jpeg"/><Relationship Id="rId68" Type="http://schemas.openxmlformats.org/officeDocument/2006/relationships/image" Target="media/image57.jpeg"/><Relationship Id="rId67" Type="http://schemas.openxmlformats.org/officeDocument/2006/relationships/image" Target="media/image56.jpeg"/><Relationship Id="rId66" Type="http://schemas.openxmlformats.org/officeDocument/2006/relationships/image" Target="media/image55.jpeg"/><Relationship Id="rId65" Type="http://schemas.openxmlformats.org/officeDocument/2006/relationships/image" Target="media/image54.jpeg"/><Relationship Id="rId64" Type="http://schemas.openxmlformats.org/officeDocument/2006/relationships/image" Target="media/image53.jpeg"/><Relationship Id="rId63" Type="http://schemas.openxmlformats.org/officeDocument/2006/relationships/image" Target="media/image52.jpeg"/><Relationship Id="rId62" Type="http://schemas.openxmlformats.org/officeDocument/2006/relationships/image" Target="media/image51.jpeg"/><Relationship Id="rId61" Type="http://schemas.openxmlformats.org/officeDocument/2006/relationships/image" Target="media/image50.jpeg"/><Relationship Id="rId60" Type="http://schemas.openxmlformats.org/officeDocument/2006/relationships/image" Target="media/image49.jpeg"/><Relationship Id="rId6" Type="http://schemas.openxmlformats.org/officeDocument/2006/relationships/header" Target="header2.xml"/><Relationship Id="rId59" Type="http://schemas.openxmlformats.org/officeDocument/2006/relationships/image" Target="media/image48.jpeg"/><Relationship Id="rId58" Type="http://schemas.openxmlformats.org/officeDocument/2006/relationships/image" Target="media/image47.jpeg"/><Relationship Id="rId57" Type="http://schemas.openxmlformats.org/officeDocument/2006/relationships/image" Target="media/image46.jpeg"/><Relationship Id="rId56" Type="http://schemas.openxmlformats.org/officeDocument/2006/relationships/image" Target="media/image45.jpeg"/><Relationship Id="rId55" Type="http://schemas.openxmlformats.org/officeDocument/2006/relationships/image" Target="media/image44.jpeg"/><Relationship Id="rId54" Type="http://schemas.openxmlformats.org/officeDocument/2006/relationships/image" Target="media/image43.jpeg"/><Relationship Id="rId53" Type="http://schemas.openxmlformats.org/officeDocument/2006/relationships/image" Target="media/image42.jpeg"/><Relationship Id="rId52" Type="http://schemas.openxmlformats.org/officeDocument/2006/relationships/image" Target="media/image41.jpeg"/><Relationship Id="rId51" Type="http://schemas.openxmlformats.org/officeDocument/2006/relationships/image" Target="media/image40.jpeg"/><Relationship Id="rId50" Type="http://schemas.openxmlformats.org/officeDocument/2006/relationships/image" Target="media/image39.jpeg"/><Relationship Id="rId5" Type="http://schemas.openxmlformats.org/officeDocument/2006/relationships/header" Target="header1.xml"/><Relationship Id="rId49" Type="http://schemas.openxmlformats.org/officeDocument/2006/relationships/image" Target="media/image38.jpeg"/><Relationship Id="rId48" Type="http://schemas.openxmlformats.org/officeDocument/2006/relationships/image" Target="media/image37.jpeg"/><Relationship Id="rId47" Type="http://schemas.openxmlformats.org/officeDocument/2006/relationships/image" Target="media/image36.jpeg"/><Relationship Id="rId46" Type="http://schemas.openxmlformats.org/officeDocument/2006/relationships/image" Target="media/image35.jpeg"/><Relationship Id="rId45" Type="http://schemas.openxmlformats.org/officeDocument/2006/relationships/image" Target="media/image34.jpeg"/><Relationship Id="rId44" Type="http://schemas.openxmlformats.org/officeDocument/2006/relationships/image" Target="media/image33.jpeg"/><Relationship Id="rId43" Type="http://schemas.openxmlformats.org/officeDocument/2006/relationships/image" Target="media/image32.jpeg"/><Relationship Id="rId42" Type="http://schemas.openxmlformats.org/officeDocument/2006/relationships/image" Target="media/image31.jpeg"/><Relationship Id="rId41" Type="http://schemas.openxmlformats.org/officeDocument/2006/relationships/image" Target="media/image30.jpeg"/><Relationship Id="rId40" Type="http://schemas.openxmlformats.org/officeDocument/2006/relationships/image" Target="media/image29.jpeg"/><Relationship Id="rId4" Type="http://schemas.openxmlformats.org/officeDocument/2006/relationships/endnotes" Target="endnotes.xml"/><Relationship Id="rId39" Type="http://schemas.openxmlformats.org/officeDocument/2006/relationships/image" Target="media/image28.jpeg"/><Relationship Id="rId38" Type="http://schemas.openxmlformats.org/officeDocument/2006/relationships/image" Target="media/image27.jpeg"/><Relationship Id="rId37" Type="http://schemas.openxmlformats.org/officeDocument/2006/relationships/image" Target="media/image26.jpeg"/><Relationship Id="rId36" Type="http://schemas.openxmlformats.org/officeDocument/2006/relationships/image" Target="media/image25.jpeg"/><Relationship Id="rId35" Type="http://schemas.openxmlformats.org/officeDocument/2006/relationships/image" Target="media/image24.jpeg"/><Relationship Id="rId34" Type="http://schemas.openxmlformats.org/officeDocument/2006/relationships/image" Target="media/image23.jpeg"/><Relationship Id="rId33" Type="http://schemas.openxmlformats.org/officeDocument/2006/relationships/image" Target="media/image22.jpeg"/><Relationship Id="rId32" Type="http://schemas.openxmlformats.org/officeDocument/2006/relationships/image" Target="media/image21.jpeg"/><Relationship Id="rId31" Type="http://schemas.openxmlformats.org/officeDocument/2006/relationships/image" Target="media/image20.jpeg"/><Relationship Id="rId30" Type="http://schemas.openxmlformats.org/officeDocument/2006/relationships/image" Target="media/image19.jpeg"/><Relationship Id="rId3" Type="http://schemas.openxmlformats.org/officeDocument/2006/relationships/footnotes" Target="footnotes.xml"/><Relationship Id="rId29" Type="http://schemas.openxmlformats.org/officeDocument/2006/relationships/image" Target="media/image18.jpeg"/><Relationship Id="rId28" Type="http://schemas.openxmlformats.org/officeDocument/2006/relationships/image" Target="media/image17.jpeg"/><Relationship Id="rId27" Type="http://schemas.openxmlformats.org/officeDocument/2006/relationships/image" Target="media/image16.jpeg"/><Relationship Id="rId26" Type="http://schemas.openxmlformats.org/officeDocument/2006/relationships/image" Target="media/image15.jpeg"/><Relationship Id="rId25" Type="http://schemas.openxmlformats.org/officeDocument/2006/relationships/image" Target="media/image14.jpeg"/><Relationship Id="rId24" Type="http://schemas.openxmlformats.org/officeDocument/2006/relationships/image" Target="media/image13.jpeg"/><Relationship Id="rId23" Type="http://schemas.openxmlformats.org/officeDocument/2006/relationships/image" Target="media/image12.jpeg"/><Relationship Id="rId22" Type="http://schemas.openxmlformats.org/officeDocument/2006/relationships/image" Target="media/image11.jpeg"/><Relationship Id="rId21" Type="http://schemas.openxmlformats.org/officeDocument/2006/relationships/image" Target="media/image10.jpeg"/><Relationship Id="rId20" Type="http://schemas.openxmlformats.org/officeDocument/2006/relationships/image" Target="media/image9.jpeg"/><Relationship Id="rId2" Type="http://schemas.openxmlformats.org/officeDocument/2006/relationships/settings" Target="settings.xml"/><Relationship Id="rId19" Type="http://schemas.openxmlformats.org/officeDocument/2006/relationships/image" Target="media/image8.jpeg"/><Relationship Id="rId18" Type="http://schemas.openxmlformats.org/officeDocument/2006/relationships/image" Target="media/image7.jpeg"/><Relationship Id="rId17" Type="http://schemas.openxmlformats.org/officeDocument/2006/relationships/image" Target="media/image6.jpeg"/><Relationship Id="rId16" Type="http://schemas.openxmlformats.org/officeDocument/2006/relationships/image" Target="media/image5.jpeg"/><Relationship Id="rId15" Type="http://schemas.openxmlformats.org/officeDocument/2006/relationships/image" Target="media/image4.jpeg"/><Relationship Id="rId14" Type="http://schemas.openxmlformats.org/officeDocument/2006/relationships/image" Target="media/image3.jpeg"/><Relationship Id="rId13" Type="http://schemas.openxmlformats.org/officeDocument/2006/relationships/image" Target="media/image2.jpeg"/><Relationship Id="rId121" Type="http://schemas.openxmlformats.org/officeDocument/2006/relationships/fontTable" Target="fontTable.xml"/><Relationship Id="rId120" Type="http://schemas.openxmlformats.org/officeDocument/2006/relationships/customXml" Target="../customXml/item1.xml"/><Relationship Id="rId12" Type="http://schemas.openxmlformats.org/officeDocument/2006/relationships/image" Target="media/image1.jpeg"/><Relationship Id="rId119" Type="http://schemas.openxmlformats.org/officeDocument/2006/relationships/numbering" Target="numbering.xml"/><Relationship Id="rId118" Type="http://schemas.openxmlformats.org/officeDocument/2006/relationships/image" Target="media/image107.jpeg"/><Relationship Id="rId117" Type="http://schemas.openxmlformats.org/officeDocument/2006/relationships/image" Target="media/image106.jpeg"/><Relationship Id="rId116" Type="http://schemas.openxmlformats.org/officeDocument/2006/relationships/image" Target="media/image105.jpeg"/><Relationship Id="rId115" Type="http://schemas.openxmlformats.org/officeDocument/2006/relationships/image" Target="media/image104.jpeg"/><Relationship Id="rId114" Type="http://schemas.openxmlformats.org/officeDocument/2006/relationships/image" Target="media/image103.jpeg"/><Relationship Id="rId113" Type="http://schemas.openxmlformats.org/officeDocument/2006/relationships/image" Target="media/image102.jpeg"/><Relationship Id="rId112" Type="http://schemas.openxmlformats.org/officeDocument/2006/relationships/image" Target="media/image101.jpeg"/><Relationship Id="rId111" Type="http://schemas.openxmlformats.org/officeDocument/2006/relationships/image" Target="media/image100.jpeg"/><Relationship Id="rId110" Type="http://schemas.openxmlformats.org/officeDocument/2006/relationships/image" Target="media/image99.jpeg"/><Relationship Id="rId11" Type="http://schemas.openxmlformats.org/officeDocument/2006/relationships/theme" Target="theme/theme1.xml"/><Relationship Id="rId109" Type="http://schemas.openxmlformats.org/officeDocument/2006/relationships/image" Target="media/image98.jpeg"/><Relationship Id="rId108" Type="http://schemas.openxmlformats.org/officeDocument/2006/relationships/image" Target="media/image97.jpeg"/><Relationship Id="rId107" Type="http://schemas.openxmlformats.org/officeDocument/2006/relationships/image" Target="media/image96.jpeg"/><Relationship Id="rId106" Type="http://schemas.openxmlformats.org/officeDocument/2006/relationships/image" Target="media/image95.jpeg"/><Relationship Id="rId105" Type="http://schemas.openxmlformats.org/officeDocument/2006/relationships/image" Target="media/image94.jpeg"/><Relationship Id="rId104" Type="http://schemas.openxmlformats.org/officeDocument/2006/relationships/image" Target="media/image93.jpeg"/><Relationship Id="rId103" Type="http://schemas.openxmlformats.org/officeDocument/2006/relationships/image" Target="media/image92.jpeg"/><Relationship Id="rId102" Type="http://schemas.openxmlformats.org/officeDocument/2006/relationships/image" Target="media/image91.jpeg"/><Relationship Id="rId101" Type="http://schemas.openxmlformats.org/officeDocument/2006/relationships/image" Target="media/image90.jpeg"/><Relationship Id="rId100" Type="http://schemas.openxmlformats.org/officeDocument/2006/relationships/image" Target="media/image89.jpeg"/><Relationship Id="rId10" Type="http://schemas.openxmlformats.org/officeDocument/2006/relationships/footer" Target="footer3.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822E061-1A61-40BD-9968-991C6F58DE7D}">
  <ds:schemaRefs/>
</ds:datastoreItem>
</file>

<file path=docProps/app.xml><?xml version="1.0" encoding="utf-8"?>
<Properties xmlns="http://schemas.openxmlformats.org/officeDocument/2006/extended-properties" xmlns:vt="http://schemas.openxmlformats.org/officeDocument/2006/docPropsVTypes">
  <Template>Normal.dotm</Template>
  <Company>中山大学</Company>
  <Pages>608</Pages>
  <Words>1895</Words>
  <Characters>1983</Characters>
  <Lines>3317</Lines>
  <Paragraphs>934</Paragraphs>
  <TotalTime>28</TotalTime>
  <ScaleCrop>false</ScaleCrop>
  <LinksUpToDate>false</LinksUpToDate>
  <CharactersWithSpaces>2065</CharactersWithSpaces>
  <Application>WPS Office_12.1.0.20784_F1E327BC-269C-435d-A152-05C5408002CA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2020-06-09T02:26:00Z</dcterms:created>
  <dc:creator>吴海斌</dc:creator>
  <cp:lastModifiedBy>叶子</cp:lastModifiedBy>
  <dcterms:modified xsi:type="dcterms:W3CDTF">2025-04-23T08:06:25Z</dcterms:modified>
  <cp:revision>307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2052-12.1.0.20784</vt:lpwstr>
  </property>
  <property fmtid="{D5CDD505-2E9C-101B-9397-08002B2CF9AE}" pid="3" name="ICV">
    <vt:lpwstr>FD1BC6B5E4C54E398E7C285CE6264E82</vt:lpwstr>
  </property>
  <property fmtid="{D5CDD505-2E9C-101B-9397-08002B2CF9AE}" pid="4" name="KSOTemplateDocerSaveRecord">
    <vt:lpwstr>eyJoZGlkIjoiMDkwNjc2OWNjMmQ3ZDNiMmE4OTE5ZmNmMzZkZWE4ZDkiLCJ1c2VySWQiOiIzNzk0ODUwMTYifQ==</vt:lpwstr>
  </property>
</Properties>
</file>